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FCFF" w14:textId="1F2386E0" w:rsidR="00584FB3" w:rsidRDefault="00786180">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40CAFD00" w14:textId="77777777" w:rsidR="00584FB3" w:rsidRDefault="00786180">
      <w:pPr>
        <w:jc w:val="center"/>
      </w:pPr>
      <w:r>
        <w:rPr>
          <w:rFonts w:ascii="Times New Roman" w:eastAsia="宋体" w:hAnsi="Times New Roman"/>
          <w:b/>
          <w:bCs/>
          <w:color w:val="000000"/>
          <w:sz w:val="36"/>
          <w:szCs w:val="36"/>
        </w:rPr>
        <w:t>SECURITIES AND EXCHANGE COMMISSION</w:t>
      </w:r>
    </w:p>
    <w:p w14:paraId="40CAFD01" w14:textId="77777777" w:rsidR="00584FB3" w:rsidRDefault="00786180">
      <w:pPr>
        <w:jc w:val="center"/>
      </w:pPr>
      <w:r>
        <w:rPr>
          <w:rFonts w:ascii="Times New Roman" w:eastAsia="宋体" w:hAnsi="Times New Roman"/>
          <w:b/>
          <w:bCs/>
          <w:color w:val="000000"/>
        </w:rPr>
        <w:t>Washington, DC 20549</w:t>
      </w:r>
    </w:p>
    <w:p w14:paraId="40CAFD02" w14:textId="77777777" w:rsidR="00584FB3" w:rsidRDefault="00786180">
      <w:pPr>
        <w:spacing w:before="100"/>
        <w:jc w:val="center"/>
      </w:pPr>
      <w:r>
        <w:rPr>
          <w:rFonts w:ascii="Times New Roman" w:eastAsia="宋体" w:hAnsi="Times New Roman"/>
          <w:b/>
          <w:bCs/>
          <w:color w:val="000000"/>
          <w:sz w:val="36"/>
          <w:szCs w:val="36"/>
        </w:rPr>
        <w:t xml:space="preserve">FORM 10-Q </w:t>
      </w:r>
    </w:p>
    <w:p w14:paraId="40CAFD03" w14:textId="77777777" w:rsidR="00584FB3" w:rsidRDefault="00786180">
      <w:pPr>
        <w:spacing w:before="80"/>
        <w:jc w:val="center"/>
      </w:pPr>
      <w:r>
        <w:rPr>
          <w:rFonts w:ascii="Times New Roman" w:eastAsia="宋体" w:hAnsi="Times New Roman"/>
          <w:color w:val="000000"/>
          <w:sz w:val="20"/>
          <w:szCs w:val="20"/>
        </w:rPr>
        <w:t> </w:t>
      </w:r>
    </w:p>
    <w:p w14:paraId="40CAFD04" w14:textId="77777777" w:rsidR="00584FB3" w:rsidRDefault="00786180">
      <w:pPr>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40CAFD05" w14:textId="77777777" w:rsidR="00584FB3" w:rsidRDefault="00786180">
      <w:pPr>
        <w:spacing w:before="60"/>
        <w:jc w:val="center"/>
      </w:pPr>
      <w:r>
        <w:rPr>
          <w:rFonts w:ascii="Times New Roman" w:eastAsia="宋体" w:hAnsi="Times New Roman"/>
          <w:b/>
          <w:bCs/>
          <w:color w:val="000000"/>
          <w:sz w:val="20"/>
          <w:szCs w:val="20"/>
        </w:rPr>
        <w:t>For the Quarterly Period Ended December 27, 2020</w:t>
      </w:r>
    </w:p>
    <w:p w14:paraId="40CAFD06" w14:textId="77777777" w:rsidR="00584FB3" w:rsidRDefault="00786180">
      <w:pPr>
        <w:spacing w:before="60"/>
        <w:jc w:val="center"/>
      </w:pPr>
      <w:r>
        <w:rPr>
          <w:rFonts w:ascii="Times New Roman" w:eastAsia="宋体" w:hAnsi="Times New Roman"/>
          <w:b/>
          <w:bCs/>
          <w:color w:val="000000"/>
          <w:sz w:val="20"/>
          <w:szCs w:val="20"/>
        </w:rPr>
        <w:t>OR</w:t>
      </w:r>
    </w:p>
    <w:p w14:paraId="40CAFD07" w14:textId="77777777" w:rsidR="00584FB3" w:rsidRDefault="00786180">
      <w:pPr>
        <w:spacing w:before="100"/>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40CAFD08" w14:textId="77777777" w:rsidR="00584FB3" w:rsidRDefault="00786180">
      <w:pPr>
        <w:spacing w:before="60"/>
        <w:jc w:val="center"/>
      </w:pPr>
      <w:r>
        <w:rPr>
          <w:rFonts w:ascii="Times New Roman" w:eastAsia="宋体" w:hAnsi="Times New Roman"/>
          <w:b/>
          <w:bCs/>
          <w:color w:val="000000"/>
          <w:sz w:val="20"/>
          <w:szCs w:val="20"/>
        </w:rPr>
        <w:t>For the transition period from            to            .</w:t>
      </w:r>
    </w:p>
    <w:p w14:paraId="40CAFD09" w14:textId="77777777" w:rsidR="00584FB3" w:rsidRDefault="00786180">
      <w:pPr>
        <w:spacing w:before="180"/>
        <w:jc w:val="center"/>
      </w:pPr>
      <w:r>
        <w:rPr>
          <w:rFonts w:ascii="Times New Roman" w:eastAsia="宋体" w:hAnsi="Times New Roman"/>
          <w:b/>
          <w:bCs/>
          <w:color w:val="000000"/>
          <w:sz w:val="20"/>
          <w:szCs w:val="20"/>
        </w:rPr>
        <w:t xml:space="preserve">Commission File Number: 0-20322 </w:t>
      </w:r>
    </w:p>
    <w:p w14:paraId="40CAFD0A" w14:textId="77777777" w:rsidR="00584FB3" w:rsidRDefault="00786180">
      <w:pPr>
        <w:spacing w:before="100"/>
        <w:jc w:val="center"/>
      </w:pPr>
      <w:r>
        <w:rPr>
          <w:rFonts w:ascii="Times New Roman" w:eastAsia="宋体" w:hAnsi="Times New Roman"/>
          <w:b/>
          <w:bCs/>
          <w:color w:val="00704A"/>
          <w:sz w:val="48"/>
          <w:szCs w:val="48"/>
        </w:rPr>
        <w:t xml:space="preserve">Starbucks Corporation </w:t>
      </w:r>
    </w:p>
    <w:p w14:paraId="40CAFD0B" w14:textId="77777777" w:rsidR="00584FB3" w:rsidRDefault="00786180">
      <w:pPr>
        <w:jc w:val="center"/>
      </w:pPr>
      <w:r>
        <w:rPr>
          <w:rFonts w:ascii="Times New Roman" w:eastAsia="宋体" w:hAnsi="Times New Roman"/>
          <w:b/>
          <w:bCs/>
          <w:color w:val="000000"/>
          <w:sz w:val="20"/>
          <w:szCs w:val="20"/>
        </w:rPr>
        <w:t>(Exact Name of Registrant as Specified in its Charter)</w:t>
      </w:r>
    </w:p>
    <w:p w14:paraId="40CAFD0C" w14:textId="77777777" w:rsidR="00584FB3" w:rsidRDefault="00786180">
      <w:pPr>
        <w:spacing w:before="120"/>
        <w:jc w:val="center"/>
      </w:pPr>
      <w:r>
        <w:rPr>
          <w:rFonts w:ascii="宋体" w:eastAsia="宋体" w:hAnsi="宋体" w:cs="宋体"/>
        </w:rPr>
        <w:fldChar w:fldCharType="begin"/>
      </w:r>
      <w:r>
        <w:rPr>
          <w:rFonts w:ascii="宋体" w:eastAsia="宋体" w:hAnsi="宋体" w:cs="宋体"/>
        </w:rPr>
        <w:instrText>INCLUDEPICTURE \</w:instrText>
      </w:r>
      <w:r>
        <w:rPr>
          <w:rFonts w:ascii="宋体" w:eastAsia="宋体" w:hAnsi="宋体" w:cs="宋体"/>
        </w:rPr>
        <w:instrText xml:space="preserve">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Viewer8_files/sbux-20201227_g1.jpg"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0CB2A34" wp14:editId="40CB2A35">
            <wp:extent cx="304800" cy="304800"/>
            <wp:effectExtent l="0" t="0" r="0" b="0"/>
            <wp:docPr id="2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584FB3" w14:paraId="40CAFD13" w14:textId="77777777">
        <w:tc>
          <w:tcPr>
            <w:tcW w:w="50" w:type="pct"/>
            <w:shd w:val="clear" w:color="auto" w:fill="auto"/>
          </w:tcPr>
          <w:p w14:paraId="40CAFD0D" w14:textId="77777777" w:rsidR="00584FB3" w:rsidRDefault="00584FB3">
            <w:pPr>
              <w:rPr>
                <w:rFonts w:ascii="宋体"/>
              </w:rPr>
            </w:pPr>
          </w:p>
        </w:tc>
        <w:tc>
          <w:tcPr>
            <w:tcW w:w="2445" w:type="pct"/>
            <w:shd w:val="clear" w:color="auto" w:fill="auto"/>
          </w:tcPr>
          <w:p w14:paraId="40CAFD0E" w14:textId="77777777" w:rsidR="00584FB3" w:rsidRDefault="00584FB3">
            <w:pPr>
              <w:rPr>
                <w:rFonts w:ascii="宋体"/>
              </w:rPr>
            </w:pPr>
          </w:p>
        </w:tc>
        <w:tc>
          <w:tcPr>
            <w:tcW w:w="5" w:type="pct"/>
            <w:shd w:val="clear" w:color="auto" w:fill="auto"/>
          </w:tcPr>
          <w:p w14:paraId="40CAFD0F" w14:textId="77777777" w:rsidR="00584FB3" w:rsidRDefault="00584FB3">
            <w:pPr>
              <w:rPr>
                <w:rFonts w:ascii="宋体"/>
              </w:rPr>
            </w:pPr>
          </w:p>
        </w:tc>
        <w:tc>
          <w:tcPr>
            <w:tcW w:w="50" w:type="pct"/>
            <w:shd w:val="clear" w:color="auto" w:fill="auto"/>
          </w:tcPr>
          <w:p w14:paraId="40CAFD10" w14:textId="77777777" w:rsidR="00584FB3" w:rsidRDefault="00584FB3">
            <w:pPr>
              <w:rPr>
                <w:rFonts w:ascii="宋体"/>
              </w:rPr>
            </w:pPr>
          </w:p>
        </w:tc>
        <w:tc>
          <w:tcPr>
            <w:tcW w:w="2445" w:type="pct"/>
            <w:shd w:val="clear" w:color="auto" w:fill="auto"/>
          </w:tcPr>
          <w:p w14:paraId="40CAFD11" w14:textId="77777777" w:rsidR="00584FB3" w:rsidRDefault="00584FB3">
            <w:pPr>
              <w:rPr>
                <w:rFonts w:ascii="宋体"/>
              </w:rPr>
            </w:pPr>
          </w:p>
        </w:tc>
        <w:tc>
          <w:tcPr>
            <w:tcW w:w="5" w:type="pct"/>
            <w:shd w:val="clear" w:color="auto" w:fill="auto"/>
          </w:tcPr>
          <w:p w14:paraId="40CAFD12" w14:textId="77777777" w:rsidR="00584FB3" w:rsidRDefault="00584FB3">
            <w:pPr>
              <w:rPr>
                <w:rFonts w:ascii="宋体"/>
              </w:rPr>
            </w:pPr>
          </w:p>
        </w:tc>
      </w:tr>
      <w:tr w:rsidR="00584FB3" w14:paraId="40CAFD16" w14:textId="77777777">
        <w:tc>
          <w:tcPr>
            <w:tcW w:w="0" w:type="auto"/>
            <w:gridSpan w:val="3"/>
            <w:shd w:val="clear" w:color="auto" w:fill="auto"/>
            <w:tcMar>
              <w:top w:w="40" w:type="dxa"/>
              <w:left w:w="20" w:type="dxa"/>
              <w:bottom w:w="40" w:type="dxa"/>
              <w:right w:w="20" w:type="dxa"/>
            </w:tcMar>
          </w:tcPr>
          <w:p w14:paraId="40CAFD14" w14:textId="77777777" w:rsidR="00584FB3" w:rsidRDefault="00786180">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40CAFD15" w14:textId="77777777" w:rsidR="00584FB3" w:rsidRDefault="00786180">
            <w:pPr>
              <w:jc w:val="center"/>
              <w:textAlignment w:val="top"/>
            </w:pPr>
            <w:r>
              <w:rPr>
                <w:rFonts w:ascii="Times New Roman" w:eastAsia="宋体" w:hAnsi="Times New Roman"/>
                <w:b/>
                <w:bCs/>
                <w:color w:val="000000"/>
                <w:sz w:val="20"/>
                <w:szCs w:val="20"/>
              </w:rPr>
              <w:t>91-1325671</w:t>
            </w:r>
          </w:p>
        </w:tc>
      </w:tr>
      <w:tr w:rsidR="00584FB3" w14:paraId="40CAFD1B" w14:textId="77777777">
        <w:tc>
          <w:tcPr>
            <w:tcW w:w="0" w:type="auto"/>
            <w:gridSpan w:val="3"/>
            <w:shd w:val="clear" w:color="auto" w:fill="auto"/>
            <w:tcMar>
              <w:top w:w="40" w:type="dxa"/>
              <w:left w:w="20" w:type="dxa"/>
              <w:bottom w:w="40" w:type="dxa"/>
              <w:right w:w="20" w:type="dxa"/>
            </w:tcMar>
            <w:vAlign w:val="bottom"/>
          </w:tcPr>
          <w:p w14:paraId="40CAFD17" w14:textId="77777777" w:rsidR="00584FB3" w:rsidRDefault="00786180">
            <w:pPr>
              <w:jc w:val="center"/>
              <w:textAlignment w:val="bottom"/>
            </w:pPr>
            <w:r>
              <w:rPr>
                <w:rFonts w:ascii="Times New Roman" w:eastAsia="宋体" w:hAnsi="Times New Roman"/>
                <w:b/>
                <w:bCs/>
                <w:color w:val="000000"/>
                <w:sz w:val="16"/>
                <w:szCs w:val="16"/>
              </w:rPr>
              <w:t>(State or Other Jurisdiction of</w:t>
            </w:r>
          </w:p>
          <w:p w14:paraId="40CAFD18" w14:textId="77777777" w:rsidR="00584FB3" w:rsidRDefault="00786180">
            <w:pP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40CAFD19" w14:textId="77777777" w:rsidR="00584FB3" w:rsidRDefault="00786180">
            <w:pPr>
              <w:jc w:val="center"/>
              <w:textAlignment w:val="bottom"/>
            </w:pPr>
            <w:r>
              <w:rPr>
                <w:rFonts w:ascii="Times New Roman" w:eastAsia="宋体" w:hAnsi="Times New Roman"/>
                <w:b/>
                <w:bCs/>
                <w:color w:val="000000"/>
                <w:sz w:val="16"/>
                <w:szCs w:val="16"/>
              </w:rPr>
              <w:t>(IRS Employer</w:t>
            </w:r>
          </w:p>
          <w:p w14:paraId="40CAFD1A" w14:textId="77777777" w:rsidR="00584FB3" w:rsidRDefault="00786180">
            <w:pPr>
              <w:jc w:val="center"/>
              <w:textAlignment w:val="bottom"/>
            </w:pPr>
            <w:r>
              <w:rPr>
                <w:rFonts w:ascii="Times New Roman" w:eastAsia="宋体" w:hAnsi="Times New Roman"/>
                <w:b/>
                <w:bCs/>
                <w:color w:val="000000"/>
                <w:sz w:val="16"/>
                <w:szCs w:val="16"/>
              </w:rPr>
              <w:t>Identification No.)</w:t>
            </w:r>
          </w:p>
        </w:tc>
      </w:tr>
    </w:tbl>
    <w:p w14:paraId="40CAFD1C" w14:textId="77777777" w:rsidR="00584FB3" w:rsidRDefault="00786180">
      <w:pPr>
        <w:spacing w:before="120"/>
        <w:jc w:val="center"/>
      </w:pPr>
      <w:r>
        <w:rPr>
          <w:rFonts w:ascii="Times New Roman" w:eastAsia="宋体" w:hAnsi="Times New Roman"/>
          <w:b/>
          <w:bCs/>
          <w:color w:val="000000"/>
          <w:sz w:val="20"/>
          <w:szCs w:val="20"/>
        </w:rPr>
        <w:t xml:space="preserve">2401 Utah Avenue South, Seattle, Washington 98134 </w:t>
      </w:r>
    </w:p>
    <w:p w14:paraId="40CAFD1D" w14:textId="77777777" w:rsidR="00584FB3" w:rsidRDefault="00786180">
      <w:pPr>
        <w:jc w:val="center"/>
      </w:pPr>
      <w:r>
        <w:rPr>
          <w:rFonts w:ascii="Times New Roman" w:eastAsia="宋体" w:hAnsi="Times New Roman"/>
          <w:b/>
          <w:bCs/>
          <w:color w:val="000000"/>
          <w:sz w:val="16"/>
          <w:szCs w:val="16"/>
        </w:rPr>
        <w:t>(Address of principal executive offices)</w:t>
      </w:r>
    </w:p>
    <w:p w14:paraId="40CAFD1E" w14:textId="77777777" w:rsidR="00584FB3" w:rsidRDefault="00786180">
      <w:pPr>
        <w:spacing w:before="120"/>
        <w:jc w:val="center"/>
      </w:pPr>
      <w:r>
        <w:rPr>
          <w:rFonts w:ascii="Times New Roman" w:eastAsia="宋体" w:hAnsi="Times New Roman"/>
          <w:b/>
          <w:bCs/>
          <w:color w:val="000000"/>
          <w:sz w:val="20"/>
          <w:szCs w:val="20"/>
        </w:rPr>
        <w:t xml:space="preserve">(206) 447-1575 </w:t>
      </w:r>
    </w:p>
    <w:p w14:paraId="40CAFD1F" w14:textId="77777777" w:rsidR="00584FB3" w:rsidRDefault="00786180">
      <w:pPr>
        <w:jc w:val="center"/>
      </w:pPr>
      <w:r>
        <w:rPr>
          <w:rFonts w:ascii="Times New Roman" w:eastAsia="宋体" w:hAnsi="Times New Roman"/>
          <w:b/>
          <w:bCs/>
          <w:color w:val="000000"/>
          <w:sz w:val="16"/>
          <w:szCs w:val="16"/>
        </w:rPr>
        <w:t>(Registrant’s Telephone Number, including Area Code)</w:t>
      </w:r>
    </w:p>
    <w:p w14:paraId="40CAFD20" w14:textId="77777777" w:rsidR="00584FB3" w:rsidRDefault="00786180">
      <w:pPr>
        <w:spacing w:before="80"/>
      </w:pPr>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73"/>
        <w:gridCol w:w="36"/>
        <w:gridCol w:w="69"/>
        <w:gridCol w:w="2674"/>
        <w:gridCol w:w="36"/>
        <w:gridCol w:w="69"/>
        <w:gridCol w:w="2674"/>
        <w:gridCol w:w="37"/>
      </w:tblGrid>
      <w:tr w:rsidR="00584FB3" w14:paraId="40CAFD2A" w14:textId="77777777">
        <w:trPr>
          <w:jc w:val="center"/>
        </w:trPr>
        <w:tc>
          <w:tcPr>
            <w:tcW w:w="50" w:type="pct"/>
            <w:shd w:val="clear" w:color="auto" w:fill="auto"/>
          </w:tcPr>
          <w:p w14:paraId="40CAFD21" w14:textId="77777777" w:rsidR="00584FB3" w:rsidRDefault="00584FB3">
            <w:pPr>
              <w:rPr>
                <w:rFonts w:ascii="宋体"/>
              </w:rPr>
            </w:pPr>
          </w:p>
        </w:tc>
        <w:tc>
          <w:tcPr>
            <w:tcW w:w="1611" w:type="pct"/>
            <w:shd w:val="clear" w:color="auto" w:fill="auto"/>
          </w:tcPr>
          <w:p w14:paraId="40CAFD22" w14:textId="77777777" w:rsidR="00584FB3" w:rsidRDefault="00584FB3">
            <w:pPr>
              <w:rPr>
                <w:rFonts w:ascii="宋体"/>
              </w:rPr>
            </w:pPr>
          </w:p>
        </w:tc>
        <w:tc>
          <w:tcPr>
            <w:tcW w:w="5" w:type="pct"/>
            <w:shd w:val="clear" w:color="auto" w:fill="auto"/>
          </w:tcPr>
          <w:p w14:paraId="40CAFD23" w14:textId="77777777" w:rsidR="00584FB3" w:rsidRDefault="00584FB3">
            <w:pPr>
              <w:rPr>
                <w:rFonts w:ascii="宋体"/>
              </w:rPr>
            </w:pPr>
          </w:p>
        </w:tc>
        <w:tc>
          <w:tcPr>
            <w:tcW w:w="50" w:type="pct"/>
            <w:shd w:val="clear" w:color="auto" w:fill="auto"/>
          </w:tcPr>
          <w:p w14:paraId="40CAFD24" w14:textId="77777777" w:rsidR="00584FB3" w:rsidRDefault="00584FB3">
            <w:pPr>
              <w:rPr>
                <w:rFonts w:ascii="宋体"/>
              </w:rPr>
            </w:pPr>
          </w:p>
        </w:tc>
        <w:tc>
          <w:tcPr>
            <w:tcW w:w="1611" w:type="pct"/>
            <w:shd w:val="clear" w:color="auto" w:fill="auto"/>
          </w:tcPr>
          <w:p w14:paraId="40CAFD25" w14:textId="77777777" w:rsidR="00584FB3" w:rsidRDefault="00584FB3">
            <w:pPr>
              <w:rPr>
                <w:rFonts w:ascii="宋体"/>
              </w:rPr>
            </w:pPr>
          </w:p>
        </w:tc>
        <w:tc>
          <w:tcPr>
            <w:tcW w:w="5" w:type="pct"/>
            <w:shd w:val="clear" w:color="auto" w:fill="auto"/>
          </w:tcPr>
          <w:p w14:paraId="40CAFD26" w14:textId="77777777" w:rsidR="00584FB3" w:rsidRDefault="00584FB3">
            <w:pPr>
              <w:rPr>
                <w:rFonts w:ascii="宋体"/>
              </w:rPr>
            </w:pPr>
          </w:p>
        </w:tc>
        <w:tc>
          <w:tcPr>
            <w:tcW w:w="50" w:type="pct"/>
            <w:shd w:val="clear" w:color="auto" w:fill="auto"/>
          </w:tcPr>
          <w:p w14:paraId="40CAFD27" w14:textId="77777777" w:rsidR="00584FB3" w:rsidRDefault="00584FB3">
            <w:pPr>
              <w:rPr>
                <w:rFonts w:ascii="宋体"/>
              </w:rPr>
            </w:pPr>
          </w:p>
        </w:tc>
        <w:tc>
          <w:tcPr>
            <w:tcW w:w="1611" w:type="pct"/>
            <w:shd w:val="clear" w:color="auto" w:fill="auto"/>
          </w:tcPr>
          <w:p w14:paraId="40CAFD28" w14:textId="77777777" w:rsidR="00584FB3" w:rsidRDefault="00584FB3">
            <w:pPr>
              <w:rPr>
                <w:rFonts w:ascii="宋体"/>
              </w:rPr>
            </w:pPr>
          </w:p>
        </w:tc>
        <w:tc>
          <w:tcPr>
            <w:tcW w:w="5" w:type="pct"/>
            <w:shd w:val="clear" w:color="auto" w:fill="auto"/>
          </w:tcPr>
          <w:p w14:paraId="40CAFD29" w14:textId="77777777" w:rsidR="00584FB3" w:rsidRDefault="00584FB3">
            <w:pPr>
              <w:rPr>
                <w:rFonts w:ascii="宋体"/>
              </w:rPr>
            </w:pPr>
          </w:p>
        </w:tc>
      </w:tr>
      <w:tr w:rsidR="00584FB3" w14:paraId="40CAFD2E" w14:textId="77777777">
        <w:trPr>
          <w:jc w:val="center"/>
        </w:trPr>
        <w:tc>
          <w:tcPr>
            <w:tcW w:w="0" w:type="auto"/>
            <w:gridSpan w:val="3"/>
            <w:shd w:val="clear" w:color="auto" w:fill="auto"/>
            <w:tcMar>
              <w:top w:w="40" w:type="dxa"/>
              <w:left w:w="20" w:type="dxa"/>
              <w:bottom w:w="40" w:type="dxa"/>
              <w:right w:w="20" w:type="dxa"/>
            </w:tcMar>
            <w:vAlign w:val="bottom"/>
          </w:tcPr>
          <w:p w14:paraId="40CAFD2B" w14:textId="77777777" w:rsidR="00584FB3" w:rsidRDefault="00786180">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40CAFD2C" w14:textId="77777777" w:rsidR="00584FB3" w:rsidRDefault="00786180">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40CAFD2D" w14:textId="77777777" w:rsidR="00584FB3" w:rsidRDefault="00786180">
            <w:pPr>
              <w:jc w:val="center"/>
              <w:textAlignment w:val="bottom"/>
            </w:pPr>
            <w:r>
              <w:rPr>
                <w:rFonts w:ascii="Times New Roman" w:eastAsia="宋体" w:hAnsi="Times New Roman"/>
                <w:b/>
                <w:bCs/>
                <w:color w:val="000000"/>
                <w:sz w:val="16"/>
                <w:szCs w:val="16"/>
                <w:u w:val="single"/>
              </w:rPr>
              <w:t>Name of each exchange on which registered</w:t>
            </w:r>
          </w:p>
        </w:tc>
      </w:tr>
      <w:tr w:rsidR="00584FB3" w14:paraId="40CAFD32" w14:textId="77777777">
        <w:trPr>
          <w:jc w:val="center"/>
        </w:trPr>
        <w:tc>
          <w:tcPr>
            <w:tcW w:w="0" w:type="auto"/>
            <w:gridSpan w:val="3"/>
            <w:shd w:val="clear" w:color="auto" w:fill="auto"/>
            <w:tcMar>
              <w:top w:w="40" w:type="dxa"/>
              <w:left w:w="20" w:type="dxa"/>
              <w:bottom w:w="40" w:type="dxa"/>
              <w:right w:w="20" w:type="dxa"/>
            </w:tcMar>
          </w:tcPr>
          <w:p w14:paraId="40CAFD2F" w14:textId="77777777" w:rsidR="00584FB3" w:rsidRDefault="00786180">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40CAFD30" w14:textId="77777777" w:rsidR="00584FB3" w:rsidRDefault="00786180">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40CAFD31" w14:textId="77777777" w:rsidR="00584FB3" w:rsidRDefault="00786180">
            <w:pPr>
              <w:jc w:val="center"/>
              <w:textAlignment w:val="top"/>
            </w:pPr>
            <w:r>
              <w:rPr>
                <w:rFonts w:ascii="Times New Roman" w:eastAsia="宋体" w:hAnsi="Times New Roman"/>
                <w:color w:val="000000"/>
                <w:sz w:val="20"/>
                <w:szCs w:val="20"/>
              </w:rPr>
              <w:t>NASDAQ Global Select Market</w:t>
            </w:r>
          </w:p>
        </w:tc>
      </w:tr>
    </w:tbl>
    <w:p w14:paraId="40CAFD33" w14:textId="77777777" w:rsidR="00584FB3" w:rsidRDefault="00786180">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40CAFD34" w14:textId="77777777" w:rsidR="00584FB3" w:rsidRDefault="00786180">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40CAFD35" w14:textId="77777777" w:rsidR="00584FB3" w:rsidRDefault="00786180">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46"/>
        <w:gridCol w:w="1568"/>
        <w:gridCol w:w="36"/>
        <w:gridCol w:w="63"/>
        <w:gridCol w:w="184"/>
        <w:gridCol w:w="36"/>
        <w:gridCol w:w="66"/>
        <w:gridCol w:w="1524"/>
        <w:gridCol w:w="36"/>
        <w:gridCol w:w="53"/>
        <w:gridCol w:w="182"/>
        <w:gridCol w:w="36"/>
        <w:gridCol w:w="65"/>
        <w:gridCol w:w="1551"/>
        <w:gridCol w:w="36"/>
        <w:gridCol w:w="54"/>
        <w:gridCol w:w="171"/>
        <w:gridCol w:w="36"/>
        <w:gridCol w:w="107"/>
        <w:gridCol w:w="2112"/>
        <w:gridCol w:w="36"/>
        <w:gridCol w:w="53"/>
        <w:gridCol w:w="172"/>
        <w:gridCol w:w="36"/>
      </w:tblGrid>
      <w:tr w:rsidR="00584FB3" w14:paraId="40CAFD4E" w14:textId="77777777">
        <w:tc>
          <w:tcPr>
            <w:tcW w:w="50" w:type="pct"/>
            <w:shd w:val="clear" w:color="auto" w:fill="auto"/>
          </w:tcPr>
          <w:p w14:paraId="40CAFD36" w14:textId="77777777" w:rsidR="00584FB3" w:rsidRDefault="00584FB3">
            <w:pPr>
              <w:rPr>
                <w:rFonts w:ascii="宋体"/>
              </w:rPr>
            </w:pPr>
          </w:p>
        </w:tc>
        <w:tc>
          <w:tcPr>
            <w:tcW w:w="989" w:type="pct"/>
            <w:shd w:val="clear" w:color="auto" w:fill="auto"/>
          </w:tcPr>
          <w:p w14:paraId="40CAFD37" w14:textId="77777777" w:rsidR="00584FB3" w:rsidRDefault="00584FB3">
            <w:pPr>
              <w:rPr>
                <w:rFonts w:ascii="宋体"/>
              </w:rPr>
            </w:pPr>
          </w:p>
        </w:tc>
        <w:tc>
          <w:tcPr>
            <w:tcW w:w="5" w:type="pct"/>
            <w:shd w:val="clear" w:color="auto" w:fill="auto"/>
          </w:tcPr>
          <w:p w14:paraId="40CAFD38" w14:textId="77777777" w:rsidR="00584FB3" w:rsidRDefault="00584FB3">
            <w:pPr>
              <w:rPr>
                <w:rFonts w:ascii="宋体"/>
              </w:rPr>
            </w:pPr>
          </w:p>
        </w:tc>
        <w:tc>
          <w:tcPr>
            <w:tcW w:w="50" w:type="pct"/>
            <w:shd w:val="clear" w:color="auto" w:fill="auto"/>
          </w:tcPr>
          <w:p w14:paraId="40CAFD39" w14:textId="77777777" w:rsidR="00584FB3" w:rsidRDefault="00584FB3">
            <w:pPr>
              <w:rPr>
                <w:rFonts w:ascii="宋体"/>
              </w:rPr>
            </w:pPr>
          </w:p>
        </w:tc>
        <w:tc>
          <w:tcPr>
            <w:tcW w:w="148" w:type="pct"/>
            <w:shd w:val="clear" w:color="auto" w:fill="auto"/>
          </w:tcPr>
          <w:p w14:paraId="40CAFD3A" w14:textId="77777777" w:rsidR="00584FB3" w:rsidRDefault="00584FB3">
            <w:pPr>
              <w:rPr>
                <w:rFonts w:ascii="宋体"/>
              </w:rPr>
            </w:pPr>
          </w:p>
        </w:tc>
        <w:tc>
          <w:tcPr>
            <w:tcW w:w="5" w:type="pct"/>
            <w:shd w:val="clear" w:color="auto" w:fill="auto"/>
          </w:tcPr>
          <w:p w14:paraId="40CAFD3B" w14:textId="77777777" w:rsidR="00584FB3" w:rsidRDefault="00584FB3">
            <w:pPr>
              <w:rPr>
                <w:rFonts w:ascii="宋体"/>
              </w:rPr>
            </w:pPr>
          </w:p>
        </w:tc>
        <w:tc>
          <w:tcPr>
            <w:tcW w:w="50" w:type="pct"/>
            <w:shd w:val="clear" w:color="auto" w:fill="auto"/>
          </w:tcPr>
          <w:p w14:paraId="40CAFD3C" w14:textId="77777777" w:rsidR="00584FB3" w:rsidRDefault="00584FB3">
            <w:pPr>
              <w:rPr>
                <w:rFonts w:ascii="宋体"/>
              </w:rPr>
            </w:pPr>
          </w:p>
        </w:tc>
        <w:tc>
          <w:tcPr>
            <w:tcW w:w="989" w:type="pct"/>
            <w:shd w:val="clear" w:color="auto" w:fill="auto"/>
          </w:tcPr>
          <w:p w14:paraId="40CAFD3D" w14:textId="77777777" w:rsidR="00584FB3" w:rsidRDefault="00584FB3">
            <w:pPr>
              <w:rPr>
                <w:rFonts w:ascii="宋体"/>
              </w:rPr>
            </w:pPr>
          </w:p>
        </w:tc>
        <w:tc>
          <w:tcPr>
            <w:tcW w:w="5" w:type="pct"/>
            <w:shd w:val="clear" w:color="auto" w:fill="auto"/>
          </w:tcPr>
          <w:p w14:paraId="40CAFD3E" w14:textId="77777777" w:rsidR="00584FB3" w:rsidRDefault="00584FB3">
            <w:pPr>
              <w:rPr>
                <w:rFonts w:ascii="宋体"/>
              </w:rPr>
            </w:pPr>
          </w:p>
        </w:tc>
        <w:tc>
          <w:tcPr>
            <w:tcW w:w="50" w:type="pct"/>
            <w:shd w:val="clear" w:color="auto" w:fill="auto"/>
          </w:tcPr>
          <w:p w14:paraId="40CAFD3F" w14:textId="77777777" w:rsidR="00584FB3" w:rsidRDefault="00584FB3">
            <w:pPr>
              <w:rPr>
                <w:rFonts w:ascii="宋体"/>
              </w:rPr>
            </w:pPr>
          </w:p>
        </w:tc>
        <w:tc>
          <w:tcPr>
            <w:tcW w:w="155" w:type="pct"/>
            <w:shd w:val="clear" w:color="auto" w:fill="auto"/>
          </w:tcPr>
          <w:p w14:paraId="40CAFD40" w14:textId="77777777" w:rsidR="00584FB3" w:rsidRDefault="00584FB3">
            <w:pPr>
              <w:rPr>
                <w:rFonts w:ascii="宋体"/>
              </w:rPr>
            </w:pPr>
          </w:p>
        </w:tc>
        <w:tc>
          <w:tcPr>
            <w:tcW w:w="5" w:type="pct"/>
            <w:shd w:val="clear" w:color="auto" w:fill="auto"/>
          </w:tcPr>
          <w:p w14:paraId="40CAFD41" w14:textId="77777777" w:rsidR="00584FB3" w:rsidRDefault="00584FB3">
            <w:pPr>
              <w:rPr>
                <w:rFonts w:ascii="宋体"/>
              </w:rPr>
            </w:pPr>
          </w:p>
        </w:tc>
        <w:tc>
          <w:tcPr>
            <w:tcW w:w="50" w:type="pct"/>
            <w:shd w:val="clear" w:color="auto" w:fill="auto"/>
          </w:tcPr>
          <w:p w14:paraId="40CAFD42" w14:textId="77777777" w:rsidR="00584FB3" w:rsidRDefault="00584FB3">
            <w:pPr>
              <w:rPr>
                <w:rFonts w:ascii="宋体"/>
              </w:rPr>
            </w:pPr>
          </w:p>
        </w:tc>
        <w:tc>
          <w:tcPr>
            <w:tcW w:w="989" w:type="pct"/>
            <w:shd w:val="clear" w:color="auto" w:fill="auto"/>
          </w:tcPr>
          <w:p w14:paraId="40CAFD43" w14:textId="77777777" w:rsidR="00584FB3" w:rsidRDefault="00584FB3">
            <w:pPr>
              <w:rPr>
                <w:rFonts w:ascii="宋体"/>
              </w:rPr>
            </w:pPr>
          </w:p>
        </w:tc>
        <w:tc>
          <w:tcPr>
            <w:tcW w:w="5" w:type="pct"/>
            <w:shd w:val="clear" w:color="auto" w:fill="auto"/>
          </w:tcPr>
          <w:p w14:paraId="40CAFD44" w14:textId="77777777" w:rsidR="00584FB3" w:rsidRDefault="00584FB3">
            <w:pPr>
              <w:rPr>
                <w:rFonts w:ascii="宋体"/>
              </w:rPr>
            </w:pPr>
          </w:p>
        </w:tc>
        <w:tc>
          <w:tcPr>
            <w:tcW w:w="50" w:type="pct"/>
            <w:shd w:val="clear" w:color="auto" w:fill="auto"/>
          </w:tcPr>
          <w:p w14:paraId="40CAFD45" w14:textId="77777777" w:rsidR="00584FB3" w:rsidRDefault="00584FB3">
            <w:pPr>
              <w:rPr>
                <w:rFonts w:ascii="宋体"/>
              </w:rPr>
            </w:pPr>
          </w:p>
        </w:tc>
        <w:tc>
          <w:tcPr>
            <w:tcW w:w="148" w:type="pct"/>
            <w:shd w:val="clear" w:color="auto" w:fill="auto"/>
          </w:tcPr>
          <w:p w14:paraId="40CAFD46" w14:textId="77777777" w:rsidR="00584FB3" w:rsidRDefault="00584FB3">
            <w:pPr>
              <w:rPr>
                <w:rFonts w:ascii="宋体"/>
              </w:rPr>
            </w:pPr>
          </w:p>
        </w:tc>
        <w:tc>
          <w:tcPr>
            <w:tcW w:w="5" w:type="pct"/>
            <w:shd w:val="clear" w:color="auto" w:fill="auto"/>
          </w:tcPr>
          <w:p w14:paraId="40CAFD47" w14:textId="77777777" w:rsidR="00584FB3" w:rsidRDefault="00584FB3">
            <w:pPr>
              <w:rPr>
                <w:rFonts w:ascii="宋体"/>
              </w:rPr>
            </w:pPr>
          </w:p>
        </w:tc>
        <w:tc>
          <w:tcPr>
            <w:tcW w:w="50" w:type="pct"/>
            <w:shd w:val="clear" w:color="auto" w:fill="auto"/>
          </w:tcPr>
          <w:p w14:paraId="40CAFD48" w14:textId="77777777" w:rsidR="00584FB3" w:rsidRDefault="00584FB3">
            <w:pPr>
              <w:rPr>
                <w:rFonts w:ascii="宋体"/>
              </w:rPr>
            </w:pPr>
          </w:p>
        </w:tc>
        <w:tc>
          <w:tcPr>
            <w:tcW w:w="989" w:type="pct"/>
            <w:shd w:val="clear" w:color="auto" w:fill="auto"/>
          </w:tcPr>
          <w:p w14:paraId="40CAFD49" w14:textId="77777777" w:rsidR="00584FB3" w:rsidRDefault="00584FB3">
            <w:pPr>
              <w:rPr>
                <w:rFonts w:ascii="宋体"/>
              </w:rPr>
            </w:pPr>
          </w:p>
        </w:tc>
        <w:tc>
          <w:tcPr>
            <w:tcW w:w="5" w:type="pct"/>
            <w:shd w:val="clear" w:color="auto" w:fill="auto"/>
          </w:tcPr>
          <w:p w14:paraId="40CAFD4A" w14:textId="77777777" w:rsidR="00584FB3" w:rsidRDefault="00584FB3">
            <w:pPr>
              <w:rPr>
                <w:rFonts w:ascii="宋体"/>
              </w:rPr>
            </w:pPr>
          </w:p>
        </w:tc>
        <w:tc>
          <w:tcPr>
            <w:tcW w:w="50" w:type="pct"/>
            <w:shd w:val="clear" w:color="auto" w:fill="auto"/>
          </w:tcPr>
          <w:p w14:paraId="40CAFD4B" w14:textId="77777777" w:rsidR="00584FB3" w:rsidRDefault="00584FB3">
            <w:pPr>
              <w:rPr>
                <w:rFonts w:ascii="宋体"/>
              </w:rPr>
            </w:pPr>
          </w:p>
        </w:tc>
        <w:tc>
          <w:tcPr>
            <w:tcW w:w="148" w:type="pct"/>
            <w:shd w:val="clear" w:color="auto" w:fill="auto"/>
          </w:tcPr>
          <w:p w14:paraId="40CAFD4C" w14:textId="77777777" w:rsidR="00584FB3" w:rsidRDefault="00584FB3">
            <w:pPr>
              <w:rPr>
                <w:rFonts w:ascii="宋体"/>
              </w:rPr>
            </w:pPr>
          </w:p>
        </w:tc>
        <w:tc>
          <w:tcPr>
            <w:tcW w:w="5" w:type="pct"/>
            <w:shd w:val="clear" w:color="auto" w:fill="auto"/>
          </w:tcPr>
          <w:p w14:paraId="40CAFD4D" w14:textId="77777777" w:rsidR="00584FB3" w:rsidRDefault="00584FB3">
            <w:pPr>
              <w:rPr>
                <w:rFonts w:ascii="宋体"/>
              </w:rPr>
            </w:pPr>
          </w:p>
        </w:tc>
      </w:tr>
      <w:tr w:rsidR="00584FB3" w14:paraId="40CAFD57" w14:textId="77777777">
        <w:tc>
          <w:tcPr>
            <w:tcW w:w="0" w:type="auto"/>
            <w:gridSpan w:val="3"/>
            <w:shd w:val="clear" w:color="auto" w:fill="auto"/>
            <w:tcMar>
              <w:top w:w="40" w:type="dxa"/>
              <w:left w:w="20" w:type="dxa"/>
              <w:bottom w:w="40" w:type="dxa"/>
              <w:right w:w="20" w:type="dxa"/>
            </w:tcMar>
            <w:vAlign w:val="center"/>
          </w:tcPr>
          <w:p w14:paraId="40CAFD4F" w14:textId="77777777" w:rsidR="00584FB3" w:rsidRDefault="00786180">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40CAFD50" w14:textId="77777777" w:rsidR="00584FB3" w:rsidRDefault="00786180">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40CAFD51" w14:textId="77777777" w:rsidR="00584FB3" w:rsidRDefault="00786180">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40CAFD52" w14:textId="77777777" w:rsidR="00584FB3" w:rsidRDefault="00786180">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40CAFD53" w14:textId="77777777" w:rsidR="00584FB3" w:rsidRDefault="00786180">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40CAFD54" w14:textId="77777777" w:rsidR="00584FB3" w:rsidRDefault="00786180">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40CAFD55" w14:textId="77777777" w:rsidR="00584FB3" w:rsidRDefault="00786180">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40CAFD56" w14:textId="77777777" w:rsidR="00584FB3" w:rsidRDefault="00786180">
            <w:pPr>
              <w:spacing w:after="20"/>
              <w:jc w:val="both"/>
              <w:textAlignment w:val="bottom"/>
            </w:pPr>
            <w:r>
              <w:rPr>
                <w:rFonts w:ascii="Times New Roman" w:eastAsia="宋体" w:hAnsi="Times New Roman"/>
                <w:color w:val="000000"/>
                <w:sz w:val="20"/>
                <w:szCs w:val="20"/>
              </w:rPr>
              <w:t>☐</w:t>
            </w:r>
          </w:p>
        </w:tc>
      </w:tr>
      <w:tr w:rsidR="00584FB3" w14:paraId="40CAFD60" w14:textId="77777777">
        <w:trPr>
          <w:trHeight w:val="60"/>
        </w:trPr>
        <w:tc>
          <w:tcPr>
            <w:tcW w:w="0" w:type="auto"/>
            <w:gridSpan w:val="3"/>
            <w:shd w:val="clear" w:color="auto" w:fill="auto"/>
            <w:tcMar>
              <w:top w:w="0" w:type="dxa"/>
              <w:left w:w="20" w:type="dxa"/>
              <w:bottom w:w="0" w:type="dxa"/>
              <w:right w:w="20" w:type="dxa"/>
            </w:tcMar>
          </w:tcPr>
          <w:p w14:paraId="40CAFD58"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59"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5A"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5B"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5C"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5D"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5E"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5F" w14:textId="77777777" w:rsidR="00584FB3" w:rsidRDefault="00584FB3">
            <w:pPr>
              <w:rPr>
                <w:rFonts w:ascii="宋体"/>
              </w:rPr>
            </w:pPr>
          </w:p>
        </w:tc>
      </w:tr>
      <w:tr w:rsidR="00584FB3" w14:paraId="40CAFD69" w14:textId="77777777">
        <w:tc>
          <w:tcPr>
            <w:tcW w:w="0" w:type="auto"/>
            <w:gridSpan w:val="3"/>
            <w:shd w:val="clear" w:color="auto" w:fill="auto"/>
            <w:tcMar>
              <w:top w:w="40" w:type="dxa"/>
              <w:left w:w="20" w:type="dxa"/>
              <w:bottom w:w="40" w:type="dxa"/>
              <w:right w:w="20" w:type="dxa"/>
            </w:tcMar>
            <w:vAlign w:val="center"/>
          </w:tcPr>
          <w:p w14:paraId="40CAFD61" w14:textId="77777777" w:rsidR="00584FB3" w:rsidRDefault="00786180">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40CAFD62" w14:textId="77777777" w:rsidR="00584FB3" w:rsidRDefault="00786180">
            <w:pP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40CAFD63"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64"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65"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66"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67"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68" w14:textId="77777777" w:rsidR="00584FB3" w:rsidRDefault="00584FB3">
            <w:pPr>
              <w:rPr>
                <w:rFonts w:ascii="宋体"/>
              </w:rPr>
            </w:pPr>
          </w:p>
        </w:tc>
      </w:tr>
    </w:tbl>
    <w:p w14:paraId="40CAFD6A" w14:textId="77777777" w:rsidR="00584FB3" w:rsidRDefault="00786180">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40CAFD6B" w14:textId="77777777" w:rsidR="00584FB3" w:rsidRDefault="00786180">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40CAFD6C" w14:textId="77777777" w:rsidR="00584FB3" w:rsidRDefault="00786180">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434"/>
        <w:gridCol w:w="36"/>
      </w:tblGrid>
      <w:tr w:rsidR="00584FB3" w14:paraId="40CAFD70" w14:textId="77777777">
        <w:trPr>
          <w:jc w:val="center"/>
        </w:trPr>
        <w:tc>
          <w:tcPr>
            <w:tcW w:w="50" w:type="pct"/>
            <w:shd w:val="clear" w:color="auto" w:fill="auto"/>
          </w:tcPr>
          <w:p w14:paraId="40CAFD6D" w14:textId="77777777" w:rsidR="00584FB3" w:rsidRDefault="00584FB3">
            <w:pPr>
              <w:rPr>
                <w:rFonts w:ascii="宋体"/>
              </w:rPr>
            </w:pPr>
          </w:p>
        </w:tc>
        <w:tc>
          <w:tcPr>
            <w:tcW w:w="4945" w:type="pct"/>
            <w:shd w:val="clear" w:color="auto" w:fill="auto"/>
          </w:tcPr>
          <w:p w14:paraId="40CAFD6E" w14:textId="77777777" w:rsidR="00584FB3" w:rsidRDefault="00584FB3">
            <w:pPr>
              <w:rPr>
                <w:rFonts w:ascii="宋体"/>
              </w:rPr>
            </w:pPr>
          </w:p>
        </w:tc>
        <w:tc>
          <w:tcPr>
            <w:tcW w:w="5" w:type="pct"/>
            <w:shd w:val="clear" w:color="auto" w:fill="auto"/>
          </w:tcPr>
          <w:p w14:paraId="40CAFD6F" w14:textId="77777777" w:rsidR="00584FB3" w:rsidRDefault="00584FB3">
            <w:pPr>
              <w:rPr>
                <w:rFonts w:ascii="宋体"/>
              </w:rPr>
            </w:pPr>
          </w:p>
        </w:tc>
      </w:tr>
      <w:tr w:rsidR="00584FB3" w14:paraId="40CAFD72" w14:textId="77777777">
        <w:trPr>
          <w:jc w:val="center"/>
        </w:trPr>
        <w:tc>
          <w:tcPr>
            <w:tcW w:w="0" w:type="auto"/>
            <w:gridSpan w:val="3"/>
            <w:shd w:val="clear" w:color="auto" w:fill="auto"/>
            <w:tcMar>
              <w:top w:w="40" w:type="dxa"/>
              <w:left w:w="20" w:type="dxa"/>
              <w:bottom w:w="40" w:type="dxa"/>
              <w:right w:w="20" w:type="dxa"/>
            </w:tcMar>
            <w:vAlign w:val="bottom"/>
          </w:tcPr>
          <w:p w14:paraId="40CAFD71" w14:textId="77777777" w:rsidR="00584FB3" w:rsidRDefault="00786180">
            <w:pPr>
              <w:jc w:val="center"/>
              <w:textAlignment w:val="bottom"/>
            </w:pPr>
            <w:r>
              <w:rPr>
                <w:rFonts w:ascii="Times New Roman" w:eastAsia="宋体" w:hAnsi="Times New Roman"/>
                <w:b/>
                <w:bCs/>
                <w:color w:val="000000"/>
                <w:sz w:val="16"/>
                <w:szCs w:val="16"/>
                <w:u w:val="single"/>
              </w:rPr>
              <w:t>Shares Outstanding as of January 20, 2021</w:t>
            </w:r>
          </w:p>
        </w:tc>
      </w:tr>
      <w:tr w:rsidR="00584FB3" w14:paraId="40CAFD74" w14:textId="77777777">
        <w:trPr>
          <w:jc w:val="center"/>
        </w:trPr>
        <w:tc>
          <w:tcPr>
            <w:tcW w:w="0" w:type="auto"/>
            <w:gridSpan w:val="3"/>
            <w:shd w:val="clear" w:color="auto" w:fill="auto"/>
            <w:tcMar>
              <w:top w:w="40" w:type="dxa"/>
              <w:left w:w="20" w:type="dxa"/>
              <w:bottom w:w="40" w:type="dxa"/>
              <w:right w:w="20" w:type="dxa"/>
            </w:tcMar>
            <w:vAlign w:val="bottom"/>
          </w:tcPr>
          <w:p w14:paraId="40CAFD73" w14:textId="77777777" w:rsidR="00584FB3" w:rsidRDefault="00786180">
            <w:pPr>
              <w:jc w:val="center"/>
              <w:textAlignment w:val="bottom"/>
            </w:pPr>
            <w:r>
              <w:rPr>
                <w:rFonts w:ascii="Times New Roman" w:eastAsia="宋体" w:hAnsi="Times New Roman"/>
                <w:color w:val="000000"/>
                <w:sz w:val="20"/>
                <w:szCs w:val="20"/>
              </w:rPr>
              <w:t>1,177.3 million</w:t>
            </w:r>
          </w:p>
        </w:tc>
      </w:tr>
    </w:tbl>
    <w:p w14:paraId="40CAFD75" w14:textId="77777777" w:rsidR="00584FB3" w:rsidRDefault="00584FB3">
      <w:pPr>
        <w:jc w:val="center"/>
      </w:pPr>
    </w:p>
    <w:p w14:paraId="40CAFD76" w14:textId="77777777" w:rsidR="00584FB3" w:rsidRDefault="00584FB3"/>
    <w:p w14:paraId="40CAFD77" w14:textId="77777777" w:rsidR="00584FB3" w:rsidRDefault="00786180">
      <w:r>
        <w:pict w14:anchorId="40CB2A36">
          <v:rect id="_x0000_i1025" style="width:415.3pt;height:1.5pt" o:hralign="center" o:hrstd="t" o:hr="t" fillcolor="#a0a0a0" stroked="f"/>
        </w:pict>
      </w:r>
    </w:p>
    <w:p w14:paraId="40CAFD78" w14:textId="77777777" w:rsidR="00584FB3" w:rsidRDefault="00786180">
      <w:hyperlink r:id="rId7" w:anchor="i11706e4b673c41db9f2dcbdb897203bb_7" w:history="1">
        <w:r>
          <w:rPr>
            <w:rStyle w:val="a5"/>
            <w:rFonts w:ascii="Times New Roman" w:eastAsia="宋体" w:hAnsi="Times New Roman"/>
            <w:sz w:val="20"/>
            <w:szCs w:val="20"/>
          </w:rPr>
          <w:t>Table of Contents</w:t>
        </w:r>
      </w:hyperlink>
    </w:p>
    <w:p w14:paraId="40CAFD79" w14:textId="77777777" w:rsidR="00584FB3" w:rsidRDefault="00786180">
      <w:pPr>
        <w:spacing w:before="120"/>
        <w:jc w:val="center"/>
      </w:pPr>
      <w:r>
        <w:rPr>
          <w:rFonts w:ascii="Times New Roman" w:eastAsia="宋体" w:hAnsi="Times New Roman"/>
          <w:b/>
          <w:bCs/>
          <w:color w:val="00704A"/>
          <w:sz w:val="20"/>
          <w:szCs w:val="20"/>
        </w:rPr>
        <w:t>STARBUCKS CORPORATION</w:t>
      </w:r>
    </w:p>
    <w:p w14:paraId="40CAFD7A" w14:textId="77777777" w:rsidR="00584FB3" w:rsidRDefault="00786180">
      <w:pPr>
        <w:jc w:val="center"/>
      </w:pPr>
      <w:r>
        <w:rPr>
          <w:rFonts w:ascii="Times New Roman" w:eastAsia="宋体" w:hAnsi="Times New Roman"/>
          <w:b/>
          <w:bCs/>
          <w:color w:val="000000"/>
          <w:sz w:val="20"/>
          <w:szCs w:val="20"/>
        </w:rPr>
        <w:t>FORM 10-Q</w:t>
      </w:r>
    </w:p>
    <w:p w14:paraId="40CAFD7B" w14:textId="77777777" w:rsidR="00584FB3" w:rsidRDefault="00786180">
      <w:pPr>
        <w:jc w:val="center"/>
      </w:pPr>
      <w:r>
        <w:rPr>
          <w:rFonts w:ascii="Times New Roman" w:eastAsia="宋体" w:hAnsi="Times New Roman"/>
          <w:b/>
          <w:bCs/>
          <w:color w:val="000000"/>
          <w:sz w:val="20"/>
          <w:szCs w:val="20"/>
        </w:rPr>
        <w:t xml:space="preserve">For the Quarterly Period Ended December 27, 2020 </w:t>
      </w:r>
    </w:p>
    <w:p w14:paraId="40CAFD7C" w14:textId="77777777" w:rsidR="00584FB3" w:rsidRDefault="00786180">
      <w:pPr>
        <w:jc w:val="center"/>
      </w:pPr>
      <w:r>
        <w:rPr>
          <w:rFonts w:ascii="Times New Roman" w:eastAsia="宋体" w:hAnsi="Times New Roman"/>
          <w:b/>
          <w:bCs/>
          <w:color w:val="000000"/>
          <w:sz w:val="20"/>
          <w:szCs w:val="20"/>
        </w:rPr>
        <w:t>Table of Contents</w:t>
      </w:r>
    </w:p>
    <w:p w14:paraId="40CAFD7D" w14:textId="77777777" w:rsidR="00584FB3" w:rsidRDefault="00786180">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644"/>
        <w:gridCol w:w="37"/>
        <w:gridCol w:w="55"/>
        <w:gridCol w:w="7047"/>
        <w:gridCol w:w="36"/>
        <w:gridCol w:w="66"/>
        <w:gridCol w:w="318"/>
        <w:gridCol w:w="38"/>
      </w:tblGrid>
      <w:tr w:rsidR="00584FB3" w14:paraId="40CAFD87" w14:textId="77777777">
        <w:tc>
          <w:tcPr>
            <w:tcW w:w="50" w:type="pct"/>
            <w:shd w:val="clear" w:color="auto" w:fill="auto"/>
          </w:tcPr>
          <w:p w14:paraId="40CAFD7E" w14:textId="77777777" w:rsidR="00584FB3" w:rsidRDefault="00584FB3">
            <w:pPr>
              <w:rPr>
                <w:rFonts w:ascii="宋体"/>
              </w:rPr>
            </w:pPr>
          </w:p>
        </w:tc>
        <w:tc>
          <w:tcPr>
            <w:tcW w:w="391" w:type="pct"/>
            <w:shd w:val="clear" w:color="auto" w:fill="auto"/>
          </w:tcPr>
          <w:p w14:paraId="40CAFD7F" w14:textId="77777777" w:rsidR="00584FB3" w:rsidRDefault="00584FB3">
            <w:pPr>
              <w:rPr>
                <w:rFonts w:ascii="宋体"/>
              </w:rPr>
            </w:pPr>
          </w:p>
        </w:tc>
        <w:tc>
          <w:tcPr>
            <w:tcW w:w="5" w:type="pct"/>
            <w:shd w:val="clear" w:color="auto" w:fill="auto"/>
          </w:tcPr>
          <w:p w14:paraId="40CAFD80" w14:textId="77777777" w:rsidR="00584FB3" w:rsidRDefault="00584FB3">
            <w:pPr>
              <w:rPr>
                <w:rFonts w:ascii="宋体"/>
              </w:rPr>
            </w:pPr>
          </w:p>
        </w:tc>
        <w:tc>
          <w:tcPr>
            <w:tcW w:w="50" w:type="pct"/>
            <w:shd w:val="clear" w:color="auto" w:fill="auto"/>
          </w:tcPr>
          <w:p w14:paraId="40CAFD81" w14:textId="77777777" w:rsidR="00584FB3" w:rsidRDefault="00584FB3">
            <w:pPr>
              <w:rPr>
                <w:rFonts w:ascii="宋体"/>
              </w:rPr>
            </w:pPr>
          </w:p>
        </w:tc>
        <w:tc>
          <w:tcPr>
            <w:tcW w:w="4242" w:type="pct"/>
            <w:shd w:val="clear" w:color="auto" w:fill="auto"/>
          </w:tcPr>
          <w:p w14:paraId="40CAFD82" w14:textId="77777777" w:rsidR="00584FB3" w:rsidRDefault="00584FB3">
            <w:pPr>
              <w:rPr>
                <w:rFonts w:ascii="宋体"/>
              </w:rPr>
            </w:pPr>
          </w:p>
        </w:tc>
        <w:tc>
          <w:tcPr>
            <w:tcW w:w="5" w:type="pct"/>
            <w:shd w:val="clear" w:color="auto" w:fill="auto"/>
          </w:tcPr>
          <w:p w14:paraId="40CAFD83" w14:textId="77777777" w:rsidR="00584FB3" w:rsidRDefault="00584FB3">
            <w:pPr>
              <w:rPr>
                <w:rFonts w:ascii="宋体"/>
              </w:rPr>
            </w:pPr>
          </w:p>
        </w:tc>
        <w:tc>
          <w:tcPr>
            <w:tcW w:w="50" w:type="pct"/>
            <w:shd w:val="clear" w:color="auto" w:fill="auto"/>
          </w:tcPr>
          <w:p w14:paraId="40CAFD84" w14:textId="77777777" w:rsidR="00584FB3" w:rsidRDefault="00584FB3">
            <w:pPr>
              <w:rPr>
                <w:rFonts w:ascii="宋体"/>
              </w:rPr>
            </w:pPr>
          </w:p>
        </w:tc>
        <w:tc>
          <w:tcPr>
            <w:tcW w:w="201" w:type="pct"/>
            <w:shd w:val="clear" w:color="auto" w:fill="auto"/>
          </w:tcPr>
          <w:p w14:paraId="40CAFD85" w14:textId="77777777" w:rsidR="00584FB3" w:rsidRDefault="00584FB3">
            <w:pPr>
              <w:rPr>
                <w:rFonts w:ascii="宋体"/>
              </w:rPr>
            </w:pPr>
          </w:p>
        </w:tc>
        <w:tc>
          <w:tcPr>
            <w:tcW w:w="5" w:type="pct"/>
            <w:shd w:val="clear" w:color="auto" w:fill="auto"/>
          </w:tcPr>
          <w:p w14:paraId="40CAFD86" w14:textId="77777777" w:rsidR="00584FB3" w:rsidRDefault="00584FB3">
            <w:pPr>
              <w:rPr>
                <w:rFonts w:ascii="宋体"/>
              </w:rPr>
            </w:pPr>
          </w:p>
        </w:tc>
      </w:tr>
      <w:tr w:rsidR="00584FB3" w14:paraId="40CAFD8B" w14:textId="77777777">
        <w:tc>
          <w:tcPr>
            <w:tcW w:w="0" w:type="auto"/>
            <w:gridSpan w:val="3"/>
            <w:shd w:val="clear" w:color="auto" w:fill="auto"/>
            <w:tcMar>
              <w:top w:w="40" w:type="dxa"/>
              <w:left w:w="20" w:type="dxa"/>
              <w:bottom w:w="40" w:type="dxa"/>
              <w:right w:w="20" w:type="dxa"/>
            </w:tcMar>
            <w:vAlign w:val="bottom"/>
          </w:tcPr>
          <w:p w14:paraId="40CAFD88"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0CAFD89"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AFD8A" w14:textId="77777777" w:rsidR="00584FB3" w:rsidRDefault="00584FB3">
            <w:pPr>
              <w:rPr>
                <w:rFonts w:ascii="宋体"/>
              </w:rPr>
            </w:pPr>
          </w:p>
        </w:tc>
      </w:tr>
      <w:tr w:rsidR="00584FB3" w14:paraId="40CAFD8D" w14:textId="77777777">
        <w:tc>
          <w:tcPr>
            <w:tcW w:w="0" w:type="auto"/>
            <w:gridSpan w:val="9"/>
            <w:shd w:val="clear" w:color="auto" w:fill="auto"/>
            <w:tcMar>
              <w:top w:w="40" w:type="dxa"/>
              <w:left w:w="20" w:type="dxa"/>
              <w:bottom w:w="40" w:type="dxa"/>
              <w:right w:w="20" w:type="dxa"/>
            </w:tcMar>
          </w:tcPr>
          <w:p w14:paraId="40CAFD8C" w14:textId="77777777" w:rsidR="00584FB3" w:rsidRDefault="00786180">
            <w:pPr>
              <w:jc w:val="center"/>
              <w:textAlignment w:val="top"/>
            </w:pPr>
            <w:r>
              <w:rPr>
                <w:rFonts w:ascii="Times New Roman" w:eastAsia="宋体" w:hAnsi="Times New Roman"/>
                <w:b/>
                <w:bCs/>
                <w:color w:val="00704A"/>
                <w:sz w:val="20"/>
                <w:szCs w:val="20"/>
              </w:rPr>
              <w:t>PART I. FINANCIAL INFORMATION</w:t>
            </w:r>
          </w:p>
        </w:tc>
      </w:tr>
      <w:tr w:rsidR="00584FB3" w14:paraId="40CAFD91" w14:textId="77777777">
        <w:trPr>
          <w:trHeight w:val="300"/>
        </w:trPr>
        <w:tc>
          <w:tcPr>
            <w:tcW w:w="0" w:type="auto"/>
            <w:gridSpan w:val="3"/>
            <w:shd w:val="clear" w:color="auto" w:fill="auto"/>
            <w:tcMar>
              <w:top w:w="0" w:type="dxa"/>
              <w:left w:w="20" w:type="dxa"/>
              <w:bottom w:w="0" w:type="dxa"/>
              <w:right w:w="20" w:type="dxa"/>
            </w:tcMar>
          </w:tcPr>
          <w:p w14:paraId="40CAFD8E"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8F"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90" w14:textId="77777777" w:rsidR="00584FB3" w:rsidRDefault="00584FB3">
            <w:pPr>
              <w:rPr>
                <w:rFonts w:ascii="宋体"/>
              </w:rPr>
            </w:pPr>
          </w:p>
        </w:tc>
      </w:tr>
      <w:tr w:rsidR="00584FB3" w14:paraId="40CAFD95" w14:textId="77777777">
        <w:tc>
          <w:tcPr>
            <w:tcW w:w="0" w:type="auto"/>
            <w:gridSpan w:val="3"/>
            <w:shd w:val="clear" w:color="auto" w:fill="auto"/>
            <w:tcMar>
              <w:top w:w="40" w:type="dxa"/>
              <w:left w:w="20" w:type="dxa"/>
              <w:bottom w:w="40" w:type="dxa"/>
              <w:right w:w="20" w:type="dxa"/>
            </w:tcMar>
            <w:vAlign w:val="bottom"/>
          </w:tcPr>
          <w:p w14:paraId="40CAFD92" w14:textId="77777777" w:rsidR="00584FB3" w:rsidRDefault="00786180">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40CAFD93" w14:textId="77777777" w:rsidR="00584FB3" w:rsidRDefault="00786180">
            <w:pPr>
              <w:textAlignment w:val="bottom"/>
            </w:pPr>
            <w:hyperlink r:id="rId8" w:anchor="i11706e4b673c41db9f2dcbdb897203bb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40CAFD94" w14:textId="77777777" w:rsidR="00584FB3" w:rsidRDefault="00786180">
            <w:pPr>
              <w:jc w:val="right"/>
              <w:textAlignment w:val="bottom"/>
            </w:pPr>
            <w:hyperlink r:id="rId9" w:anchor="i11706e4b673c41db9f2dcbdb897203bb_13" w:history="1">
              <w:r>
                <w:rPr>
                  <w:rStyle w:val="a5"/>
                  <w:rFonts w:ascii="Times New Roman" w:eastAsia="宋体" w:hAnsi="Times New Roman"/>
                  <w:sz w:val="20"/>
                  <w:szCs w:val="20"/>
                </w:rPr>
                <w:t>3</w:t>
              </w:r>
            </w:hyperlink>
          </w:p>
        </w:tc>
      </w:tr>
      <w:tr w:rsidR="00584FB3" w14:paraId="40CAFD99" w14:textId="77777777">
        <w:tc>
          <w:tcPr>
            <w:tcW w:w="0" w:type="auto"/>
            <w:gridSpan w:val="3"/>
            <w:shd w:val="clear" w:color="auto" w:fill="auto"/>
            <w:tcMar>
              <w:top w:w="0" w:type="dxa"/>
              <w:left w:w="20" w:type="dxa"/>
              <w:bottom w:w="0" w:type="dxa"/>
              <w:right w:w="20" w:type="dxa"/>
            </w:tcMar>
          </w:tcPr>
          <w:p w14:paraId="40CAFD96"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AFD97" w14:textId="77777777" w:rsidR="00584FB3" w:rsidRDefault="00786180">
            <w:pPr>
              <w:textAlignment w:val="bottom"/>
            </w:pPr>
            <w:hyperlink r:id="rId10" w:anchor="i11706e4b673c41db9f2dcbdb897203bb_16" w:history="1">
              <w:r>
                <w:rPr>
                  <w:rStyle w:val="a5"/>
                  <w:rFonts w:ascii="Times New Roman" w:eastAsia="宋体" w:hAnsi="Times New Roman"/>
                  <w:sz w:val="20"/>
                  <w:szCs w:val="20"/>
                </w:rPr>
                <w:t>Consolidated St</w:t>
              </w:r>
              <w:r>
                <w:rPr>
                  <w:rStyle w:val="a5"/>
                  <w:rFonts w:ascii="Times New Roman" w:eastAsia="宋体" w:hAnsi="Times New Roman"/>
                  <w:sz w:val="20"/>
                  <w:szCs w:val="20"/>
                </w:rPr>
                <w:t>atements of Earnings</w:t>
              </w:r>
            </w:hyperlink>
          </w:p>
        </w:tc>
        <w:tc>
          <w:tcPr>
            <w:tcW w:w="0" w:type="auto"/>
            <w:gridSpan w:val="3"/>
            <w:shd w:val="clear" w:color="auto" w:fill="auto"/>
            <w:tcMar>
              <w:top w:w="40" w:type="dxa"/>
              <w:left w:w="20" w:type="dxa"/>
              <w:bottom w:w="40" w:type="dxa"/>
              <w:right w:w="20" w:type="dxa"/>
            </w:tcMar>
            <w:vAlign w:val="bottom"/>
          </w:tcPr>
          <w:p w14:paraId="40CAFD98" w14:textId="77777777" w:rsidR="00584FB3" w:rsidRDefault="00786180">
            <w:pPr>
              <w:jc w:val="right"/>
              <w:textAlignment w:val="bottom"/>
            </w:pPr>
            <w:hyperlink r:id="rId11" w:anchor="i11706e4b673c41db9f2dcbdb897203bb_16" w:history="1">
              <w:r>
                <w:rPr>
                  <w:rStyle w:val="a5"/>
                  <w:rFonts w:ascii="Times New Roman" w:eastAsia="宋体" w:hAnsi="Times New Roman"/>
                  <w:sz w:val="20"/>
                  <w:szCs w:val="20"/>
                </w:rPr>
                <w:t>3</w:t>
              </w:r>
            </w:hyperlink>
          </w:p>
        </w:tc>
      </w:tr>
      <w:tr w:rsidR="00584FB3" w14:paraId="40CAFD9D" w14:textId="77777777">
        <w:tc>
          <w:tcPr>
            <w:tcW w:w="0" w:type="auto"/>
            <w:gridSpan w:val="3"/>
            <w:shd w:val="clear" w:color="auto" w:fill="auto"/>
            <w:tcMar>
              <w:top w:w="0" w:type="dxa"/>
              <w:left w:w="20" w:type="dxa"/>
              <w:bottom w:w="0" w:type="dxa"/>
              <w:right w:w="20" w:type="dxa"/>
            </w:tcMar>
          </w:tcPr>
          <w:p w14:paraId="40CAFD9A"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AFD9B" w14:textId="77777777" w:rsidR="00584FB3" w:rsidRDefault="00786180">
            <w:pPr>
              <w:textAlignment w:val="bottom"/>
            </w:pPr>
            <w:hyperlink r:id="rId12" w:anchor="i11706e4b673c41db9f2dcbdb897203bb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40CAFD9C" w14:textId="77777777" w:rsidR="00584FB3" w:rsidRDefault="00786180">
            <w:pPr>
              <w:jc w:val="right"/>
              <w:textAlignment w:val="bottom"/>
            </w:pPr>
            <w:hyperlink r:id="rId13" w:anchor="i11706e4b673c41db9f2dcbdb897203bb_19" w:history="1">
              <w:r>
                <w:rPr>
                  <w:rStyle w:val="a5"/>
                  <w:rFonts w:ascii="Times New Roman" w:eastAsia="宋体" w:hAnsi="Times New Roman"/>
                  <w:sz w:val="20"/>
                  <w:szCs w:val="20"/>
                </w:rPr>
                <w:t>4</w:t>
              </w:r>
            </w:hyperlink>
          </w:p>
        </w:tc>
      </w:tr>
      <w:tr w:rsidR="00584FB3" w14:paraId="40CAFDA1" w14:textId="77777777">
        <w:tc>
          <w:tcPr>
            <w:tcW w:w="0" w:type="auto"/>
            <w:gridSpan w:val="3"/>
            <w:shd w:val="clear" w:color="auto" w:fill="auto"/>
            <w:tcMar>
              <w:top w:w="0" w:type="dxa"/>
              <w:left w:w="20" w:type="dxa"/>
              <w:bottom w:w="0" w:type="dxa"/>
              <w:right w:w="20" w:type="dxa"/>
            </w:tcMar>
          </w:tcPr>
          <w:p w14:paraId="40CAFD9E"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AFD9F" w14:textId="77777777" w:rsidR="00584FB3" w:rsidRDefault="00786180">
            <w:pPr>
              <w:textAlignment w:val="bottom"/>
            </w:pPr>
            <w:hyperlink r:id="rId14" w:anchor="i11706e4b673c41db9f2dcbdb897203bb_22" w:history="1">
              <w:r>
                <w:rPr>
                  <w:rStyle w:val="a5"/>
                  <w:rFonts w:ascii="Times New Roman" w:eastAsia="宋体" w:hAnsi="Times New Roman"/>
                  <w:sz w:val="20"/>
                  <w:szCs w:val="20"/>
                </w:rPr>
                <w:t>C</w:t>
              </w:r>
              <w:r>
                <w:rPr>
                  <w:rStyle w:val="a5"/>
                  <w:rFonts w:ascii="Times New Roman" w:eastAsia="宋体" w:hAnsi="Times New Roman"/>
                  <w:sz w:val="20"/>
                  <w:szCs w:val="20"/>
                </w:rPr>
                <w:t>onsolidated Balance Sheets</w:t>
              </w:r>
            </w:hyperlink>
          </w:p>
        </w:tc>
        <w:tc>
          <w:tcPr>
            <w:tcW w:w="0" w:type="auto"/>
            <w:gridSpan w:val="3"/>
            <w:shd w:val="clear" w:color="auto" w:fill="auto"/>
            <w:tcMar>
              <w:top w:w="40" w:type="dxa"/>
              <w:left w:w="20" w:type="dxa"/>
              <w:bottom w:w="40" w:type="dxa"/>
              <w:right w:w="20" w:type="dxa"/>
            </w:tcMar>
            <w:vAlign w:val="bottom"/>
          </w:tcPr>
          <w:p w14:paraId="40CAFDA0" w14:textId="77777777" w:rsidR="00584FB3" w:rsidRDefault="00786180">
            <w:pPr>
              <w:jc w:val="right"/>
              <w:textAlignment w:val="bottom"/>
            </w:pPr>
            <w:hyperlink r:id="rId15" w:anchor="i11706e4b673c41db9f2dcbdb897203bb_22" w:history="1">
              <w:r>
                <w:rPr>
                  <w:rStyle w:val="a5"/>
                  <w:rFonts w:ascii="Times New Roman" w:eastAsia="宋体" w:hAnsi="Times New Roman"/>
                  <w:sz w:val="20"/>
                  <w:szCs w:val="20"/>
                </w:rPr>
                <w:t>5</w:t>
              </w:r>
            </w:hyperlink>
          </w:p>
        </w:tc>
      </w:tr>
      <w:tr w:rsidR="00584FB3" w14:paraId="40CAFDA5" w14:textId="77777777">
        <w:tc>
          <w:tcPr>
            <w:tcW w:w="0" w:type="auto"/>
            <w:gridSpan w:val="3"/>
            <w:shd w:val="clear" w:color="auto" w:fill="auto"/>
            <w:tcMar>
              <w:top w:w="0" w:type="dxa"/>
              <w:left w:w="20" w:type="dxa"/>
              <w:bottom w:w="0" w:type="dxa"/>
              <w:right w:w="20" w:type="dxa"/>
            </w:tcMar>
          </w:tcPr>
          <w:p w14:paraId="40CAFDA2"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AFDA3" w14:textId="77777777" w:rsidR="00584FB3" w:rsidRDefault="00786180">
            <w:pPr>
              <w:textAlignment w:val="bottom"/>
            </w:pPr>
            <w:hyperlink r:id="rId16" w:anchor="i11706e4b673c41db9f2dcbdb897203bb_25"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40CAFDA4" w14:textId="77777777" w:rsidR="00584FB3" w:rsidRDefault="00786180">
            <w:pPr>
              <w:jc w:val="right"/>
              <w:textAlignment w:val="bottom"/>
            </w:pPr>
            <w:hyperlink r:id="rId17" w:anchor="i11706e4b673c41db9f2dcbdb897203bb_25" w:history="1">
              <w:r>
                <w:rPr>
                  <w:rStyle w:val="a5"/>
                  <w:rFonts w:ascii="Times New Roman" w:eastAsia="宋体" w:hAnsi="Times New Roman"/>
                  <w:sz w:val="20"/>
                  <w:szCs w:val="20"/>
                </w:rPr>
                <w:t>6</w:t>
              </w:r>
            </w:hyperlink>
          </w:p>
        </w:tc>
      </w:tr>
      <w:tr w:rsidR="00584FB3" w14:paraId="40CAFDA9" w14:textId="77777777">
        <w:tc>
          <w:tcPr>
            <w:tcW w:w="0" w:type="auto"/>
            <w:gridSpan w:val="3"/>
            <w:shd w:val="clear" w:color="auto" w:fill="auto"/>
            <w:tcMar>
              <w:top w:w="0" w:type="dxa"/>
              <w:left w:w="20" w:type="dxa"/>
              <w:bottom w:w="0" w:type="dxa"/>
              <w:right w:w="20" w:type="dxa"/>
            </w:tcMar>
          </w:tcPr>
          <w:p w14:paraId="40CAFDA6"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AFDA7" w14:textId="77777777" w:rsidR="00584FB3" w:rsidRDefault="00786180">
            <w:pPr>
              <w:textAlignment w:val="bottom"/>
            </w:pPr>
            <w:hyperlink r:id="rId18" w:anchor="i11706e4b673c41db9f2dcbdb897203bb_28"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40CAFDA8" w14:textId="77777777" w:rsidR="00584FB3" w:rsidRDefault="00786180">
            <w:pPr>
              <w:jc w:val="right"/>
              <w:textAlignment w:val="bottom"/>
            </w:pPr>
            <w:hyperlink r:id="rId19" w:anchor="i11706e4b673c41db9f2dcbdb897203bb_28" w:history="1">
              <w:r>
                <w:rPr>
                  <w:rStyle w:val="a5"/>
                  <w:rFonts w:ascii="Times New Roman" w:eastAsia="宋体" w:hAnsi="Times New Roman"/>
                  <w:sz w:val="20"/>
                  <w:szCs w:val="20"/>
                </w:rPr>
                <w:t>7</w:t>
              </w:r>
            </w:hyperlink>
          </w:p>
        </w:tc>
      </w:tr>
      <w:tr w:rsidR="00584FB3" w14:paraId="40CAFDAD" w14:textId="77777777">
        <w:tc>
          <w:tcPr>
            <w:tcW w:w="0" w:type="auto"/>
            <w:gridSpan w:val="3"/>
            <w:shd w:val="clear" w:color="auto" w:fill="auto"/>
            <w:tcMar>
              <w:top w:w="0" w:type="dxa"/>
              <w:left w:w="20" w:type="dxa"/>
              <w:bottom w:w="0" w:type="dxa"/>
              <w:right w:w="20" w:type="dxa"/>
            </w:tcMar>
          </w:tcPr>
          <w:p w14:paraId="40CAFDAA"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AFDAB" w14:textId="77777777" w:rsidR="00584FB3" w:rsidRDefault="00786180">
            <w:pPr>
              <w:textAlignment w:val="bottom"/>
            </w:pPr>
            <w:hyperlink r:id="rId20" w:anchor="i11706e4b673c41db9f2dcbdb897203bb_31"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40CAFDAC" w14:textId="77777777" w:rsidR="00584FB3" w:rsidRDefault="00786180">
            <w:pPr>
              <w:jc w:val="right"/>
              <w:textAlignment w:val="bottom"/>
            </w:pPr>
            <w:hyperlink r:id="rId21" w:anchor="i11706e4b673c41db9f2dcbdb897203bb_31" w:history="1">
              <w:r>
                <w:rPr>
                  <w:rStyle w:val="a5"/>
                  <w:rFonts w:ascii="Times New Roman" w:eastAsia="宋体" w:hAnsi="Times New Roman"/>
                  <w:sz w:val="20"/>
                  <w:szCs w:val="20"/>
                </w:rPr>
                <w:t>8</w:t>
              </w:r>
            </w:hyperlink>
          </w:p>
        </w:tc>
      </w:tr>
      <w:tr w:rsidR="00584FB3" w14:paraId="40CAFDB1" w14:textId="77777777">
        <w:tc>
          <w:tcPr>
            <w:tcW w:w="0" w:type="auto"/>
            <w:gridSpan w:val="3"/>
            <w:shd w:val="clear" w:color="auto" w:fill="auto"/>
            <w:tcMar>
              <w:top w:w="0" w:type="dxa"/>
              <w:left w:w="20" w:type="dxa"/>
              <w:bottom w:w="0" w:type="dxa"/>
              <w:right w:w="20" w:type="dxa"/>
            </w:tcMar>
          </w:tcPr>
          <w:p w14:paraId="40CAFDAE"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AFDAF" w14:textId="77777777" w:rsidR="00584FB3" w:rsidRDefault="00786180">
            <w:pPr>
              <w:textAlignment w:val="bottom"/>
            </w:pPr>
            <w:hyperlink r:id="rId22" w:anchor="i11706e4b673c41db9f2dcbdb897203bb_34"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40CAFDB0" w14:textId="77777777" w:rsidR="00584FB3" w:rsidRDefault="00786180">
            <w:pPr>
              <w:jc w:val="right"/>
              <w:textAlignment w:val="bottom"/>
            </w:pPr>
            <w:hyperlink r:id="rId23" w:anchor="i11706e4b673c41db9f2dcbdb897203bb_34" w:history="1">
              <w:r>
                <w:rPr>
                  <w:rStyle w:val="a5"/>
                  <w:rFonts w:ascii="Times New Roman" w:eastAsia="宋体" w:hAnsi="Times New Roman"/>
                  <w:sz w:val="20"/>
                  <w:szCs w:val="20"/>
                </w:rPr>
                <w:t>9</w:t>
              </w:r>
            </w:hyperlink>
          </w:p>
        </w:tc>
      </w:tr>
      <w:tr w:rsidR="00584FB3" w14:paraId="40CAFDB5" w14:textId="77777777">
        <w:tc>
          <w:tcPr>
            <w:tcW w:w="0" w:type="auto"/>
            <w:gridSpan w:val="3"/>
            <w:shd w:val="clear" w:color="auto" w:fill="auto"/>
            <w:tcMar>
              <w:top w:w="40" w:type="dxa"/>
              <w:left w:w="20" w:type="dxa"/>
              <w:bottom w:w="40" w:type="dxa"/>
              <w:right w:w="20" w:type="dxa"/>
            </w:tcMar>
            <w:vAlign w:val="bottom"/>
          </w:tcPr>
          <w:p w14:paraId="40CAFDB2" w14:textId="77777777" w:rsidR="00584FB3" w:rsidRDefault="00786180">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40CAFDB3" w14:textId="77777777" w:rsidR="00584FB3" w:rsidRDefault="00786180">
            <w:pPr>
              <w:textAlignment w:val="bottom"/>
            </w:pPr>
            <w:hyperlink r:id="rId24" w:anchor="i11706e4b673c41db9f2dcbdb897203bb_88"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40CAFDB4" w14:textId="77777777" w:rsidR="00584FB3" w:rsidRDefault="00786180">
            <w:pPr>
              <w:jc w:val="right"/>
              <w:textAlignment w:val="bottom"/>
            </w:pPr>
            <w:hyperlink r:id="rId25" w:anchor="i11706e4b673c41db9f2dcbdb897203bb_88" w:history="1">
              <w:r>
                <w:rPr>
                  <w:rStyle w:val="a5"/>
                  <w:rFonts w:ascii="Times New Roman" w:eastAsia="宋体" w:hAnsi="Times New Roman"/>
                  <w:sz w:val="20"/>
                  <w:szCs w:val="20"/>
                </w:rPr>
                <w:t>26</w:t>
              </w:r>
            </w:hyperlink>
          </w:p>
        </w:tc>
      </w:tr>
      <w:tr w:rsidR="00584FB3" w14:paraId="40CAFDB9" w14:textId="77777777">
        <w:tc>
          <w:tcPr>
            <w:tcW w:w="0" w:type="auto"/>
            <w:gridSpan w:val="3"/>
            <w:shd w:val="clear" w:color="auto" w:fill="auto"/>
            <w:tcMar>
              <w:top w:w="40" w:type="dxa"/>
              <w:left w:w="20" w:type="dxa"/>
              <w:bottom w:w="40" w:type="dxa"/>
              <w:right w:w="20" w:type="dxa"/>
            </w:tcMar>
            <w:vAlign w:val="bottom"/>
          </w:tcPr>
          <w:p w14:paraId="40CAFDB6" w14:textId="77777777" w:rsidR="00584FB3" w:rsidRDefault="00786180">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40CAFDB7" w14:textId="77777777" w:rsidR="00584FB3" w:rsidRDefault="00786180">
            <w:pPr>
              <w:textAlignment w:val="bottom"/>
            </w:pPr>
            <w:hyperlink r:id="rId26" w:anchor="i11706e4b673c41db9f2dcbdb897203bb_13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40CAFDB8" w14:textId="77777777" w:rsidR="00584FB3" w:rsidRDefault="00786180">
            <w:pPr>
              <w:jc w:val="right"/>
              <w:textAlignment w:val="bottom"/>
            </w:pPr>
            <w:hyperlink r:id="rId27" w:anchor="i11706e4b673c41db9f2dcbdb897203bb_133" w:history="1">
              <w:r>
                <w:rPr>
                  <w:rStyle w:val="a5"/>
                  <w:rFonts w:ascii="Times New Roman" w:eastAsia="宋体" w:hAnsi="Times New Roman"/>
                  <w:sz w:val="20"/>
                  <w:szCs w:val="20"/>
                </w:rPr>
                <w:t>36</w:t>
              </w:r>
            </w:hyperlink>
          </w:p>
        </w:tc>
      </w:tr>
      <w:tr w:rsidR="00584FB3" w14:paraId="40CAFDBD" w14:textId="77777777">
        <w:tc>
          <w:tcPr>
            <w:tcW w:w="0" w:type="auto"/>
            <w:gridSpan w:val="3"/>
            <w:shd w:val="clear" w:color="auto" w:fill="auto"/>
            <w:tcMar>
              <w:top w:w="40" w:type="dxa"/>
              <w:left w:w="20" w:type="dxa"/>
              <w:bottom w:w="40" w:type="dxa"/>
              <w:right w:w="20" w:type="dxa"/>
            </w:tcMar>
            <w:vAlign w:val="bottom"/>
          </w:tcPr>
          <w:p w14:paraId="40CAFDBA" w14:textId="77777777" w:rsidR="00584FB3" w:rsidRDefault="00786180">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40CAFDBB" w14:textId="77777777" w:rsidR="00584FB3" w:rsidRDefault="00786180">
            <w:pPr>
              <w:textAlignment w:val="bottom"/>
            </w:pPr>
            <w:hyperlink r:id="rId28" w:anchor="i11706e4b673c41db9f2dcbdb897203bb_136"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40CAFDBC" w14:textId="77777777" w:rsidR="00584FB3" w:rsidRDefault="00786180">
            <w:pPr>
              <w:jc w:val="right"/>
              <w:textAlignment w:val="bottom"/>
            </w:pPr>
            <w:hyperlink r:id="rId29" w:anchor="i11706e4b673c41db9f2dcbdb897203bb_136" w:history="1">
              <w:r>
                <w:rPr>
                  <w:rStyle w:val="a5"/>
                  <w:rFonts w:ascii="Times New Roman" w:eastAsia="宋体" w:hAnsi="Times New Roman"/>
                  <w:sz w:val="20"/>
                  <w:szCs w:val="20"/>
                </w:rPr>
                <w:t>36</w:t>
              </w:r>
            </w:hyperlink>
          </w:p>
        </w:tc>
      </w:tr>
      <w:tr w:rsidR="00584FB3" w14:paraId="40CAFDBF" w14:textId="77777777">
        <w:trPr>
          <w:trHeight w:val="300"/>
        </w:trPr>
        <w:tc>
          <w:tcPr>
            <w:tcW w:w="0" w:type="auto"/>
            <w:gridSpan w:val="9"/>
            <w:shd w:val="clear" w:color="auto" w:fill="auto"/>
            <w:tcMar>
              <w:top w:w="0" w:type="dxa"/>
              <w:left w:w="20" w:type="dxa"/>
              <w:bottom w:w="0" w:type="dxa"/>
              <w:right w:w="20" w:type="dxa"/>
            </w:tcMar>
          </w:tcPr>
          <w:p w14:paraId="40CAFDBE" w14:textId="77777777" w:rsidR="00584FB3" w:rsidRDefault="00584FB3">
            <w:pPr>
              <w:rPr>
                <w:rFonts w:ascii="宋体"/>
              </w:rPr>
            </w:pPr>
          </w:p>
        </w:tc>
      </w:tr>
      <w:tr w:rsidR="00584FB3" w14:paraId="40CAFDC1" w14:textId="77777777">
        <w:tc>
          <w:tcPr>
            <w:tcW w:w="0" w:type="auto"/>
            <w:gridSpan w:val="9"/>
            <w:shd w:val="clear" w:color="auto" w:fill="auto"/>
            <w:tcMar>
              <w:top w:w="40" w:type="dxa"/>
              <w:left w:w="20" w:type="dxa"/>
              <w:bottom w:w="40" w:type="dxa"/>
              <w:right w:w="20" w:type="dxa"/>
            </w:tcMar>
          </w:tcPr>
          <w:p w14:paraId="40CAFDC0" w14:textId="77777777" w:rsidR="00584FB3" w:rsidRDefault="00786180">
            <w:pPr>
              <w:jc w:val="center"/>
              <w:textAlignment w:val="top"/>
            </w:pPr>
            <w:r>
              <w:rPr>
                <w:rFonts w:ascii="Times New Roman" w:eastAsia="宋体" w:hAnsi="Times New Roman"/>
                <w:b/>
                <w:bCs/>
                <w:color w:val="00704A"/>
                <w:sz w:val="20"/>
                <w:szCs w:val="20"/>
              </w:rPr>
              <w:t>PART II. OTHER INFORMATION</w:t>
            </w:r>
          </w:p>
        </w:tc>
      </w:tr>
      <w:tr w:rsidR="00584FB3" w14:paraId="40CAFDC5" w14:textId="77777777">
        <w:trPr>
          <w:trHeight w:val="300"/>
        </w:trPr>
        <w:tc>
          <w:tcPr>
            <w:tcW w:w="0" w:type="auto"/>
            <w:gridSpan w:val="3"/>
            <w:shd w:val="clear" w:color="auto" w:fill="auto"/>
            <w:tcMar>
              <w:top w:w="0" w:type="dxa"/>
              <w:left w:w="20" w:type="dxa"/>
              <w:bottom w:w="0" w:type="dxa"/>
              <w:right w:w="20" w:type="dxa"/>
            </w:tcMar>
          </w:tcPr>
          <w:p w14:paraId="40CAFDC2"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C3"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AFDC4" w14:textId="77777777" w:rsidR="00584FB3" w:rsidRDefault="00584FB3">
            <w:pPr>
              <w:rPr>
                <w:rFonts w:ascii="宋体"/>
              </w:rPr>
            </w:pPr>
          </w:p>
        </w:tc>
      </w:tr>
      <w:tr w:rsidR="00584FB3" w14:paraId="40CAFDC9" w14:textId="77777777">
        <w:tc>
          <w:tcPr>
            <w:tcW w:w="0" w:type="auto"/>
            <w:gridSpan w:val="3"/>
            <w:shd w:val="clear" w:color="auto" w:fill="auto"/>
            <w:tcMar>
              <w:top w:w="40" w:type="dxa"/>
              <w:left w:w="20" w:type="dxa"/>
              <w:bottom w:w="40" w:type="dxa"/>
              <w:right w:w="20" w:type="dxa"/>
            </w:tcMar>
            <w:vAlign w:val="bottom"/>
          </w:tcPr>
          <w:p w14:paraId="40CAFDC6" w14:textId="77777777" w:rsidR="00584FB3" w:rsidRDefault="00786180">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40CAFDC7" w14:textId="77777777" w:rsidR="00584FB3" w:rsidRDefault="00786180">
            <w:pPr>
              <w:textAlignment w:val="bottom"/>
            </w:pPr>
            <w:hyperlink r:id="rId30" w:anchor="i11706e4b673c41db9f2dcbdb897203bb_142"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40CAFDC8" w14:textId="77777777" w:rsidR="00584FB3" w:rsidRDefault="00786180">
            <w:pPr>
              <w:jc w:val="right"/>
              <w:textAlignment w:val="bottom"/>
            </w:pPr>
            <w:hyperlink r:id="rId31" w:anchor="i11706e4b673c41db9f2dcbdb897203bb_142" w:history="1">
              <w:r>
                <w:rPr>
                  <w:rStyle w:val="a5"/>
                  <w:rFonts w:ascii="Times New Roman" w:eastAsia="宋体" w:hAnsi="Times New Roman"/>
                  <w:sz w:val="20"/>
                  <w:szCs w:val="20"/>
                </w:rPr>
                <w:t>37</w:t>
              </w:r>
            </w:hyperlink>
          </w:p>
        </w:tc>
      </w:tr>
      <w:tr w:rsidR="00584FB3" w14:paraId="40CAFDCD" w14:textId="77777777">
        <w:tc>
          <w:tcPr>
            <w:tcW w:w="0" w:type="auto"/>
            <w:gridSpan w:val="3"/>
            <w:shd w:val="clear" w:color="auto" w:fill="auto"/>
            <w:tcMar>
              <w:top w:w="40" w:type="dxa"/>
              <w:left w:w="20" w:type="dxa"/>
              <w:bottom w:w="40" w:type="dxa"/>
              <w:right w:w="20" w:type="dxa"/>
            </w:tcMar>
            <w:vAlign w:val="bottom"/>
          </w:tcPr>
          <w:p w14:paraId="40CAFDCA" w14:textId="77777777" w:rsidR="00584FB3" w:rsidRDefault="00786180">
            <w:pPr>
              <w:textAlignment w:val="bottom"/>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40CAFDCB" w14:textId="77777777" w:rsidR="00584FB3" w:rsidRDefault="00786180">
            <w:pPr>
              <w:textAlignment w:val="bottom"/>
            </w:pPr>
            <w:hyperlink r:id="rId32" w:anchor="i11706e4b673c41db9f2dcbdb897203bb_145"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40CAFDCC" w14:textId="77777777" w:rsidR="00584FB3" w:rsidRDefault="00786180">
            <w:pPr>
              <w:jc w:val="right"/>
              <w:textAlignment w:val="bottom"/>
            </w:pPr>
            <w:hyperlink r:id="rId33" w:anchor="i11706e4b673c41db9f2dcbdb897203bb_145" w:history="1">
              <w:r>
                <w:rPr>
                  <w:rStyle w:val="a5"/>
                  <w:rFonts w:ascii="Times New Roman" w:eastAsia="宋体" w:hAnsi="Times New Roman"/>
                  <w:sz w:val="20"/>
                  <w:szCs w:val="20"/>
                </w:rPr>
                <w:t>37</w:t>
              </w:r>
            </w:hyperlink>
          </w:p>
        </w:tc>
      </w:tr>
      <w:tr w:rsidR="00584FB3" w14:paraId="40CAFDD1" w14:textId="77777777">
        <w:tc>
          <w:tcPr>
            <w:tcW w:w="0" w:type="auto"/>
            <w:gridSpan w:val="3"/>
            <w:shd w:val="clear" w:color="auto" w:fill="auto"/>
            <w:tcMar>
              <w:top w:w="40" w:type="dxa"/>
              <w:left w:w="20" w:type="dxa"/>
              <w:bottom w:w="40" w:type="dxa"/>
              <w:right w:w="20" w:type="dxa"/>
            </w:tcMar>
            <w:vAlign w:val="bottom"/>
          </w:tcPr>
          <w:p w14:paraId="40CAFDCE" w14:textId="77777777" w:rsidR="00584FB3" w:rsidRDefault="00786180">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40CAFDCF" w14:textId="77777777" w:rsidR="00584FB3" w:rsidRDefault="00786180">
            <w:pPr>
              <w:textAlignment w:val="bottom"/>
            </w:pPr>
            <w:hyperlink r:id="rId34" w:anchor="i11706e4b673c41db9f2dcbdb897203bb_14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40CAFDD0" w14:textId="77777777" w:rsidR="00584FB3" w:rsidRDefault="00786180">
            <w:pPr>
              <w:jc w:val="right"/>
              <w:textAlignment w:val="bottom"/>
            </w:pPr>
            <w:hyperlink r:id="rId35" w:anchor="i11706e4b673c41db9f2dcbdb897203bb_148" w:history="1">
              <w:r>
                <w:rPr>
                  <w:rStyle w:val="a5"/>
                  <w:rFonts w:ascii="Times New Roman" w:eastAsia="宋体" w:hAnsi="Times New Roman"/>
                  <w:sz w:val="20"/>
                  <w:szCs w:val="20"/>
                </w:rPr>
                <w:t>37</w:t>
              </w:r>
            </w:hyperlink>
          </w:p>
        </w:tc>
      </w:tr>
      <w:tr w:rsidR="00584FB3" w14:paraId="40CAFDD5" w14:textId="77777777">
        <w:tc>
          <w:tcPr>
            <w:tcW w:w="0" w:type="auto"/>
            <w:gridSpan w:val="3"/>
            <w:shd w:val="clear" w:color="auto" w:fill="auto"/>
            <w:tcMar>
              <w:top w:w="40" w:type="dxa"/>
              <w:left w:w="20" w:type="dxa"/>
              <w:bottom w:w="40" w:type="dxa"/>
              <w:right w:w="20" w:type="dxa"/>
            </w:tcMar>
            <w:vAlign w:val="bottom"/>
          </w:tcPr>
          <w:p w14:paraId="40CAFDD2" w14:textId="77777777" w:rsidR="00584FB3" w:rsidRDefault="00786180">
            <w:pPr>
              <w:textAlignment w:val="bottom"/>
            </w:pPr>
            <w:r>
              <w:rPr>
                <w:rFonts w:ascii="Times New Roman" w:eastAsia="宋体" w:hAnsi="Times New Roman"/>
                <w:b/>
                <w:bCs/>
                <w:color w:val="00704A"/>
                <w:sz w:val="20"/>
                <w:szCs w:val="20"/>
              </w:rPr>
              <w:lastRenderedPageBreak/>
              <w:t>Item 6</w:t>
            </w:r>
          </w:p>
        </w:tc>
        <w:tc>
          <w:tcPr>
            <w:tcW w:w="0" w:type="auto"/>
            <w:gridSpan w:val="3"/>
            <w:shd w:val="clear" w:color="auto" w:fill="auto"/>
            <w:tcMar>
              <w:top w:w="40" w:type="dxa"/>
              <w:left w:w="20" w:type="dxa"/>
              <w:bottom w:w="40" w:type="dxa"/>
              <w:right w:w="20" w:type="dxa"/>
            </w:tcMar>
            <w:vAlign w:val="bottom"/>
          </w:tcPr>
          <w:p w14:paraId="40CAFDD3" w14:textId="77777777" w:rsidR="00584FB3" w:rsidRDefault="00786180">
            <w:pPr>
              <w:textAlignment w:val="bottom"/>
            </w:pPr>
            <w:hyperlink r:id="rId36" w:anchor="i11706e4b673c41db9f2dcbdb897203bb_151"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40CAFDD4" w14:textId="77777777" w:rsidR="00584FB3" w:rsidRDefault="00786180">
            <w:pPr>
              <w:jc w:val="right"/>
              <w:textAlignment w:val="bottom"/>
            </w:pPr>
            <w:hyperlink r:id="rId37" w:anchor="i11706e4b673c41db9f2dcbdb897203bb_151" w:history="1">
              <w:r>
                <w:rPr>
                  <w:rStyle w:val="a5"/>
                  <w:rFonts w:ascii="Times New Roman" w:eastAsia="宋体" w:hAnsi="Times New Roman"/>
                  <w:sz w:val="20"/>
                  <w:szCs w:val="20"/>
                </w:rPr>
                <w:t>38</w:t>
              </w:r>
            </w:hyperlink>
          </w:p>
        </w:tc>
      </w:tr>
      <w:tr w:rsidR="00584FB3" w14:paraId="40CAFDD8" w14:textId="77777777">
        <w:tc>
          <w:tcPr>
            <w:tcW w:w="0" w:type="auto"/>
            <w:gridSpan w:val="6"/>
            <w:shd w:val="clear" w:color="auto" w:fill="auto"/>
            <w:tcMar>
              <w:top w:w="40" w:type="dxa"/>
              <w:left w:w="20" w:type="dxa"/>
              <w:bottom w:w="40" w:type="dxa"/>
              <w:right w:w="20" w:type="dxa"/>
            </w:tcMar>
          </w:tcPr>
          <w:p w14:paraId="40CAFDD6" w14:textId="77777777" w:rsidR="00584FB3" w:rsidRDefault="00786180">
            <w:pPr>
              <w:textAlignment w:val="top"/>
            </w:pPr>
            <w:hyperlink r:id="rId38" w:anchor="i11706e4b673c41db9f2dcbdb897203bb_154"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40CAFDD7" w14:textId="77777777" w:rsidR="00584FB3" w:rsidRDefault="00786180">
            <w:pPr>
              <w:jc w:val="right"/>
              <w:textAlignment w:val="bottom"/>
            </w:pPr>
            <w:hyperlink r:id="rId39" w:anchor="i11706e4b673c41db9f2dcbdb897203bb_154" w:history="1">
              <w:r>
                <w:rPr>
                  <w:rStyle w:val="a5"/>
                  <w:rFonts w:ascii="Times New Roman" w:eastAsia="宋体" w:hAnsi="Times New Roman"/>
                  <w:sz w:val="20"/>
                  <w:szCs w:val="20"/>
                </w:rPr>
                <w:t>39</w:t>
              </w:r>
            </w:hyperlink>
          </w:p>
        </w:tc>
      </w:tr>
    </w:tbl>
    <w:p w14:paraId="40CAFDD9" w14:textId="77777777" w:rsidR="00584FB3" w:rsidRDefault="00584FB3">
      <w:pPr>
        <w:jc w:val="center"/>
      </w:pPr>
    </w:p>
    <w:p w14:paraId="40CAFDDA" w14:textId="77777777" w:rsidR="00584FB3" w:rsidRDefault="00786180">
      <w:r>
        <w:rPr>
          <w:rFonts w:ascii="Times New Roman" w:eastAsia="宋体" w:hAnsi="Times New Roman"/>
          <w:color w:val="000000"/>
          <w:sz w:val="18"/>
          <w:szCs w:val="18"/>
        </w:rPr>
        <w:t> </w:t>
      </w:r>
    </w:p>
    <w:p w14:paraId="40CAFDDB" w14:textId="77777777" w:rsidR="00584FB3" w:rsidRDefault="00584FB3"/>
    <w:p w14:paraId="40CAFDDC" w14:textId="77777777" w:rsidR="00584FB3" w:rsidRDefault="00786180">
      <w:r>
        <w:pict w14:anchorId="40CB2A37">
          <v:rect id="_x0000_i1026" style="width:415.3pt;height:1.5pt" o:hralign="center" o:hrstd="t" o:hr="t" fillcolor="#a0a0a0" stroked="f"/>
        </w:pict>
      </w:r>
    </w:p>
    <w:p w14:paraId="40CAFDDD" w14:textId="77777777" w:rsidR="00584FB3" w:rsidRDefault="00786180">
      <w:hyperlink r:id="rId40" w:anchor="i11706e4b673c41db9f2dcbdb897203bb_7" w:history="1">
        <w:r>
          <w:rPr>
            <w:rStyle w:val="a5"/>
            <w:rFonts w:ascii="Times New Roman" w:eastAsia="宋体" w:hAnsi="Times New Roman"/>
            <w:sz w:val="20"/>
            <w:szCs w:val="20"/>
          </w:rPr>
          <w:t>Table of Contents</w:t>
        </w:r>
      </w:hyperlink>
    </w:p>
    <w:p w14:paraId="40CAFDDE" w14:textId="77777777" w:rsidR="00584FB3" w:rsidRDefault="00786180">
      <w:pPr>
        <w:jc w:val="center"/>
      </w:pPr>
      <w:r>
        <w:rPr>
          <w:rFonts w:ascii="Times New Roman" w:eastAsia="宋体" w:hAnsi="Times New Roman"/>
          <w:b/>
          <w:bCs/>
          <w:color w:val="00704A"/>
          <w:sz w:val="20"/>
          <w:szCs w:val="20"/>
        </w:rPr>
        <w:t>PART I — FINANCIAL INFORMATION</w:t>
      </w:r>
    </w:p>
    <w:p w14:paraId="40CAFDDF" w14:textId="77777777" w:rsidR="00584FB3" w:rsidRDefault="00786180">
      <w:pP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40CAFDE0" w14:textId="77777777" w:rsidR="00584FB3" w:rsidRDefault="00786180">
      <w:pPr>
        <w:spacing w:before="280"/>
        <w:jc w:val="center"/>
      </w:pPr>
      <w:r>
        <w:rPr>
          <w:rFonts w:ascii="Times New Roman" w:eastAsia="宋体" w:hAnsi="Times New Roman"/>
          <w:b/>
          <w:bCs/>
          <w:color w:val="000000"/>
          <w:sz w:val="20"/>
          <w:szCs w:val="20"/>
        </w:rPr>
        <w:t>STARBUCKS CORPORATION</w:t>
      </w:r>
    </w:p>
    <w:p w14:paraId="40CAFDE1" w14:textId="77777777" w:rsidR="00584FB3" w:rsidRDefault="00786180">
      <w:pPr>
        <w:jc w:val="center"/>
      </w:pPr>
      <w:r>
        <w:rPr>
          <w:rFonts w:ascii="Times New Roman" w:eastAsia="宋体" w:hAnsi="Times New Roman"/>
          <w:b/>
          <w:bCs/>
          <w:color w:val="000000"/>
          <w:sz w:val="20"/>
          <w:szCs w:val="20"/>
        </w:rPr>
        <w:t>CONSOLIDATED STATEMENTS OF EARNINGS</w:t>
      </w:r>
    </w:p>
    <w:p w14:paraId="40CAFDE2" w14:textId="77777777" w:rsidR="00584FB3" w:rsidRDefault="00786180">
      <w:pPr>
        <w:jc w:val="center"/>
      </w:pPr>
      <w:r>
        <w:rPr>
          <w:rFonts w:ascii="Times New Roman" w:eastAsia="宋体" w:hAnsi="Times New Roman"/>
          <w:i/>
          <w:iCs/>
          <w:color w:val="000000"/>
          <w:sz w:val="20"/>
          <w:szCs w:val="20"/>
        </w:rPr>
        <w:t>(in millions, except per share data)</w:t>
      </w:r>
    </w:p>
    <w:p w14:paraId="40CAFDE3" w14:textId="77777777" w:rsidR="00584FB3" w:rsidRDefault="00786180">
      <w:pPr>
        <w:jc w:val="center"/>
      </w:pPr>
      <w:r>
        <w:rPr>
          <w:rFonts w:ascii="Times New Roman" w:eastAsia="宋体" w:hAnsi="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795"/>
        <w:gridCol w:w="36"/>
        <w:gridCol w:w="120"/>
        <w:gridCol w:w="879"/>
        <w:gridCol w:w="36"/>
        <w:gridCol w:w="36"/>
        <w:gridCol w:w="36"/>
        <w:gridCol w:w="36"/>
        <w:gridCol w:w="120"/>
        <w:gridCol w:w="880"/>
        <w:gridCol w:w="36"/>
        <w:gridCol w:w="36"/>
        <w:gridCol w:w="36"/>
        <w:gridCol w:w="36"/>
        <w:gridCol w:w="36"/>
        <w:gridCol w:w="36"/>
        <w:gridCol w:w="36"/>
        <w:gridCol w:w="36"/>
        <w:gridCol w:w="36"/>
      </w:tblGrid>
      <w:tr w:rsidR="00584FB3" w14:paraId="40CAFDF4" w14:textId="77777777">
        <w:tc>
          <w:tcPr>
            <w:tcW w:w="50" w:type="pct"/>
            <w:shd w:val="clear" w:color="auto" w:fill="auto"/>
          </w:tcPr>
          <w:p w14:paraId="40CAFDE4" w14:textId="77777777" w:rsidR="00584FB3" w:rsidRDefault="00584FB3">
            <w:pPr>
              <w:rPr>
                <w:rFonts w:ascii="宋体"/>
              </w:rPr>
            </w:pPr>
          </w:p>
        </w:tc>
        <w:tc>
          <w:tcPr>
            <w:tcW w:w="3643" w:type="pct"/>
            <w:shd w:val="clear" w:color="auto" w:fill="auto"/>
          </w:tcPr>
          <w:p w14:paraId="40CAFDE5" w14:textId="77777777" w:rsidR="00584FB3" w:rsidRDefault="00584FB3">
            <w:pPr>
              <w:rPr>
                <w:rFonts w:ascii="宋体"/>
              </w:rPr>
            </w:pPr>
          </w:p>
        </w:tc>
        <w:tc>
          <w:tcPr>
            <w:tcW w:w="5" w:type="pct"/>
            <w:shd w:val="clear" w:color="auto" w:fill="auto"/>
          </w:tcPr>
          <w:p w14:paraId="40CAFDE6" w14:textId="77777777" w:rsidR="00584FB3" w:rsidRDefault="00584FB3">
            <w:pPr>
              <w:rPr>
                <w:rFonts w:ascii="宋体"/>
              </w:rPr>
            </w:pPr>
          </w:p>
        </w:tc>
        <w:tc>
          <w:tcPr>
            <w:tcW w:w="50" w:type="pct"/>
            <w:shd w:val="clear" w:color="auto" w:fill="auto"/>
          </w:tcPr>
          <w:p w14:paraId="40CAFDE7" w14:textId="77777777" w:rsidR="00584FB3" w:rsidRDefault="00584FB3">
            <w:pPr>
              <w:rPr>
                <w:rFonts w:ascii="宋体"/>
              </w:rPr>
            </w:pPr>
          </w:p>
        </w:tc>
        <w:tc>
          <w:tcPr>
            <w:tcW w:w="580" w:type="pct"/>
            <w:shd w:val="clear" w:color="auto" w:fill="auto"/>
          </w:tcPr>
          <w:p w14:paraId="40CAFDE8" w14:textId="77777777" w:rsidR="00584FB3" w:rsidRDefault="00584FB3">
            <w:pPr>
              <w:rPr>
                <w:rFonts w:ascii="宋体"/>
              </w:rPr>
            </w:pPr>
          </w:p>
        </w:tc>
        <w:tc>
          <w:tcPr>
            <w:tcW w:w="5" w:type="pct"/>
            <w:shd w:val="clear" w:color="auto" w:fill="auto"/>
          </w:tcPr>
          <w:p w14:paraId="40CAFDE9" w14:textId="77777777" w:rsidR="00584FB3" w:rsidRDefault="00584FB3">
            <w:pPr>
              <w:rPr>
                <w:rFonts w:ascii="宋体"/>
              </w:rPr>
            </w:pPr>
          </w:p>
        </w:tc>
        <w:tc>
          <w:tcPr>
            <w:tcW w:w="5" w:type="pct"/>
            <w:shd w:val="clear" w:color="auto" w:fill="auto"/>
          </w:tcPr>
          <w:p w14:paraId="40CAFDEA" w14:textId="77777777" w:rsidR="00584FB3" w:rsidRDefault="00584FB3">
            <w:pPr>
              <w:rPr>
                <w:rFonts w:ascii="宋体"/>
              </w:rPr>
            </w:pPr>
          </w:p>
        </w:tc>
        <w:tc>
          <w:tcPr>
            <w:tcW w:w="19" w:type="pct"/>
            <w:shd w:val="clear" w:color="auto" w:fill="auto"/>
          </w:tcPr>
          <w:p w14:paraId="40CAFDEB" w14:textId="77777777" w:rsidR="00584FB3" w:rsidRDefault="00584FB3">
            <w:pPr>
              <w:rPr>
                <w:rFonts w:ascii="宋体"/>
              </w:rPr>
            </w:pPr>
          </w:p>
        </w:tc>
        <w:tc>
          <w:tcPr>
            <w:tcW w:w="5" w:type="pct"/>
            <w:shd w:val="clear" w:color="auto" w:fill="auto"/>
          </w:tcPr>
          <w:p w14:paraId="40CAFDEC" w14:textId="77777777" w:rsidR="00584FB3" w:rsidRDefault="00584FB3">
            <w:pPr>
              <w:rPr>
                <w:rFonts w:ascii="宋体"/>
              </w:rPr>
            </w:pPr>
          </w:p>
        </w:tc>
        <w:tc>
          <w:tcPr>
            <w:tcW w:w="50" w:type="pct"/>
            <w:shd w:val="clear" w:color="auto" w:fill="auto"/>
          </w:tcPr>
          <w:p w14:paraId="40CAFDED" w14:textId="77777777" w:rsidR="00584FB3" w:rsidRDefault="00584FB3">
            <w:pPr>
              <w:rPr>
                <w:rFonts w:ascii="宋体"/>
              </w:rPr>
            </w:pPr>
          </w:p>
        </w:tc>
        <w:tc>
          <w:tcPr>
            <w:tcW w:w="581" w:type="pct"/>
            <w:shd w:val="clear" w:color="auto" w:fill="auto"/>
          </w:tcPr>
          <w:p w14:paraId="40CAFDEE" w14:textId="77777777" w:rsidR="00584FB3" w:rsidRDefault="00584FB3">
            <w:pPr>
              <w:rPr>
                <w:rFonts w:ascii="宋体"/>
              </w:rPr>
            </w:pPr>
          </w:p>
        </w:tc>
        <w:tc>
          <w:tcPr>
            <w:tcW w:w="5" w:type="pct"/>
            <w:shd w:val="clear" w:color="auto" w:fill="auto"/>
          </w:tcPr>
          <w:p w14:paraId="40CAFDEF" w14:textId="77777777" w:rsidR="00584FB3" w:rsidRDefault="00584FB3">
            <w:pPr>
              <w:rPr>
                <w:rFonts w:ascii="宋体"/>
              </w:rPr>
            </w:pPr>
          </w:p>
        </w:tc>
        <w:tc>
          <w:tcPr>
            <w:tcW w:w="0" w:type="auto"/>
            <w:shd w:val="clear" w:color="auto" w:fill="auto"/>
          </w:tcPr>
          <w:p w14:paraId="40CAFDF0" w14:textId="77777777" w:rsidR="00584FB3" w:rsidRDefault="00584FB3">
            <w:pPr>
              <w:rPr>
                <w:rFonts w:ascii="宋体"/>
                <w:vanish/>
              </w:rPr>
            </w:pPr>
          </w:p>
        </w:tc>
        <w:tc>
          <w:tcPr>
            <w:tcW w:w="0" w:type="auto"/>
            <w:shd w:val="clear" w:color="auto" w:fill="auto"/>
          </w:tcPr>
          <w:p w14:paraId="40CAFDF1" w14:textId="77777777" w:rsidR="00584FB3" w:rsidRDefault="00584FB3">
            <w:pPr>
              <w:rPr>
                <w:rFonts w:ascii="宋体"/>
                <w:vanish/>
              </w:rPr>
            </w:pPr>
          </w:p>
        </w:tc>
        <w:tc>
          <w:tcPr>
            <w:tcW w:w="0" w:type="auto"/>
            <w:gridSpan w:val="3"/>
            <w:shd w:val="clear" w:color="auto" w:fill="auto"/>
          </w:tcPr>
          <w:p w14:paraId="40CAFDF2" w14:textId="77777777" w:rsidR="00584FB3" w:rsidRDefault="00584FB3">
            <w:pPr>
              <w:rPr>
                <w:rFonts w:ascii="宋体"/>
                <w:vanish/>
              </w:rPr>
            </w:pPr>
          </w:p>
        </w:tc>
        <w:tc>
          <w:tcPr>
            <w:tcW w:w="0" w:type="auto"/>
            <w:gridSpan w:val="3"/>
            <w:shd w:val="clear" w:color="auto" w:fill="auto"/>
          </w:tcPr>
          <w:p w14:paraId="40CAFDF3" w14:textId="77777777" w:rsidR="00584FB3" w:rsidRDefault="00584FB3">
            <w:pPr>
              <w:rPr>
                <w:rFonts w:ascii="宋体"/>
                <w:vanish/>
              </w:rPr>
            </w:pPr>
          </w:p>
        </w:tc>
      </w:tr>
      <w:tr w:rsidR="00584FB3" w14:paraId="40CAFDFF" w14:textId="77777777">
        <w:tc>
          <w:tcPr>
            <w:tcW w:w="0" w:type="auto"/>
            <w:gridSpan w:val="3"/>
            <w:shd w:val="clear" w:color="auto" w:fill="auto"/>
            <w:tcMar>
              <w:top w:w="40" w:type="dxa"/>
              <w:left w:w="20" w:type="dxa"/>
              <w:bottom w:w="40" w:type="dxa"/>
              <w:right w:w="20" w:type="dxa"/>
            </w:tcMar>
            <w:vAlign w:val="bottom"/>
          </w:tcPr>
          <w:p w14:paraId="40CAFDF5" w14:textId="77777777" w:rsidR="00584FB3" w:rsidRDefault="00786180">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40CAFDF6"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AFDF7" w14:textId="77777777" w:rsidR="00584FB3" w:rsidRDefault="00584FB3">
            <w:pPr>
              <w:rPr>
                <w:rFonts w:ascii="宋体"/>
                <w:vanish/>
              </w:rPr>
            </w:pPr>
          </w:p>
        </w:tc>
        <w:tc>
          <w:tcPr>
            <w:tcW w:w="0" w:type="auto"/>
            <w:shd w:val="clear" w:color="auto" w:fill="auto"/>
          </w:tcPr>
          <w:p w14:paraId="40CAFDF8" w14:textId="77777777" w:rsidR="00584FB3" w:rsidRDefault="00584FB3">
            <w:pPr>
              <w:rPr>
                <w:rFonts w:ascii="宋体"/>
                <w:vanish/>
              </w:rPr>
            </w:pPr>
          </w:p>
        </w:tc>
        <w:tc>
          <w:tcPr>
            <w:tcW w:w="0" w:type="auto"/>
            <w:shd w:val="clear" w:color="auto" w:fill="auto"/>
          </w:tcPr>
          <w:p w14:paraId="40CAFDF9" w14:textId="77777777" w:rsidR="00584FB3" w:rsidRDefault="00584FB3">
            <w:pPr>
              <w:rPr>
                <w:rFonts w:ascii="宋体"/>
              </w:rPr>
            </w:pPr>
          </w:p>
        </w:tc>
        <w:tc>
          <w:tcPr>
            <w:tcW w:w="0" w:type="auto"/>
            <w:shd w:val="clear" w:color="auto" w:fill="auto"/>
          </w:tcPr>
          <w:p w14:paraId="40CAFDFA" w14:textId="77777777" w:rsidR="00584FB3" w:rsidRDefault="00584FB3">
            <w:pPr>
              <w:rPr>
                <w:rFonts w:ascii="宋体"/>
              </w:rPr>
            </w:pPr>
          </w:p>
        </w:tc>
        <w:tc>
          <w:tcPr>
            <w:tcW w:w="0" w:type="auto"/>
            <w:shd w:val="clear" w:color="auto" w:fill="auto"/>
          </w:tcPr>
          <w:p w14:paraId="40CAFDFB" w14:textId="77777777" w:rsidR="00584FB3" w:rsidRDefault="00584FB3">
            <w:pPr>
              <w:rPr>
                <w:rFonts w:ascii="宋体"/>
              </w:rPr>
            </w:pPr>
          </w:p>
        </w:tc>
        <w:tc>
          <w:tcPr>
            <w:tcW w:w="0" w:type="auto"/>
            <w:shd w:val="clear" w:color="auto" w:fill="auto"/>
          </w:tcPr>
          <w:p w14:paraId="40CAFDFC" w14:textId="77777777" w:rsidR="00584FB3" w:rsidRDefault="00584FB3">
            <w:pPr>
              <w:rPr>
                <w:rFonts w:ascii="宋体"/>
              </w:rPr>
            </w:pPr>
          </w:p>
        </w:tc>
        <w:tc>
          <w:tcPr>
            <w:tcW w:w="0" w:type="auto"/>
            <w:shd w:val="clear" w:color="auto" w:fill="auto"/>
          </w:tcPr>
          <w:p w14:paraId="40CAFDFD" w14:textId="77777777" w:rsidR="00584FB3" w:rsidRDefault="00584FB3">
            <w:pPr>
              <w:rPr>
                <w:rFonts w:ascii="宋体"/>
              </w:rPr>
            </w:pPr>
          </w:p>
        </w:tc>
        <w:tc>
          <w:tcPr>
            <w:tcW w:w="0" w:type="auto"/>
            <w:shd w:val="clear" w:color="auto" w:fill="auto"/>
          </w:tcPr>
          <w:p w14:paraId="40CAFDFE" w14:textId="77777777" w:rsidR="00584FB3" w:rsidRDefault="00584FB3">
            <w:pPr>
              <w:rPr>
                <w:rFonts w:ascii="宋体"/>
              </w:rPr>
            </w:pPr>
          </w:p>
        </w:tc>
      </w:tr>
      <w:tr w:rsidR="00584FB3" w14:paraId="40CAFE08" w14:textId="77777777">
        <w:tc>
          <w:tcPr>
            <w:tcW w:w="0" w:type="auto"/>
            <w:gridSpan w:val="3"/>
            <w:shd w:val="clear" w:color="auto" w:fill="auto"/>
            <w:tcMar>
              <w:top w:w="0" w:type="dxa"/>
              <w:left w:w="20" w:type="dxa"/>
              <w:bottom w:w="0" w:type="dxa"/>
              <w:right w:w="20" w:type="dxa"/>
            </w:tcMar>
          </w:tcPr>
          <w:p w14:paraId="40CAFE00"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AFE01"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AFE0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AFE03"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shd w:val="clear" w:color="auto" w:fill="auto"/>
          </w:tcPr>
          <w:p w14:paraId="40CAFE04" w14:textId="77777777" w:rsidR="00584FB3" w:rsidRDefault="00584FB3">
            <w:pPr>
              <w:rPr>
                <w:rFonts w:ascii="宋体"/>
                <w:vanish/>
              </w:rPr>
            </w:pPr>
          </w:p>
        </w:tc>
        <w:tc>
          <w:tcPr>
            <w:tcW w:w="0" w:type="auto"/>
            <w:shd w:val="clear" w:color="auto" w:fill="auto"/>
          </w:tcPr>
          <w:p w14:paraId="40CAFE05" w14:textId="77777777" w:rsidR="00584FB3" w:rsidRDefault="00584FB3">
            <w:pPr>
              <w:rPr>
                <w:rFonts w:ascii="宋体"/>
                <w:vanish/>
              </w:rPr>
            </w:pPr>
          </w:p>
        </w:tc>
        <w:tc>
          <w:tcPr>
            <w:tcW w:w="0" w:type="auto"/>
            <w:gridSpan w:val="3"/>
            <w:shd w:val="clear" w:color="auto" w:fill="auto"/>
          </w:tcPr>
          <w:p w14:paraId="40CAFE06" w14:textId="77777777" w:rsidR="00584FB3" w:rsidRDefault="00584FB3">
            <w:pPr>
              <w:rPr>
                <w:rFonts w:ascii="宋体"/>
                <w:vanish/>
              </w:rPr>
            </w:pPr>
          </w:p>
        </w:tc>
        <w:tc>
          <w:tcPr>
            <w:tcW w:w="0" w:type="auto"/>
            <w:gridSpan w:val="3"/>
            <w:shd w:val="clear" w:color="auto" w:fill="auto"/>
          </w:tcPr>
          <w:p w14:paraId="40CAFE07" w14:textId="77777777" w:rsidR="00584FB3" w:rsidRDefault="00584FB3">
            <w:pPr>
              <w:rPr>
                <w:rFonts w:ascii="宋体"/>
                <w:vanish/>
              </w:rPr>
            </w:pPr>
          </w:p>
        </w:tc>
      </w:tr>
      <w:tr w:rsidR="00584FB3" w14:paraId="40CAFE11" w14:textId="77777777">
        <w:tc>
          <w:tcPr>
            <w:tcW w:w="0" w:type="auto"/>
            <w:gridSpan w:val="3"/>
            <w:shd w:val="clear" w:color="auto" w:fill="D7E4BC"/>
            <w:tcMar>
              <w:top w:w="40" w:type="dxa"/>
              <w:left w:w="20" w:type="dxa"/>
              <w:bottom w:w="40" w:type="dxa"/>
              <w:right w:w="20" w:type="dxa"/>
            </w:tcMar>
          </w:tcPr>
          <w:p w14:paraId="40CAFE09" w14:textId="77777777" w:rsidR="00584FB3" w:rsidRDefault="00786180">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tcPr>
          <w:p w14:paraId="40CAFE0A"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AFE0B"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AFE0C" w14:textId="77777777" w:rsidR="00584FB3" w:rsidRDefault="00584FB3">
            <w:pPr>
              <w:rPr>
                <w:rFonts w:ascii="宋体"/>
              </w:rPr>
            </w:pPr>
          </w:p>
        </w:tc>
        <w:tc>
          <w:tcPr>
            <w:tcW w:w="0" w:type="auto"/>
            <w:shd w:val="clear" w:color="auto" w:fill="auto"/>
          </w:tcPr>
          <w:p w14:paraId="40CAFE0D" w14:textId="77777777" w:rsidR="00584FB3" w:rsidRDefault="00584FB3">
            <w:pPr>
              <w:rPr>
                <w:rFonts w:ascii="宋体"/>
                <w:vanish/>
              </w:rPr>
            </w:pPr>
          </w:p>
        </w:tc>
        <w:tc>
          <w:tcPr>
            <w:tcW w:w="0" w:type="auto"/>
            <w:shd w:val="clear" w:color="auto" w:fill="auto"/>
          </w:tcPr>
          <w:p w14:paraId="40CAFE0E" w14:textId="77777777" w:rsidR="00584FB3" w:rsidRDefault="00584FB3">
            <w:pPr>
              <w:rPr>
                <w:rFonts w:ascii="宋体"/>
                <w:vanish/>
              </w:rPr>
            </w:pPr>
          </w:p>
        </w:tc>
        <w:tc>
          <w:tcPr>
            <w:tcW w:w="0" w:type="auto"/>
            <w:gridSpan w:val="3"/>
            <w:shd w:val="clear" w:color="auto" w:fill="auto"/>
          </w:tcPr>
          <w:p w14:paraId="40CAFE0F" w14:textId="77777777" w:rsidR="00584FB3" w:rsidRDefault="00584FB3">
            <w:pPr>
              <w:rPr>
                <w:rFonts w:ascii="宋体"/>
                <w:vanish/>
              </w:rPr>
            </w:pPr>
          </w:p>
        </w:tc>
        <w:tc>
          <w:tcPr>
            <w:tcW w:w="0" w:type="auto"/>
            <w:gridSpan w:val="3"/>
            <w:shd w:val="clear" w:color="auto" w:fill="auto"/>
          </w:tcPr>
          <w:p w14:paraId="40CAFE10" w14:textId="77777777" w:rsidR="00584FB3" w:rsidRDefault="00584FB3">
            <w:pPr>
              <w:rPr>
                <w:rFonts w:ascii="宋体"/>
                <w:vanish/>
              </w:rPr>
            </w:pPr>
          </w:p>
        </w:tc>
      </w:tr>
      <w:tr w:rsidR="00584FB3" w14:paraId="40CAFE1E" w14:textId="77777777">
        <w:tc>
          <w:tcPr>
            <w:tcW w:w="0" w:type="auto"/>
            <w:gridSpan w:val="3"/>
            <w:shd w:val="clear" w:color="auto" w:fill="FFFFFF"/>
            <w:tcMar>
              <w:top w:w="40" w:type="dxa"/>
              <w:left w:w="380" w:type="dxa"/>
              <w:bottom w:w="40" w:type="dxa"/>
              <w:right w:w="20" w:type="dxa"/>
            </w:tcMar>
          </w:tcPr>
          <w:p w14:paraId="40CAFE12" w14:textId="77777777" w:rsidR="00584FB3" w:rsidRDefault="00786180">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40CAFE13"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AFE14" w14:textId="77777777" w:rsidR="00584FB3" w:rsidRDefault="00786180">
            <w:pPr>
              <w:jc w:val="right"/>
              <w:textAlignment w:val="bottom"/>
            </w:pPr>
            <w:r>
              <w:rPr>
                <w:rFonts w:ascii="Times New Roman" w:eastAsia="宋体" w:hAnsi="Times New Roman"/>
                <w:color w:val="000000"/>
                <w:sz w:val="20"/>
                <w:szCs w:val="20"/>
              </w:rPr>
              <w:t>5,726.5 </w:t>
            </w:r>
          </w:p>
        </w:tc>
        <w:tc>
          <w:tcPr>
            <w:tcW w:w="0" w:type="auto"/>
            <w:shd w:val="clear" w:color="auto" w:fill="FFFFFF"/>
            <w:tcMar>
              <w:top w:w="40" w:type="dxa"/>
              <w:left w:w="0" w:type="dxa"/>
              <w:bottom w:w="40" w:type="dxa"/>
              <w:right w:w="20" w:type="dxa"/>
            </w:tcMar>
            <w:vAlign w:val="bottom"/>
          </w:tcPr>
          <w:p w14:paraId="40CAFE1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16"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AFE17"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AFE18" w14:textId="77777777" w:rsidR="00584FB3" w:rsidRDefault="00786180">
            <w:pPr>
              <w:jc w:val="right"/>
              <w:textAlignment w:val="bottom"/>
            </w:pPr>
            <w:r>
              <w:rPr>
                <w:rFonts w:ascii="Times New Roman" w:eastAsia="宋体" w:hAnsi="Times New Roman"/>
                <w:color w:val="000000"/>
                <w:sz w:val="20"/>
                <w:szCs w:val="20"/>
              </w:rPr>
              <w:t>5,780.7 </w:t>
            </w:r>
          </w:p>
        </w:tc>
        <w:tc>
          <w:tcPr>
            <w:tcW w:w="0" w:type="auto"/>
            <w:shd w:val="clear" w:color="auto" w:fill="FFFFFF"/>
            <w:tcMar>
              <w:top w:w="40" w:type="dxa"/>
              <w:left w:w="0" w:type="dxa"/>
              <w:bottom w:w="40" w:type="dxa"/>
              <w:right w:w="20" w:type="dxa"/>
            </w:tcMar>
            <w:vAlign w:val="bottom"/>
          </w:tcPr>
          <w:p w14:paraId="40CAFE19" w14:textId="77777777" w:rsidR="00584FB3" w:rsidRDefault="00584FB3">
            <w:pPr>
              <w:jc w:val="right"/>
              <w:rPr>
                <w:rFonts w:ascii="宋体"/>
              </w:rPr>
            </w:pPr>
          </w:p>
        </w:tc>
        <w:tc>
          <w:tcPr>
            <w:tcW w:w="0" w:type="auto"/>
            <w:shd w:val="clear" w:color="auto" w:fill="auto"/>
          </w:tcPr>
          <w:p w14:paraId="40CAFE1A" w14:textId="77777777" w:rsidR="00584FB3" w:rsidRDefault="00584FB3">
            <w:pPr>
              <w:rPr>
                <w:rFonts w:ascii="宋体"/>
                <w:vanish/>
              </w:rPr>
            </w:pPr>
          </w:p>
        </w:tc>
        <w:tc>
          <w:tcPr>
            <w:tcW w:w="0" w:type="auto"/>
            <w:shd w:val="clear" w:color="auto" w:fill="auto"/>
          </w:tcPr>
          <w:p w14:paraId="40CAFE1B" w14:textId="77777777" w:rsidR="00584FB3" w:rsidRDefault="00584FB3">
            <w:pPr>
              <w:rPr>
                <w:rFonts w:ascii="宋体"/>
                <w:vanish/>
              </w:rPr>
            </w:pPr>
          </w:p>
        </w:tc>
        <w:tc>
          <w:tcPr>
            <w:tcW w:w="0" w:type="auto"/>
            <w:gridSpan w:val="3"/>
            <w:shd w:val="clear" w:color="auto" w:fill="auto"/>
          </w:tcPr>
          <w:p w14:paraId="40CAFE1C" w14:textId="77777777" w:rsidR="00584FB3" w:rsidRDefault="00584FB3">
            <w:pPr>
              <w:rPr>
                <w:rFonts w:ascii="宋体"/>
                <w:vanish/>
              </w:rPr>
            </w:pPr>
          </w:p>
        </w:tc>
        <w:tc>
          <w:tcPr>
            <w:tcW w:w="0" w:type="auto"/>
            <w:gridSpan w:val="3"/>
            <w:shd w:val="clear" w:color="auto" w:fill="auto"/>
          </w:tcPr>
          <w:p w14:paraId="40CAFE1D" w14:textId="77777777" w:rsidR="00584FB3" w:rsidRDefault="00584FB3">
            <w:pPr>
              <w:rPr>
                <w:rFonts w:ascii="宋体"/>
                <w:vanish/>
              </w:rPr>
            </w:pPr>
          </w:p>
        </w:tc>
      </w:tr>
      <w:tr w:rsidR="00584FB3" w14:paraId="40CAFE29" w14:textId="77777777">
        <w:tc>
          <w:tcPr>
            <w:tcW w:w="0" w:type="auto"/>
            <w:gridSpan w:val="3"/>
            <w:shd w:val="clear" w:color="auto" w:fill="D7E4BC"/>
            <w:tcMar>
              <w:top w:w="40" w:type="dxa"/>
              <w:left w:w="380" w:type="dxa"/>
              <w:bottom w:w="40" w:type="dxa"/>
              <w:right w:w="20" w:type="dxa"/>
            </w:tcMar>
          </w:tcPr>
          <w:p w14:paraId="40CAFE1F" w14:textId="77777777" w:rsidR="00584FB3" w:rsidRDefault="00786180">
            <w:pPr>
              <w:textAlignment w:val="top"/>
            </w:pPr>
            <w:r>
              <w:rPr>
                <w:rFonts w:ascii="Times New Roman" w:eastAsia="宋体" w:hAnsi="Times New Roman"/>
                <w:color w:val="000000"/>
                <w:sz w:val="20"/>
                <w:szCs w:val="20"/>
              </w:rPr>
              <w:t xml:space="preserve">Licensed </w:t>
            </w:r>
            <w:r>
              <w:rPr>
                <w:rFonts w:ascii="Times New Roman" w:eastAsia="宋体" w:hAnsi="Times New Roman"/>
                <w:color w:val="000000"/>
                <w:sz w:val="20"/>
                <w:szCs w:val="20"/>
              </w:rPr>
              <w:t>stores</w:t>
            </w:r>
          </w:p>
        </w:tc>
        <w:tc>
          <w:tcPr>
            <w:tcW w:w="0" w:type="auto"/>
            <w:gridSpan w:val="2"/>
            <w:shd w:val="clear" w:color="auto" w:fill="D7E4BC"/>
            <w:tcMar>
              <w:top w:w="40" w:type="dxa"/>
              <w:left w:w="20" w:type="dxa"/>
              <w:bottom w:w="40" w:type="dxa"/>
              <w:right w:w="0" w:type="dxa"/>
            </w:tcMar>
            <w:vAlign w:val="bottom"/>
          </w:tcPr>
          <w:p w14:paraId="40CAFE20" w14:textId="77777777" w:rsidR="00584FB3" w:rsidRDefault="00786180">
            <w:pPr>
              <w:jc w:val="right"/>
              <w:textAlignment w:val="bottom"/>
            </w:pPr>
            <w:r>
              <w:rPr>
                <w:rFonts w:ascii="Times New Roman" w:eastAsia="宋体" w:hAnsi="Times New Roman"/>
                <w:color w:val="000000"/>
                <w:sz w:val="20"/>
                <w:szCs w:val="20"/>
              </w:rPr>
              <w:t>613.8 </w:t>
            </w:r>
          </w:p>
        </w:tc>
        <w:tc>
          <w:tcPr>
            <w:tcW w:w="0" w:type="auto"/>
            <w:shd w:val="clear" w:color="auto" w:fill="D7E4BC"/>
            <w:tcMar>
              <w:top w:w="40" w:type="dxa"/>
              <w:left w:w="0" w:type="dxa"/>
              <w:bottom w:w="40" w:type="dxa"/>
              <w:right w:w="20" w:type="dxa"/>
            </w:tcMar>
            <w:vAlign w:val="bottom"/>
          </w:tcPr>
          <w:p w14:paraId="40CAFE2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2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E23" w14:textId="77777777" w:rsidR="00584FB3" w:rsidRDefault="00786180">
            <w:pPr>
              <w:jc w:val="right"/>
              <w:textAlignment w:val="bottom"/>
            </w:pPr>
            <w:r>
              <w:rPr>
                <w:rFonts w:ascii="Times New Roman" w:eastAsia="宋体" w:hAnsi="Times New Roman"/>
                <w:color w:val="000000"/>
                <w:sz w:val="20"/>
                <w:szCs w:val="20"/>
              </w:rPr>
              <w:t>792.0 </w:t>
            </w:r>
          </w:p>
        </w:tc>
        <w:tc>
          <w:tcPr>
            <w:tcW w:w="0" w:type="auto"/>
            <w:shd w:val="clear" w:color="auto" w:fill="D7E4BC"/>
            <w:tcMar>
              <w:top w:w="40" w:type="dxa"/>
              <w:left w:w="0" w:type="dxa"/>
              <w:bottom w:w="40" w:type="dxa"/>
              <w:right w:w="20" w:type="dxa"/>
            </w:tcMar>
            <w:vAlign w:val="bottom"/>
          </w:tcPr>
          <w:p w14:paraId="40CAFE24" w14:textId="77777777" w:rsidR="00584FB3" w:rsidRDefault="00584FB3">
            <w:pPr>
              <w:jc w:val="right"/>
              <w:rPr>
                <w:rFonts w:ascii="宋体"/>
              </w:rPr>
            </w:pPr>
          </w:p>
        </w:tc>
        <w:tc>
          <w:tcPr>
            <w:tcW w:w="0" w:type="auto"/>
            <w:shd w:val="clear" w:color="auto" w:fill="auto"/>
          </w:tcPr>
          <w:p w14:paraId="40CAFE25" w14:textId="77777777" w:rsidR="00584FB3" w:rsidRDefault="00584FB3">
            <w:pPr>
              <w:rPr>
                <w:rFonts w:ascii="宋体"/>
                <w:vanish/>
              </w:rPr>
            </w:pPr>
          </w:p>
        </w:tc>
        <w:tc>
          <w:tcPr>
            <w:tcW w:w="0" w:type="auto"/>
            <w:shd w:val="clear" w:color="auto" w:fill="auto"/>
          </w:tcPr>
          <w:p w14:paraId="40CAFE26" w14:textId="77777777" w:rsidR="00584FB3" w:rsidRDefault="00584FB3">
            <w:pPr>
              <w:rPr>
                <w:rFonts w:ascii="宋体"/>
                <w:vanish/>
              </w:rPr>
            </w:pPr>
          </w:p>
        </w:tc>
        <w:tc>
          <w:tcPr>
            <w:tcW w:w="0" w:type="auto"/>
            <w:gridSpan w:val="3"/>
            <w:shd w:val="clear" w:color="auto" w:fill="auto"/>
          </w:tcPr>
          <w:p w14:paraId="40CAFE27" w14:textId="77777777" w:rsidR="00584FB3" w:rsidRDefault="00584FB3">
            <w:pPr>
              <w:rPr>
                <w:rFonts w:ascii="宋体"/>
                <w:vanish/>
              </w:rPr>
            </w:pPr>
          </w:p>
        </w:tc>
        <w:tc>
          <w:tcPr>
            <w:tcW w:w="0" w:type="auto"/>
            <w:gridSpan w:val="3"/>
            <w:shd w:val="clear" w:color="auto" w:fill="auto"/>
          </w:tcPr>
          <w:p w14:paraId="40CAFE28" w14:textId="77777777" w:rsidR="00584FB3" w:rsidRDefault="00584FB3">
            <w:pPr>
              <w:rPr>
                <w:rFonts w:ascii="宋体"/>
                <w:vanish/>
              </w:rPr>
            </w:pPr>
          </w:p>
        </w:tc>
      </w:tr>
      <w:tr w:rsidR="00584FB3" w14:paraId="40CAFE34" w14:textId="77777777">
        <w:tc>
          <w:tcPr>
            <w:tcW w:w="0" w:type="auto"/>
            <w:gridSpan w:val="3"/>
            <w:shd w:val="clear" w:color="auto" w:fill="FFFFFF"/>
            <w:tcMar>
              <w:top w:w="40" w:type="dxa"/>
              <w:left w:w="380" w:type="dxa"/>
              <w:bottom w:w="40" w:type="dxa"/>
              <w:right w:w="20" w:type="dxa"/>
            </w:tcMar>
          </w:tcPr>
          <w:p w14:paraId="40CAFE2A" w14:textId="77777777" w:rsidR="00584FB3" w:rsidRDefault="00786180">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0CAFE2B" w14:textId="77777777" w:rsidR="00584FB3" w:rsidRDefault="00786180">
            <w:pPr>
              <w:jc w:val="right"/>
              <w:textAlignment w:val="bottom"/>
            </w:pPr>
            <w:r>
              <w:rPr>
                <w:rFonts w:ascii="Times New Roman" w:eastAsia="宋体" w:hAnsi="Times New Roman"/>
                <w:color w:val="000000"/>
                <w:sz w:val="20"/>
                <w:szCs w:val="20"/>
              </w:rPr>
              <w:t>409.1 </w:t>
            </w:r>
          </w:p>
        </w:tc>
        <w:tc>
          <w:tcPr>
            <w:tcW w:w="0" w:type="auto"/>
            <w:shd w:val="clear" w:color="auto" w:fill="FFFFFF"/>
            <w:tcMar>
              <w:top w:w="40" w:type="dxa"/>
              <w:left w:w="0" w:type="dxa"/>
              <w:bottom w:w="40" w:type="dxa"/>
              <w:right w:w="20" w:type="dxa"/>
            </w:tcMar>
            <w:vAlign w:val="bottom"/>
          </w:tcPr>
          <w:p w14:paraId="40CAFE2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2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E2E" w14:textId="77777777" w:rsidR="00584FB3" w:rsidRDefault="00786180">
            <w:pPr>
              <w:jc w:val="right"/>
              <w:textAlignment w:val="bottom"/>
            </w:pPr>
            <w:r>
              <w:rPr>
                <w:rFonts w:ascii="Times New Roman" w:eastAsia="宋体" w:hAnsi="Times New Roman"/>
                <w:color w:val="000000"/>
                <w:sz w:val="20"/>
                <w:szCs w:val="20"/>
              </w:rPr>
              <w:t>524.4 </w:t>
            </w:r>
          </w:p>
        </w:tc>
        <w:tc>
          <w:tcPr>
            <w:tcW w:w="0" w:type="auto"/>
            <w:shd w:val="clear" w:color="auto" w:fill="FFFFFF"/>
            <w:tcMar>
              <w:top w:w="40" w:type="dxa"/>
              <w:left w:w="0" w:type="dxa"/>
              <w:bottom w:w="40" w:type="dxa"/>
              <w:right w:w="20" w:type="dxa"/>
            </w:tcMar>
            <w:vAlign w:val="bottom"/>
          </w:tcPr>
          <w:p w14:paraId="40CAFE2F" w14:textId="77777777" w:rsidR="00584FB3" w:rsidRDefault="00584FB3">
            <w:pPr>
              <w:jc w:val="right"/>
              <w:rPr>
                <w:rFonts w:ascii="宋体"/>
              </w:rPr>
            </w:pPr>
          </w:p>
        </w:tc>
        <w:tc>
          <w:tcPr>
            <w:tcW w:w="0" w:type="auto"/>
            <w:shd w:val="clear" w:color="auto" w:fill="auto"/>
          </w:tcPr>
          <w:p w14:paraId="40CAFE30" w14:textId="77777777" w:rsidR="00584FB3" w:rsidRDefault="00584FB3">
            <w:pPr>
              <w:rPr>
                <w:rFonts w:ascii="宋体"/>
                <w:vanish/>
              </w:rPr>
            </w:pPr>
          </w:p>
        </w:tc>
        <w:tc>
          <w:tcPr>
            <w:tcW w:w="0" w:type="auto"/>
            <w:shd w:val="clear" w:color="auto" w:fill="auto"/>
          </w:tcPr>
          <w:p w14:paraId="40CAFE31" w14:textId="77777777" w:rsidR="00584FB3" w:rsidRDefault="00584FB3">
            <w:pPr>
              <w:rPr>
                <w:rFonts w:ascii="宋体"/>
                <w:vanish/>
              </w:rPr>
            </w:pPr>
          </w:p>
        </w:tc>
        <w:tc>
          <w:tcPr>
            <w:tcW w:w="0" w:type="auto"/>
            <w:gridSpan w:val="3"/>
            <w:shd w:val="clear" w:color="auto" w:fill="auto"/>
          </w:tcPr>
          <w:p w14:paraId="40CAFE32" w14:textId="77777777" w:rsidR="00584FB3" w:rsidRDefault="00584FB3">
            <w:pPr>
              <w:rPr>
                <w:rFonts w:ascii="宋体"/>
                <w:vanish/>
              </w:rPr>
            </w:pPr>
          </w:p>
        </w:tc>
        <w:tc>
          <w:tcPr>
            <w:tcW w:w="0" w:type="auto"/>
            <w:gridSpan w:val="3"/>
            <w:shd w:val="clear" w:color="auto" w:fill="auto"/>
          </w:tcPr>
          <w:p w14:paraId="40CAFE33" w14:textId="77777777" w:rsidR="00584FB3" w:rsidRDefault="00584FB3">
            <w:pPr>
              <w:rPr>
                <w:rFonts w:ascii="宋体"/>
                <w:vanish/>
              </w:rPr>
            </w:pPr>
          </w:p>
        </w:tc>
      </w:tr>
      <w:tr w:rsidR="00584FB3" w14:paraId="40CAFE3F" w14:textId="77777777">
        <w:tc>
          <w:tcPr>
            <w:tcW w:w="0" w:type="auto"/>
            <w:gridSpan w:val="3"/>
            <w:shd w:val="clear" w:color="auto" w:fill="D7E4BC"/>
            <w:tcMar>
              <w:top w:w="40" w:type="dxa"/>
              <w:left w:w="20" w:type="dxa"/>
              <w:bottom w:w="40" w:type="dxa"/>
              <w:right w:w="20" w:type="dxa"/>
            </w:tcMar>
          </w:tcPr>
          <w:p w14:paraId="40CAFE35" w14:textId="77777777" w:rsidR="00584FB3" w:rsidRDefault="00786180">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E36" w14:textId="77777777" w:rsidR="00584FB3" w:rsidRDefault="00786180">
            <w:pPr>
              <w:jc w:val="right"/>
              <w:textAlignment w:val="bottom"/>
            </w:pPr>
            <w:r>
              <w:rPr>
                <w:rFonts w:ascii="Times New Roman" w:eastAsia="宋体" w:hAnsi="Times New Roman"/>
                <w:color w:val="000000"/>
                <w:sz w:val="20"/>
                <w:szCs w:val="20"/>
              </w:rPr>
              <w:t>6,749.4 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3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38"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E39" w14:textId="77777777" w:rsidR="00584FB3" w:rsidRDefault="00786180">
            <w:pPr>
              <w:jc w:val="right"/>
              <w:textAlignment w:val="bottom"/>
            </w:pPr>
            <w:r>
              <w:rPr>
                <w:rFonts w:ascii="Times New Roman" w:eastAsia="宋体" w:hAnsi="Times New Roman"/>
                <w:color w:val="000000"/>
                <w:sz w:val="20"/>
                <w:szCs w:val="20"/>
              </w:rPr>
              <w:t>7,097.1 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3A" w14:textId="77777777" w:rsidR="00584FB3" w:rsidRDefault="00584FB3">
            <w:pPr>
              <w:jc w:val="right"/>
              <w:rPr>
                <w:rFonts w:ascii="宋体"/>
              </w:rPr>
            </w:pPr>
          </w:p>
        </w:tc>
        <w:tc>
          <w:tcPr>
            <w:tcW w:w="0" w:type="auto"/>
            <w:shd w:val="clear" w:color="auto" w:fill="auto"/>
          </w:tcPr>
          <w:p w14:paraId="40CAFE3B" w14:textId="77777777" w:rsidR="00584FB3" w:rsidRDefault="00584FB3">
            <w:pPr>
              <w:rPr>
                <w:rFonts w:ascii="宋体"/>
                <w:vanish/>
              </w:rPr>
            </w:pPr>
          </w:p>
        </w:tc>
        <w:tc>
          <w:tcPr>
            <w:tcW w:w="0" w:type="auto"/>
            <w:shd w:val="clear" w:color="auto" w:fill="auto"/>
          </w:tcPr>
          <w:p w14:paraId="40CAFE3C" w14:textId="77777777" w:rsidR="00584FB3" w:rsidRDefault="00584FB3">
            <w:pPr>
              <w:rPr>
                <w:rFonts w:ascii="宋体"/>
                <w:vanish/>
              </w:rPr>
            </w:pPr>
          </w:p>
        </w:tc>
        <w:tc>
          <w:tcPr>
            <w:tcW w:w="0" w:type="auto"/>
            <w:gridSpan w:val="3"/>
            <w:shd w:val="clear" w:color="auto" w:fill="auto"/>
          </w:tcPr>
          <w:p w14:paraId="40CAFE3D" w14:textId="77777777" w:rsidR="00584FB3" w:rsidRDefault="00584FB3">
            <w:pPr>
              <w:rPr>
                <w:rFonts w:ascii="宋体"/>
                <w:vanish/>
              </w:rPr>
            </w:pPr>
          </w:p>
        </w:tc>
        <w:tc>
          <w:tcPr>
            <w:tcW w:w="0" w:type="auto"/>
            <w:gridSpan w:val="3"/>
            <w:shd w:val="clear" w:color="auto" w:fill="auto"/>
          </w:tcPr>
          <w:p w14:paraId="40CAFE3E" w14:textId="77777777" w:rsidR="00584FB3" w:rsidRDefault="00584FB3">
            <w:pPr>
              <w:rPr>
                <w:rFonts w:ascii="宋体"/>
                <w:vanish/>
              </w:rPr>
            </w:pPr>
          </w:p>
        </w:tc>
      </w:tr>
      <w:tr w:rsidR="00584FB3" w14:paraId="40CAFE4A" w14:textId="77777777">
        <w:tc>
          <w:tcPr>
            <w:tcW w:w="0" w:type="auto"/>
            <w:gridSpan w:val="3"/>
            <w:shd w:val="clear" w:color="auto" w:fill="FFFFFF"/>
            <w:tcMar>
              <w:top w:w="40" w:type="dxa"/>
              <w:left w:w="20" w:type="dxa"/>
              <w:bottom w:w="40" w:type="dxa"/>
              <w:right w:w="20" w:type="dxa"/>
            </w:tcMar>
          </w:tcPr>
          <w:p w14:paraId="40CAFE40" w14:textId="77777777" w:rsidR="00584FB3" w:rsidRDefault="00786180">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40CAFE41" w14:textId="77777777" w:rsidR="00584FB3" w:rsidRDefault="00786180">
            <w:pPr>
              <w:jc w:val="right"/>
              <w:textAlignment w:val="bottom"/>
            </w:pPr>
            <w:r>
              <w:rPr>
                <w:rFonts w:ascii="Times New Roman" w:eastAsia="宋体" w:hAnsi="Times New Roman"/>
                <w:color w:val="000000"/>
                <w:sz w:val="20"/>
                <w:szCs w:val="20"/>
              </w:rPr>
              <w:t>2,049.1 </w:t>
            </w:r>
          </w:p>
        </w:tc>
        <w:tc>
          <w:tcPr>
            <w:tcW w:w="0" w:type="auto"/>
            <w:shd w:val="clear" w:color="auto" w:fill="FFFFFF"/>
            <w:tcMar>
              <w:top w:w="40" w:type="dxa"/>
              <w:left w:w="0" w:type="dxa"/>
              <w:bottom w:w="40" w:type="dxa"/>
              <w:right w:w="20" w:type="dxa"/>
            </w:tcMar>
            <w:vAlign w:val="bottom"/>
          </w:tcPr>
          <w:p w14:paraId="40CAFE4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4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E44" w14:textId="77777777" w:rsidR="00584FB3" w:rsidRDefault="00786180">
            <w:pPr>
              <w:jc w:val="right"/>
              <w:textAlignment w:val="bottom"/>
            </w:pPr>
            <w:r>
              <w:rPr>
                <w:rFonts w:ascii="Times New Roman" w:eastAsia="宋体" w:hAnsi="Times New Roman"/>
                <w:color w:val="000000"/>
                <w:sz w:val="20"/>
                <w:szCs w:val="20"/>
              </w:rPr>
              <w:t>2,236.4 </w:t>
            </w:r>
          </w:p>
        </w:tc>
        <w:tc>
          <w:tcPr>
            <w:tcW w:w="0" w:type="auto"/>
            <w:shd w:val="clear" w:color="auto" w:fill="FFFFFF"/>
            <w:tcMar>
              <w:top w:w="40" w:type="dxa"/>
              <w:left w:w="0" w:type="dxa"/>
              <w:bottom w:w="40" w:type="dxa"/>
              <w:right w:w="20" w:type="dxa"/>
            </w:tcMar>
            <w:vAlign w:val="bottom"/>
          </w:tcPr>
          <w:p w14:paraId="40CAFE45" w14:textId="77777777" w:rsidR="00584FB3" w:rsidRDefault="00584FB3">
            <w:pPr>
              <w:jc w:val="right"/>
              <w:rPr>
                <w:rFonts w:ascii="宋体"/>
              </w:rPr>
            </w:pPr>
          </w:p>
        </w:tc>
        <w:tc>
          <w:tcPr>
            <w:tcW w:w="0" w:type="auto"/>
            <w:shd w:val="clear" w:color="auto" w:fill="auto"/>
          </w:tcPr>
          <w:p w14:paraId="40CAFE46" w14:textId="77777777" w:rsidR="00584FB3" w:rsidRDefault="00584FB3">
            <w:pPr>
              <w:rPr>
                <w:rFonts w:ascii="宋体"/>
                <w:vanish/>
              </w:rPr>
            </w:pPr>
          </w:p>
        </w:tc>
        <w:tc>
          <w:tcPr>
            <w:tcW w:w="0" w:type="auto"/>
            <w:shd w:val="clear" w:color="auto" w:fill="auto"/>
          </w:tcPr>
          <w:p w14:paraId="40CAFE47" w14:textId="77777777" w:rsidR="00584FB3" w:rsidRDefault="00584FB3">
            <w:pPr>
              <w:rPr>
                <w:rFonts w:ascii="宋体"/>
                <w:vanish/>
              </w:rPr>
            </w:pPr>
          </w:p>
        </w:tc>
        <w:tc>
          <w:tcPr>
            <w:tcW w:w="0" w:type="auto"/>
            <w:gridSpan w:val="3"/>
            <w:shd w:val="clear" w:color="auto" w:fill="auto"/>
          </w:tcPr>
          <w:p w14:paraId="40CAFE48" w14:textId="77777777" w:rsidR="00584FB3" w:rsidRDefault="00584FB3">
            <w:pPr>
              <w:rPr>
                <w:rFonts w:ascii="宋体"/>
                <w:vanish/>
              </w:rPr>
            </w:pPr>
          </w:p>
        </w:tc>
        <w:tc>
          <w:tcPr>
            <w:tcW w:w="0" w:type="auto"/>
            <w:gridSpan w:val="3"/>
            <w:shd w:val="clear" w:color="auto" w:fill="auto"/>
          </w:tcPr>
          <w:p w14:paraId="40CAFE49" w14:textId="77777777" w:rsidR="00584FB3" w:rsidRDefault="00584FB3">
            <w:pPr>
              <w:rPr>
                <w:rFonts w:ascii="宋体"/>
                <w:vanish/>
              </w:rPr>
            </w:pPr>
          </w:p>
        </w:tc>
      </w:tr>
      <w:tr w:rsidR="00584FB3" w14:paraId="40CAFE55" w14:textId="77777777">
        <w:tc>
          <w:tcPr>
            <w:tcW w:w="0" w:type="auto"/>
            <w:gridSpan w:val="3"/>
            <w:shd w:val="clear" w:color="auto" w:fill="D7E4BC"/>
            <w:tcMar>
              <w:top w:w="40" w:type="dxa"/>
              <w:left w:w="20" w:type="dxa"/>
              <w:bottom w:w="40" w:type="dxa"/>
              <w:right w:w="20" w:type="dxa"/>
            </w:tcMar>
          </w:tcPr>
          <w:p w14:paraId="40CAFE4B" w14:textId="77777777" w:rsidR="00584FB3" w:rsidRDefault="00786180">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40CAFE4C" w14:textId="77777777" w:rsidR="00584FB3" w:rsidRDefault="00786180">
            <w:pPr>
              <w:jc w:val="right"/>
              <w:textAlignment w:val="bottom"/>
            </w:pPr>
            <w:r>
              <w:rPr>
                <w:rFonts w:ascii="Times New Roman" w:eastAsia="宋体" w:hAnsi="Times New Roman"/>
                <w:color w:val="000000"/>
                <w:sz w:val="20"/>
                <w:szCs w:val="20"/>
              </w:rPr>
              <w:t>2,867.3 </w:t>
            </w:r>
          </w:p>
        </w:tc>
        <w:tc>
          <w:tcPr>
            <w:tcW w:w="0" w:type="auto"/>
            <w:shd w:val="clear" w:color="auto" w:fill="D7E4BC"/>
            <w:tcMar>
              <w:top w:w="40" w:type="dxa"/>
              <w:left w:w="0" w:type="dxa"/>
              <w:bottom w:w="40" w:type="dxa"/>
              <w:right w:w="20" w:type="dxa"/>
            </w:tcMar>
            <w:vAlign w:val="bottom"/>
          </w:tcPr>
          <w:p w14:paraId="40CAFE4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4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E4F" w14:textId="77777777" w:rsidR="00584FB3" w:rsidRDefault="00786180">
            <w:pPr>
              <w:jc w:val="right"/>
              <w:textAlignment w:val="bottom"/>
            </w:pPr>
            <w:r>
              <w:rPr>
                <w:rFonts w:ascii="Times New Roman" w:eastAsia="宋体" w:hAnsi="Times New Roman"/>
                <w:color w:val="000000"/>
                <w:sz w:val="20"/>
                <w:szCs w:val="20"/>
              </w:rPr>
              <w:t>2,821.5 </w:t>
            </w:r>
          </w:p>
        </w:tc>
        <w:tc>
          <w:tcPr>
            <w:tcW w:w="0" w:type="auto"/>
            <w:shd w:val="clear" w:color="auto" w:fill="D7E4BC"/>
            <w:tcMar>
              <w:top w:w="40" w:type="dxa"/>
              <w:left w:w="0" w:type="dxa"/>
              <w:bottom w:w="40" w:type="dxa"/>
              <w:right w:w="20" w:type="dxa"/>
            </w:tcMar>
            <w:vAlign w:val="bottom"/>
          </w:tcPr>
          <w:p w14:paraId="40CAFE50" w14:textId="77777777" w:rsidR="00584FB3" w:rsidRDefault="00584FB3">
            <w:pPr>
              <w:jc w:val="right"/>
              <w:rPr>
                <w:rFonts w:ascii="宋体"/>
              </w:rPr>
            </w:pPr>
          </w:p>
        </w:tc>
        <w:tc>
          <w:tcPr>
            <w:tcW w:w="0" w:type="auto"/>
            <w:shd w:val="clear" w:color="auto" w:fill="auto"/>
          </w:tcPr>
          <w:p w14:paraId="40CAFE51" w14:textId="77777777" w:rsidR="00584FB3" w:rsidRDefault="00584FB3">
            <w:pPr>
              <w:rPr>
                <w:rFonts w:ascii="宋体"/>
                <w:vanish/>
              </w:rPr>
            </w:pPr>
          </w:p>
        </w:tc>
        <w:tc>
          <w:tcPr>
            <w:tcW w:w="0" w:type="auto"/>
            <w:shd w:val="clear" w:color="auto" w:fill="auto"/>
          </w:tcPr>
          <w:p w14:paraId="40CAFE52" w14:textId="77777777" w:rsidR="00584FB3" w:rsidRDefault="00584FB3">
            <w:pPr>
              <w:rPr>
                <w:rFonts w:ascii="宋体"/>
                <w:vanish/>
              </w:rPr>
            </w:pPr>
          </w:p>
        </w:tc>
        <w:tc>
          <w:tcPr>
            <w:tcW w:w="0" w:type="auto"/>
            <w:gridSpan w:val="3"/>
            <w:shd w:val="clear" w:color="auto" w:fill="auto"/>
          </w:tcPr>
          <w:p w14:paraId="40CAFE53" w14:textId="77777777" w:rsidR="00584FB3" w:rsidRDefault="00584FB3">
            <w:pPr>
              <w:rPr>
                <w:rFonts w:ascii="宋体"/>
                <w:vanish/>
              </w:rPr>
            </w:pPr>
          </w:p>
        </w:tc>
        <w:tc>
          <w:tcPr>
            <w:tcW w:w="0" w:type="auto"/>
            <w:gridSpan w:val="3"/>
            <w:shd w:val="clear" w:color="auto" w:fill="auto"/>
          </w:tcPr>
          <w:p w14:paraId="40CAFE54" w14:textId="77777777" w:rsidR="00584FB3" w:rsidRDefault="00584FB3">
            <w:pPr>
              <w:rPr>
                <w:rFonts w:ascii="宋体"/>
                <w:vanish/>
              </w:rPr>
            </w:pPr>
          </w:p>
        </w:tc>
      </w:tr>
      <w:tr w:rsidR="00584FB3" w14:paraId="40CAFE60" w14:textId="77777777">
        <w:tc>
          <w:tcPr>
            <w:tcW w:w="0" w:type="auto"/>
            <w:gridSpan w:val="3"/>
            <w:shd w:val="clear" w:color="auto" w:fill="FFFFFF"/>
            <w:tcMar>
              <w:top w:w="40" w:type="dxa"/>
              <w:left w:w="20" w:type="dxa"/>
              <w:bottom w:w="40" w:type="dxa"/>
              <w:right w:w="20" w:type="dxa"/>
            </w:tcMar>
          </w:tcPr>
          <w:p w14:paraId="40CAFE56" w14:textId="77777777" w:rsidR="00584FB3" w:rsidRDefault="00786180">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40CAFE57" w14:textId="77777777" w:rsidR="00584FB3" w:rsidRDefault="00786180">
            <w:pPr>
              <w:jc w:val="right"/>
              <w:textAlignment w:val="bottom"/>
            </w:pPr>
            <w:r>
              <w:rPr>
                <w:rFonts w:ascii="Times New Roman" w:eastAsia="宋体" w:hAnsi="Times New Roman"/>
                <w:color w:val="000000"/>
                <w:sz w:val="20"/>
                <w:szCs w:val="20"/>
              </w:rPr>
              <w:t>91.8 </w:t>
            </w:r>
          </w:p>
        </w:tc>
        <w:tc>
          <w:tcPr>
            <w:tcW w:w="0" w:type="auto"/>
            <w:shd w:val="clear" w:color="auto" w:fill="FFFFFF"/>
            <w:tcMar>
              <w:top w:w="40" w:type="dxa"/>
              <w:left w:w="0" w:type="dxa"/>
              <w:bottom w:w="40" w:type="dxa"/>
              <w:right w:w="20" w:type="dxa"/>
            </w:tcMar>
            <w:vAlign w:val="bottom"/>
          </w:tcPr>
          <w:p w14:paraId="40CAFE5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5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E5A" w14:textId="77777777" w:rsidR="00584FB3" w:rsidRDefault="00786180">
            <w:pPr>
              <w:jc w:val="right"/>
              <w:textAlignment w:val="bottom"/>
            </w:pPr>
            <w:r>
              <w:rPr>
                <w:rFonts w:ascii="Times New Roman" w:eastAsia="宋体" w:hAnsi="Times New Roman"/>
                <w:color w:val="000000"/>
                <w:sz w:val="20"/>
                <w:szCs w:val="20"/>
              </w:rPr>
              <w:t>101.8 </w:t>
            </w:r>
          </w:p>
        </w:tc>
        <w:tc>
          <w:tcPr>
            <w:tcW w:w="0" w:type="auto"/>
            <w:shd w:val="clear" w:color="auto" w:fill="FFFFFF"/>
            <w:tcMar>
              <w:top w:w="40" w:type="dxa"/>
              <w:left w:w="0" w:type="dxa"/>
              <w:bottom w:w="40" w:type="dxa"/>
              <w:right w:w="20" w:type="dxa"/>
            </w:tcMar>
            <w:vAlign w:val="bottom"/>
          </w:tcPr>
          <w:p w14:paraId="40CAFE5B" w14:textId="77777777" w:rsidR="00584FB3" w:rsidRDefault="00584FB3">
            <w:pPr>
              <w:jc w:val="right"/>
              <w:rPr>
                <w:rFonts w:ascii="宋体"/>
              </w:rPr>
            </w:pPr>
          </w:p>
        </w:tc>
        <w:tc>
          <w:tcPr>
            <w:tcW w:w="0" w:type="auto"/>
            <w:shd w:val="clear" w:color="auto" w:fill="auto"/>
          </w:tcPr>
          <w:p w14:paraId="40CAFE5C" w14:textId="77777777" w:rsidR="00584FB3" w:rsidRDefault="00584FB3">
            <w:pPr>
              <w:rPr>
                <w:rFonts w:ascii="宋体"/>
                <w:vanish/>
              </w:rPr>
            </w:pPr>
          </w:p>
        </w:tc>
        <w:tc>
          <w:tcPr>
            <w:tcW w:w="0" w:type="auto"/>
            <w:shd w:val="clear" w:color="auto" w:fill="auto"/>
          </w:tcPr>
          <w:p w14:paraId="40CAFE5D" w14:textId="77777777" w:rsidR="00584FB3" w:rsidRDefault="00584FB3">
            <w:pPr>
              <w:rPr>
                <w:rFonts w:ascii="宋体"/>
                <w:vanish/>
              </w:rPr>
            </w:pPr>
          </w:p>
        </w:tc>
        <w:tc>
          <w:tcPr>
            <w:tcW w:w="0" w:type="auto"/>
            <w:gridSpan w:val="3"/>
            <w:shd w:val="clear" w:color="auto" w:fill="auto"/>
          </w:tcPr>
          <w:p w14:paraId="40CAFE5E" w14:textId="77777777" w:rsidR="00584FB3" w:rsidRDefault="00584FB3">
            <w:pPr>
              <w:rPr>
                <w:rFonts w:ascii="宋体"/>
                <w:vanish/>
              </w:rPr>
            </w:pPr>
          </w:p>
        </w:tc>
        <w:tc>
          <w:tcPr>
            <w:tcW w:w="0" w:type="auto"/>
            <w:gridSpan w:val="3"/>
            <w:shd w:val="clear" w:color="auto" w:fill="auto"/>
          </w:tcPr>
          <w:p w14:paraId="40CAFE5F" w14:textId="77777777" w:rsidR="00584FB3" w:rsidRDefault="00584FB3">
            <w:pPr>
              <w:rPr>
                <w:rFonts w:ascii="宋体"/>
                <w:vanish/>
              </w:rPr>
            </w:pPr>
          </w:p>
        </w:tc>
      </w:tr>
      <w:tr w:rsidR="00584FB3" w14:paraId="40CAFE6B" w14:textId="77777777">
        <w:tc>
          <w:tcPr>
            <w:tcW w:w="0" w:type="auto"/>
            <w:gridSpan w:val="3"/>
            <w:shd w:val="clear" w:color="auto" w:fill="D7E4BC"/>
            <w:tcMar>
              <w:top w:w="40" w:type="dxa"/>
              <w:left w:w="20" w:type="dxa"/>
              <w:bottom w:w="40" w:type="dxa"/>
              <w:right w:w="20" w:type="dxa"/>
            </w:tcMar>
          </w:tcPr>
          <w:p w14:paraId="40CAFE61"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0CAFE62" w14:textId="77777777" w:rsidR="00584FB3" w:rsidRDefault="00786180">
            <w:pPr>
              <w:jc w:val="right"/>
              <w:textAlignment w:val="bottom"/>
            </w:pPr>
            <w:r>
              <w:rPr>
                <w:rFonts w:ascii="Times New Roman" w:eastAsia="宋体" w:hAnsi="Times New Roman"/>
                <w:color w:val="000000"/>
                <w:sz w:val="20"/>
                <w:szCs w:val="20"/>
              </w:rPr>
              <w:t>366.1 </w:t>
            </w:r>
          </w:p>
        </w:tc>
        <w:tc>
          <w:tcPr>
            <w:tcW w:w="0" w:type="auto"/>
            <w:shd w:val="clear" w:color="auto" w:fill="D7E4BC"/>
            <w:tcMar>
              <w:top w:w="40" w:type="dxa"/>
              <w:left w:w="0" w:type="dxa"/>
              <w:bottom w:w="40" w:type="dxa"/>
              <w:right w:w="20" w:type="dxa"/>
            </w:tcMar>
            <w:vAlign w:val="bottom"/>
          </w:tcPr>
          <w:p w14:paraId="40CAFE6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6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E65" w14:textId="77777777" w:rsidR="00584FB3" w:rsidRDefault="00786180">
            <w:pPr>
              <w:jc w:val="right"/>
              <w:textAlignment w:val="bottom"/>
            </w:pPr>
            <w:r>
              <w:rPr>
                <w:rFonts w:ascii="Times New Roman" w:eastAsia="宋体" w:hAnsi="Times New Roman"/>
                <w:color w:val="000000"/>
                <w:sz w:val="20"/>
                <w:szCs w:val="20"/>
              </w:rPr>
              <w:t>351.0 </w:t>
            </w:r>
          </w:p>
        </w:tc>
        <w:tc>
          <w:tcPr>
            <w:tcW w:w="0" w:type="auto"/>
            <w:shd w:val="clear" w:color="auto" w:fill="D7E4BC"/>
            <w:tcMar>
              <w:top w:w="40" w:type="dxa"/>
              <w:left w:w="0" w:type="dxa"/>
              <w:bottom w:w="40" w:type="dxa"/>
              <w:right w:w="20" w:type="dxa"/>
            </w:tcMar>
            <w:vAlign w:val="bottom"/>
          </w:tcPr>
          <w:p w14:paraId="40CAFE66" w14:textId="77777777" w:rsidR="00584FB3" w:rsidRDefault="00584FB3">
            <w:pPr>
              <w:jc w:val="right"/>
              <w:rPr>
                <w:rFonts w:ascii="宋体"/>
              </w:rPr>
            </w:pPr>
          </w:p>
        </w:tc>
        <w:tc>
          <w:tcPr>
            <w:tcW w:w="0" w:type="auto"/>
            <w:shd w:val="clear" w:color="auto" w:fill="auto"/>
          </w:tcPr>
          <w:p w14:paraId="40CAFE67" w14:textId="77777777" w:rsidR="00584FB3" w:rsidRDefault="00584FB3">
            <w:pPr>
              <w:rPr>
                <w:rFonts w:ascii="宋体"/>
                <w:vanish/>
              </w:rPr>
            </w:pPr>
          </w:p>
        </w:tc>
        <w:tc>
          <w:tcPr>
            <w:tcW w:w="0" w:type="auto"/>
            <w:shd w:val="clear" w:color="auto" w:fill="auto"/>
          </w:tcPr>
          <w:p w14:paraId="40CAFE68" w14:textId="77777777" w:rsidR="00584FB3" w:rsidRDefault="00584FB3">
            <w:pPr>
              <w:rPr>
                <w:rFonts w:ascii="宋体"/>
                <w:vanish/>
              </w:rPr>
            </w:pPr>
          </w:p>
        </w:tc>
        <w:tc>
          <w:tcPr>
            <w:tcW w:w="0" w:type="auto"/>
            <w:gridSpan w:val="3"/>
            <w:shd w:val="clear" w:color="auto" w:fill="auto"/>
          </w:tcPr>
          <w:p w14:paraId="40CAFE69" w14:textId="77777777" w:rsidR="00584FB3" w:rsidRDefault="00584FB3">
            <w:pPr>
              <w:rPr>
                <w:rFonts w:ascii="宋体"/>
                <w:vanish/>
              </w:rPr>
            </w:pPr>
          </w:p>
        </w:tc>
        <w:tc>
          <w:tcPr>
            <w:tcW w:w="0" w:type="auto"/>
            <w:gridSpan w:val="3"/>
            <w:shd w:val="clear" w:color="auto" w:fill="auto"/>
          </w:tcPr>
          <w:p w14:paraId="40CAFE6A" w14:textId="77777777" w:rsidR="00584FB3" w:rsidRDefault="00584FB3">
            <w:pPr>
              <w:rPr>
                <w:rFonts w:ascii="宋体"/>
                <w:vanish/>
              </w:rPr>
            </w:pPr>
          </w:p>
        </w:tc>
      </w:tr>
      <w:tr w:rsidR="00584FB3" w14:paraId="40CAFE76" w14:textId="77777777">
        <w:tc>
          <w:tcPr>
            <w:tcW w:w="0" w:type="auto"/>
            <w:gridSpan w:val="3"/>
            <w:shd w:val="clear" w:color="auto" w:fill="FFFFFF"/>
            <w:tcMar>
              <w:top w:w="40" w:type="dxa"/>
              <w:left w:w="20" w:type="dxa"/>
              <w:bottom w:w="40" w:type="dxa"/>
              <w:right w:w="20" w:type="dxa"/>
            </w:tcMar>
          </w:tcPr>
          <w:p w14:paraId="40CAFE6C" w14:textId="77777777" w:rsidR="00584FB3" w:rsidRDefault="00786180">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40CAFE6D" w14:textId="77777777" w:rsidR="00584FB3" w:rsidRDefault="00786180">
            <w:pPr>
              <w:jc w:val="right"/>
              <w:textAlignment w:val="bottom"/>
            </w:pPr>
            <w:r>
              <w:rPr>
                <w:rFonts w:ascii="Times New Roman" w:eastAsia="宋体" w:hAnsi="Times New Roman"/>
                <w:color w:val="000000"/>
                <w:sz w:val="20"/>
                <w:szCs w:val="20"/>
              </w:rPr>
              <w:t>472.1 </w:t>
            </w:r>
          </w:p>
        </w:tc>
        <w:tc>
          <w:tcPr>
            <w:tcW w:w="0" w:type="auto"/>
            <w:shd w:val="clear" w:color="auto" w:fill="FFFFFF"/>
            <w:tcMar>
              <w:top w:w="40" w:type="dxa"/>
              <w:left w:w="0" w:type="dxa"/>
              <w:bottom w:w="40" w:type="dxa"/>
              <w:right w:w="20" w:type="dxa"/>
            </w:tcMar>
            <w:vAlign w:val="bottom"/>
          </w:tcPr>
          <w:p w14:paraId="40CAFE6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6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E70" w14:textId="77777777" w:rsidR="00584FB3" w:rsidRDefault="00786180">
            <w:pPr>
              <w:jc w:val="right"/>
              <w:textAlignment w:val="bottom"/>
            </w:pPr>
            <w:r>
              <w:rPr>
                <w:rFonts w:ascii="Times New Roman" w:eastAsia="宋体" w:hAnsi="Times New Roman"/>
                <w:color w:val="000000"/>
                <w:sz w:val="20"/>
                <w:szCs w:val="20"/>
              </w:rPr>
              <w:t>434.2 </w:t>
            </w:r>
          </w:p>
        </w:tc>
        <w:tc>
          <w:tcPr>
            <w:tcW w:w="0" w:type="auto"/>
            <w:shd w:val="clear" w:color="auto" w:fill="FFFFFF"/>
            <w:tcMar>
              <w:top w:w="40" w:type="dxa"/>
              <w:left w:w="0" w:type="dxa"/>
              <w:bottom w:w="40" w:type="dxa"/>
              <w:right w:w="20" w:type="dxa"/>
            </w:tcMar>
            <w:vAlign w:val="bottom"/>
          </w:tcPr>
          <w:p w14:paraId="40CAFE71" w14:textId="77777777" w:rsidR="00584FB3" w:rsidRDefault="00584FB3">
            <w:pPr>
              <w:jc w:val="right"/>
              <w:rPr>
                <w:rFonts w:ascii="宋体"/>
              </w:rPr>
            </w:pPr>
          </w:p>
        </w:tc>
        <w:tc>
          <w:tcPr>
            <w:tcW w:w="0" w:type="auto"/>
            <w:shd w:val="clear" w:color="auto" w:fill="auto"/>
          </w:tcPr>
          <w:p w14:paraId="40CAFE72" w14:textId="77777777" w:rsidR="00584FB3" w:rsidRDefault="00584FB3">
            <w:pPr>
              <w:rPr>
                <w:rFonts w:ascii="宋体"/>
                <w:vanish/>
              </w:rPr>
            </w:pPr>
          </w:p>
        </w:tc>
        <w:tc>
          <w:tcPr>
            <w:tcW w:w="0" w:type="auto"/>
            <w:shd w:val="clear" w:color="auto" w:fill="auto"/>
          </w:tcPr>
          <w:p w14:paraId="40CAFE73" w14:textId="77777777" w:rsidR="00584FB3" w:rsidRDefault="00584FB3">
            <w:pPr>
              <w:rPr>
                <w:rFonts w:ascii="宋体"/>
                <w:vanish/>
              </w:rPr>
            </w:pPr>
          </w:p>
        </w:tc>
        <w:tc>
          <w:tcPr>
            <w:tcW w:w="0" w:type="auto"/>
            <w:gridSpan w:val="3"/>
            <w:shd w:val="clear" w:color="auto" w:fill="auto"/>
          </w:tcPr>
          <w:p w14:paraId="40CAFE74" w14:textId="77777777" w:rsidR="00584FB3" w:rsidRDefault="00584FB3">
            <w:pPr>
              <w:rPr>
                <w:rFonts w:ascii="宋体"/>
                <w:vanish/>
              </w:rPr>
            </w:pPr>
          </w:p>
        </w:tc>
        <w:tc>
          <w:tcPr>
            <w:tcW w:w="0" w:type="auto"/>
            <w:gridSpan w:val="3"/>
            <w:shd w:val="clear" w:color="auto" w:fill="auto"/>
          </w:tcPr>
          <w:p w14:paraId="40CAFE75" w14:textId="77777777" w:rsidR="00584FB3" w:rsidRDefault="00584FB3">
            <w:pPr>
              <w:rPr>
                <w:rFonts w:ascii="宋体"/>
                <w:vanish/>
              </w:rPr>
            </w:pPr>
          </w:p>
        </w:tc>
      </w:tr>
      <w:tr w:rsidR="00584FB3" w14:paraId="40CAFE81" w14:textId="77777777">
        <w:tc>
          <w:tcPr>
            <w:tcW w:w="0" w:type="auto"/>
            <w:gridSpan w:val="3"/>
            <w:shd w:val="clear" w:color="auto" w:fill="D7E4BC"/>
            <w:tcMar>
              <w:top w:w="40" w:type="dxa"/>
              <w:left w:w="20" w:type="dxa"/>
              <w:bottom w:w="40" w:type="dxa"/>
              <w:right w:w="20" w:type="dxa"/>
            </w:tcMar>
          </w:tcPr>
          <w:p w14:paraId="40CAFE77" w14:textId="77777777" w:rsidR="00584FB3" w:rsidRDefault="00786180">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40CAFE78" w14:textId="77777777" w:rsidR="00584FB3" w:rsidRDefault="00786180">
            <w:pPr>
              <w:jc w:val="right"/>
              <w:textAlignment w:val="bottom"/>
            </w:pPr>
            <w:r>
              <w:rPr>
                <w:rFonts w:ascii="Times New Roman" w:eastAsia="宋体" w:hAnsi="Times New Roman"/>
                <w:color w:val="000000"/>
                <w:sz w:val="20"/>
                <w:szCs w:val="20"/>
              </w:rPr>
              <w:t>72.2 </w:t>
            </w:r>
          </w:p>
        </w:tc>
        <w:tc>
          <w:tcPr>
            <w:tcW w:w="0" w:type="auto"/>
            <w:shd w:val="clear" w:color="auto" w:fill="D7E4BC"/>
            <w:tcMar>
              <w:top w:w="40" w:type="dxa"/>
              <w:left w:w="0" w:type="dxa"/>
              <w:bottom w:w="40" w:type="dxa"/>
              <w:right w:w="20" w:type="dxa"/>
            </w:tcMar>
            <w:vAlign w:val="bottom"/>
          </w:tcPr>
          <w:p w14:paraId="40CAFE7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7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E7B" w14:textId="77777777" w:rsidR="00584FB3" w:rsidRDefault="00786180">
            <w:pPr>
              <w:jc w:val="right"/>
              <w:textAlignment w:val="bottom"/>
            </w:pPr>
            <w:r>
              <w:rPr>
                <w:rFonts w:ascii="Times New Roman" w:eastAsia="宋体" w:hAnsi="Times New Roman"/>
                <w:color w:val="000000"/>
                <w:sz w:val="20"/>
                <w:szCs w:val="20"/>
              </w:rPr>
              <w:t>6.3 </w:t>
            </w:r>
          </w:p>
        </w:tc>
        <w:tc>
          <w:tcPr>
            <w:tcW w:w="0" w:type="auto"/>
            <w:shd w:val="clear" w:color="auto" w:fill="D7E4BC"/>
            <w:tcMar>
              <w:top w:w="40" w:type="dxa"/>
              <w:left w:w="0" w:type="dxa"/>
              <w:bottom w:w="40" w:type="dxa"/>
              <w:right w:w="20" w:type="dxa"/>
            </w:tcMar>
            <w:vAlign w:val="bottom"/>
          </w:tcPr>
          <w:p w14:paraId="40CAFE7C" w14:textId="77777777" w:rsidR="00584FB3" w:rsidRDefault="00584FB3">
            <w:pPr>
              <w:jc w:val="right"/>
              <w:rPr>
                <w:rFonts w:ascii="宋体"/>
              </w:rPr>
            </w:pPr>
          </w:p>
        </w:tc>
        <w:tc>
          <w:tcPr>
            <w:tcW w:w="0" w:type="auto"/>
            <w:shd w:val="clear" w:color="auto" w:fill="auto"/>
          </w:tcPr>
          <w:p w14:paraId="40CAFE7D" w14:textId="77777777" w:rsidR="00584FB3" w:rsidRDefault="00584FB3">
            <w:pPr>
              <w:rPr>
                <w:rFonts w:ascii="宋体"/>
                <w:vanish/>
              </w:rPr>
            </w:pPr>
          </w:p>
        </w:tc>
        <w:tc>
          <w:tcPr>
            <w:tcW w:w="0" w:type="auto"/>
            <w:shd w:val="clear" w:color="auto" w:fill="auto"/>
          </w:tcPr>
          <w:p w14:paraId="40CAFE7E" w14:textId="77777777" w:rsidR="00584FB3" w:rsidRDefault="00584FB3">
            <w:pPr>
              <w:rPr>
                <w:rFonts w:ascii="宋体"/>
                <w:vanish/>
              </w:rPr>
            </w:pPr>
          </w:p>
        </w:tc>
        <w:tc>
          <w:tcPr>
            <w:tcW w:w="0" w:type="auto"/>
            <w:gridSpan w:val="3"/>
            <w:shd w:val="clear" w:color="auto" w:fill="auto"/>
          </w:tcPr>
          <w:p w14:paraId="40CAFE7F" w14:textId="77777777" w:rsidR="00584FB3" w:rsidRDefault="00584FB3">
            <w:pPr>
              <w:rPr>
                <w:rFonts w:ascii="宋体"/>
                <w:vanish/>
              </w:rPr>
            </w:pPr>
          </w:p>
        </w:tc>
        <w:tc>
          <w:tcPr>
            <w:tcW w:w="0" w:type="auto"/>
            <w:gridSpan w:val="3"/>
            <w:shd w:val="clear" w:color="auto" w:fill="auto"/>
          </w:tcPr>
          <w:p w14:paraId="40CAFE80" w14:textId="77777777" w:rsidR="00584FB3" w:rsidRDefault="00584FB3">
            <w:pPr>
              <w:rPr>
                <w:rFonts w:ascii="宋体"/>
                <w:vanish/>
              </w:rPr>
            </w:pPr>
          </w:p>
        </w:tc>
      </w:tr>
      <w:tr w:rsidR="00584FB3" w14:paraId="40CAFE8C" w14:textId="77777777">
        <w:tc>
          <w:tcPr>
            <w:tcW w:w="0" w:type="auto"/>
            <w:gridSpan w:val="3"/>
            <w:shd w:val="clear" w:color="auto" w:fill="FFFFFF"/>
            <w:tcMar>
              <w:top w:w="40" w:type="dxa"/>
              <w:left w:w="380" w:type="dxa"/>
              <w:bottom w:w="40" w:type="dxa"/>
              <w:right w:w="20" w:type="dxa"/>
            </w:tcMar>
          </w:tcPr>
          <w:p w14:paraId="40CAFE82" w14:textId="77777777" w:rsidR="00584FB3" w:rsidRDefault="00786180">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AFE83" w14:textId="77777777" w:rsidR="00584FB3" w:rsidRDefault="00786180">
            <w:pPr>
              <w:jc w:val="right"/>
              <w:textAlignment w:val="bottom"/>
            </w:pPr>
            <w:r>
              <w:rPr>
                <w:rFonts w:ascii="Times New Roman" w:eastAsia="宋体" w:hAnsi="Times New Roman"/>
                <w:color w:val="000000"/>
                <w:sz w:val="20"/>
                <w:szCs w:val="20"/>
              </w:rPr>
              <w:t>5,918.6 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AFE8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85"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AFE86" w14:textId="77777777" w:rsidR="00584FB3" w:rsidRDefault="00786180">
            <w:pPr>
              <w:jc w:val="right"/>
              <w:textAlignment w:val="bottom"/>
            </w:pPr>
            <w:r>
              <w:rPr>
                <w:rFonts w:ascii="Times New Roman" w:eastAsia="宋体" w:hAnsi="Times New Roman"/>
                <w:color w:val="000000"/>
                <w:sz w:val="20"/>
                <w:szCs w:val="20"/>
              </w:rPr>
              <w:t>5,951.2 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AFE87" w14:textId="77777777" w:rsidR="00584FB3" w:rsidRDefault="00584FB3">
            <w:pPr>
              <w:jc w:val="right"/>
              <w:rPr>
                <w:rFonts w:ascii="宋体"/>
              </w:rPr>
            </w:pPr>
          </w:p>
        </w:tc>
        <w:tc>
          <w:tcPr>
            <w:tcW w:w="0" w:type="auto"/>
            <w:shd w:val="clear" w:color="auto" w:fill="auto"/>
          </w:tcPr>
          <w:p w14:paraId="40CAFE88" w14:textId="77777777" w:rsidR="00584FB3" w:rsidRDefault="00584FB3">
            <w:pPr>
              <w:rPr>
                <w:rFonts w:ascii="宋体"/>
                <w:vanish/>
              </w:rPr>
            </w:pPr>
          </w:p>
        </w:tc>
        <w:tc>
          <w:tcPr>
            <w:tcW w:w="0" w:type="auto"/>
            <w:shd w:val="clear" w:color="auto" w:fill="auto"/>
          </w:tcPr>
          <w:p w14:paraId="40CAFE89" w14:textId="77777777" w:rsidR="00584FB3" w:rsidRDefault="00584FB3">
            <w:pPr>
              <w:rPr>
                <w:rFonts w:ascii="宋体"/>
                <w:vanish/>
              </w:rPr>
            </w:pPr>
          </w:p>
        </w:tc>
        <w:tc>
          <w:tcPr>
            <w:tcW w:w="0" w:type="auto"/>
            <w:gridSpan w:val="3"/>
            <w:shd w:val="clear" w:color="auto" w:fill="auto"/>
          </w:tcPr>
          <w:p w14:paraId="40CAFE8A" w14:textId="77777777" w:rsidR="00584FB3" w:rsidRDefault="00584FB3">
            <w:pPr>
              <w:rPr>
                <w:rFonts w:ascii="宋体"/>
                <w:vanish/>
              </w:rPr>
            </w:pPr>
          </w:p>
        </w:tc>
        <w:tc>
          <w:tcPr>
            <w:tcW w:w="0" w:type="auto"/>
            <w:gridSpan w:val="3"/>
            <w:shd w:val="clear" w:color="auto" w:fill="auto"/>
          </w:tcPr>
          <w:p w14:paraId="40CAFE8B" w14:textId="77777777" w:rsidR="00584FB3" w:rsidRDefault="00584FB3">
            <w:pPr>
              <w:rPr>
                <w:rFonts w:ascii="宋体"/>
                <w:vanish/>
              </w:rPr>
            </w:pPr>
          </w:p>
        </w:tc>
      </w:tr>
      <w:tr w:rsidR="00584FB3" w14:paraId="40CAFE97" w14:textId="77777777">
        <w:tc>
          <w:tcPr>
            <w:tcW w:w="0" w:type="auto"/>
            <w:gridSpan w:val="3"/>
            <w:shd w:val="clear" w:color="auto" w:fill="D7E4BC"/>
            <w:tcMar>
              <w:top w:w="40" w:type="dxa"/>
              <w:left w:w="20" w:type="dxa"/>
              <w:bottom w:w="40" w:type="dxa"/>
              <w:right w:w="20" w:type="dxa"/>
            </w:tcMar>
          </w:tcPr>
          <w:p w14:paraId="40CAFE8D" w14:textId="77777777" w:rsidR="00584FB3" w:rsidRDefault="00786180">
            <w:pPr>
              <w:textAlignment w:val="top"/>
            </w:pPr>
            <w:r>
              <w:rPr>
                <w:rFonts w:ascii="Times New Roman" w:eastAsia="宋体" w:hAnsi="Times New Roman"/>
                <w:color w:val="000000"/>
                <w:sz w:val="20"/>
                <w:szCs w:val="20"/>
              </w:rPr>
              <w:t xml:space="preserve">Income from equity </w:t>
            </w:r>
            <w:r>
              <w:rPr>
                <w:rFonts w:ascii="Times New Roman" w:eastAsia="宋体" w:hAnsi="Times New Roman"/>
                <w:color w:val="000000"/>
                <w:sz w:val="20"/>
                <w:szCs w:val="20"/>
              </w:rPr>
              <w:t>investees</w:t>
            </w:r>
          </w:p>
        </w:tc>
        <w:tc>
          <w:tcPr>
            <w:tcW w:w="0" w:type="auto"/>
            <w:gridSpan w:val="2"/>
            <w:shd w:val="clear" w:color="auto" w:fill="D7E4BC"/>
            <w:tcMar>
              <w:top w:w="40" w:type="dxa"/>
              <w:left w:w="20" w:type="dxa"/>
              <w:bottom w:w="40" w:type="dxa"/>
              <w:right w:w="0" w:type="dxa"/>
            </w:tcMar>
            <w:vAlign w:val="bottom"/>
          </w:tcPr>
          <w:p w14:paraId="40CAFE8E" w14:textId="77777777" w:rsidR="00584FB3" w:rsidRDefault="00786180">
            <w:pPr>
              <w:jc w:val="right"/>
              <w:textAlignment w:val="bottom"/>
            </w:pPr>
            <w:r>
              <w:rPr>
                <w:rFonts w:ascii="Times New Roman" w:eastAsia="宋体" w:hAnsi="Times New Roman"/>
                <w:color w:val="000000"/>
                <w:sz w:val="20"/>
                <w:szCs w:val="20"/>
              </w:rPr>
              <w:t>82.7 </w:t>
            </w:r>
          </w:p>
        </w:tc>
        <w:tc>
          <w:tcPr>
            <w:tcW w:w="0" w:type="auto"/>
            <w:shd w:val="clear" w:color="auto" w:fill="D7E4BC"/>
            <w:tcMar>
              <w:top w:w="40" w:type="dxa"/>
              <w:left w:w="0" w:type="dxa"/>
              <w:bottom w:w="40" w:type="dxa"/>
              <w:right w:w="20" w:type="dxa"/>
            </w:tcMar>
            <w:vAlign w:val="bottom"/>
          </w:tcPr>
          <w:p w14:paraId="40CAFE8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9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E91" w14:textId="77777777" w:rsidR="00584FB3" w:rsidRDefault="00786180">
            <w:pPr>
              <w:jc w:val="right"/>
              <w:textAlignment w:val="bottom"/>
            </w:pPr>
            <w:r>
              <w:rPr>
                <w:rFonts w:ascii="Times New Roman" w:eastAsia="宋体" w:hAnsi="Times New Roman"/>
                <w:color w:val="000000"/>
                <w:sz w:val="20"/>
                <w:szCs w:val="20"/>
              </w:rPr>
              <w:t>73.9 </w:t>
            </w:r>
          </w:p>
        </w:tc>
        <w:tc>
          <w:tcPr>
            <w:tcW w:w="0" w:type="auto"/>
            <w:shd w:val="clear" w:color="auto" w:fill="D7E4BC"/>
            <w:tcMar>
              <w:top w:w="40" w:type="dxa"/>
              <w:left w:w="0" w:type="dxa"/>
              <w:bottom w:w="40" w:type="dxa"/>
              <w:right w:w="20" w:type="dxa"/>
            </w:tcMar>
            <w:vAlign w:val="bottom"/>
          </w:tcPr>
          <w:p w14:paraId="40CAFE92" w14:textId="77777777" w:rsidR="00584FB3" w:rsidRDefault="00584FB3">
            <w:pPr>
              <w:jc w:val="right"/>
              <w:rPr>
                <w:rFonts w:ascii="宋体"/>
              </w:rPr>
            </w:pPr>
          </w:p>
        </w:tc>
        <w:tc>
          <w:tcPr>
            <w:tcW w:w="0" w:type="auto"/>
            <w:shd w:val="clear" w:color="auto" w:fill="auto"/>
          </w:tcPr>
          <w:p w14:paraId="40CAFE93" w14:textId="77777777" w:rsidR="00584FB3" w:rsidRDefault="00584FB3">
            <w:pPr>
              <w:rPr>
                <w:rFonts w:ascii="宋体"/>
                <w:vanish/>
              </w:rPr>
            </w:pPr>
          </w:p>
        </w:tc>
        <w:tc>
          <w:tcPr>
            <w:tcW w:w="0" w:type="auto"/>
            <w:shd w:val="clear" w:color="auto" w:fill="auto"/>
          </w:tcPr>
          <w:p w14:paraId="40CAFE94" w14:textId="77777777" w:rsidR="00584FB3" w:rsidRDefault="00584FB3">
            <w:pPr>
              <w:rPr>
                <w:rFonts w:ascii="宋体"/>
                <w:vanish/>
              </w:rPr>
            </w:pPr>
          </w:p>
        </w:tc>
        <w:tc>
          <w:tcPr>
            <w:tcW w:w="0" w:type="auto"/>
            <w:gridSpan w:val="3"/>
            <w:shd w:val="clear" w:color="auto" w:fill="auto"/>
          </w:tcPr>
          <w:p w14:paraId="40CAFE95" w14:textId="77777777" w:rsidR="00584FB3" w:rsidRDefault="00584FB3">
            <w:pPr>
              <w:rPr>
                <w:rFonts w:ascii="宋体"/>
                <w:vanish/>
              </w:rPr>
            </w:pPr>
          </w:p>
        </w:tc>
        <w:tc>
          <w:tcPr>
            <w:tcW w:w="0" w:type="auto"/>
            <w:gridSpan w:val="3"/>
            <w:shd w:val="clear" w:color="auto" w:fill="auto"/>
          </w:tcPr>
          <w:p w14:paraId="40CAFE96" w14:textId="77777777" w:rsidR="00584FB3" w:rsidRDefault="00584FB3">
            <w:pPr>
              <w:rPr>
                <w:rFonts w:ascii="宋体"/>
                <w:vanish/>
              </w:rPr>
            </w:pPr>
          </w:p>
        </w:tc>
      </w:tr>
      <w:tr w:rsidR="00584FB3" w14:paraId="40CAFEA2" w14:textId="77777777">
        <w:tc>
          <w:tcPr>
            <w:tcW w:w="0" w:type="auto"/>
            <w:gridSpan w:val="3"/>
            <w:shd w:val="clear" w:color="auto" w:fill="FFFFFF"/>
            <w:tcMar>
              <w:top w:w="40" w:type="dxa"/>
              <w:left w:w="380" w:type="dxa"/>
              <w:bottom w:w="40" w:type="dxa"/>
              <w:right w:w="20" w:type="dxa"/>
            </w:tcMar>
          </w:tcPr>
          <w:p w14:paraId="40CAFE98" w14:textId="77777777" w:rsidR="00584FB3" w:rsidRDefault="00786180">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AFE99" w14:textId="77777777" w:rsidR="00584FB3" w:rsidRDefault="00786180">
            <w:pPr>
              <w:jc w:val="right"/>
              <w:textAlignment w:val="bottom"/>
            </w:pPr>
            <w:r>
              <w:rPr>
                <w:rFonts w:ascii="Times New Roman" w:eastAsia="宋体" w:hAnsi="Times New Roman"/>
                <w:color w:val="000000"/>
                <w:sz w:val="20"/>
                <w:szCs w:val="20"/>
              </w:rPr>
              <w:t>913.5 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AFE9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9B"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AFE9C" w14:textId="77777777" w:rsidR="00584FB3" w:rsidRDefault="00786180">
            <w:pPr>
              <w:jc w:val="right"/>
              <w:textAlignment w:val="bottom"/>
            </w:pPr>
            <w:r>
              <w:rPr>
                <w:rFonts w:ascii="Times New Roman" w:eastAsia="宋体" w:hAnsi="Times New Roman"/>
                <w:color w:val="000000"/>
                <w:sz w:val="20"/>
                <w:szCs w:val="20"/>
              </w:rPr>
              <w:t>1,219.8 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AFE9D" w14:textId="77777777" w:rsidR="00584FB3" w:rsidRDefault="00584FB3">
            <w:pPr>
              <w:jc w:val="right"/>
              <w:rPr>
                <w:rFonts w:ascii="宋体"/>
              </w:rPr>
            </w:pPr>
          </w:p>
        </w:tc>
        <w:tc>
          <w:tcPr>
            <w:tcW w:w="0" w:type="auto"/>
            <w:shd w:val="clear" w:color="auto" w:fill="auto"/>
          </w:tcPr>
          <w:p w14:paraId="40CAFE9E" w14:textId="77777777" w:rsidR="00584FB3" w:rsidRDefault="00584FB3">
            <w:pPr>
              <w:rPr>
                <w:rFonts w:ascii="宋体"/>
                <w:vanish/>
              </w:rPr>
            </w:pPr>
          </w:p>
        </w:tc>
        <w:tc>
          <w:tcPr>
            <w:tcW w:w="0" w:type="auto"/>
            <w:shd w:val="clear" w:color="auto" w:fill="auto"/>
          </w:tcPr>
          <w:p w14:paraId="40CAFE9F" w14:textId="77777777" w:rsidR="00584FB3" w:rsidRDefault="00584FB3">
            <w:pPr>
              <w:rPr>
                <w:rFonts w:ascii="宋体"/>
                <w:vanish/>
              </w:rPr>
            </w:pPr>
          </w:p>
        </w:tc>
        <w:tc>
          <w:tcPr>
            <w:tcW w:w="0" w:type="auto"/>
            <w:gridSpan w:val="3"/>
            <w:shd w:val="clear" w:color="auto" w:fill="auto"/>
          </w:tcPr>
          <w:p w14:paraId="40CAFEA0" w14:textId="77777777" w:rsidR="00584FB3" w:rsidRDefault="00584FB3">
            <w:pPr>
              <w:rPr>
                <w:rFonts w:ascii="宋体"/>
                <w:vanish/>
              </w:rPr>
            </w:pPr>
          </w:p>
        </w:tc>
        <w:tc>
          <w:tcPr>
            <w:tcW w:w="0" w:type="auto"/>
            <w:gridSpan w:val="3"/>
            <w:shd w:val="clear" w:color="auto" w:fill="auto"/>
          </w:tcPr>
          <w:p w14:paraId="40CAFEA1" w14:textId="77777777" w:rsidR="00584FB3" w:rsidRDefault="00584FB3">
            <w:pPr>
              <w:rPr>
                <w:rFonts w:ascii="宋体"/>
                <w:vanish/>
              </w:rPr>
            </w:pPr>
          </w:p>
        </w:tc>
      </w:tr>
      <w:tr w:rsidR="00584FB3" w14:paraId="40CAFEAB" w14:textId="77777777">
        <w:trPr>
          <w:hidden/>
        </w:trPr>
        <w:tc>
          <w:tcPr>
            <w:tcW w:w="0" w:type="auto"/>
            <w:gridSpan w:val="3"/>
            <w:shd w:val="clear" w:color="auto" w:fill="auto"/>
          </w:tcPr>
          <w:p w14:paraId="40CAFEA3" w14:textId="77777777" w:rsidR="00584FB3" w:rsidRDefault="00584FB3">
            <w:pPr>
              <w:rPr>
                <w:rFonts w:ascii="宋体"/>
                <w:vanish/>
              </w:rPr>
            </w:pPr>
          </w:p>
        </w:tc>
        <w:tc>
          <w:tcPr>
            <w:tcW w:w="0" w:type="auto"/>
            <w:gridSpan w:val="3"/>
            <w:shd w:val="clear" w:color="auto" w:fill="auto"/>
          </w:tcPr>
          <w:p w14:paraId="40CAFEA4" w14:textId="77777777" w:rsidR="00584FB3" w:rsidRDefault="00584FB3">
            <w:pPr>
              <w:rPr>
                <w:rFonts w:ascii="宋体"/>
                <w:vanish/>
              </w:rPr>
            </w:pPr>
          </w:p>
        </w:tc>
        <w:tc>
          <w:tcPr>
            <w:tcW w:w="0" w:type="auto"/>
            <w:gridSpan w:val="3"/>
            <w:shd w:val="clear" w:color="auto" w:fill="auto"/>
          </w:tcPr>
          <w:p w14:paraId="40CAFEA5" w14:textId="77777777" w:rsidR="00584FB3" w:rsidRDefault="00584FB3">
            <w:pPr>
              <w:rPr>
                <w:rFonts w:ascii="宋体"/>
                <w:vanish/>
              </w:rPr>
            </w:pPr>
          </w:p>
        </w:tc>
        <w:tc>
          <w:tcPr>
            <w:tcW w:w="0" w:type="auto"/>
            <w:gridSpan w:val="3"/>
            <w:shd w:val="clear" w:color="auto" w:fill="auto"/>
          </w:tcPr>
          <w:p w14:paraId="40CAFEA6" w14:textId="77777777" w:rsidR="00584FB3" w:rsidRDefault="00584FB3">
            <w:pPr>
              <w:rPr>
                <w:rFonts w:ascii="宋体"/>
                <w:vanish/>
              </w:rPr>
            </w:pPr>
          </w:p>
        </w:tc>
        <w:tc>
          <w:tcPr>
            <w:tcW w:w="0" w:type="auto"/>
            <w:shd w:val="clear" w:color="auto" w:fill="auto"/>
          </w:tcPr>
          <w:p w14:paraId="40CAFEA7" w14:textId="77777777" w:rsidR="00584FB3" w:rsidRDefault="00584FB3">
            <w:pPr>
              <w:rPr>
                <w:rFonts w:ascii="宋体"/>
                <w:vanish/>
              </w:rPr>
            </w:pPr>
          </w:p>
        </w:tc>
        <w:tc>
          <w:tcPr>
            <w:tcW w:w="0" w:type="auto"/>
            <w:shd w:val="clear" w:color="auto" w:fill="auto"/>
          </w:tcPr>
          <w:p w14:paraId="40CAFEA8" w14:textId="77777777" w:rsidR="00584FB3" w:rsidRDefault="00584FB3">
            <w:pPr>
              <w:rPr>
                <w:rFonts w:ascii="宋体"/>
                <w:vanish/>
              </w:rPr>
            </w:pPr>
          </w:p>
        </w:tc>
        <w:tc>
          <w:tcPr>
            <w:tcW w:w="0" w:type="auto"/>
            <w:gridSpan w:val="3"/>
            <w:shd w:val="clear" w:color="auto" w:fill="auto"/>
          </w:tcPr>
          <w:p w14:paraId="40CAFEA9" w14:textId="77777777" w:rsidR="00584FB3" w:rsidRDefault="00584FB3">
            <w:pPr>
              <w:rPr>
                <w:rFonts w:ascii="宋体"/>
                <w:vanish/>
              </w:rPr>
            </w:pPr>
          </w:p>
        </w:tc>
        <w:tc>
          <w:tcPr>
            <w:tcW w:w="0" w:type="auto"/>
            <w:gridSpan w:val="3"/>
            <w:shd w:val="clear" w:color="auto" w:fill="auto"/>
          </w:tcPr>
          <w:p w14:paraId="40CAFEAA" w14:textId="77777777" w:rsidR="00584FB3" w:rsidRDefault="00584FB3">
            <w:pPr>
              <w:rPr>
                <w:rFonts w:ascii="宋体"/>
                <w:vanish/>
              </w:rPr>
            </w:pPr>
          </w:p>
        </w:tc>
      </w:tr>
      <w:tr w:rsidR="00584FB3" w14:paraId="40CAFEB4" w14:textId="77777777">
        <w:trPr>
          <w:hidden/>
        </w:trPr>
        <w:tc>
          <w:tcPr>
            <w:tcW w:w="0" w:type="auto"/>
            <w:gridSpan w:val="3"/>
            <w:shd w:val="clear" w:color="auto" w:fill="auto"/>
          </w:tcPr>
          <w:p w14:paraId="40CAFEAC" w14:textId="77777777" w:rsidR="00584FB3" w:rsidRDefault="00584FB3">
            <w:pPr>
              <w:rPr>
                <w:rFonts w:ascii="宋体"/>
                <w:vanish/>
              </w:rPr>
            </w:pPr>
          </w:p>
        </w:tc>
        <w:tc>
          <w:tcPr>
            <w:tcW w:w="0" w:type="auto"/>
            <w:gridSpan w:val="3"/>
            <w:shd w:val="clear" w:color="auto" w:fill="auto"/>
          </w:tcPr>
          <w:p w14:paraId="40CAFEAD" w14:textId="77777777" w:rsidR="00584FB3" w:rsidRDefault="00584FB3">
            <w:pPr>
              <w:rPr>
                <w:rFonts w:ascii="宋体"/>
                <w:vanish/>
              </w:rPr>
            </w:pPr>
          </w:p>
        </w:tc>
        <w:tc>
          <w:tcPr>
            <w:tcW w:w="0" w:type="auto"/>
            <w:gridSpan w:val="3"/>
            <w:shd w:val="clear" w:color="auto" w:fill="auto"/>
          </w:tcPr>
          <w:p w14:paraId="40CAFEAE" w14:textId="77777777" w:rsidR="00584FB3" w:rsidRDefault="00584FB3">
            <w:pPr>
              <w:rPr>
                <w:rFonts w:ascii="宋体"/>
                <w:vanish/>
              </w:rPr>
            </w:pPr>
          </w:p>
        </w:tc>
        <w:tc>
          <w:tcPr>
            <w:tcW w:w="0" w:type="auto"/>
            <w:gridSpan w:val="3"/>
            <w:shd w:val="clear" w:color="auto" w:fill="auto"/>
          </w:tcPr>
          <w:p w14:paraId="40CAFEAF" w14:textId="77777777" w:rsidR="00584FB3" w:rsidRDefault="00584FB3">
            <w:pPr>
              <w:rPr>
                <w:rFonts w:ascii="宋体"/>
                <w:vanish/>
              </w:rPr>
            </w:pPr>
          </w:p>
        </w:tc>
        <w:tc>
          <w:tcPr>
            <w:tcW w:w="0" w:type="auto"/>
            <w:shd w:val="clear" w:color="auto" w:fill="auto"/>
          </w:tcPr>
          <w:p w14:paraId="40CAFEB0" w14:textId="77777777" w:rsidR="00584FB3" w:rsidRDefault="00584FB3">
            <w:pPr>
              <w:rPr>
                <w:rFonts w:ascii="宋体"/>
                <w:vanish/>
              </w:rPr>
            </w:pPr>
          </w:p>
        </w:tc>
        <w:tc>
          <w:tcPr>
            <w:tcW w:w="0" w:type="auto"/>
            <w:shd w:val="clear" w:color="auto" w:fill="auto"/>
          </w:tcPr>
          <w:p w14:paraId="40CAFEB1" w14:textId="77777777" w:rsidR="00584FB3" w:rsidRDefault="00584FB3">
            <w:pPr>
              <w:rPr>
                <w:rFonts w:ascii="宋体"/>
                <w:vanish/>
              </w:rPr>
            </w:pPr>
          </w:p>
        </w:tc>
        <w:tc>
          <w:tcPr>
            <w:tcW w:w="0" w:type="auto"/>
            <w:gridSpan w:val="3"/>
            <w:shd w:val="clear" w:color="auto" w:fill="auto"/>
          </w:tcPr>
          <w:p w14:paraId="40CAFEB2" w14:textId="77777777" w:rsidR="00584FB3" w:rsidRDefault="00584FB3">
            <w:pPr>
              <w:rPr>
                <w:rFonts w:ascii="宋体"/>
                <w:vanish/>
              </w:rPr>
            </w:pPr>
          </w:p>
        </w:tc>
        <w:tc>
          <w:tcPr>
            <w:tcW w:w="0" w:type="auto"/>
            <w:gridSpan w:val="3"/>
            <w:shd w:val="clear" w:color="auto" w:fill="auto"/>
          </w:tcPr>
          <w:p w14:paraId="40CAFEB3" w14:textId="77777777" w:rsidR="00584FB3" w:rsidRDefault="00584FB3">
            <w:pPr>
              <w:rPr>
                <w:rFonts w:ascii="宋体"/>
                <w:vanish/>
              </w:rPr>
            </w:pPr>
          </w:p>
        </w:tc>
      </w:tr>
      <w:tr w:rsidR="00584FB3" w14:paraId="40CAFEBF" w14:textId="77777777">
        <w:tc>
          <w:tcPr>
            <w:tcW w:w="0" w:type="auto"/>
            <w:gridSpan w:val="3"/>
            <w:shd w:val="clear" w:color="auto" w:fill="D7E4BC"/>
            <w:tcMar>
              <w:top w:w="40" w:type="dxa"/>
              <w:left w:w="20" w:type="dxa"/>
              <w:bottom w:w="40" w:type="dxa"/>
              <w:right w:w="20" w:type="dxa"/>
            </w:tcMar>
          </w:tcPr>
          <w:p w14:paraId="40CAFEB5" w14:textId="77777777" w:rsidR="00584FB3" w:rsidRDefault="00786180">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40CAFEB6" w14:textId="77777777" w:rsidR="00584FB3" w:rsidRDefault="00786180">
            <w:pPr>
              <w:jc w:val="right"/>
              <w:textAlignment w:val="bottom"/>
            </w:pPr>
            <w:r>
              <w:rPr>
                <w:rFonts w:ascii="Times New Roman" w:eastAsia="宋体" w:hAnsi="Times New Roman"/>
                <w:color w:val="000000"/>
                <w:sz w:val="20"/>
                <w:szCs w:val="20"/>
              </w:rPr>
              <w:t>15.5 </w:t>
            </w:r>
          </w:p>
        </w:tc>
        <w:tc>
          <w:tcPr>
            <w:tcW w:w="0" w:type="auto"/>
            <w:shd w:val="clear" w:color="auto" w:fill="D7E4BC"/>
            <w:tcMar>
              <w:top w:w="40" w:type="dxa"/>
              <w:left w:w="0" w:type="dxa"/>
              <w:bottom w:w="40" w:type="dxa"/>
              <w:right w:w="20" w:type="dxa"/>
            </w:tcMar>
            <w:vAlign w:val="bottom"/>
          </w:tcPr>
          <w:p w14:paraId="40CAFEB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B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EB9" w14:textId="77777777" w:rsidR="00584FB3" w:rsidRDefault="00786180">
            <w:pPr>
              <w:jc w:val="right"/>
              <w:textAlignment w:val="bottom"/>
            </w:pPr>
            <w:r>
              <w:rPr>
                <w:rFonts w:ascii="Times New Roman" w:eastAsia="宋体" w:hAnsi="Times New Roman"/>
                <w:color w:val="000000"/>
                <w:sz w:val="20"/>
                <w:szCs w:val="20"/>
              </w:rPr>
              <w:t>15.9 </w:t>
            </w:r>
          </w:p>
        </w:tc>
        <w:tc>
          <w:tcPr>
            <w:tcW w:w="0" w:type="auto"/>
            <w:shd w:val="clear" w:color="auto" w:fill="D7E4BC"/>
            <w:tcMar>
              <w:top w:w="40" w:type="dxa"/>
              <w:left w:w="0" w:type="dxa"/>
              <w:bottom w:w="40" w:type="dxa"/>
              <w:right w:w="20" w:type="dxa"/>
            </w:tcMar>
            <w:vAlign w:val="bottom"/>
          </w:tcPr>
          <w:p w14:paraId="40CAFEBA" w14:textId="77777777" w:rsidR="00584FB3" w:rsidRDefault="00584FB3">
            <w:pPr>
              <w:jc w:val="right"/>
              <w:rPr>
                <w:rFonts w:ascii="宋体"/>
              </w:rPr>
            </w:pPr>
          </w:p>
        </w:tc>
        <w:tc>
          <w:tcPr>
            <w:tcW w:w="0" w:type="auto"/>
            <w:shd w:val="clear" w:color="auto" w:fill="auto"/>
          </w:tcPr>
          <w:p w14:paraId="40CAFEBB" w14:textId="77777777" w:rsidR="00584FB3" w:rsidRDefault="00584FB3">
            <w:pPr>
              <w:rPr>
                <w:rFonts w:ascii="宋体"/>
                <w:vanish/>
              </w:rPr>
            </w:pPr>
          </w:p>
        </w:tc>
        <w:tc>
          <w:tcPr>
            <w:tcW w:w="0" w:type="auto"/>
            <w:shd w:val="clear" w:color="auto" w:fill="auto"/>
          </w:tcPr>
          <w:p w14:paraId="40CAFEBC" w14:textId="77777777" w:rsidR="00584FB3" w:rsidRDefault="00584FB3">
            <w:pPr>
              <w:rPr>
                <w:rFonts w:ascii="宋体"/>
                <w:vanish/>
              </w:rPr>
            </w:pPr>
          </w:p>
        </w:tc>
        <w:tc>
          <w:tcPr>
            <w:tcW w:w="0" w:type="auto"/>
            <w:gridSpan w:val="3"/>
            <w:shd w:val="clear" w:color="auto" w:fill="auto"/>
          </w:tcPr>
          <w:p w14:paraId="40CAFEBD" w14:textId="77777777" w:rsidR="00584FB3" w:rsidRDefault="00584FB3">
            <w:pPr>
              <w:rPr>
                <w:rFonts w:ascii="宋体"/>
                <w:vanish/>
              </w:rPr>
            </w:pPr>
          </w:p>
        </w:tc>
        <w:tc>
          <w:tcPr>
            <w:tcW w:w="0" w:type="auto"/>
            <w:gridSpan w:val="3"/>
            <w:shd w:val="clear" w:color="auto" w:fill="auto"/>
          </w:tcPr>
          <w:p w14:paraId="40CAFEBE" w14:textId="77777777" w:rsidR="00584FB3" w:rsidRDefault="00584FB3">
            <w:pPr>
              <w:rPr>
                <w:rFonts w:ascii="宋体"/>
                <w:vanish/>
              </w:rPr>
            </w:pPr>
          </w:p>
        </w:tc>
      </w:tr>
      <w:tr w:rsidR="00584FB3" w14:paraId="40CAFECA" w14:textId="77777777">
        <w:tc>
          <w:tcPr>
            <w:tcW w:w="0" w:type="auto"/>
            <w:gridSpan w:val="3"/>
            <w:shd w:val="clear" w:color="auto" w:fill="FFFFFF"/>
            <w:tcMar>
              <w:top w:w="40" w:type="dxa"/>
              <w:left w:w="20" w:type="dxa"/>
              <w:bottom w:w="40" w:type="dxa"/>
              <w:right w:w="20" w:type="dxa"/>
            </w:tcMar>
          </w:tcPr>
          <w:p w14:paraId="40CAFEC0" w14:textId="77777777" w:rsidR="00584FB3" w:rsidRDefault="00786180">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40CAFEC1" w14:textId="77777777" w:rsidR="00584FB3" w:rsidRDefault="00786180">
            <w:pPr>
              <w:jc w:val="right"/>
              <w:textAlignment w:val="bottom"/>
            </w:pPr>
            <w:r>
              <w:rPr>
                <w:rFonts w:ascii="Times New Roman" w:eastAsia="宋体" w:hAnsi="Times New Roman"/>
                <w:color w:val="000000"/>
                <w:sz w:val="20"/>
                <w:szCs w:val="20"/>
              </w:rPr>
              <w:t>(120.7)</w:t>
            </w:r>
          </w:p>
        </w:tc>
        <w:tc>
          <w:tcPr>
            <w:tcW w:w="0" w:type="auto"/>
            <w:shd w:val="clear" w:color="auto" w:fill="FFFFFF"/>
            <w:tcMar>
              <w:top w:w="40" w:type="dxa"/>
              <w:left w:w="0" w:type="dxa"/>
              <w:bottom w:w="40" w:type="dxa"/>
              <w:right w:w="20" w:type="dxa"/>
            </w:tcMar>
            <w:vAlign w:val="bottom"/>
          </w:tcPr>
          <w:p w14:paraId="40CAFEC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C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EC4" w14:textId="77777777" w:rsidR="00584FB3" w:rsidRDefault="00786180">
            <w:pPr>
              <w:jc w:val="right"/>
              <w:textAlignment w:val="bottom"/>
            </w:pPr>
            <w:r>
              <w:rPr>
                <w:rFonts w:ascii="Times New Roman" w:eastAsia="宋体" w:hAnsi="Times New Roman"/>
                <w:color w:val="000000"/>
                <w:sz w:val="20"/>
                <w:szCs w:val="20"/>
              </w:rPr>
              <w:t>(91.9)</w:t>
            </w:r>
          </w:p>
        </w:tc>
        <w:tc>
          <w:tcPr>
            <w:tcW w:w="0" w:type="auto"/>
            <w:shd w:val="clear" w:color="auto" w:fill="FFFFFF"/>
            <w:tcMar>
              <w:top w:w="40" w:type="dxa"/>
              <w:left w:w="0" w:type="dxa"/>
              <w:bottom w:w="40" w:type="dxa"/>
              <w:right w:w="20" w:type="dxa"/>
            </w:tcMar>
            <w:vAlign w:val="bottom"/>
          </w:tcPr>
          <w:p w14:paraId="40CAFEC5" w14:textId="77777777" w:rsidR="00584FB3" w:rsidRDefault="00584FB3">
            <w:pPr>
              <w:jc w:val="right"/>
              <w:rPr>
                <w:rFonts w:ascii="宋体"/>
              </w:rPr>
            </w:pPr>
          </w:p>
        </w:tc>
        <w:tc>
          <w:tcPr>
            <w:tcW w:w="0" w:type="auto"/>
            <w:shd w:val="clear" w:color="auto" w:fill="auto"/>
          </w:tcPr>
          <w:p w14:paraId="40CAFEC6" w14:textId="77777777" w:rsidR="00584FB3" w:rsidRDefault="00584FB3">
            <w:pPr>
              <w:rPr>
                <w:rFonts w:ascii="宋体"/>
                <w:vanish/>
              </w:rPr>
            </w:pPr>
          </w:p>
        </w:tc>
        <w:tc>
          <w:tcPr>
            <w:tcW w:w="0" w:type="auto"/>
            <w:shd w:val="clear" w:color="auto" w:fill="auto"/>
          </w:tcPr>
          <w:p w14:paraId="40CAFEC7" w14:textId="77777777" w:rsidR="00584FB3" w:rsidRDefault="00584FB3">
            <w:pPr>
              <w:rPr>
                <w:rFonts w:ascii="宋体"/>
                <w:vanish/>
              </w:rPr>
            </w:pPr>
          </w:p>
        </w:tc>
        <w:tc>
          <w:tcPr>
            <w:tcW w:w="0" w:type="auto"/>
            <w:gridSpan w:val="3"/>
            <w:shd w:val="clear" w:color="auto" w:fill="auto"/>
          </w:tcPr>
          <w:p w14:paraId="40CAFEC8" w14:textId="77777777" w:rsidR="00584FB3" w:rsidRDefault="00584FB3">
            <w:pPr>
              <w:rPr>
                <w:rFonts w:ascii="宋体"/>
                <w:vanish/>
              </w:rPr>
            </w:pPr>
          </w:p>
        </w:tc>
        <w:tc>
          <w:tcPr>
            <w:tcW w:w="0" w:type="auto"/>
            <w:gridSpan w:val="3"/>
            <w:shd w:val="clear" w:color="auto" w:fill="auto"/>
          </w:tcPr>
          <w:p w14:paraId="40CAFEC9" w14:textId="77777777" w:rsidR="00584FB3" w:rsidRDefault="00584FB3">
            <w:pPr>
              <w:rPr>
                <w:rFonts w:ascii="宋体"/>
                <w:vanish/>
              </w:rPr>
            </w:pPr>
          </w:p>
        </w:tc>
      </w:tr>
      <w:tr w:rsidR="00584FB3" w14:paraId="40CAFED5" w14:textId="77777777">
        <w:tc>
          <w:tcPr>
            <w:tcW w:w="0" w:type="auto"/>
            <w:gridSpan w:val="3"/>
            <w:shd w:val="clear" w:color="auto" w:fill="D7E4BC"/>
            <w:tcMar>
              <w:top w:w="40" w:type="dxa"/>
              <w:left w:w="380" w:type="dxa"/>
              <w:bottom w:w="40" w:type="dxa"/>
              <w:right w:w="20" w:type="dxa"/>
            </w:tcMar>
          </w:tcPr>
          <w:p w14:paraId="40CAFECB" w14:textId="77777777" w:rsidR="00584FB3" w:rsidRDefault="00786180">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ECC" w14:textId="77777777" w:rsidR="00584FB3" w:rsidRDefault="00786180">
            <w:pPr>
              <w:jc w:val="right"/>
              <w:textAlignment w:val="bottom"/>
            </w:pPr>
            <w:r>
              <w:rPr>
                <w:rFonts w:ascii="Times New Roman" w:eastAsia="宋体" w:hAnsi="Times New Roman"/>
                <w:color w:val="000000"/>
                <w:sz w:val="20"/>
                <w:szCs w:val="20"/>
              </w:rPr>
              <w:t>808.3 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C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CE"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ECF" w14:textId="77777777" w:rsidR="00584FB3" w:rsidRDefault="00786180">
            <w:pPr>
              <w:jc w:val="right"/>
              <w:textAlignment w:val="bottom"/>
            </w:pPr>
            <w:r>
              <w:rPr>
                <w:rFonts w:ascii="Times New Roman" w:eastAsia="宋体" w:hAnsi="Times New Roman"/>
                <w:color w:val="000000"/>
                <w:sz w:val="20"/>
                <w:szCs w:val="20"/>
              </w:rPr>
              <w:t>1,143.8 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D0" w14:textId="77777777" w:rsidR="00584FB3" w:rsidRDefault="00584FB3">
            <w:pPr>
              <w:jc w:val="right"/>
              <w:rPr>
                <w:rFonts w:ascii="宋体"/>
              </w:rPr>
            </w:pPr>
          </w:p>
        </w:tc>
        <w:tc>
          <w:tcPr>
            <w:tcW w:w="0" w:type="auto"/>
            <w:shd w:val="clear" w:color="auto" w:fill="auto"/>
          </w:tcPr>
          <w:p w14:paraId="40CAFED1" w14:textId="77777777" w:rsidR="00584FB3" w:rsidRDefault="00584FB3">
            <w:pPr>
              <w:rPr>
                <w:rFonts w:ascii="宋体"/>
                <w:vanish/>
              </w:rPr>
            </w:pPr>
          </w:p>
        </w:tc>
        <w:tc>
          <w:tcPr>
            <w:tcW w:w="0" w:type="auto"/>
            <w:shd w:val="clear" w:color="auto" w:fill="auto"/>
          </w:tcPr>
          <w:p w14:paraId="40CAFED2" w14:textId="77777777" w:rsidR="00584FB3" w:rsidRDefault="00584FB3">
            <w:pPr>
              <w:rPr>
                <w:rFonts w:ascii="宋体"/>
                <w:vanish/>
              </w:rPr>
            </w:pPr>
          </w:p>
        </w:tc>
        <w:tc>
          <w:tcPr>
            <w:tcW w:w="0" w:type="auto"/>
            <w:gridSpan w:val="3"/>
            <w:shd w:val="clear" w:color="auto" w:fill="auto"/>
          </w:tcPr>
          <w:p w14:paraId="40CAFED3" w14:textId="77777777" w:rsidR="00584FB3" w:rsidRDefault="00584FB3">
            <w:pPr>
              <w:rPr>
                <w:rFonts w:ascii="宋体"/>
                <w:vanish/>
              </w:rPr>
            </w:pPr>
          </w:p>
        </w:tc>
        <w:tc>
          <w:tcPr>
            <w:tcW w:w="0" w:type="auto"/>
            <w:gridSpan w:val="3"/>
            <w:shd w:val="clear" w:color="auto" w:fill="auto"/>
          </w:tcPr>
          <w:p w14:paraId="40CAFED4" w14:textId="77777777" w:rsidR="00584FB3" w:rsidRDefault="00584FB3">
            <w:pPr>
              <w:rPr>
                <w:rFonts w:ascii="宋体"/>
                <w:vanish/>
              </w:rPr>
            </w:pPr>
          </w:p>
        </w:tc>
      </w:tr>
      <w:tr w:rsidR="00584FB3" w14:paraId="40CAFEE0" w14:textId="77777777">
        <w:tc>
          <w:tcPr>
            <w:tcW w:w="0" w:type="auto"/>
            <w:gridSpan w:val="3"/>
            <w:shd w:val="clear" w:color="auto" w:fill="FFFFFF"/>
            <w:tcMar>
              <w:top w:w="40" w:type="dxa"/>
              <w:left w:w="20" w:type="dxa"/>
              <w:bottom w:w="40" w:type="dxa"/>
              <w:right w:w="20" w:type="dxa"/>
            </w:tcMar>
          </w:tcPr>
          <w:p w14:paraId="40CAFED6" w14:textId="77777777" w:rsidR="00584FB3" w:rsidRDefault="00786180">
            <w:pPr>
              <w:textAlignment w:val="top"/>
            </w:pPr>
            <w:r>
              <w:rPr>
                <w:rFonts w:ascii="Times New Roman" w:eastAsia="宋体" w:hAnsi="Times New Roman"/>
                <w:color w:val="000000"/>
                <w:sz w:val="20"/>
                <w:szCs w:val="20"/>
              </w:rPr>
              <w:t xml:space="preserve">Income tax </w:t>
            </w:r>
            <w:r>
              <w:rPr>
                <w:rFonts w:ascii="Times New Roman" w:eastAsia="宋体" w:hAnsi="Times New Roman"/>
                <w:color w:val="000000"/>
                <w:sz w:val="20"/>
                <w:szCs w:val="20"/>
              </w:rPr>
              <w:t>expense</w:t>
            </w:r>
          </w:p>
        </w:tc>
        <w:tc>
          <w:tcPr>
            <w:tcW w:w="0" w:type="auto"/>
            <w:gridSpan w:val="2"/>
            <w:shd w:val="clear" w:color="auto" w:fill="FFFFFF"/>
            <w:tcMar>
              <w:top w:w="40" w:type="dxa"/>
              <w:left w:w="20" w:type="dxa"/>
              <w:bottom w:w="40" w:type="dxa"/>
              <w:right w:w="0" w:type="dxa"/>
            </w:tcMar>
            <w:vAlign w:val="bottom"/>
          </w:tcPr>
          <w:p w14:paraId="40CAFED7" w14:textId="77777777" w:rsidR="00584FB3" w:rsidRDefault="00786180">
            <w:pPr>
              <w:jc w:val="right"/>
              <w:textAlignment w:val="bottom"/>
            </w:pPr>
            <w:r>
              <w:rPr>
                <w:rFonts w:ascii="Times New Roman" w:eastAsia="宋体" w:hAnsi="Times New Roman"/>
                <w:color w:val="000000"/>
                <w:sz w:val="20"/>
                <w:szCs w:val="20"/>
              </w:rPr>
              <w:t>186.1 </w:t>
            </w:r>
          </w:p>
        </w:tc>
        <w:tc>
          <w:tcPr>
            <w:tcW w:w="0" w:type="auto"/>
            <w:shd w:val="clear" w:color="auto" w:fill="FFFFFF"/>
            <w:tcMar>
              <w:top w:w="40" w:type="dxa"/>
              <w:left w:w="0" w:type="dxa"/>
              <w:bottom w:w="40" w:type="dxa"/>
              <w:right w:w="20" w:type="dxa"/>
            </w:tcMar>
            <w:vAlign w:val="bottom"/>
          </w:tcPr>
          <w:p w14:paraId="40CAFED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D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EDA" w14:textId="77777777" w:rsidR="00584FB3" w:rsidRDefault="00786180">
            <w:pPr>
              <w:jc w:val="right"/>
              <w:textAlignment w:val="bottom"/>
            </w:pPr>
            <w:r>
              <w:rPr>
                <w:rFonts w:ascii="Times New Roman" w:eastAsia="宋体" w:hAnsi="Times New Roman"/>
                <w:color w:val="000000"/>
                <w:sz w:val="20"/>
                <w:szCs w:val="20"/>
              </w:rPr>
              <w:t>258.5 </w:t>
            </w:r>
          </w:p>
        </w:tc>
        <w:tc>
          <w:tcPr>
            <w:tcW w:w="0" w:type="auto"/>
            <w:shd w:val="clear" w:color="auto" w:fill="FFFFFF"/>
            <w:tcMar>
              <w:top w:w="40" w:type="dxa"/>
              <w:left w:w="0" w:type="dxa"/>
              <w:bottom w:w="40" w:type="dxa"/>
              <w:right w:w="20" w:type="dxa"/>
            </w:tcMar>
            <w:vAlign w:val="bottom"/>
          </w:tcPr>
          <w:p w14:paraId="40CAFEDB" w14:textId="77777777" w:rsidR="00584FB3" w:rsidRDefault="00584FB3">
            <w:pPr>
              <w:jc w:val="right"/>
              <w:rPr>
                <w:rFonts w:ascii="宋体"/>
              </w:rPr>
            </w:pPr>
          </w:p>
        </w:tc>
        <w:tc>
          <w:tcPr>
            <w:tcW w:w="0" w:type="auto"/>
            <w:shd w:val="clear" w:color="auto" w:fill="auto"/>
          </w:tcPr>
          <w:p w14:paraId="40CAFEDC" w14:textId="77777777" w:rsidR="00584FB3" w:rsidRDefault="00584FB3">
            <w:pPr>
              <w:rPr>
                <w:rFonts w:ascii="宋体"/>
                <w:vanish/>
              </w:rPr>
            </w:pPr>
          </w:p>
        </w:tc>
        <w:tc>
          <w:tcPr>
            <w:tcW w:w="0" w:type="auto"/>
            <w:shd w:val="clear" w:color="auto" w:fill="auto"/>
          </w:tcPr>
          <w:p w14:paraId="40CAFEDD" w14:textId="77777777" w:rsidR="00584FB3" w:rsidRDefault="00584FB3">
            <w:pPr>
              <w:rPr>
                <w:rFonts w:ascii="宋体"/>
                <w:vanish/>
              </w:rPr>
            </w:pPr>
          </w:p>
        </w:tc>
        <w:tc>
          <w:tcPr>
            <w:tcW w:w="0" w:type="auto"/>
            <w:gridSpan w:val="3"/>
            <w:shd w:val="clear" w:color="auto" w:fill="auto"/>
          </w:tcPr>
          <w:p w14:paraId="40CAFEDE" w14:textId="77777777" w:rsidR="00584FB3" w:rsidRDefault="00584FB3">
            <w:pPr>
              <w:rPr>
                <w:rFonts w:ascii="宋体"/>
                <w:vanish/>
              </w:rPr>
            </w:pPr>
          </w:p>
        </w:tc>
        <w:tc>
          <w:tcPr>
            <w:tcW w:w="0" w:type="auto"/>
            <w:gridSpan w:val="3"/>
            <w:shd w:val="clear" w:color="auto" w:fill="auto"/>
          </w:tcPr>
          <w:p w14:paraId="40CAFEDF" w14:textId="77777777" w:rsidR="00584FB3" w:rsidRDefault="00584FB3">
            <w:pPr>
              <w:rPr>
                <w:rFonts w:ascii="宋体"/>
                <w:vanish/>
              </w:rPr>
            </w:pPr>
          </w:p>
        </w:tc>
      </w:tr>
      <w:tr w:rsidR="00584FB3" w14:paraId="40CAFEEB" w14:textId="77777777">
        <w:tc>
          <w:tcPr>
            <w:tcW w:w="0" w:type="auto"/>
            <w:gridSpan w:val="3"/>
            <w:shd w:val="clear" w:color="auto" w:fill="D7E4BC"/>
            <w:tcMar>
              <w:top w:w="40" w:type="dxa"/>
              <w:left w:w="380" w:type="dxa"/>
              <w:bottom w:w="40" w:type="dxa"/>
              <w:right w:w="20" w:type="dxa"/>
            </w:tcMar>
          </w:tcPr>
          <w:p w14:paraId="40CAFEE1" w14:textId="77777777" w:rsidR="00584FB3" w:rsidRDefault="00786180">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EE2" w14:textId="77777777" w:rsidR="00584FB3" w:rsidRDefault="00786180">
            <w:pPr>
              <w:jc w:val="right"/>
              <w:textAlignment w:val="bottom"/>
            </w:pPr>
            <w:r>
              <w:rPr>
                <w:rFonts w:ascii="Times New Roman" w:eastAsia="宋体" w:hAnsi="Times New Roman"/>
                <w:color w:val="000000"/>
                <w:sz w:val="20"/>
                <w:szCs w:val="20"/>
              </w:rPr>
              <w:t>622.2 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E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E4"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EE5" w14:textId="77777777" w:rsidR="00584FB3" w:rsidRDefault="00786180">
            <w:pPr>
              <w:jc w:val="right"/>
              <w:textAlignment w:val="bottom"/>
            </w:pPr>
            <w:r>
              <w:rPr>
                <w:rFonts w:ascii="Times New Roman" w:eastAsia="宋体" w:hAnsi="Times New Roman"/>
                <w:color w:val="000000"/>
                <w:sz w:val="20"/>
                <w:szCs w:val="20"/>
              </w:rPr>
              <w:t>885.3 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E6" w14:textId="77777777" w:rsidR="00584FB3" w:rsidRDefault="00584FB3">
            <w:pPr>
              <w:jc w:val="right"/>
              <w:rPr>
                <w:rFonts w:ascii="宋体"/>
              </w:rPr>
            </w:pPr>
          </w:p>
        </w:tc>
        <w:tc>
          <w:tcPr>
            <w:tcW w:w="0" w:type="auto"/>
            <w:shd w:val="clear" w:color="auto" w:fill="auto"/>
          </w:tcPr>
          <w:p w14:paraId="40CAFEE7" w14:textId="77777777" w:rsidR="00584FB3" w:rsidRDefault="00584FB3">
            <w:pPr>
              <w:rPr>
                <w:rFonts w:ascii="宋体"/>
                <w:vanish/>
              </w:rPr>
            </w:pPr>
          </w:p>
        </w:tc>
        <w:tc>
          <w:tcPr>
            <w:tcW w:w="0" w:type="auto"/>
            <w:shd w:val="clear" w:color="auto" w:fill="auto"/>
          </w:tcPr>
          <w:p w14:paraId="40CAFEE8" w14:textId="77777777" w:rsidR="00584FB3" w:rsidRDefault="00584FB3">
            <w:pPr>
              <w:rPr>
                <w:rFonts w:ascii="宋体"/>
                <w:vanish/>
              </w:rPr>
            </w:pPr>
          </w:p>
        </w:tc>
        <w:tc>
          <w:tcPr>
            <w:tcW w:w="0" w:type="auto"/>
            <w:gridSpan w:val="3"/>
            <w:shd w:val="clear" w:color="auto" w:fill="auto"/>
          </w:tcPr>
          <w:p w14:paraId="40CAFEE9" w14:textId="77777777" w:rsidR="00584FB3" w:rsidRDefault="00584FB3">
            <w:pPr>
              <w:rPr>
                <w:rFonts w:ascii="宋体"/>
                <w:vanish/>
              </w:rPr>
            </w:pPr>
          </w:p>
        </w:tc>
        <w:tc>
          <w:tcPr>
            <w:tcW w:w="0" w:type="auto"/>
            <w:gridSpan w:val="3"/>
            <w:shd w:val="clear" w:color="auto" w:fill="auto"/>
          </w:tcPr>
          <w:p w14:paraId="40CAFEEA" w14:textId="77777777" w:rsidR="00584FB3" w:rsidRDefault="00584FB3">
            <w:pPr>
              <w:rPr>
                <w:rFonts w:ascii="宋体"/>
                <w:vanish/>
              </w:rPr>
            </w:pPr>
          </w:p>
        </w:tc>
      </w:tr>
      <w:tr w:rsidR="00584FB3" w14:paraId="40CAFEF6" w14:textId="77777777">
        <w:tc>
          <w:tcPr>
            <w:tcW w:w="0" w:type="auto"/>
            <w:gridSpan w:val="3"/>
            <w:shd w:val="clear" w:color="auto" w:fill="FFFFFF"/>
            <w:tcMar>
              <w:top w:w="40" w:type="dxa"/>
              <w:left w:w="380" w:type="dxa"/>
              <w:bottom w:w="40" w:type="dxa"/>
              <w:right w:w="20" w:type="dxa"/>
            </w:tcMar>
          </w:tcPr>
          <w:p w14:paraId="40CAFEEC" w14:textId="77777777" w:rsidR="00584FB3" w:rsidRDefault="00786180">
            <w:pPr>
              <w:textAlignment w:val="top"/>
            </w:pPr>
            <w:r>
              <w:rPr>
                <w:rFonts w:ascii="Times New Roman" w:eastAsia="宋体" w:hAnsi="Times New Roman"/>
                <w:color w:val="000000"/>
                <w:sz w:val="20"/>
                <w:szCs w:val="20"/>
              </w:rPr>
              <w:t>Net loss attributable to noncontrolling interests</w:t>
            </w:r>
          </w:p>
        </w:tc>
        <w:tc>
          <w:tcPr>
            <w:tcW w:w="0" w:type="auto"/>
            <w:gridSpan w:val="2"/>
            <w:shd w:val="clear" w:color="auto" w:fill="FFFFFF"/>
            <w:tcMar>
              <w:top w:w="40" w:type="dxa"/>
              <w:left w:w="20" w:type="dxa"/>
              <w:bottom w:w="40" w:type="dxa"/>
              <w:right w:w="0" w:type="dxa"/>
            </w:tcMar>
            <w:vAlign w:val="bottom"/>
          </w:tcPr>
          <w:p w14:paraId="40CAFEED"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AFEE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EE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EF0" w14:textId="77777777" w:rsidR="00584FB3" w:rsidRDefault="00786180">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40CAFEF1" w14:textId="77777777" w:rsidR="00584FB3" w:rsidRDefault="00584FB3">
            <w:pPr>
              <w:jc w:val="right"/>
              <w:rPr>
                <w:rFonts w:ascii="宋体"/>
              </w:rPr>
            </w:pPr>
          </w:p>
        </w:tc>
        <w:tc>
          <w:tcPr>
            <w:tcW w:w="0" w:type="auto"/>
            <w:shd w:val="clear" w:color="auto" w:fill="auto"/>
          </w:tcPr>
          <w:p w14:paraId="40CAFEF2" w14:textId="77777777" w:rsidR="00584FB3" w:rsidRDefault="00584FB3">
            <w:pPr>
              <w:rPr>
                <w:rFonts w:ascii="宋体"/>
                <w:vanish/>
              </w:rPr>
            </w:pPr>
          </w:p>
        </w:tc>
        <w:tc>
          <w:tcPr>
            <w:tcW w:w="0" w:type="auto"/>
            <w:shd w:val="clear" w:color="auto" w:fill="auto"/>
          </w:tcPr>
          <w:p w14:paraId="40CAFEF3" w14:textId="77777777" w:rsidR="00584FB3" w:rsidRDefault="00584FB3">
            <w:pPr>
              <w:rPr>
                <w:rFonts w:ascii="宋体"/>
                <w:vanish/>
              </w:rPr>
            </w:pPr>
          </w:p>
        </w:tc>
        <w:tc>
          <w:tcPr>
            <w:tcW w:w="0" w:type="auto"/>
            <w:gridSpan w:val="3"/>
            <w:shd w:val="clear" w:color="auto" w:fill="auto"/>
          </w:tcPr>
          <w:p w14:paraId="40CAFEF4" w14:textId="77777777" w:rsidR="00584FB3" w:rsidRDefault="00584FB3">
            <w:pPr>
              <w:rPr>
                <w:rFonts w:ascii="宋体"/>
                <w:vanish/>
              </w:rPr>
            </w:pPr>
          </w:p>
        </w:tc>
        <w:tc>
          <w:tcPr>
            <w:tcW w:w="0" w:type="auto"/>
            <w:gridSpan w:val="3"/>
            <w:shd w:val="clear" w:color="auto" w:fill="auto"/>
          </w:tcPr>
          <w:p w14:paraId="40CAFEF5" w14:textId="77777777" w:rsidR="00584FB3" w:rsidRDefault="00584FB3">
            <w:pPr>
              <w:rPr>
                <w:rFonts w:ascii="宋体"/>
                <w:vanish/>
              </w:rPr>
            </w:pPr>
          </w:p>
        </w:tc>
      </w:tr>
      <w:tr w:rsidR="00584FB3" w14:paraId="40CAFF03" w14:textId="77777777">
        <w:tc>
          <w:tcPr>
            <w:tcW w:w="0" w:type="auto"/>
            <w:gridSpan w:val="3"/>
            <w:shd w:val="clear" w:color="auto" w:fill="D7E4BC"/>
            <w:tcMar>
              <w:top w:w="40" w:type="dxa"/>
              <w:left w:w="380" w:type="dxa"/>
              <w:bottom w:w="40" w:type="dxa"/>
              <w:right w:w="20" w:type="dxa"/>
            </w:tcMar>
          </w:tcPr>
          <w:p w14:paraId="40CAFEF7" w14:textId="77777777" w:rsidR="00584FB3" w:rsidRDefault="00786180">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AFEF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AFEF9" w14:textId="77777777" w:rsidR="00584FB3" w:rsidRDefault="00786180">
            <w:pPr>
              <w:jc w:val="right"/>
              <w:textAlignment w:val="bottom"/>
            </w:pPr>
            <w:r>
              <w:rPr>
                <w:rFonts w:ascii="Times New Roman" w:eastAsia="宋体" w:hAnsi="Times New Roman"/>
                <w:color w:val="000000"/>
                <w:sz w:val="20"/>
                <w:szCs w:val="20"/>
              </w:rPr>
              <w:t>622.2 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F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EFB"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AFEFC"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AFEFD" w14:textId="77777777" w:rsidR="00584FB3" w:rsidRDefault="00786180">
            <w:pPr>
              <w:jc w:val="right"/>
              <w:textAlignment w:val="bottom"/>
            </w:pPr>
            <w:r>
              <w:rPr>
                <w:rFonts w:ascii="Times New Roman" w:eastAsia="宋体" w:hAnsi="Times New Roman"/>
                <w:color w:val="000000"/>
                <w:sz w:val="20"/>
                <w:szCs w:val="20"/>
              </w:rPr>
              <w:t>885.7 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EFE" w14:textId="77777777" w:rsidR="00584FB3" w:rsidRDefault="00584FB3">
            <w:pPr>
              <w:jc w:val="right"/>
              <w:rPr>
                <w:rFonts w:ascii="宋体"/>
              </w:rPr>
            </w:pPr>
          </w:p>
        </w:tc>
        <w:tc>
          <w:tcPr>
            <w:tcW w:w="0" w:type="auto"/>
            <w:shd w:val="clear" w:color="auto" w:fill="auto"/>
          </w:tcPr>
          <w:p w14:paraId="40CAFEFF" w14:textId="77777777" w:rsidR="00584FB3" w:rsidRDefault="00584FB3">
            <w:pPr>
              <w:rPr>
                <w:rFonts w:ascii="宋体"/>
                <w:vanish/>
              </w:rPr>
            </w:pPr>
          </w:p>
        </w:tc>
        <w:tc>
          <w:tcPr>
            <w:tcW w:w="0" w:type="auto"/>
            <w:shd w:val="clear" w:color="auto" w:fill="auto"/>
          </w:tcPr>
          <w:p w14:paraId="40CAFF00" w14:textId="77777777" w:rsidR="00584FB3" w:rsidRDefault="00584FB3">
            <w:pPr>
              <w:rPr>
                <w:rFonts w:ascii="宋体"/>
                <w:vanish/>
              </w:rPr>
            </w:pPr>
          </w:p>
        </w:tc>
        <w:tc>
          <w:tcPr>
            <w:tcW w:w="0" w:type="auto"/>
            <w:gridSpan w:val="3"/>
            <w:shd w:val="clear" w:color="auto" w:fill="auto"/>
          </w:tcPr>
          <w:p w14:paraId="40CAFF01" w14:textId="77777777" w:rsidR="00584FB3" w:rsidRDefault="00584FB3">
            <w:pPr>
              <w:rPr>
                <w:rFonts w:ascii="宋体"/>
                <w:vanish/>
              </w:rPr>
            </w:pPr>
          </w:p>
        </w:tc>
        <w:tc>
          <w:tcPr>
            <w:tcW w:w="0" w:type="auto"/>
            <w:gridSpan w:val="3"/>
            <w:shd w:val="clear" w:color="auto" w:fill="auto"/>
          </w:tcPr>
          <w:p w14:paraId="40CAFF02" w14:textId="77777777" w:rsidR="00584FB3" w:rsidRDefault="00584FB3">
            <w:pPr>
              <w:rPr>
                <w:rFonts w:ascii="宋体"/>
                <w:vanish/>
              </w:rPr>
            </w:pPr>
          </w:p>
        </w:tc>
      </w:tr>
      <w:tr w:rsidR="00584FB3" w14:paraId="40CAFF10" w14:textId="77777777">
        <w:tc>
          <w:tcPr>
            <w:tcW w:w="0" w:type="auto"/>
            <w:gridSpan w:val="3"/>
            <w:shd w:val="clear" w:color="auto" w:fill="FFFFFF"/>
            <w:tcMar>
              <w:top w:w="40" w:type="dxa"/>
              <w:left w:w="20" w:type="dxa"/>
              <w:bottom w:w="40" w:type="dxa"/>
              <w:right w:w="20" w:type="dxa"/>
            </w:tcMar>
          </w:tcPr>
          <w:p w14:paraId="40CAFF04" w14:textId="77777777" w:rsidR="00584FB3" w:rsidRDefault="00786180">
            <w:pPr>
              <w:textAlignment w:val="top"/>
            </w:pPr>
            <w:r>
              <w:rPr>
                <w:rFonts w:ascii="Times New Roman" w:eastAsia="宋体" w:hAnsi="Times New Roman"/>
                <w:color w:val="000000"/>
                <w:sz w:val="20"/>
                <w:szCs w:val="20"/>
              </w:rPr>
              <w:t xml:space="preserve">Earnings per share - </w:t>
            </w:r>
            <w:r>
              <w:rPr>
                <w:rFonts w:ascii="Times New Roman" w:eastAsia="宋体" w:hAnsi="Times New Roman"/>
                <w:color w:val="000000"/>
                <w:sz w:val="20"/>
                <w:szCs w:val="20"/>
              </w:rPr>
              <w:t>basic</w:t>
            </w:r>
          </w:p>
        </w:tc>
        <w:tc>
          <w:tcPr>
            <w:tcW w:w="0" w:type="auto"/>
            <w:tcBorders>
              <w:top w:val="double" w:sz="6" w:space="0" w:color="000000"/>
            </w:tcBorders>
            <w:shd w:val="clear" w:color="auto" w:fill="FFFFFF"/>
            <w:tcMar>
              <w:top w:w="40" w:type="dxa"/>
              <w:left w:w="20" w:type="dxa"/>
              <w:bottom w:w="40" w:type="dxa"/>
              <w:right w:w="0" w:type="dxa"/>
            </w:tcMar>
            <w:vAlign w:val="bottom"/>
          </w:tcPr>
          <w:p w14:paraId="40CAFF0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0CAFF06" w14:textId="77777777" w:rsidR="00584FB3" w:rsidRDefault="00786180">
            <w:pPr>
              <w:jc w:val="right"/>
              <w:textAlignment w:val="bottom"/>
            </w:pPr>
            <w:r>
              <w:rPr>
                <w:rFonts w:ascii="Times New Roman" w:eastAsia="宋体" w:hAnsi="Times New Roman"/>
                <w:color w:val="000000"/>
                <w:sz w:val="20"/>
                <w:szCs w:val="20"/>
              </w:rPr>
              <w:t>0.53 </w:t>
            </w:r>
          </w:p>
        </w:tc>
        <w:tc>
          <w:tcPr>
            <w:tcW w:w="0" w:type="auto"/>
            <w:tcBorders>
              <w:top w:val="double" w:sz="6" w:space="0" w:color="000000"/>
            </w:tcBorders>
            <w:shd w:val="clear" w:color="auto" w:fill="FFFFFF"/>
            <w:tcMar>
              <w:top w:w="40" w:type="dxa"/>
              <w:left w:w="0" w:type="dxa"/>
              <w:bottom w:w="40" w:type="dxa"/>
              <w:right w:w="20" w:type="dxa"/>
            </w:tcMar>
            <w:vAlign w:val="bottom"/>
          </w:tcPr>
          <w:p w14:paraId="40CAFF0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08" w14:textId="77777777" w:rsidR="00584FB3" w:rsidRDefault="00584FB3">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40CAFF09" w14:textId="77777777" w:rsidR="00584FB3" w:rsidRDefault="0078618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40CAFF0A" w14:textId="77777777" w:rsidR="00584FB3" w:rsidRDefault="00786180">
            <w:pPr>
              <w:jc w:val="right"/>
              <w:textAlignment w:val="bottom"/>
            </w:pPr>
            <w:r>
              <w:rPr>
                <w:rFonts w:ascii="Times New Roman" w:eastAsia="宋体" w:hAnsi="Times New Roman"/>
                <w:color w:val="000000"/>
                <w:sz w:val="20"/>
                <w:szCs w:val="20"/>
              </w:rPr>
              <w:t>0.75 </w:t>
            </w:r>
          </w:p>
        </w:tc>
        <w:tc>
          <w:tcPr>
            <w:tcW w:w="0" w:type="auto"/>
            <w:tcBorders>
              <w:top w:val="double" w:sz="6" w:space="0" w:color="000000"/>
            </w:tcBorders>
            <w:shd w:val="clear" w:color="auto" w:fill="FFFFFF"/>
            <w:tcMar>
              <w:top w:w="40" w:type="dxa"/>
              <w:left w:w="0" w:type="dxa"/>
              <w:bottom w:w="40" w:type="dxa"/>
              <w:right w:w="20" w:type="dxa"/>
            </w:tcMar>
            <w:vAlign w:val="bottom"/>
          </w:tcPr>
          <w:p w14:paraId="40CAFF0B" w14:textId="77777777" w:rsidR="00584FB3" w:rsidRDefault="00584FB3">
            <w:pPr>
              <w:jc w:val="right"/>
              <w:rPr>
                <w:rFonts w:ascii="宋体"/>
              </w:rPr>
            </w:pPr>
          </w:p>
        </w:tc>
        <w:tc>
          <w:tcPr>
            <w:tcW w:w="0" w:type="auto"/>
            <w:shd w:val="clear" w:color="auto" w:fill="auto"/>
          </w:tcPr>
          <w:p w14:paraId="40CAFF0C" w14:textId="77777777" w:rsidR="00584FB3" w:rsidRDefault="00584FB3">
            <w:pPr>
              <w:rPr>
                <w:rFonts w:ascii="宋体"/>
                <w:vanish/>
              </w:rPr>
            </w:pPr>
          </w:p>
        </w:tc>
        <w:tc>
          <w:tcPr>
            <w:tcW w:w="0" w:type="auto"/>
            <w:shd w:val="clear" w:color="auto" w:fill="auto"/>
          </w:tcPr>
          <w:p w14:paraId="40CAFF0D" w14:textId="77777777" w:rsidR="00584FB3" w:rsidRDefault="00584FB3">
            <w:pPr>
              <w:rPr>
                <w:rFonts w:ascii="宋体"/>
                <w:vanish/>
              </w:rPr>
            </w:pPr>
          </w:p>
        </w:tc>
        <w:tc>
          <w:tcPr>
            <w:tcW w:w="0" w:type="auto"/>
            <w:gridSpan w:val="3"/>
            <w:shd w:val="clear" w:color="auto" w:fill="auto"/>
          </w:tcPr>
          <w:p w14:paraId="40CAFF0E" w14:textId="77777777" w:rsidR="00584FB3" w:rsidRDefault="00584FB3">
            <w:pPr>
              <w:rPr>
                <w:rFonts w:ascii="宋体"/>
                <w:vanish/>
              </w:rPr>
            </w:pPr>
          </w:p>
        </w:tc>
        <w:tc>
          <w:tcPr>
            <w:tcW w:w="0" w:type="auto"/>
            <w:gridSpan w:val="3"/>
            <w:shd w:val="clear" w:color="auto" w:fill="auto"/>
          </w:tcPr>
          <w:p w14:paraId="40CAFF0F" w14:textId="77777777" w:rsidR="00584FB3" w:rsidRDefault="00584FB3">
            <w:pPr>
              <w:rPr>
                <w:rFonts w:ascii="宋体"/>
                <w:vanish/>
              </w:rPr>
            </w:pPr>
          </w:p>
        </w:tc>
      </w:tr>
      <w:tr w:rsidR="00584FB3" w14:paraId="40CAFF1D" w14:textId="77777777">
        <w:tc>
          <w:tcPr>
            <w:tcW w:w="0" w:type="auto"/>
            <w:gridSpan w:val="3"/>
            <w:shd w:val="clear" w:color="auto" w:fill="D7E4BC"/>
            <w:tcMar>
              <w:top w:w="40" w:type="dxa"/>
              <w:left w:w="20" w:type="dxa"/>
              <w:bottom w:w="40" w:type="dxa"/>
              <w:right w:w="20" w:type="dxa"/>
            </w:tcMar>
          </w:tcPr>
          <w:p w14:paraId="40CAFF11" w14:textId="77777777" w:rsidR="00584FB3" w:rsidRDefault="00786180">
            <w:pPr>
              <w:textAlignment w:val="top"/>
            </w:pPr>
            <w:r>
              <w:rPr>
                <w:rFonts w:ascii="Times New Roman" w:eastAsia="宋体" w:hAnsi="Times New Roman"/>
                <w:color w:val="000000"/>
                <w:sz w:val="20"/>
                <w:szCs w:val="20"/>
              </w:rPr>
              <w:t>Earnings per share - diluted</w:t>
            </w:r>
          </w:p>
        </w:tc>
        <w:tc>
          <w:tcPr>
            <w:tcW w:w="0" w:type="auto"/>
            <w:shd w:val="clear" w:color="auto" w:fill="D7E4BC"/>
            <w:tcMar>
              <w:top w:w="40" w:type="dxa"/>
              <w:left w:w="20" w:type="dxa"/>
              <w:bottom w:w="40" w:type="dxa"/>
              <w:right w:w="0" w:type="dxa"/>
            </w:tcMar>
            <w:vAlign w:val="bottom"/>
          </w:tcPr>
          <w:p w14:paraId="40CAFF12"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AFF13" w14:textId="77777777" w:rsidR="00584FB3" w:rsidRDefault="00786180">
            <w:pPr>
              <w:jc w:val="right"/>
              <w:textAlignment w:val="bottom"/>
            </w:pPr>
            <w:r>
              <w:rPr>
                <w:rFonts w:ascii="Times New Roman" w:eastAsia="宋体" w:hAnsi="Times New Roman"/>
                <w:color w:val="000000"/>
                <w:sz w:val="20"/>
                <w:szCs w:val="20"/>
              </w:rPr>
              <w:t>0.53 </w:t>
            </w:r>
          </w:p>
        </w:tc>
        <w:tc>
          <w:tcPr>
            <w:tcW w:w="0" w:type="auto"/>
            <w:shd w:val="clear" w:color="auto" w:fill="D7E4BC"/>
            <w:tcMar>
              <w:top w:w="40" w:type="dxa"/>
              <w:left w:w="0" w:type="dxa"/>
              <w:bottom w:w="40" w:type="dxa"/>
              <w:right w:w="20" w:type="dxa"/>
            </w:tcMar>
            <w:vAlign w:val="bottom"/>
          </w:tcPr>
          <w:p w14:paraId="40CAFF1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15"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AFF16"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AFF17" w14:textId="77777777" w:rsidR="00584FB3" w:rsidRDefault="00786180">
            <w:pPr>
              <w:jc w:val="right"/>
              <w:textAlignment w:val="bottom"/>
            </w:pPr>
            <w:r>
              <w:rPr>
                <w:rFonts w:ascii="Times New Roman" w:eastAsia="宋体" w:hAnsi="Times New Roman"/>
                <w:color w:val="000000"/>
                <w:sz w:val="20"/>
                <w:szCs w:val="20"/>
              </w:rPr>
              <w:t>0.74 </w:t>
            </w:r>
          </w:p>
        </w:tc>
        <w:tc>
          <w:tcPr>
            <w:tcW w:w="0" w:type="auto"/>
            <w:shd w:val="clear" w:color="auto" w:fill="D7E4BC"/>
            <w:tcMar>
              <w:top w:w="40" w:type="dxa"/>
              <w:left w:w="0" w:type="dxa"/>
              <w:bottom w:w="40" w:type="dxa"/>
              <w:right w:w="20" w:type="dxa"/>
            </w:tcMar>
            <w:vAlign w:val="bottom"/>
          </w:tcPr>
          <w:p w14:paraId="40CAFF18" w14:textId="77777777" w:rsidR="00584FB3" w:rsidRDefault="00584FB3">
            <w:pPr>
              <w:jc w:val="right"/>
              <w:rPr>
                <w:rFonts w:ascii="宋体"/>
              </w:rPr>
            </w:pPr>
          </w:p>
        </w:tc>
        <w:tc>
          <w:tcPr>
            <w:tcW w:w="0" w:type="auto"/>
            <w:shd w:val="clear" w:color="auto" w:fill="auto"/>
          </w:tcPr>
          <w:p w14:paraId="40CAFF19" w14:textId="77777777" w:rsidR="00584FB3" w:rsidRDefault="00584FB3">
            <w:pPr>
              <w:rPr>
                <w:rFonts w:ascii="宋体"/>
                <w:vanish/>
              </w:rPr>
            </w:pPr>
          </w:p>
        </w:tc>
        <w:tc>
          <w:tcPr>
            <w:tcW w:w="0" w:type="auto"/>
            <w:shd w:val="clear" w:color="auto" w:fill="auto"/>
          </w:tcPr>
          <w:p w14:paraId="40CAFF1A" w14:textId="77777777" w:rsidR="00584FB3" w:rsidRDefault="00584FB3">
            <w:pPr>
              <w:rPr>
                <w:rFonts w:ascii="宋体"/>
                <w:vanish/>
              </w:rPr>
            </w:pPr>
          </w:p>
        </w:tc>
        <w:tc>
          <w:tcPr>
            <w:tcW w:w="0" w:type="auto"/>
            <w:gridSpan w:val="3"/>
            <w:shd w:val="clear" w:color="auto" w:fill="auto"/>
          </w:tcPr>
          <w:p w14:paraId="40CAFF1B" w14:textId="77777777" w:rsidR="00584FB3" w:rsidRDefault="00584FB3">
            <w:pPr>
              <w:rPr>
                <w:rFonts w:ascii="宋体"/>
                <w:vanish/>
              </w:rPr>
            </w:pPr>
          </w:p>
        </w:tc>
        <w:tc>
          <w:tcPr>
            <w:tcW w:w="0" w:type="auto"/>
            <w:gridSpan w:val="3"/>
            <w:shd w:val="clear" w:color="auto" w:fill="auto"/>
          </w:tcPr>
          <w:p w14:paraId="40CAFF1C" w14:textId="77777777" w:rsidR="00584FB3" w:rsidRDefault="00584FB3">
            <w:pPr>
              <w:rPr>
                <w:rFonts w:ascii="宋体"/>
                <w:vanish/>
              </w:rPr>
            </w:pPr>
          </w:p>
        </w:tc>
      </w:tr>
      <w:tr w:rsidR="00584FB3" w14:paraId="40CAFF26" w14:textId="77777777">
        <w:tc>
          <w:tcPr>
            <w:tcW w:w="0" w:type="auto"/>
            <w:gridSpan w:val="3"/>
            <w:shd w:val="clear" w:color="auto" w:fill="FFFFFF"/>
            <w:tcMar>
              <w:top w:w="40" w:type="dxa"/>
              <w:left w:w="20" w:type="dxa"/>
              <w:bottom w:w="40" w:type="dxa"/>
              <w:right w:w="20" w:type="dxa"/>
            </w:tcMar>
          </w:tcPr>
          <w:p w14:paraId="40CAFF1E" w14:textId="77777777" w:rsidR="00584FB3" w:rsidRDefault="00786180">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FFFFFF"/>
            <w:tcMar>
              <w:top w:w="0" w:type="dxa"/>
              <w:left w:w="20" w:type="dxa"/>
              <w:bottom w:w="0" w:type="dxa"/>
              <w:right w:w="20" w:type="dxa"/>
            </w:tcMar>
          </w:tcPr>
          <w:p w14:paraId="40CAFF1F"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AFF2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AFF21" w14:textId="77777777" w:rsidR="00584FB3" w:rsidRDefault="00584FB3">
            <w:pPr>
              <w:rPr>
                <w:rFonts w:ascii="宋体"/>
              </w:rPr>
            </w:pPr>
          </w:p>
        </w:tc>
        <w:tc>
          <w:tcPr>
            <w:tcW w:w="0" w:type="auto"/>
            <w:shd w:val="clear" w:color="auto" w:fill="auto"/>
          </w:tcPr>
          <w:p w14:paraId="40CAFF22" w14:textId="77777777" w:rsidR="00584FB3" w:rsidRDefault="00584FB3">
            <w:pPr>
              <w:rPr>
                <w:rFonts w:ascii="宋体"/>
                <w:vanish/>
              </w:rPr>
            </w:pPr>
          </w:p>
        </w:tc>
        <w:tc>
          <w:tcPr>
            <w:tcW w:w="0" w:type="auto"/>
            <w:shd w:val="clear" w:color="auto" w:fill="auto"/>
          </w:tcPr>
          <w:p w14:paraId="40CAFF23" w14:textId="77777777" w:rsidR="00584FB3" w:rsidRDefault="00584FB3">
            <w:pPr>
              <w:rPr>
                <w:rFonts w:ascii="宋体"/>
                <w:vanish/>
              </w:rPr>
            </w:pPr>
          </w:p>
        </w:tc>
        <w:tc>
          <w:tcPr>
            <w:tcW w:w="0" w:type="auto"/>
            <w:gridSpan w:val="3"/>
            <w:shd w:val="clear" w:color="auto" w:fill="auto"/>
          </w:tcPr>
          <w:p w14:paraId="40CAFF24" w14:textId="77777777" w:rsidR="00584FB3" w:rsidRDefault="00584FB3">
            <w:pPr>
              <w:rPr>
                <w:rFonts w:ascii="宋体"/>
                <w:vanish/>
              </w:rPr>
            </w:pPr>
          </w:p>
        </w:tc>
        <w:tc>
          <w:tcPr>
            <w:tcW w:w="0" w:type="auto"/>
            <w:gridSpan w:val="3"/>
            <w:shd w:val="clear" w:color="auto" w:fill="auto"/>
          </w:tcPr>
          <w:p w14:paraId="40CAFF25" w14:textId="77777777" w:rsidR="00584FB3" w:rsidRDefault="00584FB3">
            <w:pPr>
              <w:rPr>
                <w:rFonts w:ascii="宋体"/>
                <w:vanish/>
              </w:rPr>
            </w:pPr>
          </w:p>
        </w:tc>
      </w:tr>
      <w:tr w:rsidR="00584FB3" w14:paraId="40CAFF31" w14:textId="77777777">
        <w:tc>
          <w:tcPr>
            <w:tcW w:w="0" w:type="auto"/>
            <w:gridSpan w:val="3"/>
            <w:shd w:val="clear" w:color="auto" w:fill="D7E4BC"/>
            <w:tcMar>
              <w:top w:w="40" w:type="dxa"/>
              <w:left w:w="380" w:type="dxa"/>
              <w:bottom w:w="40" w:type="dxa"/>
              <w:right w:w="20" w:type="dxa"/>
            </w:tcMar>
          </w:tcPr>
          <w:p w14:paraId="40CAFF27" w14:textId="77777777" w:rsidR="00584FB3" w:rsidRDefault="00786180">
            <w:pPr>
              <w:textAlignment w:val="top"/>
            </w:pPr>
            <w:r>
              <w:rPr>
                <w:rFonts w:ascii="Times New Roman" w:eastAsia="宋体" w:hAnsi="Times New Roman"/>
                <w:color w:val="000000"/>
                <w:sz w:val="20"/>
                <w:szCs w:val="20"/>
              </w:rPr>
              <w:t>Basic</w:t>
            </w:r>
          </w:p>
        </w:tc>
        <w:tc>
          <w:tcPr>
            <w:tcW w:w="0" w:type="auto"/>
            <w:gridSpan w:val="2"/>
            <w:shd w:val="clear" w:color="auto" w:fill="D7E4BC"/>
            <w:tcMar>
              <w:top w:w="40" w:type="dxa"/>
              <w:left w:w="20" w:type="dxa"/>
              <w:bottom w:w="40" w:type="dxa"/>
              <w:right w:w="0" w:type="dxa"/>
            </w:tcMar>
            <w:vAlign w:val="bottom"/>
          </w:tcPr>
          <w:p w14:paraId="40CAFF28" w14:textId="77777777" w:rsidR="00584FB3" w:rsidRDefault="00786180">
            <w:pPr>
              <w:jc w:val="right"/>
              <w:textAlignment w:val="bottom"/>
            </w:pPr>
            <w:r>
              <w:rPr>
                <w:rFonts w:ascii="Times New Roman" w:eastAsia="宋体" w:hAnsi="Times New Roman"/>
                <w:color w:val="000000"/>
                <w:sz w:val="20"/>
                <w:szCs w:val="20"/>
              </w:rPr>
              <w:t>1,175.0 </w:t>
            </w:r>
          </w:p>
        </w:tc>
        <w:tc>
          <w:tcPr>
            <w:tcW w:w="0" w:type="auto"/>
            <w:shd w:val="clear" w:color="auto" w:fill="D7E4BC"/>
            <w:tcMar>
              <w:top w:w="40" w:type="dxa"/>
              <w:left w:w="0" w:type="dxa"/>
              <w:bottom w:w="40" w:type="dxa"/>
              <w:right w:w="20" w:type="dxa"/>
            </w:tcMar>
            <w:vAlign w:val="bottom"/>
          </w:tcPr>
          <w:p w14:paraId="40CAFF2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2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F2B" w14:textId="77777777" w:rsidR="00584FB3" w:rsidRDefault="00786180">
            <w:pPr>
              <w:jc w:val="right"/>
              <w:textAlignment w:val="bottom"/>
            </w:pPr>
            <w:r>
              <w:rPr>
                <w:rFonts w:ascii="Times New Roman" w:eastAsia="宋体" w:hAnsi="Times New Roman"/>
                <w:color w:val="000000"/>
                <w:sz w:val="20"/>
                <w:szCs w:val="20"/>
              </w:rPr>
              <w:t>1,180.4 </w:t>
            </w:r>
          </w:p>
        </w:tc>
        <w:tc>
          <w:tcPr>
            <w:tcW w:w="0" w:type="auto"/>
            <w:shd w:val="clear" w:color="auto" w:fill="D7E4BC"/>
            <w:tcMar>
              <w:top w:w="40" w:type="dxa"/>
              <w:left w:w="0" w:type="dxa"/>
              <w:bottom w:w="40" w:type="dxa"/>
              <w:right w:w="20" w:type="dxa"/>
            </w:tcMar>
            <w:vAlign w:val="bottom"/>
          </w:tcPr>
          <w:p w14:paraId="40CAFF2C" w14:textId="77777777" w:rsidR="00584FB3" w:rsidRDefault="00584FB3">
            <w:pPr>
              <w:jc w:val="right"/>
              <w:rPr>
                <w:rFonts w:ascii="宋体"/>
              </w:rPr>
            </w:pPr>
          </w:p>
        </w:tc>
        <w:tc>
          <w:tcPr>
            <w:tcW w:w="0" w:type="auto"/>
            <w:shd w:val="clear" w:color="auto" w:fill="auto"/>
          </w:tcPr>
          <w:p w14:paraId="40CAFF2D" w14:textId="77777777" w:rsidR="00584FB3" w:rsidRDefault="00584FB3">
            <w:pPr>
              <w:rPr>
                <w:rFonts w:ascii="宋体"/>
                <w:vanish/>
              </w:rPr>
            </w:pPr>
          </w:p>
        </w:tc>
        <w:tc>
          <w:tcPr>
            <w:tcW w:w="0" w:type="auto"/>
            <w:shd w:val="clear" w:color="auto" w:fill="auto"/>
          </w:tcPr>
          <w:p w14:paraId="40CAFF2E" w14:textId="77777777" w:rsidR="00584FB3" w:rsidRDefault="00584FB3">
            <w:pPr>
              <w:rPr>
                <w:rFonts w:ascii="宋体"/>
                <w:vanish/>
              </w:rPr>
            </w:pPr>
          </w:p>
        </w:tc>
        <w:tc>
          <w:tcPr>
            <w:tcW w:w="0" w:type="auto"/>
            <w:gridSpan w:val="3"/>
            <w:shd w:val="clear" w:color="auto" w:fill="auto"/>
          </w:tcPr>
          <w:p w14:paraId="40CAFF2F" w14:textId="77777777" w:rsidR="00584FB3" w:rsidRDefault="00584FB3">
            <w:pPr>
              <w:rPr>
                <w:rFonts w:ascii="宋体"/>
                <w:vanish/>
              </w:rPr>
            </w:pPr>
          </w:p>
        </w:tc>
        <w:tc>
          <w:tcPr>
            <w:tcW w:w="0" w:type="auto"/>
            <w:gridSpan w:val="3"/>
            <w:shd w:val="clear" w:color="auto" w:fill="auto"/>
          </w:tcPr>
          <w:p w14:paraId="40CAFF30" w14:textId="77777777" w:rsidR="00584FB3" w:rsidRDefault="00584FB3">
            <w:pPr>
              <w:rPr>
                <w:rFonts w:ascii="宋体"/>
                <w:vanish/>
              </w:rPr>
            </w:pPr>
          </w:p>
        </w:tc>
      </w:tr>
      <w:tr w:rsidR="00584FB3" w14:paraId="40CAFF3C" w14:textId="77777777">
        <w:tc>
          <w:tcPr>
            <w:tcW w:w="0" w:type="auto"/>
            <w:gridSpan w:val="3"/>
            <w:shd w:val="clear" w:color="auto" w:fill="FFFFFF"/>
            <w:tcMar>
              <w:top w:w="40" w:type="dxa"/>
              <w:left w:w="380" w:type="dxa"/>
              <w:bottom w:w="40" w:type="dxa"/>
              <w:right w:w="20" w:type="dxa"/>
            </w:tcMar>
          </w:tcPr>
          <w:p w14:paraId="40CAFF32" w14:textId="77777777" w:rsidR="00584FB3" w:rsidRDefault="00786180">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40CAFF33" w14:textId="77777777" w:rsidR="00584FB3" w:rsidRDefault="00786180">
            <w:pPr>
              <w:jc w:val="right"/>
              <w:textAlignment w:val="bottom"/>
            </w:pPr>
            <w:r>
              <w:rPr>
                <w:rFonts w:ascii="Times New Roman" w:eastAsia="宋体" w:hAnsi="Times New Roman"/>
                <w:color w:val="000000"/>
                <w:sz w:val="20"/>
                <w:szCs w:val="20"/>
              </w:rPr>
              <w:t>1,183.0 </w:t>
            </w:r>
          </w:p>
        </w:tc>
        <w:tc>
          <w:tcPr>
            <w:tcW w:w="0" w:type="auto"/>
            <w:shd w:val="clear" w:color="auto" w:fill="FFFFFF"/>
            <w:tcMar>
              <w:top w:w="40" w:type="dxa"/>
              <w:left w:w="0" w:type="dxa"/>
              <w:bottom w:w="40" w:type="dxa"/>
              <w:right w:w="20" w:type="dxa"/>
            </w:tcMar>
            <w:vAlign w:val="bottom"/>
          </w:tcPr>
          <w:p w14:paraId="40CAFF3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3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F36" w14:textId="77777777" w:rsidR="00584FB3" w:rsidRDefault="00786180">
            <w:pPr>
              <w:jc w:val="right"/>
              <w:textAlignment w:val="bottom"/>
            </w:pPr>
            <w:r>
              <w:rPr>
                <w:rFonts w:ascii="Times New Roman" w:eastAsia="宋体" w:hAnsi="Times New Roman"/>
                <w:color w:val="000000"/>
                <w:sz w:val="20"/>
                <w:szCs w:val="20"/>
              </w:rPr>
              <w:t>1,191.0 </w:t>
            </w:r>
          </w:p>
        </w:tc>
        <w:tc>
          <w:tcPr>
            <w:tcW w:w="0" w:type="auto"/>
            <w:shd w:val="clear" w:color="auto" w:fill="FFFFFF"/>
            <w:tcMar>
              <w:top w:w="40" w:type="dxa"/>
              <w:left w:w="0" w:type="dxa"/>
              <w:bottom w:w="40" w:type="dxa"/>
              <w:right w:w="20" w:type="dxa"/>
            </w:tcMar>
            <w:vAlign w:val="bottom"/>
          </w:tcPr>
          <w:p w14:paraId="40CAFF37" w14:textId="77777777" w:rsidR="00584FB3" w:rsidRDefault="00584FB3">
            <w:pPr>
              <w:jc w:val="right"/>
              <w:rPr>
                <w:rFonts w:ascii="宋体"/>
              </w:rPr>
            </w:pPr>
          </w:p>
        </w:tc>
        <w:tc>
          <w:tcPr>
            <w:tcW w:w="0" w:type="auto"/>
            <w:shd w:val="clear" w:color="auto" w:fill="auto"/>
          </w:tcPr>
          <w:p w14:paraId="40CAFF38" w14:textId="77777777" w:rsidR="00584FB3" w:rsidRDefault="00584FB3">
            <w:pPr>
              <w:rPr>
                <w:rFonts w:ascii="宋体"/>
                <w:vanish/>
              </w:rPr>
            </w:pPr>
          </w:p>
        </w:tc>
        <w:tc>
          <w:tcPr>
            <w:tcW w:w="0" w:type="auto"/>
            <w:shd w:val="clear" w:color="auto" w:fill="auto"/>
          </w:tcPr>
          <w:p w14:paraId="40CAFF39" w14:textId="77777777" w:rsidR="00584FB3" w:rsidRDefault="00584FB3">
            <w:pPr>
              <w:rPr>
                <w:rFonts w:ascii="宋体"/>
                <w:vanish/>
              </w:rPr>
            </w:pPr>
          </w:p>
        </w:tc>
        <w:tc>
          <w:tcPr>
            <w:tcW w:w="0" w:type="auto"/>
            <w:gridSpan w:val="3"/>
            <w:shd w:val="clear" w:color="auto" w:fill="auto"/>
          </w:tcPr>
          <w:p w14:paraId="40CAFF3A" w14:textId="77777777" w:rsidR="00584FB3" w:rsidRDefault="00584FB3">
            <w:pPr>
              <w:rPr>
                <w:rFonts w:ascii="宋体"/>
                <w:vanish/>
              </w:rPr>
            </w:pPr>
          </w:p>
        </w:tc>
        <w:tc>
          <w:tcPr>
            <w:tcW w:w="0" w:type="auto"/>
            <w:gridSpan w:val="3"/>
            <w:shd w:val="clear" w:color="auto" w:fill="auto"/>
          </w:tcPr>
          <w:p w14:paraId="40CAFF3B" w14:textId="77777777" w:rsidR="00584FB3" w:rsidRDefault="00584FB3">
            <w:pPr>
              <w:rPr>
                <w:rFonts w:ascii="宋体"/>
                <w:vanish/>
              </w:rPr>
            </w:pPr>
          </w:p>
        </w:tc>
      </w:tr>
    </w:tbl>
    <w:p w14:paraId="40CAFF3D" w14:textId="77777777" w:rsidR="00584FB3" w:rsidRDefault="00584FB3"/>
    <w:p w14:paraId="40CAFF3E" w14:textId="77777777" w:rsidR="00584FB3" w:rsidRDefault="00786180">
      <w:pPr>
        <w:jc w:val="center"/>
      </w:pPr>
      <w:r>
        <w:rPr>
          <w:rFonts w:ascii="Times New Roman" w:eastAsia="宋体" w:hAnsi="Times New Roman"/>
          <w:i/>
          <w:iCs/>
          <w:color w:val="000000"/>
          <w:sz w:val="20"/>
          <w:szCs w:val="20"/>
        </w:rPr>
        <w:t>See Notes to Consolidated Financial Statements.</w:t>
      </w:r>
    </w:p>
    <w:p w14:paraId="40CAFF3F" w14:textId="77777777" w:rsidR="00584FB3" w:rsidRDefault="00786180">
      <w:pPr>
        <w:jc w:val="center"/>
      </w:pPr>
      <w:r>
        <w:rPr>
          <w:rFonts w:ascii="Times New Roman" w:eastAsia="宋体" w:hAnsi="Times New Roman"/>
          <w:color w:val="000000"/>
          <w:sz w:val="20"/>
          <w:szCs w:val="20"/>
        </w:rPr>
        <w:t>3</w:t>
      </w:r>
    </w:p>
    <w:p w14:paraId="40CAFF40" w14:textId="77777777" w:rsidR="00584FB3" w:rsidRDefault="00786180">
      <w:r>
        <w:pict w14:anchorId="40CB2A38">
          <v:rect id="_x0000_i1027" style="width:415.3pt;height:1.5pt" o:hralign="center" o:hrstd="t" o:hr="t" fillcolor="#a0a0a0" stroked="f"/>
        </w:pict>
      </w:r>
    </w:p>
    <w:p w14:paraId="40CAFF41" w14:textId="77777777" w:rsidR="00584FB3" w:rsidRDefault="00786180">
      <w:hyperlink r:id="rId41" w:anchor="i11706e4b673c41db9f2dcbdb897203bb_7" w:history="1">
        <w:r>
          <w:rPr>
            <w:rStyle w:val="a5"/>
            <w:rFonts w:ascii="Times New Roman" w:eastAsia="宋体" w:hAnsi="Times New Roman"/>
            <w:sz w:val="20"/>
            <w:szCs w:val="20"/>
          </w:rPr>
          <w:t>Table of Contents</w:t>
        </w:r>
      </w:hyperlink>
    </w:p>
    <w:p w14:paraId="40CAFF42" w14:textId="77777777" w:rsidR="00584FB3" w:rsidRDefault="00786180">
      <w:pPr>
        <w:spacing w:before="280"/>
        <w:jc w:val="center"/>
      </w:pPr>
      <w:r>
        <w:rPr>
          <w:rFonts w:ascii="Times New Roman" w:eastAsia="宋体" w:hAnsi="Times New Roman"/>
          <w:b/>
          <w:bCs/>
          <w:color w:val="000000"/>
          <w:sz w:val="20"/>
          <w:szCs w:val="20"/>
        </w:rPr>
        <w:t>STARBUCKS CORPORATION</w:t>
      </w:r>
    </w:p>
    <w:p w14:paraId="40CAFF43" w14:textId="77777777" w:rsidR="00584FB3" w:rsidRDefault="00786180">
      <w:pPr>
        <w:jc w:val="center"/>
      </w:pPr>
      <w:r>
        <w:rPr>
          <w:rFonts w:ascii="Times New Roman" w:eastAsia="宋体" w:hAnsi="Times New Roman"/>
          <w:b/>
          <w:bCs/>
          <w:color w:val="000000"/>
          <w:sz w:val="20"/>
          <w:szCs w:val="20"/>
        </w:rPr>
        <w:t>CONSOLIDATED STATEMENTS OF COMPREHENSIVE INCOME</w:t>
      </w:r>
    </w:p>
    <w:p w14:paraId="40CAFF44" w14:textId="77777777" w:rsidR="00584FB3" w:rsidRDefault="00786180">
      <w:pPr>
        <w:jc w:val="center"/>
      </w:pP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794"/>
        <w:gridCol w:w="38"/>
        <w:gridCol w:w="120"/>
        <w:gridCol w:w="878"/>
        <w:gridCol w:w="36"/>
        <w:gridCol w:w="36"/>
        <w:gridCol w:w="36"/>
        <w:gridCol w:w="36"/>
        <w:gridCol w:w="120"/>
        <w:gridCol w:w="879"/>
        <w:gridCol w:w="36"/>
        <w:gridCol w:w="36"/>
        <w:gridCol w:w="36"/>
        <w:gridCol w:w="36"/>
        <w:gridCol w:w="36"/>
        <w:gridCol w:w="36"/>
        <w:gridCol w:w="36"/>
        <w:gridCol w:w="36"/>
        <w:gridCol w:w="36"/>
      </w:tblGrid>
      <w:tr w:rsidR="00584FB3" w14:paraId="40CAFF55" w14:textId="77777777">
        <w:trPr>
          <w:jc w:val="center"/>
        </w:trPr>
        <w:tc>
          <w:tcPr>
            <w:tcW w:w="50" w:type="pct"/>
            <w:shd w:val="clear" w:color="auto" w:fill="auto"/>
          </w:tcPr>
          <w:p w14:paraId="40CAFF45" w14:textId="77777777" w:rsidR="00584FB3" w:rsidRDefault="00584FB3">
            <w:pPr>
              <w:rPr>
                <w:rFonts w:ascii="宋体"/>
              </w:rPr>
            </w:pPr>
          </w:p>
        </w:tc>
        <w:tc>
          <w:tcPr>
            <w:tcW w:w="3643" w:type="pct"/>
            <w:shd w:val="clear" w:color="auto" w:fill="auto"/>
          </w:tcPr>
          <w:p w14:paraId="40CAFF46" w14:textId="77777777" w:rsidR="00584FB3" w:rsidRDefault="00584FB3">
            <w:pPr>
              <w:rPr>
                <w:rFonts w:ascii="宋体"/>
              </w:rPr>
            </w:pPr>
          </w:p>
        </w:tc>
        <w:tc>
          <w:tcPr>
            <w:tcW w:w="5" w:type="pct"/>
            <w:shd w:val="clear" w:color="auto" w:fill="auto"/>
          </w:tcPr>
          <w:p w14:paraId="40CAFF47" w14:textId="77777777" w:rsidR="00584FB3" w:rsidRDefault="00584FB3">
            <w:pPr>
              <w:rPr>
                <w:rFonts w:ascii="宋体"/>
              </w:rPr>
            </w:pPr>
          </w:p>
        </w:tc>
        <w:tc>
          <w:tcPr>
            <w:tcW w:w="50" w:type="pct"/>
            <w:shd w:val="clear" w:color="auto" w:fill="auto"/>
          </w:tcPr>
          <w:p w14:paraId="40CAFF48" w14:textId="77777777" w:rsidR="00584FB3" w:rsidRDefault="00584FB3">
            <w:pPr>
              <w:rPr>
                <w:rFonts w:ascii="宋体"/>
              </w:rPr>
            </w:pPr>
          </w:p>
        </w:tc>
        <w:tc>
          <w:tcPr>
            <w:tcW w:w="580" w:type="pct"/>
            <w:shd w:val="clear" w:color="auto" w:fill="auto"/>
          </w:tcPr>
          <w:p w14:paraId="40CAFF49" w14:textId="77777777" w:rsidR="00584FB3" w:rsidRDefault="00584FB3">
            <w:pPr>
              <w:rPr>
                <w:rFonts w:ascii="宋体"/>
              </w:rPr>
            </w:pPr>
          </w:p>
        </w:tc>
        <w:tc>
          <w:tcPr>
            <w:tcW w:w="5" w:type="pct"/>
            <w:shd w:val="clear" w:color="auto" w:fill="auto"/>
          </w:tcPr>
          <w:p w14:paraId="40CAFF4A" w14:textId="77777777" w:rsidR="00584FB3" w:rsidRDefault="00584FB3">
            <w:pPr>
              <w:rPr>
                <w:rFonts w:ascii="宋体"/>
              </w:rPr>
            </w:pPr>
          </w:p>
        </w:tc>
        <w:tc>
          <w:tcPr>
            <w:tcW w:w="5" w:type="pct"/>
            <w:shd w:val="clear" w:color="auto" w:fill="auto"/>
          </w:tcPr>
          <w:p w14:paraId="40CAFF4B" w14:textId="77777777" w:rsidR="00584FB3" w:rsidRDefault="00584FB3">
            <w:pPr>
              <w:rPr>
                <w:rFonts w:ascii="宋体"/>
              </w:rPr>
            </w:pPr>
          </w:p>
        </w:tc>
        <w:tc>
          <w:tcPr>
            <w:tcW w:w="19" w:type="pct"/>
            <w:shd w:val="clear" w:color="auto" w:fill="auto"/>
          </w:tcPr>
          <w:p w14:paraId="40CAFF4C" w14:textId="77777777" w:rsidR="00584FB3" w:rsidRDefault="00584FB3">
            <w:pPr>
              <w:rPr>
                <w:rFonts w:ascii="宋体"/>
              </w:rPr>
            </w:pPr>
          </w:p>
        </w:tc>
        <w:tc>
          <w:tcPr>
            <w:tcW w:w="5" w:type="pct"/>
            <w:shd w:val="clear" w:color="auto" w:fill="auto"/>
          </w:tcPr>
          <w:p w14:paraId="40CAFF4D" w14:textId="77777777" w:rsidR="00584FB3" w:rsidRDefault="00584FB3">
            <w:pPr>
              <w:rPr>
                <w:rFonts w:ascii="宋体"/>
              </w:rPr>
            </w:pPr>
          </w:p>
        </w:tc>
        <w:tc>
          <w:tcPr>
            <w:tcW w:w="50" w:type="pct"/>
            <w:shd w:val="clear" w:color="auto" w:fill="auto"/>
          </w:tcPr>
          <w:p w14:paraId="40CAFF4E" w14:textId="77777777" w:rsidR="00584FB3" w:rsidRDefault="00584FB3">
            <w:pPr>
              <w:rPr>
                <w:rFonts w:ascii="宋体"/>
              </w:rPr>
            </w:pPr>
          </w:p>
        </w:tc>
        <w:tc>
          <w:tcPr>
            <w:tcW w:w="581" w:type="pct"/>
            <w:shd w:val="clear" w:color="auto" w:fill="auto"/>
          </w:tcPr>
          <w:p w14:paraId="40CAFF4F" w14:textId="77777777" w:rsidR="00584FB3" w:rsidRDefault="00584FB3">
            <w:pPr>
              <w:rPr>
                <w:rFonts w:ascii="宋体"/>
              </w:rPr>
            </w:pPr>
          </w:p>
        </w:tc>
        <w:tc>
          <w:tcPr>
            <w:tcW w:w="5" w:type="pct"/>
            <w:shd w:val="clear" w:color="auto" w:fill="auto"/>
          </w:tcPr>
          <w:p w14:paraId="40CAFF50" w14:textId="77777777" w:rsidR="00584FB3" w:rsidRDefault="00584FB3">
            <w:pPr>
              <w:rPr>
                <w:rFonts w:ascii="宋体"/>
              </w:rPr>
            </w:pPr>
          </w:p>
        </w:tc>
        <w:tc>
          <w:tcPr>
            <w:tcW w:w="0" w:type="auto"/>
            <w:shd w:val="clear" w:color="auto" w:fill="auto"/>
          </w:tcPr>
          <w:p w14:paraId="40CAFF51" w14:textId="77777777" w:rsidR="00584FB3" w:rsidRDefault="00584FB3">
            <w:pPr>
              <w:rPr>
                <w:rFonts w:ascii="宋体"/>
                <w:vanish/>
              </w:rPr>
            </w:pPr>
          </w:p>
        </w:tc>
        <w:tc>
          <w:tcPr>
            <w:tcW w:w="0" w:type="auto"/>
            <w:shd w:val="clear" w:color="auto" w:fill="auto"/>
          </w:tcPr>
          <w:p w14:paraId="40CAFF52" w14:textId="77777777" w:rsidR="00584FB3" w:rsidRDefault="00584FB3">
            <w:pPr>
              <w:rPr>
                <w:rFonts w:ascii="宋体"/>
                <w:vanish/>
              </w:rPr>
            </w:pPr>
          </w:p>
        </w:tc>
        <w:tc>
          <w:tcPr>
            <w:tcW w:w="0" w:type="auto"/>
            <w:gridSpan w:val="3"/>
            <w:shd w:val="clear" w:color="auto" w:fill="auto"/>
          </w:tcPr>
          <w:p w14:paraId="40CAFF53" w14:textId="77777777" w:rsidR="00584FB3" w:rsidRDefault="00584FB3">
            <w:pPr>
              <w:rPr>
                <w:rFonts w:ascii="宋体"/>
                <w:vanish/>
              </w:rPr>
            </w:pPr>
          </w:p>
        </w:tc>
        <w:tc>
          <w:tcPr>
            <w:tcW w:w="0" w:type="auto"/>
            <w:gridSpan w:val="3"/>
            <w:shd w:val="clear" w:color="auto" w:fill="auto"/>
          </w:tcPr>
          <w:p w14:paraId="40CAFF54" w14:textId="77777777" w:rsidR="00584FB3" w:rsidRDefault="00584FB3">
            <w:pPr>
              <w:rPr>
                <w:rFonts w:ascii="宋体"/>
                <w:vanish/>
              </w:rPr>
            </w:pPr>
          </w:p>
        </w:tc>
      </w:tr>
      <w:tr w:rsidR="00584FB3" w14:paraId="40CAFF60" w14:textId="77777777">
        <w:trPr>
          <w:jc w:val="center"/>
        </w:trPr>
        <w:tc>
          <w:tcPr>
            <w:tcW w:w="0" w:type="auto"/>
            <w:gridSpan w:val="3"/>
            <w:shd w:val="clear" w:color="auto" w:fill="auto"/>
            <w:tcMar>
              <w:top w:w="0" w:type="dxa"/>
              <w:left w:w="20" w:type="dxa"/>
              <w:bottom w:w="0" w:type="dxa"/>
              <w:right w:w="20" w:type="dxa"/>
            </w:tcMar>
          </w:tcPr>
          <w:p w14:paraId="40CAFF56"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AFF57"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AFF58" w14:textId="77777777" w:rsidR="00584FB3" w:rsidRDefault="00584FB3">
            <w:pPr>
              <w:rPr>
                <w:rFonts w:ascii="宋体"/>
                <w:vanish/>
              </w:rPr>
            </w:pPr>
          </w:p>
        </w:tc>
        <w:tc>
          <w:tcPr>
            <w:tcW w:w="0" w:type="auto"/>
            <w:shd w:val="clear" w:color="auto" w:fill="auto"/>
          </w:tcPr>
          <w:p w14:paraId="40CAFF59" w14:textId="77777777" w:rsidR="00584FB3" w:rsidRDefault="00584FB3">
            <w:pPr>
              <w:rPr>
                <w:rFonts w:ascii="宋体"/>
                <w:vanish/>
              </w:rPr>
            </w:pPr>
          </w:p>
        </w:tc>
        <w:tc>
          <w:tcPr>
            <w:tcW w:w="0" w:type="auto"/>
            <w:shd w:val="clear" w:color="auto" w:fill="auto"/>
          </w:tcPr>
          <w:p w14:paraId="40CAFF5A" w14:textId="77777777" w:rsidR="00584FB3" w:rsidRDefault="00584FB3">
            <w:pPr>
              <w:rPr>
                <w:rFonts w:ascii="宋体"/>
              </w:rPr>
            </w:pPr>
          </w:p>
        </w:tc>
        <w:tc>
          <w:tcPr>
            <w:tcW w:w="0" w:type="auto"/>
            <w:shd w:val="clear" w:color="auto" w:fill="auto"/>
          </w:tcPr>
          <w:p w14:paraId="40CAFF5B" w14:textId="77777777" w:rsidR="00584FB3" w:rsidRDefault="00584FB3">
            <w:pPr>
              <w:rPr>
                <w:rFonts w:ascii="宋体"/>
              </w:rPr>
            </w:pPr>
          </w:p>
        </w:tc>
        <w:tc>
          <w:tcPr>
            <w:tcW w:w="0" w:type="auto"/>
            <w:shd w:val="clear" w:color="auto" w:fill="auto"/>
          </w:tcPr>
          <w:p w14:paraId="40CAFF5C" w14:textId="77777777" w:rsidR="00584FB3" w:rsidRDefault="00584FB3">
            <w:pPr>
              <w:rPr>
                <w:rFonts w:ascii="宋体"/>
              </w:rPr>
            </w:pPr>
          </w:p>
        </w:tc>
        <w:tc>
          <w:tcPr>
            <w:tcW w:w="0" w:type="auto"/>
            <w:shd w:val="clear" w:color="auto" w:fill="auto"/>
          </w:tcPr>
          <w:p w14:paraId="40CAFF5D" w14:textId="77777777" w:rsidR="00584FB3" w:rsidRDefault="00584FB3">
            <w:pPr>
              <w:rPr>
                <w:rFonts w:ascii="宋体"/>
              </w:rPr>
            </w:pPr>
          </w:p>
        </w:tc>
        <w:tc>
          <w:tcPr>
            <w:tcW w:w="0" w:type="auto"/>
            <w:shd w:val="clear" w:color="auto" w:fill="auto"/>
          </w:tcPr>
          <w:p w14:paraId="40CAFF5E" w14:textId="77777777" w:rsidR="00584FB3" w:rsidRDefault="00584FB3">
            <w:pPr>
              <w:rPr>
                <w:rFonts w:ascii="宋体"/>
              </w:rPr>
            </w:pPr>
          </w:p>
        </w:tc>
        <w:tc>
          <w:tcPr>
            <w:tcW w:w="0" w:type="auto"/>
            <w:shd w:val="clear" w:color="auto" w:fill="auto"/>
          </w:tcPr>
          <w:p w14:paraId="40CAFF5F" w14:textId="77777777" w:rsidR="00584FB3" w:rsidRDefault="00584FB3">
            <w:pPr>
              <w:rPr>
                <w:rFonts w:ascii="宋体"/>
              </w:rPr>
            </w:pPr>
          </w:p>
        </w:tc>
      </w:tr>
      <w:tr w:rsidR="00584FB3" w14:paraId="40CAFF69" w14:textId="77777777">
        <w:trPr>
          <w:jc w:val="center"/>
        </w:trPr>
        <w:tc>
          <w:tcPr>
            <w:tcW w:w="0" w:type="auto"/>
            <w:gridSpan w:val="3"/>
            <w:shd w:val="clear" w:color="auto" w:fill="auto"/>
            <w:tcMar>
              <w:top w:w="0" w:type="dxa"/>
              <w:left w:w="20" w:type="dxa"/>
              <w:bottom w:w="0" w:type="dxa"/>
              <w:right w:w="20" w:type="dxa"/>
            </w:tcMar>
          </w:tcPr>
          <w:p w14:paraId="40CAFF6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AFF62"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AFF6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AFF64"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shd w:val="clear" w:color="auto" w:fill="auto"/>
          </w:tcPr>
          <w:p w14:paraId="40CAFF65" w14:textId="77777777" w:rsidR="00584FB3" w:rsidRDefault="00584FB3">
            <w:pPr>
              <w:rPr>
                <w:rFonts w:ascii="宋体"/>
                <w:vanish/>
              </w:rPr>
            </w:pPr>
          </w:p>
        </w:tc>
        <w:tc>
          <w:tcPr>
            <w:tcW w:w="0" w:type="auto"/>
            <w:shd w:val="clear" w:color="auto" w:fill="auto"/>
          </w:tcPr>
          <w:p w14:paraId="40CAFF66" w14:textId="77777777" w:rsidR="00584FB3" w:rsidRDefault="00584FB3">
            <w:pPr>
              <w:rPr>
                <w:rFonts w:ascii="宋体"/>
                <w:vanish/>
              </w:rPr>
            </w:pPr>
          </w:p>
        </w:tc>
        <w:tc>
          <w:tcPr>
            <w:tcW w:w="0" w:type="auto"/>
            <w:gridSpan w:val="3"/>
            <w:shd w:val="clear" w:color="auto" w:fill="auto"/>
          </w:tcPr>
          <w:p w14:paraId="40CAFF67" w14:textId="77777777" w:rsidR="00584FB3" w:rsidRDefault="00584FB3">
            <w:pPr>
              <w:rPr>
                <w:rFonts w:ascii="宋体"/>
                <w:vanish/>
              </w:rPr>
            </w:pPr>
          </w:p>
        </w:tc>
        <w:tc>
          <w:tcPr>
            <w:tcW w:w="0" w:type="auto"/>
            <w:gridSpan w:val="3"/>
            <w:shd w:val="clear" w:color="auto" w:fill="auto"/>
          </w:tcPr>
          <w:p w14:paraId="40CAFF68" w14:textId="77777777" w:rsidR="00584FB3" w:rsidRDefault="00584FB3">
            <w:pPr>
              <w:rPr>
                <w:rFonts w:ascii="宋体"/>
                <w:vanish/>
              </w:rPr>
            </w:pPr>
          </w:p>
        </w:tc>
      </w:tr>
      <w:tr w:rsidR="00584FB3" w14:paraId="40CAFF76" w14:textId="77777777">
        <w:trPr>
          <w:jc w:val="center"/>
        </w:trPr>
        <w:tc>
          <w:tcPr>
            <w:tcW w:w="0" w:type="auto"/>
            <w:gridSpan w:val="3"/>
            <w:shd w:val="clear" w:color="auto" w:fill="D7E4BC"/>
            <w:tcMar>
              <w:top w:w="40" w:type="dxa"/>
              <w:left w:w="20" w:type="dxa"/>
              <w:bottom w:w="40" w:type="dxa"/>
              <w:right w:w="20" w:type="dxa"/>
            </w:tcMar>
            <w:vAlign w:val="bottom"/>
          </w:tcPr>
          <w:p w14:paraId="40CAFF6A" w14:textId="77777777" w:rsidR="00584FB3" w:rsidRDefault="00786180">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center"/>
          </w:tcPr>
          <w:p w14:paraId="40CAFF6B" w14:textId="77777777" w:rsidR="00584FB3" w:rsidRDefault="0078618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40CAFF6C" w14:textId="77777777" w:rsidR="00584FB3" w:rsidRDefault="00786180">
            <w:pPr>
              <w:jc w:val="right"/>
              <w:textAlignment w:val="center"/>
            </w:pPr>
            <w:r>
              <w:rPr>
                <w:rFonts w:ascii="Times New Roman" w:eastAsia="宋体" w:hAnsi="Times New Roman"/>
                <w:color w:val="000000"/>
                <w:sz w:val="20"/>
                <w:szCs w:val="20"/>
              </w:rPr>
              <w:t>622.2 </w:t>
            </w:r>
          </w:p>
        </w:tc>
        <w:tc>
          <w:tcPr>
            <w:tcW w:w="0" w:type="auto"/>
            <w:tcBorders>
              <w:top w:val="single" w:sz="8" w:space="0" w:color="000000"/>
            </w:tcBorders>
            <w:shd w:val="clear" w:color="auto" w:fill="D7E4BC"/>
            <w:tcMar>
              <w:top w:w="40" w:type="dxa"/>
              <w:left w:w="0" w:type="dxa"/>
              <w:bottom w:w="40" w:type="dxa"/>
              <w:right w:w="20" w:type="dxa"/>
            </w:tcMar>
            <w:vAlign w:val="center"/>
          </w:tcPr>
          <w:p w14:paraId="40CAFF6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6E"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40CAFF6F" w14:textId="77777777" w:rsidR="00584FB3" w:rsidRDefault="0078618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40CAFF70" w14:textId="77777777" w:rsidR="00584FB3" w:rsidRDefault="00786180">
            <w:pPr>
              <w:jc w:val="right"/>
              <w:textAlignment w:val="center"/>
            </w:pPr>
            <w:r>
              <w:rPr>
                <w:rFonts w:ascii="Times New Roman" w:eastAsia="宋体" w:hAnsi="Times New Roman"/>
                <w:color w:val="000000"/>
                <w:sz w:val="20"/>
                <w:szCs w:val="20"/>
              </w:rPr>
              <w:t>885.3 </w:t>
            </w:r>
          </w:p>
        </w:tc>
        <w:tc>
          <w:tcPr>
            <w:tcW w:w="0" w:type="auto"/>
            <w:tcBorders>
              <w:top w:val="single" w:sz="8" w:space="0" w:color="000000"/>
            </w:tcBorders>
            <w:shd w:val="clear" w:color="auto" w:fill="D7E4BC"/>
            <w:tcMar>
              <w:top w:w="40" w:type="dxa"/>
              <w:left w:w="0" w:type="dxa"/>
              <w:bottom w:w="40" w:type="dxa"/>
              <w:right w:w="20" w:type="dxa"/>
            </w:tcMar>
            <w:vAlign w:val="center"/>
          </w:tcPr>
          <w:p w14:paraId="40CAFF71" w14:textId="77777777" w:rsidR="00584FB3" w:rsidRDefault="00584FB3">
            <w:pPr>
              <w:jc w:val="right"/>
              <w:rPr>
                <w:rFonts w:ascii="宋体"/>
              </w:rPr>
            </w:pPr>
          </w:p>
        </w:tc>
        <w:tc>
          <w:tcPr>
            <w:tcW w:w="0" w:type="auto"/>
            <w:shd w:val="clear" w:color="auto" w:fill="auto"/>
          </w:tcPr>
          <w:p w14:paraId="40CAFF72" w14:textId="77777777" w:rsidR="00584FB3" w:rsidRDefault="00584FB3">
            <w:pPr>
              <w:rPr>
                <w:rFonts w:ascii="宋体"/>
                <w:vanish/>
              </w:rPr>
            </w:pPr>
          </w:p>
        </w:tc>
        <w:tc>
          <w:tcPr>
            <w:tcW w:w="0" w:type="auto"/>
            <w:shd w:val="clear" w:color="auto" w:fill="auto"/>
          </w:tcPr>
          <w:p w14:paraId="40CAFF73" w14:textId="77777777" w:rsidR="00584FB3" w:rsidRDefault="00584FB3">
            <w:pPr>
              <w:rPr>
                <w:rFonts w:ascii="宋体"/>
                <w:vanish/>
              </w:rPr>
            </w:pPr>
          </w:p>
        </w:tc>
        <w:tc>
          <w:tcPr>
            <w:tcW w:w="0" w:type="auto"/>
            <w:gridSpan w:val="3"/>
            <w:shd w:val="clear" w:color="auto" w:fill="auto"/>
          </w:tcPr>
          <w:p w14:paraId="40CAFF74" w14:textId="77777777" w:rsidR="00584FB3" w:rsidRDefault="00584FB3">
            <w:pPr>
              <w:rPr>
                <w:rFonts w:ascii="宋体"/>
                <w:vanish/>
              </w:rPr>
            </w:pPr>
          </w:p>
        </w:tc>
        <w:tc>
          <w:tcPr>
            <w:tcW w:w="0" w:type="auto"/>
            <w:gridSpan w:val="3"/>
            <w:shd w:val="clear" w:color="auto" w:fill="auto"/>
          </w:tcPr>
          <w:p w14:paraId="40CAFF75" w14:textId="77777777" w:rsidR="00584FB3" w:rsidRDefault="00584FB3">
            <w:pPr>
              <w:rPr>
                <w:rFonts w:ascii="宋体"/>
                <w:vanish/>
              </w:rPr>
            </w:pPr>
          </w:p>
        </w:tc>
      </w:tr>
      <w:tr w:rsidR="00584FB3" w14:paraId="40CAFF7F" w14:textId="77777777">
        <w:trPr>
          <w:jc w:val="center"/>
        </w:trPr>
        <w:tc>
          <w:tcPr>
            <w:tcW w:w="0" w:type="auto"/>
            <w:gridSpan w:val="3"/>
            <w:shd w:val="clear" w:color="auto" w:fill="FFFFFF"/>
            <w:tcMar>
              <w:top w:w="40" w:type="dxa"/>
              <w:left w:w="20" w:type="dxa"/>
              <w:bottom w:w="40" w:type="dxa"/>
              <w:right w:w="20" w:type="dxa"/>
            </w:tcMar>
            <w:vAlign w:val="bottom"/>
          </w:tcPr>
          <w:p w14:paraId="40CAFF77" w14:textId="77777777" w:rsidR="00584FB3" w:rsidRDefault="00786180">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tcPr>
          <w:p w14:paraId="40CAFF7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AFF79"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AFF7A" w14:textId="77777777" w:rsidR="00584FB3" w:rsidRDefault="00584FB3">
            <w:pPr>
              <w:rPr>
                <w:rFonts w:ascii="宋体"/>
              </w:rPr>
            </w:pPr>
          </w:p>
        </w:tc>
        <w:tc>
          <w:tcPr>
            <w:tcW w:w="0" w:type="auto"/>
            <w:shd w:val="clear" w:color="auto" w:fill="auto"/>
          </w:tcPr>
          <w:p w14:paraId="40CAFF7B" w14:textId="77777777" w:rsidR="00584FB3" w:rsidRDefault="00584FB3">
            <w:pPr>
              <w:rPr>
                <w:rFonts w:ascii="宋体"/>
                <w:vanish/>
              </w:rPr>
            </w:pPr>
          </w:p>
        </w:tc>
        <w:tc>
          <w:tcPr>
            <w:tcW w:w="0" w:type="auto"/>
            <w:shd w:val="clear" w:color="auto" w:fill="auto"/>
          </w:tcPr>
          <w:p w14:paraId="40CAFF7C" w14:textId="77777777" w:rsidR="00584FB3" w:rsidRDefault="00584FB3">
            <w:pPr>
              <w:rPr>
                <w:rFonts w:ascii="宋体"/>
                <w:vanish/>
              </w:rPr>
            </w:pPr>
          </w:p>
        </w:tc>
        <w:tc>
          <w:tcPr>
            <w:tcW w:w="0" w:type="auto"/>
            <w:gridSpan w:val="3"/>
            <w:shd w:val="clear" w:color="auto" w:fill="auto"/>
          </w:tcPr>
          <w:p w14:paraId="40CAFF7D" w14:textId="77777777" w:rsidR="00584FB3" w:rsidRDefault="00584FB3">
            <w:pPr>
              <w:rPr>
                <w:rFonts w:ascii="宋体"/>
                <w:vanish/>
              </w:rPr>
            </w:pPr>
          </w:p>
        </w:tc>
        <w:tc>
          <w:tcPr>
            <w:tcW w:w="0" w:type="auto"/>
            <w:gridSpan w:val="3"/>
            <w:shd w:val="clear" w:color="auto" w:fill="auto"/>
          </w:tcPr>
          <w:p w14:paraId="40CAFF7E" w14:textId="77777777" w:rsidR="00584FB3" w:rsidRDefault="00584FB3">
            <w:pPr>
              <w:rPr>
                <w:rFonts w:ascii="宋体"/>
                <w:vanish/>
              </w:rPr>
            </w:pPr>
          </w:p>
        </w:tc>
      </w:tr>
      <w:tr w:rsidR="00584FB3" w14:paraId="40CAFF8A" w14:textId="77777777">
        <w:trPr>
          <w:jc w:val="center"/>
        </w:trPr>
        <w:tc>
          <w:tcPr>
            <w:tcW w:w="0" w:type="auto"/>
            <w:gridSpan w:val="3"/>
            <w:shd w:val="clear" w:color="auto" w:fill="D7E4BC"/>
            <w:tcMar>
              <w:top w:w="40" w:type="dxa"/>
              <w:left w:w="245" w:type="dxa"/>
              <w:bottom w:w="40" w:type="dxa"/>
              <w:right w:w="20" w:type="dxa"/>
            </w:tcMar>
            <w:vAlign w:val="bottom"/>
          </w:tcPr>
          <w:p w14:paraId="40CAFF80" w14:textId="77777777" w:rsidR="00584FB3" w:rsidRDefault="00786180">
            <w:pPr>
              <w:textAlignment w:val="bottom"/>
            </w:pPr>
            <w:r>
              <w:rPr>
                <w:rFonts w:ascii="Times New Roman" w:eastAsia="宋体" w:hAnsi="Times New Roman"/>
                <w:color w:val="000000"/>
                <w:sz w:val="20"/>
                <w:szCs w:val="20"/>
              </w:rPr>
              <w:t xml:space="preserve">Unrealized holding </w:t>
            </w:r>
            <w:r>
              <w:rPr>
                <w:rFonts w:ascii="Times New Roman" w:eastAsia="宋体" w:hAnsi="Times New Roman"/>
                <w:color w:val="000000"/>
                <w:sz w:val="20"/>
                <w:szCs w:val="20"/>
              </w:rPr>
              <w:t>gains/(losses) on available-for-sale debt securities</w:t>
            </w:r>
          </w:p>
        </w:tc>
        <w:tc>
          <w:tcPr>
            <w:tcW w:w="0" w:type="auto"/>
            <w:gridSpan w:val="2"/>
            <w:shd w:val="clear" w:color="auto" w:fill="D7E4BC"/>
            <w:tcMar>
              <w:top w:w="40" w:type="dxa"/>
              <w:left w:w="20" w:type="dxa"/>
              <w:bottom w:w="40" w:type="dxa"/>
              <w:right w:w="0" w:type="dxa"/>
            </w:tcMar>
            <w:vAlign w:val="center"/>
          </w:tcPr>
          <w:p w14:paraId="40CAFF81" w14:textId="77777777" w:rsidR="00584FB3" w:rsidRDefault="00786180">
            <w:pPr>
              <w:jc w:val="right"/>
              <w:textAlignment w:val="center"/>
            </w:pPr>
            <w:r>
              <w:rPr>
                <w:rFonts w:ascii="Times New Roman" w:eastAsia="宋体" w:hAnsi="Times New Roman"/>
                <w:color w:val="000000"/>
                <w:sz w:val="20"/>
                <w:szCs w:val="20"/>
              </w:rPr>
              <w:t>(0.5)</w:t>
            </w:r>
          </w:p>
        </w:tc>
        <w:tc>
          <w:tcPr>
            <w:tcW w:w="0" w:type="auto"/>
            <w:shd w:val="clear" w:color="auto" w:fill="D7E4BC"/>
            <w:tcMar>
              <w:top w:w="40" w:type="dxa"/>
              <w:left w:w="0" w:type="dxa"/>
              <w:bottom w:w="40" w:type="dxa"/>
              <w:right w:w="20" w:type="dxa"/>
            </w:tcMar>
            <w:vAlign w:val="center"/>
          </w:tcPr>
          <w:p w14:paraId="40CAFF8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8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AFF84" w14:textId="77777777" w:rsidR="00584FB3" w:rsidRDefault="00786180">
            <w:pPr>
              <w:jc w:val="right"/>
              <w:textAlignment w:val="center"/>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center"/>
          </w:tcPr>
          <w:p w14:paraId="40CAFF85" w14:textId="77777777" w:rsidR="00584FB3" w:rsidRDefault="00584FB3">
            <w:pPr>
              <w:jc w:val="right"/>
              <w:rPr>
                <w:rFonts w:ascii="宋体"/>
              </w:rPr>
            </w:pPr>
          </w:p>
        </w:tc>
        <w:tc>
          <w:tcPr>
            <w:tcW w:w="0" w:type="auto"/>
            <w:shd w:val="clear" w:color="auto" w:fill="auto"/>
          </w:tcPr>
          <w:p w14:paraId="40CAFF86" w14:textId="77777777" w:rsidR="00584FB3" w:rsidRDefault="00584FB3">
            <w:pPr>
              <w:rPr>
                <w:rFonts w:ascii="宋体"/>
                <w:vanish/>
              </w:rPr>
            </w:pPr>
          </w:p>
        </w:tc>
        <w:tc>
          <w:tcPr>
            <w:tcW w:w="0" w:type="auto"/>
            <w:shd w:val="clear" w:color="auto" w:fill="auto"/>
          </w:tcPr>
          <w:p w14:paraId="40CAFF87" w14:textId="77777777" w:rsidR="00584FB3" w:rsidRDefault="00584FB3">
            <w:pPr>
              <w:rPr>
                <w:rFonts w:ascii="宋体"/>
                <w:vanish/>
              </w:rPr>
            </w:pPr>
          </w:p>
        </w:tc>
        <w:tc>
          <w:tcPr>
            <w:tcW w:w="0" w:type="auto"/>
            <w:gridSpan w:val="3"/>
            <w:shd w:val="clear" w:color="auto" w:fill="auto"/>
          </w:tcPr>
          <w:p w14:paraId="40CAFF88" w14:textId="77777777" w:rsidR="00584FB3" w:rsidRDefault="00584FB3">
            <w:pPr>
              <w:rPr>
                <w:rFonts w:ascii="宋体"/>
                <w:vanish/>
              </w:rPr>
            </w:pPr>
          </w:p>
        </w:tc>
        <w:tc>
          <w:tcPr>
            <w:tcW w:w="0" w:type="auto"/>
            <w:gridSpan w:val="3"/>
            <w:shd w:val="clear" w:color="auto" w:fill="auto"/>
          </w:tcPr>
          <w:p w14:paraId="40CAFF89" w14:textId="77777777" w:rsidR="00584FB3" w:rsidRDefault="00584FB3">
            <w:pPr>
              <w:rPr>
                <w:rFonts w:ascii="宋体"/>
                <w:vanish/>
              </w:rPr>
            </w:pPr>
          </w:p>
        </w:tc>
      </w:tr>
      <w:tr w:rsidR="00584FB3" w14:paraId="40CAFF95" w14:textId="77777777">
        <w:trPr>
          <w:jc w:val="center"/>
        </w:trPr>
        <w:tc>
          <w:tcPr>
            <w:tcW w:w="0" w:type="auto"/>
            <w:gridSpan w:val="3"/>
            <w:shd w:val="clear" w:color="auto" w:fill="FFFFFF"/>
            <w:tcMar>
              <w:top w:w="40" w:type="dxa"/>
              <w:left w:w="515" w:type="dxa"/>
              <w:bottom w:w="40" w:type="dxa"/>
              <w:right w:w="20" w:type="dxa"/>
            </w:tcMar>
            <w:vAlign w:val="center"/>
          </w:tcPr>
          <w:p w14:paraId="40CAFF8B" w14:textId="77777777" w:rsidR="00584FB3" w:rsidRDefault="00786180">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40CAFF8C" w14:textId="77777777" w:rsidR="00584FB3" w:rsidRDefault="00786180">
            <w:pPr>
              <w:jc w:val="right"/>
              <w:textAlignment w:val="top"/>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tcPr>
          <w:p w14:paraId="40CAFF8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8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center"/>
          </w:tcPr>
          <w:p w14:paraId="40CAFF8F" w14:textId="77777777" w:rsidR="00584FB3" w:rsidRDefault="0078618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40CAFF90" w14:textId="77777777" w:rsidR="00584FB3" w:rsidRDefault="00584FB3">
            <w:pPr>
              <w:jc w:val="right"/>
              <w:rPr>
                <w:rFonts w:ascii="宋体"/>
              </w:rPr>
            </w:pPr>
          </w:p>
        </w:tc>
        <w:tc>
          <w:tcPr>
            <w:tcW w:w="0" w:type="auto"/>
            <w:shd w:val="clear" w:color="auto" w:fill="auto"/>
          </w:tcPr>
          <w:p w14:paraId="40CAFF91" w14:textId="77777777" w:rsidR="00584FB3" w:rsidRDefault="00584FB3">
            <w:pPr>
              <w:rPr>
                <w:rFonts w:ascii="宋体"/>
                <w:vanish/>
              </w:rPr>
            </w:pPr>
          </w:p>
        </w:tc>
        <w:tc>
          <w:tcPr>
            <w:tcW w:w="0" w:type="auto"/>
            <w:shd w:val="clear" w:color="auto" w:fill="auto"/>
          </w:tcPr>
          <w:p w14:paraId="40CAFF92" w14:textId="77777777" w:rsidR="00584FB3" w:rsidRDefault="00584FB3">
            <w:pPr>
              <w:rPr>
                <w:rFonts w:ascii="宋体"/>
                <w:vanish/>
              </w:rPr>
            </w:pPr>
          </w:p>
        </w:tc>
        <w:tc>
          <w:tcPr>
            <w:tcW w:w="0" w:type="auto"/>
            <w:gridSpan w:val="3"/>
            <w:shd w:val="clear" w:color="auto" w:fill="auto"/>
          </w:tcPr>
          <w:p w14:paraId="40CAFF93" w14:textId="77777777" w:rsidR="00584FB3" w:rsidRDefault="00584FB3">
            <w:pPr>
              <w:rPr>
                <w:rFonts w:ascii="宋体"/>
                <w:vanish/>
              </w:rPr>
            </w:pPr>
          </w:p>
        </w:tc>
        <w:tc>
          <w:tcPr>
            <w:tcW w:w="0" w:type="auto"/>
            <w:gridSpan w:val="3"/>
            <w:shd w:val="clear" w:color="auto" w:fill="auto"/>
          </w:tcPr>
          <w:p w14:paraId="40CAFF94" w14:textId="77777777" w:rsidR="00584FB3" w:rsidRDefault="00584FB3">
            <w:pPr>
              <w:rPr>
                <w:rFonts w:ascii="宋体"/>
                <w:vanish/>
              </w:rPr>
            </w:pPr>
          </w:p>
        </w:tc>
      </w:tr>
      <w:tr w:rsidR="00584FB3" w14:paraId="40CAFFA0" w14:textId="77777777">
        <w:trPr>
          <w:jc w:val="center"/>
        </w:trPr>
        <w:tc>
          <w:tcPr>
            <w:tcW w:w="0" w:type="auto"/>
            <w:gridSpan w:val="3"/>
            <w:shd w:val="clear" w:color="auto" w:fill="D7E4BC"/>
            <w:tcMar>
              <w:top w:w="40" w:type="dxa"/>
              <w:left w:w="245" w:type="dxa"/>
              <w:bottom w:w="40" w:type="dxa"/>
              <w:right w:w="20" w:type="dxa"/>
            </w:tcMar>
            <w:vAlign w:val="bottom"/>
          </w:tcPr>
          <w:p w14:paraId="40CAFF96" w14:textId="77777777" w:rsidR="00584FB3" w:rsidRDefault="00786180">
            <w:pPr>
              <w:textAlignment w:val="bottom"/>
            </w:pPr>
            <w:r>
              <w:rPr>
                <w:rFonts w:ascii="Times New Roman" w:eastAsia="宋体" w:hAnsi="Times New Roman"/>
                <w:color w:val="000000"/>
                <w:sz w:val="20"/>
                <w:szCs w:val="20"/>
              </w:rPr>
              <w:t>Unrealized gains/(losses) on cash flow hedging instruments</w:t>
            </w:r>
          </w:p>
        </w:tc>
        <w:tc>
          <w:tcPr>
            <w:tcW w:w="0" w:type="auto"/>
            <w:gridSpan w:val="2"/>
            <w:shd w:val="clear" w:color="auto" w:fill="D7E4BC"/>
            <w:tcMar>
              <w:top w:w="40" w:type="dxa"/>
              <w:left w:w="20" w:type="dxa"/>
              <w:bottom w:w="40" w:type="dxa"/>
              <w:right w:w="0" w:type="dxa"/>
            </w:tcMar>
            <w:vAlign w:val="center"/>
          </w:tcPr>
          <w:p w14:paraId="40CAFF97" w14:textId="77777777" w:rsidR="00584FB3" w:rsidRDefault="00786180">
            <w:pPr>
              <w:jc w:val="right"/>
              <w:textAlignment w:val="center"/>
            </w:pPr>
            <w:r>
              <w:rPr>
                <w:rFonts w:ascii="Times New Roman" w:eastAsia="宋体" w:hAnsi="Times New Roman"/>
                <w:color w:val="000000"/>
                <w:sz w:val="20"/>
                <w:szCs w:val="20"/>
              </w:rPr>
              <w:t>7.7 </w:t>
            </w:r>
          </w:p>
        </w:tc>
        <w:tc>
          <w:tcPr>
            <w:tcW w:w="0" w:type="auto"/>
            <w:shd w:val="clear" w:color="auto" w:fill="D7E4BC"/>
            <w:tcMar>
              <w:top w:w="40" w:type="dxa"/>
              <w:left w:w="0" w:type="dxa"/>
              <w:bottom w:w="40" w:type="dxa"/>
              <w:right w:w="20" w:type="dxa"/>
            </w:tcMar>
            <w:vAlign w:val="center"/>
          </w:tcPr>
          <w:p w14:paraId="40CAFF9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9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AFF9A" w14:textId="77777777" w:rsidR="00584FB3" w:rsidRDefault="00786180">
            <w:pPr>
              <w:jc w:val="right"/>
              <w:textAlignment w:val="center"/>
            </w:pPr>
            <w:r>
              <w:rPr>
                <w:rFonts w:ascii="Times New Roman" w:eastAsia="宋体" w:hAnsi="Times New Roman"/>
                <w:color w:val="000000"/>
                <w:sz w:val="20"/>
                <w:szCs w:val="20"/>
              </w:rPr>
              <w:t>32.4 </w:t>
            </w:r>
          </w:p>
        </w:tc>
        <w:tc>
          <w:tcPr>
            <w:tcW w:w="0" w:type="auto"/>
            <w:shd w:val="clear" w:color="auto" w:fill="D7E4BC"/>
            <w:tcMar>
              <w:top w:w="40" w:type="dxa"/>
              <w:left w:w="0" w:type="dxa"/>
              <w:bottom w:w="40" w:type="dxa"/>
              <w:right w:w="20" w:type="dxa"/>
            </w:tcMar>
            <w:vAlign w:val="center"/>
          </w:tcPr>
          <w:p w14:paraId="40CAFF9B" w14:textId="77777777" w:rsidR="00584FB3" w:rsidRDefault="00584FB3">
            <w:pPr>
              <w:jc w:val="right"/>
              <w:rPr>
                <w:rFonts w:ascii="宋体"/>
              </w:rPr>
            </w:pPr>
          </w:p>
        </w:tc>
        <w:tc>
          <w:tcPr>
            <w:tcW w:w="0" w:type="auto"/>
            <w:shd w:val="clear" w:color="auto" w:fill="auto"/>
          </w:tcPr>
          <w:p w14:paraId="40CAFF9C" w14:textId="77777777" w:rsidR="00584FB3" w:rsidRDefault="00584FB3">
            <w:pPr>
              <w:rPr>
                <w:rFonts w:ascii="宋体"/>
                <w:vanish/>
              </w:rPr>
            </w:pPr>
          </w:p>
        </w:tc>
        <w:tc>
          <w:tcPr>
            <w:tcW w:w="0" w:type="auto"/>
            <w:shd w:val="clear" w:color="auto" w:fill="auto"/>
          </w:tcPr>
          <w:p w14:paraId="40CAFF9D" w14:textId="77777777" w:rsidR="00584FB3" w:rsidRDefault="00584FB3">
            <w:pPr>
              <w:rPr>
                <w:rFonts w:ascii="宋体"/>
                <w:vanish/>
              </w:rPr>
            </w:pPr>
          </w:p>
        </w:tc>
        <w:tc>
          <w:tcPr>
            <w:tcW w:w="0" w:type="auto"/>
            <w:gridSpan w:val="3"/>
            <w:shd w:val="clear" w:color="auto" w:fill="auto"/>
          </w:tcPr>
          <w:p w14:paraId="40CAFF9E" w14:textId="77777777" w:rsidR="00584FB3" w:rsidRDefault="00584FB3">
            <w:pPr>
              <w:rPr>
                <w:rFonts w:ascii="宋体"/>
                <w:vanish/>
              </w:rPr>
            </w:pPr>
          </w:p>
        </w:tc>
        <w:tc>
          <w:tcPr>
            <w:tcW w:w="0" w:type="auto"/>
            <w:gridSpan w:val="3"/>
            <w:shd w:val="clear" w:color="auto" w:fill="auto"/>
          </w:tcPr>
          <w:p w14:paraId="40CAFF9F" w14:textId="77777777" w:rsidR="00584FB3" w:rsidRDefault="00584FB3">
            <w:pPr>
              <w:rPr>
                <w:rFonts w:ascii="宋体"/>
                <w:vanish/>
              </w:rPr>
            </w:pPr>
          </w:p>
        </w:tc>
      </w:tr>
      <w:tr w:rsidR="00584FB3" w14:paraId="40CAFFAB" w14:textId="77777777">
        <w:trPr>
          <w:jc w:val="center"/>
        </w:trPr>
        <w:tc>
          <w:tcPr>
            <w:tcW w:w="0" w:type="auto"/>
            <w:gridSpan w:val="3"/>
            <w:shd w:val="clear" w:color="auto" w:fill="FFFFFF"/>
            <w:tcMar>
              <w:top w:w="40" w:type="dxa"/>
              <w:left w:w="515" w:type="dxa"/>
              <w:bottom w:w="40" w:type="dxa"/>
              <w:right w:w="20" w:type="dxa"/>
            </w:tcMar>
            <w:vAlign w:val="bottom"/>
          </w:tcPr>
          <w:p w14:paraId="40CAFFA1" w14:textId="77777777" w:rsidR="00584FB3" w:rsidRDefault="00786180">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40CAFFA2" w14:textId="77777777" w:rsidR="00584FB3" w:rsidRDefault="00786180">
            <w:pPr>
              <w:jc w:val="right"/>
              <w:textAlignment w:val="center"/>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center"/>
          </w:tcPr>
          <w:p w14:paraId="40CAFFA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A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center"/>
          </w:tcPr>
          <w:p w14:paraId="40CAFFA5" w14:textId="77777777" w:rsidR="00584FB3" w:rsidRDefault="00786180">
            <w:pPr>
              <w:jc w:val="right"/>
              <w:textAlignment w:val="center"/>
            </w:pPr>
            <w:r>
              <w:rPr>
                <w:rFonts w:ascii="Times New Roman" w:eastAsia="宋体" w:hAnsi="Times New Roman"/>
                <w:color w:val="000000"/>
                <w:sz w:val="20"/>
                <w:szCs w:val="20"/>
              </w:rPr>
              <w:t>(6.6)</w:t>
            </w:r>
          </w:p>
        </w:tc>
        <w:tc>
          <w:tcPr>
            <w:tcW w:w="0" w:type="auto"/>
            <w:shd w:val="clear" w:color="auto" w:fill="FFFFFF"/>
            <w:tcMar>
              <w:top w:w="40" w:type="dxa"/>
              <w:left w:w="0" w:type="dxa"/>
              <w:bottom w:w="40" w:type="dxa"/>
              <w:right w:w="20" w:type="dxa"/>
            </w:tcMar>
            <w:vAlign w:val="center"/>
          </w:tcPr>
          <w:p w14:paraId="40CAFFA6" w14:textId="77777777" w:rsidR="00584FB3" w:rsidRDefault="00584FB3">
            <w:pPr>
              <w:jc w:val="right"/>
              <w:rPr>
                <w:rFonts w:ascii="宋体"/>
              </w:rPr>
            </w:pPr>
          </w:p>
        </w:tc>
        <w:tc>
          <w:tcPr>
            <w:tcW w:w="0" w:type="auto"/>
            <w:shd w:val="clear" w:color="auto" w:fill="auto"/>
          </w:tcPr>
          <w:p w14:paraId="40CAFFA7" w14:textId="77777777" w:rsidR="00584FB3" w:rsidRDefault="00584FB3">
            <w:pPr>
              <w:rPr>
                <w:rFonts w:ascii="宋体"/>
                <w:vanish/>
              </w:rPr>
            </w:pPr>
          </w:p>
        </w:tc>
        <w:tc>
          <w:tcPr>
            <w:tcW w:w="0" w:type="auto"/>
            <w:shd w:val="clear" w:color="auto" w:fill="auto"/>
          </w:tcPr>
          <w:p w14:paraId="40CAFFA8" w14:textId="77777777" w:rsidR="00584FB3" w:rsidRDefault="00584FB3">
            <w:pPr>
              <w:rPr>
                <w:rFonts w:ascii="宋体"/>
                <w:vanish/>
              </w:rPr>
            </w:pPr>
          </w:p>
        </w:tc>
        <w:tc>
          <w:tcPr>
            <w:tcW w:w="0" w:type="auto"/>
            <w:gridSpan w:val="3"/>
            <w:shd w:val="clear" w:color="auto" w:fill="auto"/>
          </w:tcPr>
          <w:p w14:paraId="40CAFFA9" w14:textId="77777777" w:rsidR="00584FB3" w:rsidRDefault="00584FB3">
            <w:pPr>
              <w:rPr>
                <w:rFonts w:ascii="宋体"/>
                <w:vanish/>
              </w:rPr>
            </w:pPr>
          </w:p>
        </w:tc>
        <w:tc>
          <w:tcPr>
            <w:tcW w:w="0" w:type="auto"/>
            <w:gridSpan w:val="3"/>
            <w:shd w:val="clear" w:color="auto" w:fill="auto"/>
          </w:tcPr>
          <w:p w14:paraId="40CAFFAA" w14:textId="77777777" w:rsidR="00584FB3" w:rsidRDefault="00584FB3">
            <w:pPr>
              <w:rPr>
                <w:rFonts w:ascii="宋体"/>
                <w:vanish/>
              </w:rPr>
            </w:pPr>
          </w:p>
        </w:tc>
      </w:tr>
      <w:tr w:rsidR="00584FB3" w14:paraId="40CAFFB6" w14:textId="77777777">
        <w:trPr>
          <w:jc w:val="center"/>
        </w:trPr>
        <w:tc>
          <w:tcPr>
            <w:tcW w:w="0" w:type="auto"/>
            <w:gridSpan w:val="3"/>
            <w:shd w:val="clear" w:color="auto" w:fill="D7E4BC"/>
            <w:tcMar>
              <w:top w:w="40" w:type="dxa"/>
              <w:left w:w="245" w:type="dxa"/>
              <w:bottom w:w="40" w:type="dxa"/>
              <w:right w:w="20" w:type="dxa"/>
            </w:tcMar>
            <w:vAlign w:val="bottom"/>
          </w:tcPr>
          <w:p w14:paraId="40CAFFAC" w14:textId="77777777" w:rsidR="00584FB3" w:rsidRDefault="00786180">
            <w:pPr>
              <w:textAlignment w:val="bottom"/>
            </w:pPr>
            <w:r>
              <w:rPr>
                <w:rFonts w:ascii="Times New Roman" w:eastAsia="宋体" w:hAnsi="Times New Roman"/>
                <w:color w:val="000000"/>
                <w:sz w:val="20"/>
                <w:szCs w:val="20"/>
              </w:rPr>
              <w:t xml:space="preserve">Unrealized </w:t>
            </w:r>
            <w:r>
              <w:rPr>
                <w:rFonts w:ascii="Times New Roman" w:eastAsia="宋体" w:hAnsi="Times New Roman"/>
                <w:color w:val="000000"/>
                <w:sz w:val="20"/>
                <w:szCs w:val="20"/>
              </w:rPr>
              <w:t>gains/(losses) on net investment hedging instruments</w:t>
            </w:r>
          </w:p>
        </w:tc>
        <w:tc>
          <w:tcPr>
            <w:tcW w:w="0" w:type="auto"/>
            <w:gridSpan w:val="2"/>
            <w:shd w:val="clear" w:color="auto" w:fill="D7E4BC"/>
            <w:tcMar>
              <w:top w:w="40" w:type="dxa"/>
              <w:left w:w="20" w:type="dxa"/>
              <w:bottom w:w="40" w:type="dxa"/>
              <w:right w:w="0" w:type="dxa"/>
            </w:tcMar>
            <w:vAlign w:val="center"/>
          </w:tcPr>
          <w:p w14:paraId="40CAFFAD" w14:textId="77777777" w:rsidR="00584FB3" w:rsidRDefault="00786180">
            <w:pPr>
              <w:jc w:val="right"/>
              <w:textAlignment w:val="center"/>
            </w:pPr>
            <w:r>
              <w:rPr>
                <w:rFonts w:ascii="Times New Roman" w:eastAsia="宋体" w:hAnsi="Times New Roman"/>
                <w:color w:val="000000"/>
                <w:sz w:val="20"/>
                <w:szCs w:val="20"/>
              </w:rPr>
              <w:t>(30.2)</w:t>
            </w:r>
          </w:p>
        </w:tc>
        <w:tc>
          <w:tcPr>
            <w:tcW w:w="0" w:type="auto"/>
            <w:shd w:val="clear" w:color="auto" w:fill="D7E4BC"/>
            <w:tcMar>
              <w:top w:w="40" w:type="dxa"/>
              <w:left w:w="0" w:type="dxa"/>
              <w:bottom w:w="40" w:type="dxa"/>
              <w:right w:w="20" w:type="dxa"/>
            </w:tcMar>
            <w:vAlign w:val="center"/>
          </w:tcPr>
          <w:p w14:paraId="40CAFFA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A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AFFB0" w14:textId="77777777" w:rsidR="00584FB3" w:rsidRDefault="00786180">
            <w:pPr>
              <w:jc w:val="right"/>
              <w:textAlignment w:val="center"/>
            </w:pPr>
            <w:r>
              <w:rPr>
                <w:rFonts w:ascii="Times New Roman" w:eastAsia="宋体" w:hAnsi="Times New Roman"/>
                <w:color w:val="000000"/>
                <w:sz w:val="20"/>
                <w:szCs w:val="20"/>
              </w:rPr>
              <w:t>23.7 </w:t>
            </w:r>
          </w:p>
        </w:tc>
        <w:tc>
          <w:tcPr>
            <w:tcW w:w="0" w:type="auto"/>
            <w:shd w:val="clear" w:color="auto" w:fill="D7E4BC"/>
            <w:tcMar>
              <w:top w:w="40" w:type="dxa"/>
              <w:left w:w="0" w:type="dxa"/>
              <w:bottom w:w="40" w:type="dxa"/>
              <w:right w:w="20" w:type="dxa"/>
            </w:tcMar>
            <w:vAlign w:val="center"/>
          </w:tcPr>
          <w:p w14:paraId="40CAFFB1" w14:textId="77777777" w:rsidR="00584FB3" w:rsidRDefault="00584FB3">
            <w:pPr>
              <w:jc w:val="right"/>
              <w:rPr>
                <w:rFonts w:ascii="宋体"/>
              </w:rPr>
            </w:pPr>
          </w:p>
        </w:tc>
        <w:tc>
          <w:tcPr>
            <w:tcW w:w="0" w:type="auto"/>
            <w:shd w:val="clear" w:color="auto" w:fill="auto"/>
          </w:tcPr>
          <w:p w14:paraId="40CAFFB2" w14:textId="77777777" w:rsidR="00584FB3" w:rsidRDefault="00584FB3">
            <w:pPr>
              <w:rPr>
                <w:rFonts w:ascii="宋体"/>
                <w:vanish/>
              </w:rPr>
            </w:pPr>
          </w:p>
        </w:tc>
        <w:tc>
          <w:tcPr>
            <w:tcW w:w="0" w:type="auto"/>
            <w:shd w:val="clear" w:color="auto" w:fill="auto"/>
          </w:tcPr>
          <w:p w14:paraId="40CAFFB3" w14:textId="77777777" w:rsidR="00584FB3" w:rsidRDefault="00584FB3">
            <w:pPr>
              <w:rPr>
                <w:rFonts w:ascii="宋体"/>
                <w:vanish/>
              </w:rPr>
            </w:pPr>
          </w:p>
        </w:tc>
        <w:tc>
          <w:tcPr>
            <w:tcW w:w="0" w:type="auto"/>
            <w:gridSpan w:val="3"/>
            <w:shd w:val="clear" w:color="auto" w:fill="auto"/>
          </w:tcPr>
          <w:p w14:paraId="40CAFFB4" w14:textId="77777777" w:rsidR="00584FB3" w:rsidRDefault="00584FB3">
            <w:pPr>
              <w:rPr>
                <w:rFonts w:ascii="宋体"/>
                <w:vanish/>
              </w:rPr>
            </w:pPr>
          </w:p>
        </w:tc>
        <w:tc>
          <w:tcPr>
            <w:tcW w:w="0" w:type="auto"/>
            <w:gridSpan w:val="3"/>
            <w:shd w:val="clear" w:color="auto" w:fill="auto"/>
          </w:tcPr>
          <w:p w14:paraId="40CAFFB5" w14:textId="77777777" w:rsidR="00584FB3" w:rsidRDefault="00584FB3">
            <w:pPr>
              <w:rPr>
                <w:rFonts w:ascii="宋体"/>
                <w:vanish/>
              </w:rPr>
            </w:pPr>
          </w:p>
        </w:tc>
      </w:tr>
      <w:tr w:rsidR="00584FB3" w14:paraId="40CAFFC1" w14:textId="77777777">
        <w:trPr>
          <w:jc w:val="center"/>
        </w:trPr>
        <w:tc>
          <w:tcPr>
            <w:tcW w:w="0" w:type="auto"/>
            <w:gridSpan w:val="3"/>
            <w:shd w:val="clear" w:color="auto" w:fill="FFFFFF"/>
            <w:tcMar>
              <w:top w:w="40" w:type="dxa"/>
              <w:left w:w="515" w:type="dxa"/>
              <w:bottom w:w="40" w:type="dxa"/>
              <w:right w:w="20" w:type="dxa"/>
            </w:tcMar>
            <w:vAlign w:val="bottom"/>
          </w:tcPr>
          <w:p w14:paraId="40CAFFB7" w14:textId="77777777" w:rsidR="00584FB3" w:rsidRDefault="00786180">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40CAFFB8" w14:textId="77777777" w:rsidR="00584FB3" w:rsidRDefault="00786180">
            <w:pPr>
              <w:jc w:val="right"/>
              <w:textAlignment w:val="center"/>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center"/>
          </w:tcPr>
          <w:p w14:paraId="40CAFFB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B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center"/>
          </w:tcPr>
          <w:p w14:paraId="40CAFFBB" w14:textId="77777777" w:rsidR="00584FB3" w:rsidRDefault="00786180">
            <w:pPr>
              <w:jc w:val="right"/>
              <w:textAlignment w:val="center"/>
            </w:pPr>
            <w:r>
              <w:rPr>
                <w:rFonts w:ascii="Times New Roman" w:eastAsia="宋体" w:hAnsi="Times New Roman"/>
                <w:color w:val="000000"/>
                <w:sz w:val="20"/>
                <w:szCs w:val="20"/>
              </w:rPr>
              <w:t>(6.0)</w:t>
            </w:r>
          </w:p>
        </w:tc>
        <w:tc>
          <w:tcPr>
            <w:tcW w:w="0" w:type="auto"/>
            <w:shd w:val="clear" w:color="auto" w:fill="FFFFFF"/>
            <w:tcMar>
              <w:top w:w="40" w:type="dxa"/>
              <w:left w:w="0" w:type="dxa"/>
              <w:bottom w:w="40" w:type="dxa"/>
              <w:right w:w="20" w:type="dxa"/>
            </w:tcMar>
            <w:vAlign w:val="center"/>
          </w:tcPr>
          <w:p w14:paraId="40CAFFBC" w14:textId="77777777" w:rsidR="00584FB3" w:rsidRDefault="00584FB3">
            <w:pPr>
              <w:jc w:val="right"/>
              <w:rPr>
                <w:rFonts w:ascii="宋体"/>
              </w:rPr>
            </w:pPr>
          </w:p>
        </w:tc>
        <w:tc>
          <w:tcPr>
            <w:tcW w:w="0" w:type="auto"/>
            <w:shd w:val="clear" w:color="auto" w:fill="auto"/>
          </w:tcPr>
          <w:p w14:paraId="40CAFFBD" w14:textId="77777777" w:rsidR="00584FB3" w:rsidRDefault="00584FB3">
            <w:pPr>
              <w:rPr>
                <w:rFonts w:ascii="宋体"/>
                <w:vanish/>
              </w:rPr>
            </w:pPr>
          </w:p>
        </w:tc>
        <w:tc>
          <w:tcPr>
            <w:tcW w:w="0" w:type="auto"/>
            <w:shd w:val="clear" w:color="auto" w:fill="auto"/>
          </w:tcPr>
          <w:p w14:paraId="40CAFFBE" w14:textId="77777777" w:rsidR="00584FB3" w:rsidRDefault="00584FB3">
            <w:pPr>
              <w:rPr>
                <w:rFonts w:ascii="宋体"/>
                <w:vanish/>
              </w:rPr>
            </w:pPr>
          </w:p>
        </w:tc>
        <w:tc>
          <w:tcPr>
            <w:tcW w:w="0" w:type="auto"/>
            <w:gridSpan w:val="3"/>
            <w:shd w:val="clear" w:color="auto" w:fill="auto"/>
          </w:tcPr>
          <w:p w14:paraId="40CAFFBF" w14:textId="77777777" w:rsidR="00584FB3" w:rsidRDefault="00584FB3">
            <w:pPr>
              <w:rPr>
                <w:rFonts w:ascii="宋体"/>
                <w:vanish/>
              </w:rPr>
            </w:pPr>
          </w:p>
        </w:tc>
        <w:tc>
          <w:tcPr>
            <w:tcW w:w="0" w:type="auto"/>
            <w:gridSpan w:val="3"/>
            <w:shd w:val="clear" w:color="auto" w:fill="auto"/>
          </w:tcPr>
          <w:p w14:paraId="40CAFFC0" w14:textId="77777777" w:rsidR="00584FB3" w:rsidRDefault="00584FB3">
            <w:pPr>
              <w:rPr>
                <w:rFonts w:ascii="宋体"/>
                <w:vanish/>
              </w:rPr>
            </w:pPr>
          </w:p>
        </w:tc>
      </w:tr>
      <w:tr w:rsidR="00584FB3" w14:paraId="40CAFFCC" w14:textId="77777777">
        <w:trPr>
          <w:jc w:val="center"/>
        </w:trPr>
        <w:tc>
          <w:tcPr>
            <w:tcW w:w="0" w:type="auto"/>
            <w:gridSpan w:val="3"/>
            <w:shd w:val="clear" w:color="auto" w:fill="D7E4BC"/>
            <w:tcMar>
              <w:top w:w="40" w:type="dxa"/>
              <w:left w:w="245" w:type="dxa"/>
              <w:bottom w:w="40" w:type="dxa"/>
              <w:right w:w="20" w:type="dxa"/>
            </w:tcMar>
            <w:vAlign w:val="bottom"/>
          </w:tcPr>
          <w:p w14:paraId="40CAFFC2" w14:textId="77777777" w:rsidR="00584FB3" w:rsidRDefault="00786180">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40CAFFC3" w14:textId="77777777" w:rsidR="00584FB3" w:rsidRDefault="00786180">
            <w:pPr>
              <w:jc w:val="right"/>
              <w:textAlignment w:val="bottom"/>
            </w:pPr>
            <w:r>
              <w:rPr>
                <w:rFonts w:ascii="Times New Roman" w:eastAsia="宋体" w:hAnsi="Times New Roman"/>
                <w:color w:val="000000"/>
                <w:sz w:val="20"/>
                <w:szCs w:val="20"/>
              </w:rPr>
              <w:t>238.7 </w:t>
            </w:r>
          </w:p>
        </w:tc>
        <w:tc>
          <w:tcPr>
            <w:tcW w:w="0" w:type="auto"/>
            <w:shd w:val="clear" w:color="auto" w:fill="D7E4BC"/>
            <w:tcMar>
              <w:top w:w="40" w:type="dxa"/>
              <w:left w:w="0" w:type="dxa"/>
              <w:bottom w:w="40" w:type="dxa"/>
              <w:right w:w="20" w:type="dxa"/>
            </w:tcMar>
            <w:vAlign w:val="bottom"/>
          </w:tcPr>
          <w:p w14:paraId="40CAFFC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C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AFFC6" w14:textId="77777777" w:rsidR="00584FB3" w:rsidRDefault="00786180">
            <w:pPr>
              <w:jc w:val="right"/>
              <w:textAlignment w:val="bottom"/>
            </w:pPr>
            <w:r>
              <w:rPr>
                <w:rFonts w:ascii="Times New Roman" w:eastAsia="宋体" w:hAnsi="Times New Roman"/>
                <w:color w:val="000000"/>
                <w:sz w:val="20"/>
                <w:szCs w:val="20"/>
              </w:rPr>
              <w:t>76.1 </w:t>
            </w:r>
          </w:p>
        </w:tc>
        <w:tc>
          <w:tcPr>
            <w:tcW w:w="0" w:type="auto"/>
            <w:shd w:val="clear" w:color="auto" w:fill="D7E4BC"/>
            <w:tcMar>
              <w:top w:w="40" w:type="dxa"/>
              <w:left w:w="0" w:type="dxa"/>
              <w:bottom w:w="40" w:type="dxa"/>
              <w:right w:w="20" w:type="dxa"/>
            </w:tcMar>
            <w:vAlign w:val="bottom"/>
          </w:tcPr>
          <w:p w14:paraId="40CAFFC7" w14:textId="77777777" w:rsidR="00584FB3" w:rsidRDefault="00584FB3">
            <w:pPr>
              <w:jc w:val="right"/>
              <w:rPr>
                <w:rFonts w:ascii="宋体"/>
              </w:rPr>
            </w:pPr>
          </w:p>
        </w:tc>
        <w:tc>
          <w:tcPr>
            <w:tcW w:w="0" w:type="auto"/>
            <w:shd w:val="clear" w:color="auto" w:fill="auto"/>
          </w:tcPr>
          <w:p w14:paraId="40CAFFC8" w14:textId="77777777" w:rsidR="00584FB3" w:rsidRDefault="00584FB3">
            <w:pPr>
              <w:rPr>
                <w:rFonts w:ascii="宋体"/>
                <w:vanish/>
              </w:rPr>
            </w:pPr>
          </w:p>
        </w:tc>
        <w:tc>
          <w:tcPr>
            <w:tcW w:w="0" w:type="auto"/>
            <w:shd w:val="clear" w:color="auto" w:fill="auto"/>
          </w:tcPr>
          <w:p w14:paraId="40CAFFC9" w14:textId="77777777" w:rsidR="00584FB3" w:rsidRDefault="00584FB3">
            <w:pPr>
              <w:rPr>
                <w:rFonts w:ascii="宋体"/>
                <w:vanish/>
              </w:rPr>
            </w:pPr>
          </w:p>
        </w:tc>
        <w:tc>
          <w:tcPr>
            <w:tcW w:w="0" w:type="auto"/>
            <w:gridSpan w:val="3"/>
            <w:shd w:val="clear" w:color="auto" w:fill="auto"/>
          </w:tcPr>
          <w:p w14:paraId="40CAFFCA" w14:textId="77777777" w:rsidR="00584FB3" w:rsidRDefault="00584FB3">
            <w:pPr>
              <w:rPr>
                <w:rFonts w:ascii="宋体"/>
                <w:vanish/>
              </w:rPr>
            </w:pPr>
          </w:p>
        </w:tc>
        <w:tc>
          <w:tcPr>
            <w:tcW w:w="0" w:type="auto"/>
            <w:gridSpan w:val="3"/>
            <w:shd w:val="clear" w:color="auto" w:fill="auto"/>
          </w:tcPr>
          <w:p w14:paraId="40CAFFCB" w14:textId="77777777" w:rsidR="00584FB3" w:rsidRDefault="00584FB3">
            <w:pPr>
              <w:rPr>
                <w:rFonts w:ascii="宋体"/>
                <w:vanish/>
              </w:rPr>
            </w:pPr>
          </w:p>
        </w:tc>
      </w:tr>
      <w:tr w:rsidR="00584FB3" w14:paraId="40CAFFD7" w14:textId="77777777">
        <w:trPr>
          <w:jc w:val="center"/>
        </w:trPr>
        <w:tc>
          <w:tcPr>
            <w:tcW w:w="0" w:type="auto"/>
            <w:gridSpan w:val="3"/>
            <w:shd w:val="clear" w:color="auto" w:fill="FFFFFF"/>
            <w:tcMar>
              <w:top w:w="40" w:type="dxa"/>
              <w:left w:w="515" w:type="dxa"/>
              <w:bottom w:w="40" w:type="dxa"/>
              <w:right w:w="20" w:type="dxa"/>
            </w:tcMar>
            <w:vAlign w:val="bottom"/>
          </w:tcPr>
          <w:p w14:paraId="40CAFFCD" w14:textId="77777777" w:rsidR="00584FB3" w:rsidRDefault="00786180">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40CAFFC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AFFC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D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FD1"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AFFD2" w14:textId="77777777" w:rsidR="00584FB3" w:rsidRDefault="00584FB3">
            <w:pPr>
              <w:jc w:val="right"/>
              <w:rPr>
                <w:rFonts w:ascii="宋体"/>
              </w:rPr>
            </w:pPr>
          </w:p>
        </w:tc>
        <w:tc>
          <w:tcPr>
            <w:tcW w:w="0" w:type="auto"/>
            <w:shd w:val="clear" w:color="auto" w:fill="auto"/>
          </w:tcPr>
          <w:p w14:paraId="40CAFFD3" w14:textId="77777777" w:rsidR="00584FB3" w:rsidRDefault="00584FB3">
            <w:pPr>
              <w:rPr>
                <w:rFonts w:ascii="宋体"/>
                <w:vanish/>
              </w:rPr>
            </w:pPr>
          </w:p>
        </w:tc>
        <w:tc>
          <w:tcPr>
            <w:tcW w:w="0" w:type="auto"/>
            <w:shd w:val="clear" w:color="auto" w:fill="auto"/>
          </w:tcPr>
          <w:p w14:paraId="40CAFFD4" w14:textId="77777777" w:rsidR="00584FB3" w:rsidRDefault="00584FB3">
            <w:pPr>
              <w:rPr>
                <w:rFonts w:ascii="宋体"/>
                <w:vanish/>
              </w:rPr>
            </w:pPr>
          </w:p>
        </w:tc>
        <w:tc>
          <w:tcPr>
            <w:tcW w:w="0" w:type="auto"/>
            <w:gridSpan w:val="3"/>
            <w:shd w:val="clear" w:color="auto" w:fill="auto"/>
          </w:tcPr>
          <w:p w14:paraId="40CAFFD5" w14:textId="77777777" w:rsidR="00584FB3" w:rsidRDefault="00584FB3">
            <w:pPr>
              <w:rPr>
                <w:rFonts w:ascii="宋体"/>
                <w:vanish/>
              </w:rPr>
            </w:pPr>
          </w:p>
        </w:tc>
        <w:tc>
          <w:tcPr>
            <w:tcW w:w="0" w:type="auto"/>
            <w:gridSpan w:val="3"/>
            <w:shd w:val="clear" w:color="auto" w:fill="auto"/>
          </w:tcPr>
          <w:p w14:paraId="40CAFFD6" w14:textId="77777777" w:rsidR="00584FB3" w:rsidRDefault="00584FB3">
            <w:pPr>
              <w:rPr>
                <w:rFonts w:ascii="宋体"/>
                <w:vanish/>
              </w:rPr>
            </w:pPr>
          </w:p>
        </w:tc>
      </w:tr>
      <w:tr w:rsidR="00584FB3" w14:paraId="40CAFFE2" w14:textId="77777777">
        <w:trPr>
          <w:jc w:val="center"/>
        </w:trPr>
        <w:tc>
          <w:tcPr>
            <w:tcW w:w="0" w:type="auto"/>
            <w:gridSpan w:val="3"/>
            <w:shd w:val="clear" w:color="auto" w:fill="D7E4BC"/>
            <w:tcMar>
              <w:top w:w="40" w:type="dxa"/>
              <w:left w:w="245" w:type="dxa"/>
              <w:bottom w:w="40" w:type="dxa"/>
              <w:right w:w="20" w:type="dxa"/>
            </w:tcMar>
            <w:vAlign w:val="bottom"/>
          </w:tcPr>
          <w:p w14:paraId="40CAFFD8" w14:textId="77777777" w:rsidR="00584FB3" w:rsidRDefault="00786180">
            <w:pPr>
              <w:textAlignment w:val="bottom"/>
            </w:pPr>
            <w:r>
              <w:rPr>
                <w:rFonts w:ascii="Times New Roman" w:eastAsia="宋体" w:hAnsi="Times New Roman"/>
                <w:color w:val="000000"/>
                <w:sz w:val="20"/>
                <w:szCs w:val="20"/>
              </w:rPr>
              <w:t xml:space="preserve">Reclassification adjustment for net </w:t>
            </w:r>
            <w:r>
              <w:rPr>
                <w:rFonts w:ascii="Times New Roman" w:eastAsia="宋体" w:hAnsi="Times New Roman"/>
                <w:color w:val="000000"/>
                <w:sz w:val="20"/>
                <w:szCs w:val="20"/>
              </w:rPr>
              <w:t>(gains)/losses realized in net earnings for available-for-sale debt securities, hedging instruments, and translation adjustment</w:t>
            </w:r>
          </w:p>
        </w:tc>
        <w:tc>
          <w:tcPr>
            <w:tcW w:w="0" w:type="auto"/>
            <w:gridSpan w:val="2"/>
            <w:shd w:val="clear" w:color="auto" w:fill="D7E4BC"/>
            <w:tcMar>
              <w:top w:w="40" w:type="dxa"/>
              <w:left w:w="20" w:type="dxa"/>
              <w:bottom w:w="40" w:type="dxa"/>
              <w:right w:w="0" w:type="dxa"/>
            </w:tcMar>
            <w:vAlign w:val="center"/>
          </w:tcPr>
          <w:p w14:paraId="40CAFFD9" w14:textId="77777777" w:rsidR="00584FB3" w:rsidRDefault="00786180">
            <w:pPr>
              <w:jc w:val="right"/>
              <w:textAlignment w:val="center"/>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center"/>
          </w:tcPr>
          <w:p w14:paraId="40CAFFD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D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AFFDC" w14:textId="77777777" w:rsidR="00584FB3" w:rsidRDefault="00786180">
            <w:pPr>
              <w:jc w:val="right"/>
              <w:textAlignment w:val="center"/>
            </w:pPr>
            <w:r>
              <w:rPr>
                <w:rFonts w:ascii="Times New Roman" w:eastAsia="宋体" w:hAnsi="Times New Roman"/>
                <w:color w:val="000000"/>
                <w:sz w:val="20"/>
                <w:szCs w:val="20"/>
              </w:rPr>
              <w:t>(10.7)</w:t>
            </w:r>
          </w:p>
        </w:tc>
        <w:tc>
          <w:tcPr>
            <w:tcW w:w="0" w:type="auto"/>
            <w:shd w:val="clear" w:color="auto" w:fill="D7E4BC"/>
            <w:tcMar>
              <w:top w:w="40" w:type="dxa"/>
              <w:left w:w="0" w:type="dxa"/>
              <w:bottom w:w="40" w:type="dxa"/>
              <w:right w:w="20" w:type="dxa"/>
            </w:tcMar>
            <w:vAlign w:val="center"/>
          </w:tcPr>
          <w:p w14:paraId="40CAFFDD" w14:textId="77777777" w:rsidR="00584FB3" w:rsidRDefault="00584FB3">
            <w:pPr>
              <w:jc w:val="right"/>
              <w:rPr>
                <w:rFonts w:ascii="宋体"/>
              </w:rPr>
            </w:pPr>
          </w:p>
        </w:tc>
        <w:tc>
          <w:tcPr>
            <w:tcW w:w="0" w:type="auto"/>
            <w:shd w:val="clear" w:color="auto" w:fill="auto"/>
          </w:tcPr>
          <w:p w14:paraId="40CAFFDE" w14:textId="77777777" w:rsidR="00584FB3" w:rsidRDefault="00584FB3">
            <w:pPr>
              <w:rPr>
                <w:rFonts w:ascii="宋体"/>
                <w:vanish/>
              </w:rPr>
            </w:pPr>
          </w:p>
        </w:tc>
        <w:tc>
          <w:tcPr>
            <w:tcW w:w="0" w:type="auto"/>
            <w:shd w:val="clear" w:color="auto" w:fill="auto"/>
          </w:tcPr>
          <w:p w14:paraId="40CAFFDF" w14:textId="77777777" w:rsidR="00584FB3" w:rsidRDefault="00584FB3">
            <w:pPr>
              <w:rPr>
                <w:rFonts w:ascii="宋体"/>
                <w:vanish/>
              </w:rPr>
            </w:pPr>
          </w:p>
        </w:tc>
        <w:tc>
          <w:tcPr>
            <w:tcW w:w="0" w:type="auto"/>
            <w:gridSpan w:val="3"/>
            <w:shd w:val="clear" w:color="auto" w:fill="auto"/>
          </w:tcPr>
          <w:p w14:paraId="40CAFFE0" w14:textId="77777777" w:rsidR="00584FB3" w:rsidRDefault="00584FB3">
            <w:pPr>
              <w:rPr>
                <w:rFonts w:ascii="宋体"/>
                <w:vanish/>
              </w:rPr>
            </w:pPr>
          </w:p>
        </w:tc>
        <w:tc>
          <w:tcPr>
            <w:tcW w:w="0" w:type="auto"/>
            <w:gridSpan w:val="3"/>
            <w:shd w:val="clear" w:color="auto" w:fill="auto"/>
          </w:tcPr>
          <w:p w14:paraId="40CAFFE1" w14:textId="77777777" w:rsidR="00584FB3" w:rsidRDefault="00584FB3">
            <w:pPr>
              <w:rPr>
                <w:rFonts w:ascii="宋体"/>
                <w:vanish/>
              </w:rPr>
            </w:pPr>
          </w:p>
        </w:tc>
      </w:tr>
      <w:tr w:rsidR="00584FB3" w14:paraId="40CAFFED" w14:textId="77777777">
        <w:trPr>
          <w:jc w:val="center"/>
        </w:trPr>
        <w:tc>
          <w:tcPr>
            <w:tcW w:w="0" w:type="auto"/>
            <w:gridSpan w:val="3"/>
            <w:shd w:val="clear" w:color="auto" w:fill="FFFFFF"/>
            <w:tcMar>
              <w:top w:w="40" w:type="dxa"/>
              <w:left w:w="515" w:type="dxa"/>
              <w:bottom w:w="40" w:type="dxa"/>
              <w:right w:w="20" w:type="dxa"/>
            </w:tcMar>
            <w:vAlign w:val="bottom"/>
          </w:tcPr>
          <w:p w14:paraId="40CAFFE3" w14:textId="77777777" w:rsidR="00584FB3" w:rsidRDefault="00786180">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40CAFFE4" w14:textId="77777777" w:rsidR="00584FB3" w:rsidRDefault="00786180">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center"/>
          </w:tcPr>
          <w:p w14:paraId="40CAFFE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E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AFFE7" w14:textId="77777777" w:rsidR="00584FB3" w:rsidRDefault="00786180">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40CAFFE8" w14:textId="77777777" w:rsidR="00584FB3" w:rsidRDefault="00584FB3">
            <w:pPr>
              <w:jc w:val="right"/>
              <w:rPr>
                <w:rFonts w:ascii="宋体"/>
              </w:rPr>
            </w:pPr>
          </w:p>
        </w:tc>
        <w:tc>
          <w:tcPr>
            <w:tcW w:w="0" w:type="auto"/>
            <w:shd w:val="clear" w:color="auto" w:fill="auto"/>
          </w:tcPr>
          <w:p w14:paraId="40CAFFE9" w14:textId="77777777" w:rsidR="00584FB3" w:rsidRDefault="00584FB3">
            <w:pPr>
              <w:rPr>
                <w:rFonts w:ascii="宋体"/>
                <w:vanish/>
              </w:rPr>
            </w:pPr>
          </w:p>
        </w:tc>
        <w:tc>
          <w:tcPr>
            <w:tcW w:w="0" w:type="auto"/>
            <w:shd w:val="clear" w:color="auto" w:fill="auto"/>
          </w:tcPr>
          <w:p w14:paraId="40CAFFEA" w14:textId="77777777" w:rsidR="00584FB3" w:rsidRDefault="00584FB3">
            <w:pPr>
              <w:rPr>
                <w:rFonts w:ascii="宋体"/>
                <w:vanish/>
              </w:rPr>
            </w:pPr>
          </w:p>
        </w:tc>
        <w:tc>
          <w:tcPr>
            <w:tcW w:w="0" w:type="auto"/>
            <w:gridSpan w:val="3"/>
            <w:shd w:val="clear" w:color="auto" w:fill="auto"/>
          </w:tcPr>
          <w:p w14:paraId="40CAFFEB" w14:textId="77777777" w:rsidR="00584FB3" w:rsidRDefault="00584FB3">
            <w:pPr>
              <w:rPr>
                <w:rFonts w:ascii="宋体"/>
                <w:vanish/>
              </w:rPr>
            </w:pPr>
          </w:p>
        </w:tc>
        <w:tc>
          <w:tcPr>
            <w:tcW w:w="0" w:type="auto"/>
            <w:gridSpan w:val="3"/>
            <w:shd w:val="clear" w:color="auto" w:fill="auto"/>
          </w:tcPr>
          <w:p w14:paraId="40CAFFEC" w14:textId="77777777" w:rsidR="00584FB3" w:rsidRDefault="00584FB3">
            <w:pPr>
              <w:rPr>
                <w:rFonts w:ascii="宋体"/>
                <w:vanish/>
              </w:rPr>
            </w:pPr>
          </w:p>
        </w:tc>
      </w:tr>
      <w:tr w:rsidR="00584FB3" w14:paraId="40CAFFF8" w14:textId="77777777">
        <w:trPr>
          <w:jc w:val="center"/>
        </w:trPr>
        <w:tc>
          <w:tcPr>
            <w:tcW w:w="0" w:type="auto"/>
            <w:gridSpan w:val="3"/>
            <w:shd w:val="clear" w:color="auto" w:fill="D7E4BC"/>
            <w:tcMar>
              <w:top w:w="40" w:type="dxa"/>
              <w:left w:w="20" w:type="dxa"/>
              <w:bottom w:w="40" w:type="dxa"/>
              <w:right w:w="20" w:type="dxa"/>
            </w:tcMar>
            <w:vAlign w:val="bottom"/>
          </w:tcPr>
          <w:p w14:paraId="40CAFFEE" w14:textId="77777777" w:rsidR="00584FB3" w:rsidRDefault="00786180">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FEF" w14:textId="77777777" w:rsidR="00584FB3" w:rsidRDefault="00786180">
            <w:pPr>
              <w:jc w:val="right"/>
              <w:textAlignment w:val="bottom"/>
            </w:pPr>
            <w:r>
              <w:rPr>
                <w:rFonts w:ascii="Times New Roman" w:eastAsia="宋体" w:hAnsi="Times New Roman"/>
                <w:color w:val="000000"/>
                <w:sz w:val="20"/>
                <w:szCs w:val="20"/>
              </w:rPr>
              <w:t>218.7 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FF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AFFF1"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AFFF2" w14:textId="77777777" w:rsidR="00584FB3" w:rsidRDefault="00786180">
            <w:pPr>
              <w:jc w:val="right"/>
              <w:textAlignment w:val="bottom"/>
            </w:pPr>
            <w:r>
              <w:rPr>
                <w:rFonts w:ascii="Times New Roman" w:eastAsia="宋体" w:hAnsi="Times New Roman"/>
                <w:color w:val="000000"/>
                <w:sz w:val="20"/>
                <w:szCs w:val="20"/>
              </w:rPr>
              <w:t>111.1 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AFFF3" w14:textId="77777777" w:rsidR="00584FB3" w:rsidRDefault="00584FB3">
            <w:pPr>
              <w:jc w:val="right"/>
              <w:rPr>
                <w:rFonts w:ascii="宋体"/>
              </w:rPr>
            </w:pPr>
          </w:p>
        </w:tc>
        <w:tc>
          <w:tcPr>
            <w:tcW w:w="0" w:type="auto"/>
            <w:shd w:val="clear" w:color="auto" w:fill="auto"/>
          </w:tcPr>
          <w:p w14:paraId="40CAFFF4" w14:textId="77777777" w:rsidR="00584FB3" w:rsidRDefault="00584FB3">
            <w:pPr>
              <w:rPr>
                <w:rFonts w:ascii="宋体"/>
                <w:vanish/>
              </w:rPr>
            </w:pPr>
          </w:p>
        </w:tc>
        <w:tc>
          <w:tcPr>
            <w:tcW w:w="0" w:type="auto"/>
            <w:shd w:val="clear" w:color="auto" w:fill="auto"/>
          </w:tcPr>
          <w:p w14:paraId="40CAFFF5" w14:textId="77777777" w:rsidR="00584FB3" w:rsidRDefault="00584FB3">
            <w:pPr>
              <w:rPr>
                <w:rFonts w:ascii="宋体"/>
                <w:vanish/>
              </w:rPr>
            </w:pPr>
          </w:p>
        </w:tc>
        <w:tc>
          <w:tcPr>
            <w:tcW w:w="0" w:type="auto"/>
            <w:gridSpan w:val="3"/>
            <w:shd w:val="clear" w:color="auto" w:fill="auto"/>
          </w:tcPr>
          <w:p w14:paraId="40CAFFF6" w14:textId="77777777" w:rsidR="00584FB3" w:rsidRDefault="00584FB3">
            <w:pPr>
              <w:rPr>
                <w:rFonts w:ascii="宋体"/>
                <w:vanish/>
              </w:rPr>
            </w:pPr>
          </w:p>
        </w:tc>
        <w:tc>
          <w:tcPr>
            <w:tcW w:w="0" w:type="auto"/>
            <w:gridSpan w:val="3"/>
            <w:shd w:val="clear" w:color="auto" w:fill="auto"/>
          </w:tcPr>
          <w:p w14:paraId="40CAFFF7" w14:textId="77777777" w:rsidR="00584FB3" w:rsidRDefault="00584FB3">
            <w:pPr>
              <w:rPr>
                <w:rFonts w:ascii="宋体"/>
                <w:vanish/>
              </w:rPr>
            </w:pPr>
          </w:p>
        </w:tc>
      </w:tr>
      <w:tr w:rsidR="00584FB3" w14:paraId="40CB0003" w14:textId="77777777">
        <w:trPr>
          <w:jc w:val="center"/>
        </w:trPr>
        <w:tc>
          <w:tcPr>
            <w:tcW w:w="0" w:type="auto"/>
            <w:gridSpan w:val="3"/>
            <w:shd w:val="clear" w:color="auto" w:fill="FFFFFF"/>
            <w:tcMar>
              <w:top w:w="40" w:type="dxa"/>
              <w:left w:w="20" w:type="dxa"/>
              <w:bottom w:w="40" w:type="dxa"/>
              <w:right w:w="20" w:type="dxa"/>
            </w:tcMar>
            <w:vAlign w:val="bottom"/>
          </w:tcPr>
          <w:p w14:paraId="40CAFFF9" w14:textId="77777777" w:rsidR="00584FB3" w:rsidRDefault="00786180">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0CAFFFA" w14:textId="77777777" w:rsidR="00584FB3" w:rsidRDefault="00786180">
            <w:pPr>
              <w:jc w:val="right"/>
              <w:textAlignment w:val="center"/>
            </w:pPr>
            <w:r>
              <w:rPr>
                <w:rFonts w:ascii="Times New Roman" w:eastAsia="宋体" w:hAnsi="Times New Roman"/>
                <w:color w:val="000000"/>
                <w:sz w:val="20"/>
                <w:szCs w:val="20"/>
              </w:rPr>
              <w:t>840.9 </w:t>
            </w:r>
          </w:p>
        </w:tc>
        <w:tc>
          <w:tcPr>
            <w:tcW w:w="0" w:type="auto"/>
            <w:tcBorders>
              <w:top w:val="single" w:sz="8" w:space="0" w:color="000000"/>
            </w:tcBorders>
            <w:shd w:val="clear" w:color="auto" w:fill="FFFFFF"/>
            <w:tcMar>
              <w:top w:w="40" w:type="dxa"/>
              <w:left w:w="0" w:type="dxa"/>
              <w:bottom w:w="40" w:type="dxa"/>
              <w:right w:w="20" w:type="dxa"/>
            </w:tcMar>
            <w:vAlign w:val="center"/>
          </w:tcPr>
          <w:p w14:paraId="40CAFFF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AFFFC"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0CAFFFD" w14:textId="77777777" w:rsidR="00584FB3" w:rsidRDefault="00786180">
            <w:pPr>
              <w:jc w:val="right"/>
              <w:textAlignment w:val="center"/>
            </w:pPr>
            <w:r>
              <w:rPr>
                <w:rFonts w:ascii="Times New Roman" w:eastAsia="宋体" w:hAnsi="Times New Roman"/>
                <w:color w:val="000000"/>
                <w:sz w:val="20"/>
                <w:szCs w:val="20"/>
              </w:rPr>
              <w:t>996.4 </w:t>
            </w:r>
          </w:p>
        </w:tc>
        <w:tc>
          <w:tcPr>
            <w:tcW w:w="0" w:type="auto"/>
            <w:tcBorders>
              <w:top w:val="single" w:sz="8" w:space="0" w:color="000000"/>
            </w:tcBorders>
            <w:shd w:val="clear" w:color="auto" w:fill="FFFFFF"/>
            <w:tcMar>
              <w:top w:w="40" w:type="dxa"/>
              <w:left w:w="0" w:type="dxa"/>
              <w:bottom w:w="40" w:type="dxa"/>
              <w:right w:w="20" w:type="dxa"/>
            </w:tcMar>
            <w:vAlign w:val="center"/>
          </w:tcPr>
          <w:p w14:paraId="40CAFFFE" w14:textId="77777777" w:rsidR="00584FB3" w:rsidRDefault="00584FB3">
            <w:pPr>
              <w:jc w:val="right"/>
              <w:rPr>
                <w:rFonts w:ascii="宋体"/>
              </w:rPr>
            </w:pPr>
          </w:p>
        </w:tc>
        <w:tc>
          <w:tcPr>
            <w:tcW w:w="0" w:type="auto"/>
            <w:shd w:val="clear" w:color="auto" w:fill="auto"/>
          </w:tcPr>
          <w:p w14:paraId="40CAFFFF" w14:textId="77777777" w:rsidR="00584FB3" w:rsidRDefault="00584FB3">
            <w:pPr>
              <w:rPr>
                <w:rFonts w:ascii="宋体"/>
                <w:vanish/>
              </w:rPr>
            </w:pPr>
          </w:p>
        </w:tc>
        <w:tc>
          <w:tcPr>
            <w:tcW w:w="0" w:type="auto"/>
            <w:shd w:val="clear" w:color="auto" w:fill="auto"/>
          </w:tcPr>
          <w:p w14:paraId="40CB0000" w14:textId="77777777" w:rsidR="00584FB3" w:rsidRDefault="00584FB3">
            <w:pPr>
              <w:rPr>
                <w:rFonts w:ascii="宋体"/>
                <w:vanish/>
              </w:rPr>
            </w:pPr>
          </w:p>
        </w:tc>
        <w:tc>
          <w:tcPr>
            <w:tcW w:w="0" w:type="auto"/>
            <w:gridSpan w:val="3"/>
            <w:shd w:val="clear" w:color="auto" w:fill="auto"/>
          </w:tcPr>
          <w:p w14:paraId="40CB0001" w14:textId="77777777" w:rsidR="00584FB3" w:rsidRDefault="00584FB3">
            <w:pPr>
              <w:rPr>
                <w:rFonts w:ascii="宋体"/>
                <w:vanish/>
              </w:rPr>
            </w:pPr>
          </w:p>
        </w:tc>
        <w:tc>
          <w:tcPr>
            <w:tcW w:w="0" w:type="auto"/>
            <w:gridSpan w:val="3"/>
            <w:shd w:val="clear" w:color="auto" w:fill="auto"/>
          </w:tcPr>
          <w:p w14:paraId="40CB0002" w14:textId="77777777" w:rsidR="00584FB3" w:rsidRDefault="00584FB3">
            <w:pPr>
              <w:rPr>
                <w:rFonts w:ascii="宋体"/>
                <w:vanish/>
              </w:rPr>
            </w:pPr>
          </w:p>
        </w:tc>
      </w:tr>
      <w:tr w:rsidR="00584FB3" w14:paraId="40CB000E" w14:textId="77777777">
        <w:trPr>
          <w:jc w:val="center"/>
        </w:trPr>
        <w:tc>
          <w:tcPr>
            <w:tcW w:w="0" w:type="auto"/>
            <w:gridSpan w:val="3"/>
            <w:shd w:val="clear" w:color="auto" w:fill="D7E4BC"/>
            <w:tcMar>
              <w:top w:w="40" w:type="dxa"/>
              <w:left w:w="245" w:type="dxa"/>
              <w:bottom w:w="40" w:type="dxa"/>
              <w:right w:w="20" w:type="dxa"/>
            </w:tcMar>
            <w:vAlign w:val="bottom"/>
          </w:tcPr>
          <w:p w14:paraId="40CB0004" w14:textId="77777777" w:rsidR="00584FB3" w:rsidRDefault="00786180">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center"/>
          </w:tcPr>
          <w:p w14:paraId="40CB0005" w14:textId="77777777" w:rsidR="00584FB3" w:rsidRDefault="00786180">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40CB000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00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008" w14:textId="77777777" w:rsidR="00584FB3" w:rsidRDefault="00786180">
            <w:pPr>
              <w:jc w:val="right"/>
              <w:textAlignment w:val="center"/>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center"/>
          </w:tcPr>
          <w:p w14:paraId="40CB0009" w14:textId="77777777" w:rsidR="00584FB3" w:rsidRDefault="00584FB3">
            <w:pPr>
              <w:jc w:val="right"/>
              <w:rPr>
                <w:rFonts w:ascii="宋体"/>
              </w:rPr>
            </w:pPr>
          </w:p>
        </w:tc>
        <w:tc>
          <w:tcPr>
            <w:tcW w:w="0" w:type="auto"/>
            <w:shd w:val="clear" w:color="auto" w:fill="auto"/>
          </w:tcPr>
          <w:p w14:paraId="40CB000A" w14:textId="77777777" w:rsidR="00584FB3" w:rsidRDefault="00584FB3">
            <w:pPr>
              <w:rPr>
                <w:rFonts w:ascii="宋体"/>
                <w:vanish/>
              </w:rPr>
            </w:pPr>
          </w:p>
        </w:tc>
        <w:tc>
          <w:tcPr>
            <w:tcW w:w="0" w:type="auto"/>
            <w:shd w:val="clear" w:color="auto" w:fill="auto"/>
          </w:tcPr>
          <w:p w14:paraId="40CB000B" w14:textId="77777777" w:rsidR="00584FB3" w:rsidRDefault="00584FB3">
            <w:pPr>
              <w:rPr>
                <w:rFonts w:ascii="宋体"/>
                <w:vanish/>
              </w:rPr>
            </w:pPr>
          </w:p>
        </w:tc>
        <w:tc>
          <w:tcPr>
            <w:tcW w:w="0" w:type="auto"/>
            <w:gridSpan w:val="3"/>
            <w:shd w:val="clear" w:color="auto" w:fill="auto"/>
          </w:tcPr>
          <w:p w14:paraId="40CB000C" w14:textId="77777777" w:rsidR="00584FB3" w:rsidRDefault="00584FB3">
            <w:pPr>
              <w:rPr>
                <w:rFonts w:ascii="宋体"/>
                <w:vanish/>
              </w:rPr>
            </w:pPr>
          </w:p>
        </w:tc>
        <w:tc>
          <w:tcPr>
            <w:tcW w:w="0" w:type="auto"/>
            <w:gridSpan w:val="3"/>
            <w:shd w:val="clear" w:color="auto" w:fill="auto"/>
          </w:tcPr>
          <w:p w14:paraId="40CB000D" w14:textId="77777777" w:rsidR="00584FB3" w:rsidRDefault="00584FB3">
            <w:pPr>
              <w:rPr>
                <w:rFonts w:ascii="宋体"/>
                <w:vanish/>
              </w:rPr>
            </w:pPr>
          </w:p>
        </w:tc>
      </w:tr>
      <w:tr w:rsidR="00584FB3" w14:paraId="40CB001B" w14:textId="77777777">
        <w:trPr>
          <w:jc w:val="center"/>
        </w:trPr>
        <w:tc>
          <w:tcPr>
            <w:tcW w:w="0" w:type="auto"/>
            <w:gridSpan w:val="3"/>
            <w:shd w:val="clear" w:color="auto" w:fill="FFFFFF"/>
            <w:tcMar>
              <w:top w:w="40" w:type="dxa"/>
              <w:left w:w="20" w:type="dxa"/>
              <w:bottom w:w="40" w:type="dxa"/>
              <w:right w:w="20" w:type="dxa"/>
            </w:tcMar>
            <w:vAlign w:val="bottom"/>
          </w:tcPr>
          <w:p w14:paraId="40CB000F" w14:textId="77777777" w:rsidR="00584FB3" w:rsidRDefault="00786180">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0CB0010" w14:textId="77777777" w:rsidR="00584FB3" w:rsidRDefault="0078618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0CB0011" w14:textId="77777777" w:rsidR="00584FB3" w:rsidRDefault="00786180">
            <w:pPr>
              <w:jc w:val="right"/>
              <w:textAlignment w:val="center"/>
            </w:pPr>
            <w:r>
              <w:rPr>
                <w:rFonts w:ascii="Times New Roman" w:eastAsia="宋体" w:hAnsi="Times New Roman"/>
                <w:color w:val="000000"/>
                <w:sz w:val="20"/>
                <w:szCs w:val="20"/>
              </w:rPr>
              <w:t>840.9 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0CB001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013"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0CB0014" w14:textId="77777777" w:rsidR="00584FB3" w:rsidRDefault="0078618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0CB0015" w14:textId="77777777" w:rsidR="00584FB3" w:rsidRDefault="00786180">
            <w:pPr>
              <w:jc w:val="right"/>
              <w:textAlignment w:val="center"/>
            </w:pPr>
            <w:r>
              <w:rPr>
                <w:rFonts w:ascii="Times New Roman" w:eastAsia="宋体" w:hAnsi="Times New Roman"/>
                <w:color w:val="000000"/>
                <w:sz w:val="20"/>
                <w:szCs w:val="20"/>
              </w:rPr>
              <w:t>996.8 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0CB0016" w14:textId="77777777" w:rsidR="00584FB3" w:rsidRDefault="00584FB3">
            <w:pPr>
              <w:jc w:val="right"/>
              <w:rPr>
                <w:rFonts w:ascii="宋体"/>
              </w:rPr>
            </w:pPr>
          </w:p>
        </w:tc>
        <w:tc>
          <w:tcPr>
            <w:tcW w:w="0" w:type="auto"/>
            <w:shd w:val="clear" w:color="auto" w:fill="auto"/>
          </w:tcPr>
          <w:p w14:paraId="40CB0017" w14:textId="77777777" w:rsidR="00584FB3" w:rsidRDefault="00584FB3">
            <w:pPr>
              <w:rPr>
                <w:rFonts w:ascii="宋体"/>
                <w:vanish/>
              </w:rPr>
            </w:pPr>
          </w:p>
        </w:tc>
        <w:tc>
          <w:tcPr>
            <w:tcW w:w="0" w:type="auto"/>
            <w:shd w:val="clear" w:color="auto" w:fill="auto"/>
          </w:tcPr>
          <w:p w14:paraId="40CB0018" w14:textId="77777777" w:rsidR="00584FB3" w:rsidRDefault="00584FB3">
            <w:pPr>
              <w:rPr>
                <w:rFonts w:ascii="宋体"/>
                <w:vanish/>
              </w:rPr>
            </w:pPr>
          </w:p>
        </w:tc>
        <w:tc>
          <w:tcPr>
            <w:tcW w:w="0" w:type="auto"/>
            <w:gridSpan w:val="3"/>
            <w:shd w:val="clear" w:color="auto" w:fill="auto"/>
          </w:tcPr>
          <w:p w14:paraId="40CB0019" w14:textId="77777777" w:rsidR="00584FB3" w:rsidRDefault="00584FB3">
            <w:pPr>
              <w:rPr>
                <w:rFonts w:ascii="宋体"/>
                <w:vanish/>
              </w:rPr>
            </w:pPr>
          </w:p>
        </w:tc>
        <w:tc>
          <w:tcPr>
            <w:tcW w:w="0" w:type="auto"/>
            <w:gridSpan w:val="3"/>
            <w:shd w:val="clear" w:color="auto" w:fill="auto"/>
          </w:tcPr>
          <w:p w14:paraId="40CB001A" w14:textId="77777777" w:rsidR="00584FB3" w:rsidRDefault="00584FB3">
            <w:pPr>
              <w:rPr>
                <w:rFonts w:ascii="宋体"/>
                <w:vanish/>
              </w:rPr>
            </w:pPr>
          </w:p>
        </w:tc>
      </w:tr>
      <w:tr w:rsidR="00584FB3" w14:paraId="40CB0024" w14:textId="77777777">
        <w:trPr>
          <w:jc w:val="center"/>
          <w:hidden/>
        </w:trPr>
        <w:tc>
          <w:tcPr>
            <w:tcW w:w="0" w:type="auto"/>
            <w:gridSpan w:val="3"/>
            <w:shd w:val="clear" w:color="auto" w:fill="auto"/>
          </w:tcPr>
          <w:p w14:paraId="40CB001C" w14:textId="77777777" w:rsidR="00584FB3" w:rsidRDefault="00584FB3">
            <w:pPr>
              <w:rPr>
                <w:rFonts w:ascii="宋体"/>
                <w:vanish/>
              </w:rPr>
            </w:pPr>
          </w:p>
        </w:tc>
        <w:tc>
          <w:tcPr>
            <w:tcW w:w="0" w:type="auto"/>
            <w:gridSpan w:val="3"/>
            <w:shd w:val="clear" w:color="auto" w:fill="auto"/>
          </w:tcPr>
          <w:p w14:paraId="40CB001D" w14:textId="77777777" w:rsidR="00584FB3" w:rsidRDefault="00584FB3">
            <w:pPr>
              <w:rPr>
                <w:rFonts w:ascii="宋体"/>
                <w:vanish/>
              </w:rPr>
            </w:pPr>
          </w:p>
        </w:tc>
        <w:tc>
          <w:tcPr>
            <w:tcW w:w="0" w:type="auto"/>
            <w:gridSpan w:val="3"/>
            <w:shd w:val="clear" w:color="auto" w:fill="auto"/>
          </w:tcPr>
          <w:p w14:paraId="40CB001E" w14:textId="77777777" w:rsidR="00584FB3" w:rsidRDefault="00584FB3">
            <w:pPr>
              <w:rPr>
                <w:rFonts w:ascii="宋体"/>
                <w:vanish/>
              </w:rPr>
            </w:pPr>
          </w:p>
        </w:tc>
        <w:tc>
          <w:tcPr>
            <w:tcW w:w="0" w:type="auto"/>
            <w:gridSpan w:val="3"/>
            <w:shd w:val="clear" w:color="auto" w:fill="auto"/>
          </w:tcPr>
          <w:p w14:paraId="40CB001F" w14:textId="77777777" w:rsidR="00584FB3" w:rsidRDefault="00584FB3">
            <w:pPr>
              <w:rPr>
                <w:rFonts w:ascii="宋体"/>
                <w:vanish/>
              </w:rPr>
            </w:pPr>
          </w:p>
        </w:tc>
        <w:tc>
          <w:tcPr>
            <w:tcW w:w="0" w:type="auto"/>
            <w:shd w:val="clear" w:color="auto" w:fill="auto"/>
          </w:tcPr>
          <w:p w14:paraId="40CB0020" w14:textId="77777777" w:rsidR="00584FB3" w:rsidRDefault="00584FB3">
            <w:pPr>
              <w:rPr>
                <w:rFonts w:ascii="宋体"/>
                <w:vanish/>
              </w:rPr>
            </w:pPr>
          </w:p>
        </w:tc>
        <w:tc>
          <w:tcPr>
            <w:tcW w:w="0" w:type="auto"/>
            <w:shd w:val="clear" w:color="auto" w:fill="auto"/>
          </w:tcPr>
          <w:p w14:paraId="40CB0021" w14:textId="77777777" w:rsidR="00584FB3" w:rsidRDefault="00584FB3">
            <w:pPr>
              <w:rPr>
                <w:rFonts w:ascii="宋体"/>
                <w:vanish/>
              </w:rPr>
            </w:pPr>
          </w:p>
        </w:tc>
        <w:tc>
          <w:tcPr>
            <w:tcW w:w="0" w:type="auto"/>
            <w:gridSpan w:val="3"/>
            <w:shd w:val="clear" w:color="auto" w:fill="auto"/>
          </w:tcPr>
          <w:p w14:paraId="40CB0022" w14:textId="77777777" w:rsidR="00584FB3" w:rsidRDefault="00584FB3">
            <w:pPr>
              <w:rPr>
                <w:rFonts w:ascii="宋体"/>
                <w:vanish/>
              </w:rPr>
            </w:pPr>
          </w:p>
        </w:tc>
        <w:tc>
          <w:tcPr>
            <w:tcW w:w="0" w:type="auto"/>
            <w:gridSpan w:val="3"/>
            <w:shd w:val="clear" w:color="auto" w:fill="auto"/>
          </w:tcPr>
          <w:p w14:paraId="40CB0023" w14:textId="77777777" w:rsidR="00584FB3" w:rsidRDefault="00584FB3">
            <w:pPr>
              <w:rPr>
                <w:rFonts w:ascii="宋体"/>
                <w:vanish/>
              </w:rPr>
            </w:pPr>
          </w:p>
        </w:tc>
      </w:tr>
      <w:tr w:rsidR="00584FB3" w14:paraId="40CB002D" w14:textId="77777777">
        <w:trPr>
          <w:jc w:val="center"/>
          <w:hidden/>
        </w:trPr>
        <w:tc>
          <w:tcPr>
            <w:tcW w:w="0" w:type="auto"/>
            <w:gridSpan w:val="3"/>
            <w:shd w:val="clear" w:color="auto" w:fill="auto"/>
          </w:tcPr>
          <w:p w14:paraId="40CB0025" w14:textId="77777777" w:rsidR="00584FB3" w:rsidRDefault="00584FB3">
            <w:pPr>
              <w:rPr>
                <w:rFonts w:ascii="宋体"/>
                <w:vanish/>
              </w:rPr>
            </w:pPr>
          </w:p>
        </w:tc>
        <w:tc>
          <w:tcPr>
            <w:tcW w:w="0" w:type="auto"/>
            <w:gridSpan w:val="3"/>
            <w:shd w:val="clear" w:color="auto" w:fill="auto"/>
          </w:tcPr>
          <w:p w14:paraId="40CB0026" w14:textId="77777777" w:rsidR="00584FB3" w:rsidRDefault="00584FB3">
            <w:pPr>
              <w:rPr>
                <w:rFonts w:ascii="宋体"/>
                <w:vanish/>
              </w:rPr>
            </w:pPr>
          </w:p>
        </w:tc>
        <w:tc>
          <w:tcPr>
            <w:tcW w:w="0" w:type="auto"/>
            <w:gridSpan w:val="3"/>
            <w:shd w:val="clear" w:color="auto" w:fill="auto"/>
          </w:tcPr>
          <w:p w14:paraId="40CB0027" w14:textId="77777777" w:rsidR="00584FB3" w:rsidRDefault="00584FB3">
            <w:pPr>
              <w:rPr>
                <w:rFonts w:ascii="宋体"/>
                <w:vanish/>
              </w:rPr>
            </w:pPr>
          </w:p>
        </w:tc>
        <w:tc>
          <w:tcPr>
            <w:tcW w:w="0" w:type="auto"/>
            <w:gridSpan w:val="3"/>
            <w:shd w:val="clear" w:color="auto" w:fill="auto"/>
          </w:tcPr>
          <w:p w14:paraId="40CB0028" w14:textId="77777777" w:rsidR="00584FB3" w:rsidRDefault="00584FB3">
            <w:pPr>
              <w:rPr>
                <w:rFonts w:ascii="宋体"/>
                <w:vanish/>
              </w:rPr>
            </w:pPr>
          </w:p>
        </w:tc>
        <w:tc>
          <w:tcPr>
            <w:tcW w:w="0" w:type="auto"/>
            <w:shd w:val="clear" w:color="auto" w:fill="auto"/>
          </w:tcPr>
          <w:p w14:paraId="40CB0029" w14:textId="77777777" w:rsidR="00584FB3" w:rsidRDefault="00584FB3">
            <w:pPr>
              <w:rPr>
                <w:rFonts w:ascii="宋体"/>
                <w:vanish/>
              </w:rPr>
            </w:pPr>
          </w:p>
        </w:tc>
        <w:tc>
          <w:tcPr>
            <w:tcW w:w="0" w:type="auto"/>
            <w:shd w:val="clear" w:color="auto" w:fill="auto"/>
          </w:tcPr>
          <w:p w14:paraId="40CB002A" w14:textId="77777777" w:rsidR="00584FB3" w:rsidRDefault="00584FB3">
            <w:pPr>
              <w:rPr>
                <w:rFonts w:ascii="宋体"/>
                <w:vanish/>
              </w:rPr>
            </w:pPr>
          </w:p>
        </w:tc>
        <w:tc>
          <w:tcPr>
            <w:tcW w:w="0" w:type="auto"/>
            <w:gridSpan w:val="3"/>
            <w:shd w:val="clear" w:color="auto" w:fill="auto"/>
          </w:tcPr>
          <w:p w14:paraId="40CB002B" w14:textId="77777777" w:rsidR="00584FB3" w:rsidRDefault="00584FB3">
            <w:pPr>
              <w:rPr>
                <w:rFonts w:ascii="宋体"/>
                <w:vanish/>
              </w:rPr>
            </w:pPr>
          </w:p>
        </w:tc>
        <w:tc>
          <w:tcPr>
            <w:tcW w:w="0" w:type="auto"/>
            <w:gridSpan w:val="3"/>
            <w:shd w:val="clear" w:color="auto" w:fill="auto"/>
          </w:tcPr>
          <w:p w14:paraId="40CB002C" w14:textId="77777777" w:rsidR="00584FB3" w:rsidRDefault="00584FB3">
            <w:pPr>
              <w:rPr>
                <w:rFonts w:ascii="宋体"/>
                <w:vanish/>
              </w:rPr>
            </w:pPr>
          </w:p>
        </w:tc>
      </w:tr>
      <w:tr w:rsidR="00584FB3" w14:paraId="40CB0036" w14:textId="77777777">
        <w:trPr>
          <w:jc w:val="center"/>
          <w:hidden/>
        </w:trPr>
        <w:tc>
          <w:tcPr>
            <w:tcW w:w="0" w:type="auto"/>
            <w:gridSpan w:val="3"/>
            <w:shd w:val="clear" w:color="auto" w:fill="auto"/>
          </w:tcPr>
          <w:p w14:paraId="40CB002E" w14:textId="77777777" w:rsidR="00584FB3" w:rsidRDefault="00584FB3">
            <w:pPr>
              <w:rPr>
                <w:rFonts w:ascii="宋体"/>
                <w:vanish/>
              </w:rPr>
            </w:pPr>
          </w:p>
        </w:tc>
        <w:tc>
          <w:tcPr>
            <w:tcW w:w="0" w:type="auto"/>
            <w:gridSpan w:val="3"/>
            <w:shd w:val="clear" w:color="auto" w:fill="auto"/>
          </w:tcPr>
          <w:p w14:paraId="40CB002F" w14:textId="77777777" w:rsidR="00584FB3" w:rsidRDefault="00584FB3">
            <w:pPr>
              <w:rPr>
                <w:rFonts w:ascii="宋体"/>
                <w:vanish/>
              </w:rPr>
            </w:pPr>
          </w:p>
        </w:tc>
        <w:tc>
          <w:tcPr>
            <w:tcW w:w="0" w:type="auto"/>
            <w:gridSpan w:val="3"/>
            <w:shd w:val="clear" w:color="auto" w:fill="auto"/>
          </w:tcPr>
          <w:p w14:paraId="40CB0030" w14:textId="77777777" w:rsidR="00584FB3" w:rsidRDefault="00584FB3">
            <w:pPr>
              <w:rPr>
                <w:rFonts w:ascii="宋体"/>
                <w:vanish/>
              </w:rPr>
            </w:pPr>
          </w:p>
        </w:tc>
        <w:tc>
          <w:tcPr>
            <w:tcW w:w="0" w:type="auto"/>
            <w:gridSpan w:val="3"/>
            <w:shd w:val="clear" w:color="auto" w:fill="auto"/>
          </w:tcPr>
          <w:p w14:paraId="40CB0031" w14:textId="77777777" w:rsidR="00584FB3" w:rsidRDefault="00584FB3">
            <w:pPr>
              <w:rPr>
                <w:rFonts w:ascii="宋体"/>
                <w:vanish/>
              </w:rPr>
            </w:pPr>
          </w:p>
        </w:tc>
        <w:tc>
          <w:tcPr>
            <w:tcW w:w="0" w:type="auto"/>
            <w:shd w:val="clear" w:color="auto" w:fill="auto"/>
          </w:tcPr>
          <w:p w14:paraId="40CB0032" w14:textId="77777777" w:rsidR="00584FB3" w:rsidRDefault="00584FB3">
            <w:pPr>
              <w:rPr>
                <w:rFonts w:ascii="宋体"/>
                <w:vanish/>
              </w:rPr>
            </w:pPr>
          </w:p>
        </w:tc>
        <w:tc>
          <w:tcPr>
            <w:tcW w:w="0" w:type="auto"/>
            <w:shd w:val="clear" w:color="auto" w:fill="auto"/>
          </w:tcPr>
          <w:p w14:paraId="40CB0033" w14:textId="77777777" w:rsidR="00584FB3" w:rsidRDefault="00584FB3">
            <w:pPr>
              <w:rPr>
                <w:rFonts w:ascii="宋体"/>
                <w:vanish/>
              </w:rPr>
            </w:pPr>
          </w:p>
        </w:tc>
        <w:tc>
          <w:tcPr>
            <w:tcW w:w="0" w:type="auto"/>
            <w:gridSpan w:val="3"/>
            <w:shd w:val="clear" w:color="auto" w:fill="auto"/>
          </w:tcPr>
          <w:p w14:paraId="40CB0034" w14:textId="77777777" w:rsidR="00584FB3" w:rsidRDefault="00584FB3">
            <w:pPr>
              <w:rPr>
                <w:rFonts w:ascii="宋体"/>
                <w:vanish/>
              </w:rPr>
            </w:pPr>
          </w:p>
        </w:tc>
        <w:tc>
          <w:tcPr>
            <w:tcW w:w="0" w:type="auto"/>
            <w:gridSpan w:val="3"/>
            <w:shd w:val="clear" w:color="auto" w:fill="auto"/>
          </w:tcPr>
          <w:p w14:paraId="40CB0035" w14:textId="77777777" w:rsidR="00584FB3" w:rsidRDefault="00584FB3">
            <w:pPr>
              <w:rPr>
                <w:rFonts w:ascii="宋体"/>
                <w:vanish/>
              </w:rPr>
            </w:pPr>
          </w:p>
        </w:tc>
      </w:tr>
      <w:tr w:rsidR="00584FB3" w14:paraId="40CB003F" w14:textId="77777777">
        <w:trPr>
          <w:jc w:val="center"/>
          <w:hidden/>
        </w:trPr>
        <w:tc>
          <w:tcPr>
            <w:tcW w:w="0" w:type="auto"/>
            <w:gridSpan w:val="3"/>
            <w:shd w:val="clear" w:color="auto" w:fill="auto"/>
          </w:tcPr>
          <w:p w14:paraId="40CB0037" w14:textId="77777777" w:rsidR="00584FB3" w:rsidRDefault="00584FB3">
            <w:pPr>
              <w:rPr>
                <w:rFonts w:ascii="宋体"/>
                <w:vanish/>
              </w:rPr>
            </w:pPr>
          </w:p>
        </w:tc>
        <w:tc>
          <w:tcPr>
            <w:tcW w:w="0" w:type="auto"/>
            <w:gridSpan w:val="3"/>
            <w:shd w:val="clear" w:color="auto" w:fill="auto"/>
          </w:tcPr>
          <w:p w14:paraId="40CB0038" w14:textId="77777777" w:rsidR="00584FB3" w:rsidRDefault="00584FB3">
            <w:pPr>
              <w:rPr>
                <w:rFonts w:ascii="宋体"/>
                <w:vanish/>
              </w:rPr>
            </w:pPr>
          </w:p>
        </w:tc>
        <w:tc>
          <w:tcPr>
            <w:tcW w:w="0" w:type="auto"/>
            <w:gridSpan w:val="3"/>
            <w:shd w:val="clear" w:color="auto" w:fill="auto"/>
          </w:tcPr>
          <w:p w14:paraId="40CB0039" w14:textId="77777777" w:rsidR="00584FB3" w:rsidRDefault="00584FB3">
            <w:pPr>
              <w:rPr>
                <w:rFonts w:ascii="宋体"/>
                <w:vanish/>
              </w:rPr>
            </w:pPr>
          </w:p>
        </w:tc>
        <w:tc>
          <w:tcPr>
            <w:tcW w:w="0" w:type="auto"/>
            <w:gridSpan w:val="3"/>
            <w:shd w:val="clear" w:color="auto" w:fill="auto"/>
          </w:tcPr>
          <w:p w14:paraId="40CB003A" w14:textId="77777777" w:rsidR="00584FB3" w:rsidRDefault="00584FB3">
            <w:pPr>
              <w:rPr>
                <w:rFonts w:ascii="宋体"/>
                <w:vanish/>
              </w:rPr>
            </w:pPr>
          </w:p>
        </w:tc>
        <w:tc>
          <w:tcPr>
            <w:tcW w:w="0" w:type="auto"/>
            <w:shd w:val="clear" w:color="auto" w:fill="auto"/>
          </w:tcPr>
          <w:p w14:paraId="40CB003B" w14:textId="77777777" w:rsidR="00584FB3" w:rsidRDefault="00584FB3">
            <w:pPr>
              <w:rPr>
                <w:rFonts w:ascii="宋体"/>
                <w:vanish/>
              </w:rPr>
            </w:pPr>
          </w:p>
        </w:tc>
        <w:tc>
          <w:tcPr>
            <w:tcW w:w="0" w:type="auto"/>
            <w:shd w:val="clear" w:color="auto" w:fill="auto"/>
          </w:tcPr>
          <w:p w14:paraId="40CB003C" w14:textId="77777777" w:rsidR="00584FB3" w:rsidRDefault="00584FB3">
            <w:pPr>
              <w:rPr>
                <w:rFonts w:ascii="宋体"/>
                <w:vanish/>
              </w:rPr>
            </w:pPr>
          </w:p>
        </w:tc>
        <w:tc>
          <w:tcPr>
            <w:tcW w:w="0" w:type="auto"/>
            <w:gridSpan w:val="3"/>
            <w:shd w:val="clear" w:color="auto" w:fill="auto"/>
          </w:tcPr>
          <w:p w14:paraId="40CB003D" w14:textId="77777777" w:rsidR="00584FB3" w:rsidRDefault="00584FB3">
            <w:pPr>
              <w:rPr>
                <w:rFonts w:ascii="宋体"/>
                <w:vanish/>
              </w:rPr>
            </w:pPr>
          </w:p>
        </w:tc>
        <w:tc>
          <w:tcPr>
            <w:tcW w:w="0" w:type="auto"/>
            <w:gridSpan w:val="3"/>
            <w:shd w:val="clear" w:color="auto" w:fill="auto"/>
          </w:tcPr>
          <w:p w14:paraId="40CB003E" w14:textId="77777777" w:rsidR="00584FB3" w:rsidRDefault="00584FB3">
            <w:pPr>
              <w:rPr>
                <w:rFonts w:ascii="宋体"/>
                <w:vanish/>
              </w:rPr>
            </w:pPr>
          </w:p>
        </w:tc>
      </w:tr>
      <w:tr w:rsidR="00584FB3" w14:paraId="40CB0048" w14:textId="77777777">
        <w:trPr>
          <w:jc w:val="center"/>
          <w:hidden/>
        </w:trPr>
        <w:tc>
          <w:tcPr>
            <w:tcW w:w="0" w:type="auto"/>
            <w:gridSpan w:val="3"/>
            <w:shd w:val="clear" w:color="auto" w:fill="auto"/>
          </w:tcPr>
          <w:p w14:paraId="40CB0040" w14:textId="77777777" w:rsidR="00584FB3" w:rsidRDefault="00584FB3">
            <w:pPr>
              <w:rPr>
                <w:rFonts w:ascii="宋体"/>
                <w:vanish/>
              </w:rPr>
            </w:pPr>
          </w:p>
        </w:tc>
        <w:tc>
          <w:tcPr>
            <w:tcW w:w="0" w:type="auto"/>
            <w:gridSpan w:val="3"/>
            <w:shd w:val="clear" w:color="auto" w:fill="auto"/>
          </w:tcPr>
          <w:p w14:paraId="40CB0041" w14:textId="77777777" w:rsidR="00584FB3" w:rsidRDefault="00584FB3">
            <w:pPr>
              <w:rPr>
                <w:rFonts w:ascii="宋体"/>
                <w:vanish/>
              </w:rPr>
            </w:pPr>
          </w:p>
        </w:tc>
        <w:tc>
          <w:tcPr>
            <w:tcW w:w="0" w:type="auto"/>
            <w:gridSpan w:val="3"/>
            <w:shd w:val="clear" w:color="auto" w:fill="auto"/>
          </w:tcPr>
          <w:p w14:paraId="40CB0042" w14:textId="77777777" w:rsidR="00584FB3" w:rsidRDefault="00584FB3">
            <w:pPr>
              <w:rPr>
                <w:rFonts w:ascii="宋体"/>
                <w:vanish/>
              </w:rPr>
            </w:pPr>
          </w:p>
        </w:tc>
        <w:tc>
          <w:tcPr>
            <w:tcW w:w="0" w:type="auto"/>
            <w:gridSpan w:val="3"/>
            <w:shd w:val="clear" w:color="auto" w:fill="auto"/>
          </w:tcPr>
          <w:p w14:paraId="40CB0043" w14:textId="77777777" w:rsidR="00584FB3" w:rsidRDefault="00584FB3">
            <w:pPr>
              <w:rPr>
                <w:rFonts w:ascii="宋体"/>
                <w:vanish/>
              </w:rPr>
            </w:pPr>
          </w:p>
        </w:tc>
        <w:tc>
          <w:tcPr>
            <w:tcW w:w="0" w:type="auto"/>
            <w:shd w:val="clear" w:color="auto" w:fill="auto"/>
          </w:tcPr>
          <w:p w14:paraId="40CB0044" w14:textId="77777777" w:rsidR="00584FB3" w:rsidRDefault="00584FB3">
            <w:pPr>
              <w:rPr>
                <w:rFonts w:ascii="宋体"/>
                <w:vanish/>
              </w:rPr>
            </w:pPr>
          </w:p>
        </w:tc>
        <w:tc>
          <w:tcPr>
            <w:tcW w:w="0" w:type="auto"/>
            <w:shd w:val="clear" w:color="auto" w:fill="auto"/>
          </w:tcPr>
          <w:p w14:paraId="40CB0045" w14:textId="77777777" w:rsidR="00584FB3" w:rsidRDefault="00584FB3">
            <w:pPr>
              <w:rPr>
                <w:rFonts w:ascii="宋体"/>
                <w:vanish/>
              </w:rPr>
            </w:pPr>
          </w:p>
        </w:tc>
        <w:tc>
          <w:tcPr>
            <w:tcW w:w="0" w:type="auto"/>
            <w:gridSpan w:val="3"/>
            <w:shd w:val="clear" w:color="auto" w:fill="auto"/>
          </w:tcPr>
          <w:p w14:paraId="40CB0046" w14:textId="77777777" w:rsidR="00584FB3" w:rsidRDefault="00584FB3">
            <w:pPr>
              <w:rPr>
                <w:rFonts w:ascii="宋体"/>
                <w:vanish/>
              </w:rPr>
            </w:pPr>
          </w:p>
        </w:tc>
        <w:tc>
          <w:tcPr>
            <w:tcW w:w="0" w:type="auto"/>
            <w:gridSpan w:val="3"/>
            <w:shd w:val="clear" w:color="auto" w:fill="auto"/>
          </w:tcPr>
          <w:p w14:paraId="40CB0047" w14:textId="77777777" w:rsidR="00584FB3" w:rsidRDefault="00584FB3">
            <w:pPr>
              <w:rPr>
                <w:rFonts w:ascii="宋体"/>
                <w:vanish/>
              </w:rPr>
            </w:pPr>
          </w:p>
        </w:tc>
      </w:tr>
      <w:tr w:rsidR="00584FB3" w14:paraId="40CB0051" w14:textId="77777777">
        <w:trPr>
          <w:jc w:val="center"/>
          <w:hidden/>
        </w:trPr>
        <w:tc>
          <w:tcPr>
            <w:tcW w:w="0" w:type="auto"/>
            <w:gridSpan w:val="3"/>
            <w:shd w:val="clear" w:color="auto" w:fill="auto"/>
          </w:tcPr>
          <w:p w14:paraId="40CB0049" w14:textId="77777777" w:rsidR="00584FB3" w:rsidRDefault="00584FB3">
            <w:pPr>
              <w:rPr>
                <w:rFonts w:ascii="宋体"/>
                <w:vanish/>
              </w:rPr>
            </w:pPr>
          </w:p>
        </w:tc>
        <w:tc>
          <w:tcPr>
            <w:tcW w:w="0" w:type="auto"/>
            <w:gridSpan w:val="3"/>
            <w:shd w:val="clear" w:color="auto" w:fill="auto"/>
          </w:tcPr>
          <w:p w14:paraId="40CB004A" w14:textId="77777777" w:rsidR="00584FB3" w:rsidRDefault="00584FB3">
            <w:pPr>
              <w:rPr>
                <w:rFonts w:ascii="宋体"/>
                <w:vanish/>
              </w:rPr>
            </w:pPr>
          </w:p>
        </w:tc>
        <w:tc>
          <w:tcPr>
            <w:tcW w:w="0" w:type="auto"/>
            <w:gridSpan w:val="3"/>
            <w:shd w:val="clear" w:color="auto" w:fill="auto"/>
          </w:tcPr>
          <w:p w14:paraId="40CB004B" w14:textId="77777777" w:rsidR="00584FB3" w:rsidRDefault="00584FB3">
            <w:pPr>
              <w:rPr>
                <w:rFonts w:ascii="宋体"/>
                <w:vanish/>
              </w:rPr>
            </w:pPr>
          </w:p>
        </w:tc>
        <w:tc>
          <w:tcPr>
            <w:tcW w:w="0" w:type="auto"/>
            <w:gridSpan w:val="3"/>
            <w:shd w:val="clear" w:color="auto" w:fill="auto"/>
          </w:tcPr>
          <w:p w14:paraId="40CB004C" w14:textId="77777777" w:rsidR="00584FB3" w:rsidRDefault="00584FB3">
            <w:pPr>
              <w:rPr>
                <w:rFonts w:ascii="宋体"/>
                <w:vanish/>
              </w:rPr>
            </w:pPr>
          </w:p>
        </w:tc>
        <w:tc>
          <w:tcPr>
            <w:tcW w:w="0" w:type="auto"/>
            <w:shd w:val="clear" w:color="auto" w:fill="auto"/>
          </w:tcPr>
          <w:p w14:paraId="40CB004D" w14:textId="77777777" w:rsidR="00584FB3" w:rsidRDefault="00584FB3">
            <w:pPr>
              <w:rPr>
                <w:rFonts w:ascii="宋体"/>
                <w:vanish/>
              </w:rPr>
            </w:pPr>
          </w:p>
        </w:tc>
        <w:tc>
          <w:tcPr>
            <w:tcW w:w="0" w:type="auto"/>
            <w:shd w:val="clear" w:color="auto" w:fill="auto"/>
          </w:tcPr>
          <w:p w14:paraId="40CB004E" w14:textId="77777777" w:rsidR="00584FB3" w:rsidRDefault="00584FB3">
            <w:pPr>
              <w:rPr>
                <w:rFonts w:ascii="宋体"/>
                <w:vanish/>
              </w:rPr>
            </w:pPr>
          </w:p>
        </w:tc>
        <w:tc>
          <w:tcPr>
            <w:tcW w:w="0" w:type="auto"/>
            <w:gridSpan w:val="3"/>
            <w:shd w:val="clear" w:color="auto" w:fill="auto"/>
          </w:tcPr>
          <w:p w14:paraId="40CB004F" w14:textId="77777777" w:rsidR="00584FB3" w:rsidRDefault="00584FB3">
            <w:pPr>
              <w:rPr>
                <w:rFonts w:ascii="宋体"/>
                <w:vanish/>
              </w:rPr>
            </w:pPr>
          </w:p>
        </w:tc>
        <w:tc>
          <w:tcPr>
            <w:tcW w:w="0" w:type="auto"/>
            <w:gridSpan w:val="3"/>
            <w:shd w:val="clear" w:color="auto" w:fill="auto"/>
          </w:tcPr>
          <w:p w14:paraId="40CB0050" w14:textId="77777777" w:rsidR="00584FB3" w:rsidRDefault="00584FB3">
            <w:pPr>
              <w:rPr>
                <w:rFonts w:ascii="宋体"/>
                <w:vanish/>
              </w:rPr>
            </w:pPr>
          </w:p>
        </w:tc>
      </w:tr>
      <w:tr w:rsidR="00584FB3" w14:paraId="40CB005A" w14:textId="77777777">
        <w:trPr>
          <w:jc w:val="center"/>
          <w:hidden/>
        </w:trPr>
        <w:tc>
          <w:tcPr>
            <w:tcW w:w="0" w:type="auto"/>
            <w:gridSpan w:val="3"/>
            <w:shd w:val="clear" w:color="auto" w:fill="auto"/>
          </w:tcPr>
          <w:p w14:paraId="40CB0052" w14:textId="77777777" w:rsidR="00584FB3" w:rsidRDefault="00584FB3">
            <w:pPr>
              <w:rPr>
                <w:rFonts w:ascii="宋体"/>
                <w:vanish/>
              </w:rPr>
            </w:pPr>
          </w:p>
        </w:tc>
        <w:tc>
          <w:tcPr>
            <w:tcW w:w="0" w:type="auto"/>
            <w:gridSpan w:val="3"/>
            <w:shd w:val="clear" w:color="auto" w:fill="auto"/>
          </w:tcPr>
          <w:p w14:paraId="40CB0053" w14:textId="77777777" w:rsidR="00584FB3" w:rsidRDefault="00584FB3">
            <w:pPr>
              <w:rPr>
                <w:rFonts w:ascii="宋体"/>
                <w:vanish/>
              </w:rPr>
            </w:pPr>
          </w:p>
        </w:tc>
        <w:tc>
          <w:tcPr>
            <w:tcW w:w="0" w:type="auto"/>
            <w:gridSpan w:val="3"/>
            <w:shd w:val="clear" w:color="auto" w:fill="auto"/>
          </w:tcPr>
          <w:p w14:paraId="40CB0054" w14:textId="77777777" w:rsidR="00584FB3" w:rsidRDefault="00584FB3">
            <w:pPr>
              <w:rPr>
                <w:rFonts w:ascii="宋体"/>
                <w:vanish/>
              </w:rPr>
            </w:pPr>
          </w:p>
        </w:tc>
        <w:tc>
          <w:tcPr>
            <w:tcW w:w="0" w:type="auto"/>
            <w:gridSpan w:val="3"/>
            <w:shd w:val="clear" w:color="auto" w:fill="auto"/>
          </w:tcPr>
          <w:p w14:paraId="40CB0055" w14:textId="77777777" w:rsidR="00584FB3" w:rsidRDefault="00584FB3">
            <w:pPr>
              <w:rPr>
                <w:rFonts w:ascii="宋体"/>
                <w:vanish/>
              </w:rPr>
            </w:pPr>
          </w:p>
        </w:tc>
        <w:tc>
          <w:tcPr>
            <w:tcW w:w="0" w:type="auto"/>
            <w:shd w:val="clear" w:color="auto" w:fill="auto"/>
          </w:tcPr>
          <w:p w14:paraId="40CB0056" w14:textId="77777777" w:rsidR="00584FB3" w:rsidRDefault="00584FB3">
            <w:pPr>
              <w:rPr>
                <w:rFonts w:ascii="宋体"/>
                <w:vanish/>
              </w:rPr>
            </w:pPr>
          </w:p>
        </w:tc>
        <w:tc>
          <w:tcPr>
            <w:tcW w:w="0" w:type="auto"/>
            <w:shd w:val="clear" w:color="auto" w:fill="auto"/>
          </w:tcPr>
          <w:p w14:paraId="40CB0057" w14:textId="77777777" w:rsidR="00584FB3" w:rsidRDefault="00584FB3">
            <w:pPr>
              <w:rPr>
                <w:rFonts w:ascii="宋体"/>
                <w:vanish/>
              </w:rPr>
            </w:pPr>
          </w:p>
        </w:tc>
        <w:tc>
          <w:tcPr>
            <w:tcW w:w="0" w:type="auto"/>
            <w:gridSpan w:val="3"/>
            <w:shd w:val="clear" w:color="auto" w:fill="auto"/>
          </w:tcPr>
          <w:p w14:paraId="40CB0058" w14:textId="77777777" w:rsidR="00584FB3" w:rsidRDefault="00584FB3">
            <w:pPr>
              <w:rPr>
                <w:rFonts w:ascii="宋体"/>
                <w:vanish/>
              </w:rPr>
            </w:pPr>
          </w:p>
        </w:tc>
        <w:tc>
          <w:tcPr>
            <w:tcW w:w="0" w:type="auto"/>
            <w:gridSpan w:val="3"/>
            <w:shd w:val="clear" w:color="auto" w:fill="auto"/>
          </w:tcPr>
          <w:p w14:paraId="40CB0059" w14:textId="77777777" w:rsidR="00584FB3" w:rsidRDefault="00584FB3">
            <w:pPr>
              <w:rPr>
                <w:rFonts w:ascii="宋体"/>
                <w:vanish/>
              </w:rPr>
            </w:pPr>
          </w:p>
        </w:tc>
      </w:tr>
      <w:tr w:rsidR="00584FB3" w14:paraId="40CB0063" w14:textId="77777777">
        <w:trPr>
          <w:jc w:val="center"/>
          <w:hidden/>
        </w:trPr>
        <w:tc>
          <w:tcPr>
            <w:tcW w:w="0" w:type="auto"/>
            <w:gridSpan w:val="3"/>
            <w:shd w:val="clear" w:color="auto" w:fill="auto"/>
          </w:tcPr>
          <w:p w14:paraId="40CB005B" w14:textId="77777777" w:rsidR="00584FB3" w:rsidRDefault="00584FB3">
            <w:pPr>
              <w:rPr>
                <w:rFonts w:ascii="宋体"/>
                <w:vanish/>
              </w:rPr>
            </w:pPr>
          </w:p>
        </w:tc>
        <w:tc>
          <w:tcPr>
            <w:tcW w:w="0" w:type="auto"/>
            <w:gridSpan w:val="3"/>
            <w:shd w:val="clear" w:color="auto" w:fill="auto"/>
          </w:tcPr>
          <w:p w14:paraId="40CB005C" w14:textId="77777777" w:rsidR="00584FB3" w:rsidRDefault="00584FB3">
            <w:pPr>
              <w:rPr>
                <w:rFonts w:ascii="宋体"/>
                <w:vanish/>
              </w:rPr>
            </w:pPr>
          </w:p>
        </w:tc>
        <w:tc>
          <w:tcPr>
            <w:tcW w:w="0" w:type="auto"/>
            <w:gridSpan w:val="3"/>
            <w:shd w:val="clear" w:color="auto" w:fill="auto"/>
          </w:tcPr>
          <w:p w14:paraId="40CB005D" w14:textId="77777777" w:rsidR="00584FB3" w:rsidRDefault="00584FB3">
            <w:pPr>
              <w:rPr>
                <w:rFonts w:ascii="宋体"/>
                <w:vanish/>
              </w:rPr>
            </w:pPr>
          </w:p>
        </w:tc>
        <w:tc>
          <w:tcPr>
            <w:tcW w:w="0" w:type="auto"/>
            <w:gridSpan w:val="3"/>
            <w:shd w:val="clear" w:color="auto" w:fill="auto"/>
          </w:tcPr>
          <w:p w14:paraId="40CB005E" w14:textId="77777777" w:rsidR="00584FB3" w:rsidRDefault="00584FB3">
            <w:pPr>
              <w:rPr>
                <w:rFonts w:ascii="宋体"/>
                <w:vanish/>
              </w:rPr>
            </w:pPr>
          </w:p>
        </w:tc>
        <w:tc>
          <w:tcPr>
            <w:tcW w:w="0" w:type="auto"/>
            <w:shd w:val="clear" w:color="auto" w:fill="auto"/>
          </w:tcPr>
          <w:p w14:paraId="40CB005F" w14:textId="77777777" w:rsidR="00584FB3" w:rsidRDefault="00584FB3">
            <w:pPr>
              <w:rPr>
                <w:rFonts w:ascii="宋体"/>
                <w:vanish/>
              </w:rPr>
            </w:pPr>
          </w:p>
        </w:tc>
        <w:tc>
          <w:tcPr>
            <w:tcW w:w="0" w:type="auto"/>
            <w:shd w:val="clear" w:color="auto" w:fill="auto"/>
          </w:tcPr>
          <w:p w14:paraId="40CB0060" w14:textId="77777777" w:rsidR="00584FB3" w:rsidRDefault="00584FB3">
            <w:pPr>
              <w:rPr>
                <w:rFonts w:ascii="宋体"/>
                <w:vanish/>
              </w:rPr>
            </w:pPr>
          </w:p>
        </w:tc>
        <w:tc>
          <w:tcPr>
            <w:tcW w:w="0" w:type="auto"/>
            <w:gridSpan w:val="3"/>
            <w:shd w:val="clear" w:color="auto" w:fill="auto"/>
          </w:tcPr>
          <w:p w14:paraId="40CB0061" w14:textId="77777777" w:rsidR="00584FB3" w:rsidRDefault="00584FB3">
            <w:pPr>
              <w:rPr>
                <w:rFonts w:ascii="宋体"/>
                <w:vanish/>
              </w:rPr>
            </w:pPr>
          </w:p>
        </w:tc>
        <w:tc>
          <w:tcPr>
            <w:tcW w:w="0" w:type="auto"/>
            <w:gridSpan w:val="3"/>
            <w:shd w:val="clear" w:color="auto" w:fill="auto"/>
          </w:tcPr>
          <w:p w14:paraId="40CB0062" w14:textId="77777777" w:rsidR="00584FB3" w:rsidRDefault="00584FB3">
            <w:pPr>
              <w:rPr>
                <w:rFonts w:ascii="宋体"/>
                <w:vanish/>
              </w:rPr>
            </w:pPr>
          </w:p>
        </w:tc>
      </w:tr>
      <w:tr w:rsidR="00584FB3" w14:paraId="40CB006C" w14:textId="77777777">
        <w:trPr>
          <w:jc w:val="center"/>
          <w:hidden/>
        </w:trPr>
        <w:tc>
          <w:tcPr>
            <w:tcW w:w="0" w:type="auto"/>
            <w:gridSpan w:val="3"/>
            <w:shd w:val="clear" w:color="auto" w:fill="auto"/>
          </w:tcPr>
          <w:p w14:paraId="40CB0064" w14:textId="77777777" w:rsidR="00584FB3" w:rsidRDefault="00584FB3">
            <w:pPr>
              <w:rPr>
                <w:rFonts w:ascii="宋体"/>
                <w:vanish/>
              </w:rPr>
            </w:pPr>
          </w:p>
        </w:tc>
        <w:tc>
          <w:tcPr>
            <w:tcW w:w="0" w:type="auto"/>
            <w:gridSpan w:val="3"/>
            <w:shd w:val="clear" w:color="auto" w:fill="auto"/>
          </w:tcPr>
          <w:p w14:paraId="40CB0065" w14:textId="77777777" w:rsidR="00584FB3" w:rsidRDefault="00584FB3">
            <w:pPr>
              <w:rPr>
                <w:rFonts w:ascii="宋体"/>
                <w:vanish/>
              </w:rPr>
            </w:pPr>
          </w:p>
        </w:tc>
        <w:tc>
          <w:tcPr>
            <w:tcW w:w="0" w:type="auto"/>
            <w:gridSpan w:val="3"/>
            <w:shd w:val="clear" w:color="auto" w:fill="auto"/>
          </w:tcPr>
          <w:p w14:paraId="40CB0066" w14:textId="77777777" w:rsidR="00584FB3" w:rsidRDefault="00584FB3">
            <w:pPr>
              <w:rPr>
                <w:rFonts w:ascii="宋体"/>
                <w:vanish/>
              </w:rPr>
            </w:pPr>
          </w:p>
        </w:tc>
        <w:tc>
          <w:tcPr>
            <w:tcW w:w="0" w:type="auto"/>
            <w:gridSpan w:val="3"/>
            <w:shd w:val="clear" w:color="auto" w:fill="auto"/>
          </w:tcPr>
          <w:p w14:paraId="40CB0067" w14:textId="77777777" w:rsidR="00584FB3" w:rsidRDefault="00584FB3">
            <w:pPr>
              <w:rPr>
                <w:rFonts w:ascii="宋体"/>
                <w:vanish/>
              </w:rPr>
            </w:pPr>
          </w:p>
        </w:tc>
        <w:tc>
          <w:tcPr>
            <w:tcW w:w="0" w:type="auto"/>
            <w:shd w:val="clear" w:color="auto" w:fill="auto"/>
          </w:tcPr>
          <w:p w14:paraId="40CB0068" w14:textId="77777777" w:rsidR="00584FB3" w:rsidRDefault="00584FB3">
            <w:pPr>
              <w:rPr>
                <w:rFonts w:ascii="宋体"/>
                <w:vanish/>
              </w:rPr>
            </w:pPr>
          </w:p>
        </w:tc>
        <w:tc>
          <w:tcPr>
            <w:tcW w:w="0" w:type="auto"/>
            <w:shd w:val="clear" w:color="auto" w:fill="auto"/>
          </w:tcPr>
          <w:p w14:paraId="40CB0069" w14:textId="77777777" w:rsidR="00584FB3" w:rsidRDefault="00584FB3">
            <w:pPr>
              <w:rPr>
                <w:rFonts w:ascii="宋体"/>
                <w:vanish/>
              </w:rPr>
            </w:pPr>
          </w:p>
        </w:tc>
        <w:tc>
          <w:tcPr>
            <w:tcW w:w="0" w:type="auto"/>
            <w:gridSpan w:val="3"/>
            <w:shd w:val="clear" w:color="auto" w:fill="auto"/>
          </w:tcPr>
          <w:p w14:paraId="40CB006A" w14:textId="77777777" w:rsidR="00584FB3" w:rsidRDefault="00584FB3">
            <w:pPr>
              <w:rPr>
                <w:rFonts w:ascii="宋体"/>
                <w:vanish/>
              </w:rPr>
            </w:pPr>
          </w:p>
        </w:tc>
        <w:tc>
          <w:tcPr>
            <w:tcW w:w="0" w:type="auto"/>
            <w:gridSpan w:val="3"/>
            <w:shd w:val="clear" w:color="auto" w:fill="auto"/>
          </w:tcPr>
          <w:p w14:paraId="40CB006B" w14:textId="77777777" w:rsidR="00584FB3" w:rsidRDefault="00584FB3">
            <w:pPr>
              <w:rPr>
                <w:rFonts w:ascii="宋体"/>
                <w:vanish/>
              </w:rPr>
            </w:pPr>
          </w:p>
        </w:tc>
      </w:tr>
      <w:tr w:rsidR="00584FB3" w14:paraId="40CB0075" w14:textId="77777777">
        <w:trPr>
          <w:jc w:val="center"/>
          <w:hidden/>
        </w:trPr>
        <w:tc>
          <w:tcPr>
            <w:tcW w:w="0" w:type="auto"/>
            <w:gridSpan w:val="3"/>
            <w:shd w:val="clear" w:color="auto" w:fill="auto"/>
          </w:tcPr>
          <w:p w14:paraId="40CB006D" w14:textId="77777777" w:rsidR="00584FB3" w:rsidRDefault="00584FB3">
            <w:pPr>
              <w:rPr>
                <w:rFonts w:ascii="宋体"/>
                <w:vanish/>
              </w:rPr>
            </w:pPr>
          </w:p>
        </w:tc>
        <w:tc>
          <w:tcPr>
            <w:tcW w:w="0" w:type="auto"/>
            <w:gridSpan w:val="3"/>
            <w:shd w:val="clear" w:color="auto" w:fill="auto"/>
          </w:tcPr>
          <w:p w14:paraId="40CB006E" w14:textId="77777777" w:rsidR="00584FB3" w:rsidRDefault="00584FB3">
            <w:pPr>
              <w:rPr>
                <w:rFonts w:ascii="宋体"/>
                <w:vanish/>
              </w:rPr>
            </w:pPr>
          </w:p>
        </w:tc>
        <w:tc>
          <w:tcPr>
            <w:tcW w:w="0" w:type="auto"/>
            <w:gridSpan w:val="3"/>
            <w:shd w:val="clear" w:color="auto" w:fill="auto"/>
          </w:tcPr>
          <w:p w14:paraId="40CB006F" w14:textId="77777777" w:rsidR="00584FB3" w:rsidRDefault="00584FB3">
            <w:pPr>
              <w:rPr>
                <w:rFonts w:ascii="宋体"/>
                <w:vanish/>
              </w:rPr>
            </w:pPr>
          </w:p>
        </w:tc>
        <w:tc>
          <w:tcPr>
            <w:tcW w:w="0" w:type="auto"/>
            <w:gridSpan w:val="3"/>
            <w:shd w:val="clear" w:color="auto" w:fill="auto"/>
          </w:tcPr>
          <w:p w14:paraId="40CB0070" w14:textId="77777777" w:rsidR="00584FB3" w:rsidRDefault="00584FB3">
            <w:pPr>
              <w:rPr>
                <w:rFonts w:ascii="宋体"/>
                <w:vanish/>
              </w:rPr>
            </w:pPr>
          </w:p>
        </w:tc>
        <w:tc>
          <w:tcPr>
            <w:tcW w:w="0" w:type="auto"/>
            <w:shd w:val="clear" w:color="auto" w:fill="auto"/>
          </w:tcPr>
          <w:p w14:paraId="40CB0071" w14:textId="77777777" w:rsidR="00584FB3" w:rsidRDefault="00584FB3">
            <w:pPr>
              <w:rPr>
                <w:rFonts w:ascii="宋体"/>
                <w:vanish/>
              </w:rPr>
            </w:pPr>
          </w:p>
        </w:tc>
        <w:tc>
          <w:tcPr>
            <w:tcW w:w="0" w:type="auto"/>
            <w:shd w:val="clear" w:color="auto" w:fill="auto"/>
          </w:tcPr>
          <w:p w14:paraId="40CB0072" w14:textId="77777777" w:rsidR="00584FB3" w:rsidRDefault="00584FB3">
            <w:pPr>
              <w:rPr>
                <w:rFonts w:ascii="宋体"/>
                <w:vanish/>
              </w:rPr>
            </w:pPr>
          </w:p>
        </w:tc>
        <w:tc>
          <w:tcPr>
            <w:tcW w:w="0" w:type="auto"/>
            <w:gridSpan w:val="3"/>
            <w:shd w:val="clear" w:color="auto" w:fill="auto"/>
          </w:tcPr>
          <w:p w14:paraId="40CB0073" w14:textId="77777777" w:rsidR="00584FB3" w:rsidRDefault="00584FB3">
            <w:pPr>
              <w:rPr>
                <w:rFonts w:ascii="宋体"/>
                <w:vanish/>
              </w:rPr>
            </w:pPr>
          </w:p>
        </w:tc>
        <w:tc>
          <w:tcPr>
            <w:tcW w:w="0" w:type="auto"/>
            <w:gridSpan w:val="3"/>
            <w:shd w:val="clear" w:color="auto" w:fill="auto"/>
          </w:tcPr>
          <w:p w14:paraId="40CB0074" w14:textId="77777777" w:rsidR="00584FB3" w:rsidRDefault="00584FB3">
            <w:pPr>
              <w:rPr>
                <w:rFonts w:ascii="宋体"/>
                <w:vanish/>
              </w:rPr>
            </w:pPr>
          </w:p>
        </w:tc>
      </w:tr>
      <w:tr w:rsidR="00584FB3" w14:paraId="40CB007E" w14:textId="77777777">
        <w:trPr>
          <w:jc w:val="center"/>
          <w:hidden/>
        </w:trPr>
        <w:tc>
          <w:tcPr>
            <w:tcW w:w="0" w:type="auto"/>
            <w:gridSpan w:val="3"/>
            <w:shd w:val="clear" w:color="auto" w:fill="auto"/>
          </w:tcPr>
          <w:p w14:paraId="40CB0076" w14:textId="77777777" w:rsidR="00584FB3" w:rsidRDefault="00584FB3">
            <w:pPr>
              <w:rPr>
                <w:rFonts w:ascii="宋体"/>
                <w:vanish/>
              </w:rPr>
            </w:pPr>
          </w:p>
        </w:tc>
        <w:tc>
          <w:tcPr>
            <w:tcW w:w="0" w:type="auto"/>
            <w:gridSpan w:val="3"/>
            <w:shd w:val="clear" w:color="auto" w:fill="auto"/>
          </w:tcPr>
          <w:p w14:paraId="40CB0077" w14:textId="77777777" w:rsidR="00584FB3" w:rsidRDefault="00584FB3">
            <w:pPr>
              <w:rPr>
                <w:rFonts w:ascii="宋体"/>
                <w:vanish/>
              </w:rPr>
            </w:pPr>
          </w:p>
        </w:tc>
        <w:tc>
          <w:tcPr>
            <w:tcW w:w="0" w:type="auto"/>
            <w:gridSpan w:val="3"/>
            <w:shd w:val="clear" w:color="auto" w:fill="auto"/>
          </w:tcPr>
          <w:p w14:paraId="40CB0078" w14:textId="77777777" w:rsidR="00584FB3" w:rsidRDefault="00584FB3">
            <w:pPr>
              <w:rPr>
                <w:rFonts w:ascii="宋体"/>
                <w:vanish/>
              </w:rPr>
            </w:pPr>
          </w:p>
        </w:tc>
        <w:tc>
          <w:tcPr>
            <w:tcW w:w="0" w:type="auto"/>
            <w:gridSpan w:val="3"/>
            <w:shd w:val="clear" w:color="auto" w:fill="auto"/>
          </w:tcPr>
          <w:p w14:paraId="40CB0079" w14:textId="77777777" w:rsidR="00584FB3" w:rsidRDefault="00584FB3">
            <w:pPr>
              <w:rPr>
                <w:rFonts w:ascii="宋体"/>
                <w:vanish/>
              </w:rPr>
            </w:pPr>
          </w:p>
        </w:tc>
        <w:tc>
          <w:tcPr>
            <w:tcW w:w="0" w:type="auto"/>
            <w:shd w:val="clear" w:color="auto" w:fill="auto"/>
          </w:tcPr>
          <w:p w14:paraId="40CB007A" w14:textId="77777777" w:rsidR="00584FB3" w:rsidRDefault="00584FB3">
            <w:pPr>
              <w:rPr>
                <w:rFonts w:ascii="宋体"/>
                <w:vanish/>
              </w:rPr>
            </w:pPr>
          </w:p>
        </w:tc>
        <w:tc>
          <w:tcPr>
            <w:tcW w:w="0" w:type="auto"/>
            <w:shd w:val="clear" w:color="auto" w:fill="auto"/>
          </w:tcPr>
          <w:p w14:paraId="40CB007B" w14:textId="77777777" w:rsidR="00584FB3" w:rsidRDefault="00584FB3">
            <w:pPr>
              <w:rPr>
                <w:rFonts w:ascii="宋体"/>
                <w:vanish/>
              </w:rPr>
            </w:pPr>
          </w:p>
        </w:tc>
        <w:tc>
          <w:tcPr>
            <w:tcW w:w="0" w:type="auto"/>
            <w:gridSpan w:val="3"/>
            <w:shd w:val="clear" w:color="auto" w:fill="auto"/>
          </w:tcPr>
          <w:p w14:paraId="40CB007C" w14:textId="77777777" w:rsidR="00584FB3" w:rsidRDefault="00584FB3">
            <w:pPr>
              <w:rPr>
                <w:rFonts w:ascii="宋体"/>
                <w:vanish/>
              </w:rPr>
            </w:pPr>
          </w:p>
        </w:tc>
        <w:tc>
          <w:tcPr>
            <w:tcW w:w="0" w:type="auto"/>
            <w:gridSpan w:val="3"/>
            <w:shd w:val="clear" w:color="auto" w:fill="auto"/>
          </w:tcPr>
          <w:p w14:paraId="40CB007D" w14:textId="77777777" w:rsidR="00584FB3" w:rsidRDefault="00584FB3">
            <w:pPr>
              <w:rPr>
                <w:rFonts w:ascii="宋体"/>
                <w:vanish/>
              </w:rPr>
            </w:pPr>
          </w:p>
        </w:tc>
      </w:tr>
      <w:tr w:rsidR="00584FB3" w14:paraId="40CB0087" w14:textId="77777777">
        <w:trPr>
          <w:jc w:val="center"/>
          <w:hidden/>
        </w:trPr>
        <w:tc>
          <w:tcPr>
            <w:tcW w:w="0" w:type="auto"/>
            <w:gridSpan w:val="3"/>
            <w:shd w:val="clear" w:color="auto" w:fill="auto"/>
          </w:tcPr>
          <w:p w14:paraId="40CB007F" w14:textId="77777777" w:rsidR="00584FB3" w:rsidRDefault="00584FB3">
            <w:pPr>
              <w:rPr>
                <w:rFonts w:ascii="宋体"/>
                <w:vanish/>
              </w:rPr>
            </w:pPr>
          </w:p>
        </w:tc>
        <w:tc>
          <w:tcPr>
            <w:tcW w:w="0" w:type="auto"/>
            <w:gridSpan w:val="3"/>
            <w:shd w:val="clear" w:color="auto" w:fill="auto"/>
          </w:tcPr>
          <w:p w14:paraId="40CB0080" w14:textId="77777777" w:rsidR="00584FB3" w:rsidRDefault="00584FB3">
            <w:pPr>
              <w:rPr>
                <w:rFonts w:ascii="宋体"/>
                <w:vanish/>
              </w:rPr>
            </w:pPr>
          </w:p>
        </w:tc>
        <w:tc>
          <w:tcPr>
            <w:tcW w:w="0" w:type="auto"/>
            <w:gridSpan w:val="3"/>
            <w:shd w:val="clear" w:color="auto" w:fill="auto"/>
          </w:tcPr>
          <w:p w14:paraId="40CB0081" w14:textId="77777777" w:rsidR="00584FB3" w:rsidRDefault="00584FB3">
            <w:pPr>
              <w:rPr>
                <w:rFonts w:ascii="宋体"/>
                <w:vanish/>
              </w:rPr>
            </w:pPr>
          </w:p>
        </w:tc>
        <w:tc>
          <w:tcPr>
            <w:tcW w:w="0" w:type="auto"/>
            <w:gridSpan w:val="3"/>
            <w:shd w:val="clear" w:color="auto" w:fill="auto"/>
          </w:tcPr>
          <w:p w14:paraId="40CB0082" w14:textId="77777777" w:rsidR="00584FB3" w:rsidRDefault="00584FB3">
            <w:pPr>
              <w:rPr>
                <w:rFonts w:ascii="宋体"/>
                <w:vanish/>
              </w:rPr>
            </w:pPr>
          </w:p>
        </w:tc>
        <w:tc>
          <w:tcPr>
            <w:tcW w:w="0" w:type="auto"/>
            <w:shd w:val="clear" w:color="auto" w:fill="auto"/>
          </w:tcPr>
          <w:p w14:paraId="40CB0083" w14:textId="77777777" w:rsidR="00584FB3" w:rsidRDefault="00584FB3">
            <w:pPr>
              <w:rPr>
                <w:rFonts w:ascii="宋体"/>
                <w:vanish/>
              </w:rPr>
            </w:pPr>
          </w:p>
        </w:tc>
        <w:tc>
          <w:tcPr>
            <w:tcW w:w="0" w:type="auto"/>
            <w:shd w:val="clear" w:color="auto" w:fill="auto"/>
          </w:tcPr>
          <w:p w14:paraId="40CB0084" w14:textId="77777777" w:rsidR="00584FB3" w:rsidRDefault="00584FB3">
            <w:pPr>
              <w:rPr>
                <w:rFonts w:ascii="宋体"/>
                <w:vanish/>
              </w:rPr>
            </w:pPr>
          </w:p>
        </w:tc>
        <w:tc>
          <w:tcPr>
            <w:tcW w:w="0" w:type="auto"/>
            <w:gridSpan w:val="3"/>
            <w:shd w:val="clear" w:color="auto" w:fill="auto"/>
          </w:tcPr>
          <w:p w14:paraId="40CB0085" w14:textId="77777777" w:rsidR="00584FB3" w:rsidRDefault="00584FB3">
            <w:pPr>
              <w:rPr>
                <w:rFonts w:ascii="宋体"/>
                <w:vanish/>
              </w:rPr>
            </w:pPr>
          </w:p>
        </w:tc>
        <w:tc>
          <w:tcPr>
            <w:tcW w:w="0" w:type="auto"/>
            <w:gridSpan w:val="3"/>
            <w:shd w:val="clear" w:color="auto" w:fill="auto"/>
          </w:tcPr>
          <w:p w14:paraId="40CB0086" w14:textId="77777777" w:rsidR="00584FB3" w:rsidRDefault="00584FB3">
            <w:pPr>
              <w:rPr>
                <w:rFonts w:ascii="宋体"/>
                <w:vanish/>
              </w:rPr>
            </w:pPr>
          </w:p>
        </w:tc>
      </w:tr>
    </w:tbl>
    <w:p w14:paraId="40CB0088" w14:textId="77777777" w:rsidR="00584FB3" w:rsidRDefault="00584FB3">
      <w:pPr>
        <w:jc w:val="center"/>
      </w:pPr>
    </w:p>
    <w:p w14:paraId="40CB0089" w14:textId="77777777" w:rsidR="00584FB3" w:rsidRDefault="00786180">
      <w:pPr>
        <w:jc w:val="center"/>
      </w:pPr>
      <w:r>
        <w:rPr>
          <w:rFonts w:ascii="Times New Roman" w:eastAsia="宋体" w:hAnsi="Times New Roman"/>
          <w:i/>
          <w:iCs/>
          <w:color w:val="000000"/>
          <w:sz w:val="20"/>
          <w:szCs w:val="20"/>
        </w:rPr>
        <w:t>See Notes to Consolidated Financial Statements.</w:t>
      </w:r>
    </w:p>
    <w:p w14:paraId="40CB008A" w14:textId="77777777" w:rsidR="00584FB3" w:rsidRDefault="00786180">
      <w:pPr>
        <w:jc w:val="center"/>
      </w:pPr>
      <w:r>
        <w:rPr>
          <w:rFonts w:ascii="Times New Roman" w:eastAsia="宋体" w:hAnsi="Times New Roman"/>
          <w:color w:val="000000"/>
          <w:sz w:val="20"/>
          <w:szCs w:val="20"/>
        </w:rPr>
        <w:t>4</w:t>
      </w:r>
    </w:p>
    <w:p w14:paraId="40CB008B" w14:textId="77777777" w:rsidR="00584FB3" w:rsidRDefault="00786180">
      <w:r>
        <w:pict w14:anchorId="40CB2A39">
          <v:rect id="_x0000_i1028" style="width:415.3pt;height:1.5pt" o:hralign="center" o:hrstd="t" o:hr="t" fillcolor="#a0a0a0" stroked="f"/>
        </w:pict>
      </w:r>
    </w:p>
    <w:p w14:paraId="40CB008C" w14:textId="77777777" w:rsidR="00584FB3" w:rsidRDefault="00786180">
      <w:hyperlink r:id="rId42" w:anchor="i11706e4b673c41db9f2dcbdb897203bb_7" w:history="1">
        <w:r>
          <w:rPr>
            <w:rStyle w:val="a5"/>
            <w:rFonts w:ascii="Times New Roman" w:eastAsia="宋体" w:hAnsi="Times New Roman"/>
            <w:sz w:val="20"/>
            <w:szCs w:val="20"/>
          </w:rPr>
          <w:t>Table of Contents</w:t>
        </w:r>
      </w:hyperlink>
    </w:p>
    <w:p w14:paraId="40CB008D" w14:textId="77777777" w:rsidR="00584FB3" w:rsidRDefault="00786180">
      <w:pPr>
        <w:spacing w:before="280"/>
        <w:jc w:val="center"/>
      </w:pPr>
      <w:r>
        <w:rPr>
          <w:rFonts w:ascii="Times New Roman" w:eastAsia="宋体" w:hAnsi="Times New Roman"/>
          <w:b/>
          <w:bCs/>
          <w:color w:val="000000"/>
          <w:sz w:val="20"/>
          <w:szCs w:val="20"/>
        </w:rPr>
        <w:t>STARBUCKS CORPORATION</w:t>
      </w:r>
    </w:p>
    <w:p w14:paraId="40CB008E" w14:textId="77777777" w:rsidR="00584FB3" w:rsidRDefault="00786180">
      <w:pPr>
        <w:jc w:val="center"/>
      </w:pPr>
      <w:r>
        <w:rPr>
          <w:rFonts w:ascii="Times New Roman" w:eastAsia="宋体" w:hAnsi="Times New Roman"/>
          <w:b/>
          <w:bCs/>
          <w:color w:val="000000"/>
          <w:sz w:val="20"/>
          <w:szCs w:val="20"/>
        </w:rPr>
        <w:t>CONSOLIDATED BALANCE SHEETS</w:t>
      </w:r>
    </w:p>
    <w:p w14:paraId="40CB008F" w14:textId="77777777" w:rsidR="00584FB3" w:rsidRDefault="00786180">
      <w:pPr>
        <w:jc w:val="center"/>
      </w:pPr>
      <w:r>
        <w:rPr>
          <w:rFonts w:ascii="Times New Roman" w:eastAsia="宋体" w:hAnsi="Times New Roman"/>
          <w:i/>
          <w:iCs/>
          <w:color w:val="000000"/>
          <w:sz w:val="20"/>
          <w:szCs w:val="20"/>
        </w:rPr>
        <w:t>(in millions, except per share data</w:t>
      </w:r>
      <w:r>
        <w:rPr>
          <w:rFonts w:ascii="Times New Roman" w:eastAsia="宋体" w:hAnsi="Times New Roman"/>
          <w:i/>
          <w:iCs/>
          <w:color w:val="000000"/>
          <w:sz w:val="20"/>
          <w:szCs w:val="20"/>
        </w:rPr>
        <w:t>)</w:t>
      </w:r>
    </w:p>
    <w:p w14:paraId="40CB0090" w14:textId="77777777" w:rsidR="00584FB3" w:rsidRDefault="00786180">
      <w:pPr>
        <w:jc w:val="center"/>
      </w:pPr>
      <w:r>
        <w:rPr>
          <w:rFonts w:ascii="Times New Roman" w:eastAsia="宋体" w:hAnsi="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6011"/>
        <w:gridCol w:w="37"/>
        <w:gridCol w:w="120"/>
        <w:gridCol w:w="913"/>
        <w:gridCol w:w="36"/>
        <w:gridCol w:w="36"/>
        <w:gridCol w:w="36"/>
        <w:gridCol w:w="36"/>
        <w:gridCol w:w="120"/>
        <w:gridCol w:w="916"/>
        <w:gridCol w:w="36"/>
      </w:tblGrid>
      <w:tr w:rsidR="00584FB3" w14:paraId="40CB009D" w14:textId="77777777">
        <w:tc>
          <w:tcPr>
            <w:tcW w:w="50" w:type="pct"/>
            <w:shd w:val="clear" w:color="auto" w:fill="auto"/>
          </w:tcPr>
          <w:p w14:paraId="40CB0091" w14:textId="77777777" w:rsidR="00584FB3" w:rsidRDefault="00584FB3">
            <w:pPr>
              <w:rPr>
                <w:rFonts w:ascii="宋体"/>
              </w:rPr>
            </w:pPr>
          </w:p>
        </w:tc>
        <w:tc>
          <w:tcPr>
            <w:tcW w:w="3643" w:type="pct"/>
            <w:shd w:val="clear" w:color="auto" w:fill="auto"/>
          </w:tcPr>
          <w:p w14:paraId="40CB0092" w14:textId="77777777" w:rsidR="00584FB3" w:rsidRDefault="00584FB3">
            <w:pPr>
              <w:rPr>
                <w:rFonts w:ascii="宋体"/>
              </w:rPr>
            </w:pPr>
          </w:p>
        </w:tc>
        <w:tc>
          <w:tcPr>
            <w:tcW w:w="5" w:type="pct"/>
            <w:shd w:val="clear" w:color="auto" w:fill="auto"/>
          </w:tcPr>
          <w:p w14:paraId="40CB0093" w14:textId="77777777" w:rsidR="00584FB3" w:rsidRDefault="00584FB3">
            <w:pPr>
              <w:rPr>
                <w:rFonts w:ascii="宋体"/>
              </w:rPr>
            </w:pPr>
          </w:p>
        </w:tc>
        <w:tc>
          <w:tcPr>
            <w:tcW w:w="50" w:type="pct"/>
            <w:shd w:val="clear" w:color="auto" w:fill="auto"/>
          </w:tcPr>
          <w:p w14:paraId="40CB0094" w14:textId="77777777" w:rsidR="00584FB3" w:rsidRDefault="00584FB3">
            <w:pPr>
              <w:rPr>
                <w:rFonts w:ascii="宋体"/>
              </w:rPr>
            </w:pPr>
          </w:p>
        </w:tc>
        <w:tc>
          <w:tcPr>
            <w:tcW w:w="580" w:type="pct"/>
            <w:shd w:val="clear" w:color="auto" w:fill="auto"/>
          </w:tcPr>
          <w:p w14:paraId="40CB0095" w14:textId="77777777" w:rsidR="00584FB3" w:rsidRDefault="00584FB3">
            <w:pPr>
              <w:rPr>
                <w:rFonts w:ascii="宋体"/>
              </w:rPr>
            </w:pPr>
          </w:p>
        </w:tc>
        <w:tc>
          <w:tcPr>
            <w:tcW w:w="5" w:type="pct"/>
            <w:shd w:val="clear" w:color="auto" w:fill="auto"/>
          </w:tcPr>
          <w:p w14:paraId="40CB0096" w14:textId="77777777" w:rsidR="00584FB3" w:rsidRDefault="00584FB3">
            <w:pPr>
              <w:rPr>
                <w:rFonts w:ascii="宋体"/>
              </w:rPr>
            </w:pPr>
          </w:p>
        </w:tc>
        <w:tc>
          <w:tcPr>
            <w:tcW w:w="5" w:type="pct"/>
            <w:shd w:val="clear" w:color="auto" w:fill="auto"/>
          </w:tcPr>
          <w:p w14:paraId="40CB0097" w14:textId="77777777" w:rsidR="00584FB3" w:rsidRDefault="00584FB3">
            <w:pPr>
              <w:rPr>
                <w:rFonts w:ascii="宋体"/>
              </w:rPr>
            </w:pPr>
          </w:p>
        </w:tc>
        <w:tc>
          <w:tcPr>
            <w:tcW w:w="19" w:type="pct"/>
            <w:shd w:val="clear" w:color="auto" w:fill="auto"/>
          </w:tcPr>
          <w:p w14:paraId="40CB0098" w14:textId="77777777" w:rsidR="00584FB3" w:rsidRDefault="00584FB3">
            <w:pPr>
              <w:rPr>
                <w:rFonts w:ascii="宋体"/>
              </w:rPr>
            </w:pPr>
          </w:p>
        </w:tc>
        <w:tc>
          <w:tcPr>
            <w:tcW w:w="5" w:type="pct"/>
            <w:shd w:val="clear" w:color="auto" w:fill="auto"/>
          </w:tcPr>
          <w:p w14:paraId="40CB0099" w14:textId="77777777" w:rsidR="00584FB3" w:rsidRDefault="00584FB3">
            <w:pPr>
              <w:rPr>
                <w:rFonts w:ascii="宋体"/>
              </w:rPr>
            </w:pPr>
          </w:p>
        </w:tc>
        <w:tc>
          <w:tcPr>
            <w:tcW w:w="50" w:type="pct"/>
            <w:shd w:val="clear" w:color="auto" w:fill="auto"/>
          </w:tcPr>
          <w:p w14:paraId="40CB009A" w14:textId="77777777" w:rsidR="00584FB3" w:rsidRDefault="00584FB3">
            <w:pPr>
              <w:rPr>
                <w:rFonts w:ascii="宋体"/>
              </w:rPr>
            </w:pPr>
          </w:p>
        </w:tc>
        <w:tc>
          <w:tcPr>
            <w:tcW w:w="581" w:type="pct"/>
            <w:shd w:val="clear" w:color="auto" w:fill="auto"/>
          </w:tcPr>
          <w:p w14:paraId="40CB009B" w14:textId="77777777" w:rsidR="00584FB3" w:rsidRDefault="00584FB3">
            <w:pPr>
              <w:rPr>
                <w:rFonts w:ascii="宋体"/>
              </w:rPr>
            </w:pPr>
          </w:p>
        </w:tc>
        <w:tc>
          <w:tcPr>
            <w:tcW w:w="5" w:type="pct"/>
            <w:shd w:val="clear" w:color="auto" w:fill="auto"/>
          </w:tcPr>
          <w:p w14:paraId="40CB009C" w14:textId="77777777" w:rsidR="00584FB3" w:rsidRDefault="00584FB3">
            <w:pPr>
              <w:rPr>
                <w:rFonts w:ascii="宋体"/>
              </w:rPr>
            </w:pPr>
          </w:p>
        </w:tc>
      </w:tr>
      <w:tr w:rsidR="00584FB3" w14:paraId="40CB00A2" w14:textId="77777777">
        <w:tc>
          <w:tcPr>
            <w:tcW w:w="0" w:type="auto"/>
            <w:gridSpan w:val="3"/>
            <w:shd w:val="clear" w:color="auto" w:fill="auto"/>
            <w:tcMar>
              <w:top w:w="0" w:type="dxa"/>
              <w:left w:w="20" w:type="dxa"/>
              <w:bottom w:w="0" w:type="dxa"/>
              <w:right w:w="20" w:type="dxa"/>
            </w:tcMar>
          </w:tcPr>
          <w:p w14:paraId="40CB009E"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09F"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00A0"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0A1" w14:textId="77777777" w:rsidR="00584FB3" w:rsidRDefault="00786180">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584FB3" w14:paraId="40CB00A7" w14:textId="77777777">
        <w:tc>
          <w:tcPr>
            <w:tcW w:w="0" w:type="auto"/>
            <w:gridSpan w:val="3"/>
            <w:shd w:val="clear" w:color="auto" w:fill="D7E4BC"/>
            <w:tcMar>
              <w:top w:w="40" w:type="dxa"/>
              <w:left w:w="20" w:type="dxa"/>
              <w:bottom w:w="40" w:type="dxa"/>
              <w:right w:w="20" w:type="dxa"/>
            </w:tcMar>
          </w:tcPr>
          <w:p w14:paraId="40CB00A3" w14:textId="77777777" w:rsidR="00584FB3" w:rsidRDefault="00786180">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40CB00A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0A5"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0A6" w14:textId="77777777" w:rsidR="00584FB3" w:rsidRDefault="00584FB3">
            <w:pPr>
              <w:rPr>
                <w:rFonts w:ascii="宋体"/>
              </w:rPr>
            </w:pPr>
          </w:p>
        </w:tc>
      </w:tr>
      <w:tr w:rsidR="00584FB3" w14:paraId="40CB00AC" w14:textId="77777777">
        <w:tc>
          <w:tcPr>
            <w:tcW w:w="0" w:type="auto"/>
            <w:gridSpan w:val="3"/>
            <w:shd w:val="clear" w:color="auto" w:fill="FFFFFF"/>
            <w:tcMar>
              <w:top w:w="40" w:type="dxa"/>
              <w:left w:w="20" w:type="dxa"/>
              <w:bottom w:w="40" w:type="dxa"/>
              <w:right w:w="20" w:type="dxa"/>
            </w:tcMar>
          </w:tcPr>
          <w:p w14:paraId="40CB00A8" w14:textId="77777777" w:rsidR="00584FB3" w:rsidRDefault="00786180">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tcPr>
          <w:p w14:paraId="40CB00A9"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0A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0AB" w14:textId="77777777" w:rsidR="00584FB3" w:rsidRDefault="00584FB3">
            <w:pPr>
              <w:rPr>
                <w:rFonts w:ascii="宋体"/>
              </w:rPr>
            </w:pPr>
          </w:p>
        </w:tc>
      </w:tr>
      <w:tr w:rsidR="00584FB3" w14:paraId="40CB00B5" w14:textId="77777777">
        <w:tc>
          <w:tcPr>
            <w:tcW w:w="0" w:type="auto"/>
            <w:gridSpan w:val="3"/>
            <w:shd w:val="clear" w:color="auto" w:fill="D7E4BC"/>
            <w:tcMar>
              <w:top w:w="40" w:type="dxa"/>
              <w:left w:w="380" w:type="dxa"/>
              <w:bottom w:w="40" w:type="dxa"/>
              <w:right w:w="20" w:type="dxa"/>
            </w:tcMar>
          </w:tcPr>
          <w:p w14:paraId="40CB00AD" w14:textId="77777777" w:rsidR="00584FB3" w:rsidRDefault="00786180">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right w:w="0" w:type="dxa"/>
            </w:tcMar>
            <w:vAlign w:val="bottom"/>
          </w:tcPr>
          <w:p w14:paraId="40CB00AE"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00AF" w14:textId="77777777" w:rsidR="00584FB3" w:rsidRDefault="00786180">
            <w:pPr>
              <w:jc w:val="right"/>
              <w:textAlignment w:val="bottom"/>
            </w:pPr>
            <w:r>
              <w:rPr>
                <w:rFonts w:ascii="Times New Roman" w:eastAsia="宋体" w:hAnsi="Times New Roman"/>
                <w:color w:val="000000"/>
                <w:sz w:val="20"/>
                <w:szCs w:val="20"/>
              </w:rPr>
              <w:t>5,028.1 </w:t>
            </w:r>
          </w:p>
        </w:tc>
        <w:tc>
          <w:tcPr>
            <w:tcW w:w="0" w:type="auto"/>
            <w:shd w:val="clear" w:color="auto" w:fill="D7E4BC"/>
            <w:tcMar>
              <w:top w:w="40" w:type="dxa"/>
              <w:left w:w="0" w:type="dxa"/>
              <w:bottom w:w="40" w:type="dxa"/>
              <w:right w:w="20" w:type="dxa"/>
            </w:tcMar>
            <w:vAlign w:val="bottom"/>
          </w:tcPr>
          <w:p w14:paraId="40CB00B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0B1"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0B2"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00B3" w14:textId="77777777" w:rsidR="00584FB3" w:rsidRDefault="00786180">
            <w:pPr>
              <w:jc w:val="right"/>
              <w:textAlignment w:val="bottom"/>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bottom"/>
          </w:tcPr>
          <w:p w14:paraId="40CB00B4" w14:textId="77777777" w:rsidR="00584FB3" w:rsidRDefault="00584FB3">
            <w:pPr>
              <w:jc w:val="right"/>
              <w:rPr>
                <w:rFonts w:ascii="宋体"/>
              </w:rPr>
            </w:pPr>
          </w:p>
        </w:tc>
      </w:tr>
      <w:tr w:rsidR="00584FB3" w14:paraId="40CB00BC" w14:textId="77777777">
        <w:tc>
          <w:tcPr>
            <w:tcW w:w="0" w:type="auto"/>
            <w:gridSpan w:val="3"/>
            <w:shd w:val="clear" w:color="auto" w:fill="FFFFFF"/>
            <w:tcMar>
              <w:top w:w="40" w:type="dxa"/>
              <w:left w:w="380" w:type="dxa"/>
              <w:bottom w:w="40" w:type="dxa"/>
              <w:right w:w="20" w:type="dxa"/>
            </w:tcMar>
          </w:tcPr>
          <w:p w14:paraId="40CB00B6" w14:textId="77777777" w:rsidR="00584FB3" w:rsidRDefault="00786180">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40CB00B7" w14:textId="77777777" w:rsidR="00584FB3" w:rsidRDefault="00786180">
            <w:pPr>
              <w:jc w:val="right"/>
              <w:textAlignment w:val="bottom"/>
            </w:pPr>
            <w:r>
              <w:rPr>
                <w:rFonts w:ascii="Times New Roman" w:eastAsia="宋体" w:hAnsi="Times New Roman"/>
                <w:color w:val="000000"/>
                <w:sz w:val="20"/>
                <w:szCs w:val="20"/>
              </w:rPr>
              <w:t>235.5 </w:t>
            </w:r>
          </w:p>
        </w:tc>
        <w:tc>
          <w:tcPr>
            <w:tcW w:w="0" w:type="auto"/>
            <w:shd w:val="clear" w:color="auto" w:fill="FFFFFF"/>
            <w:tcMar>
              <w:top w:w="40" w:type="dxa"/>
              <w:left w:w="0" w:type="dxa"/>
              <w:bottom w:w="40" w:type="dxa"/>
              <w:right w:w="20" w:type="dxa"/>
            </w:tcMar>
            <w:vAlign w:val="bottom"/>
          </w:tcPr>
          <w:p w14:paraId="40CB00B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0B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0BA" w14:textId="77777777" w:rsidR="00584FB3" w:rsidRDefault="00786180">
            <w:pPr>
              <w:jc w:val="right"/>
              <w:textAlignment w:val="bottom"/>
            </w:pPr>
            <w:r>
              <w:rPr>
                <w:rFonts w:ascii="Times New Roman" w:eastAsia="宋体" w:hAnsi="Times New Roman"/>
                <w:color w:val="000000"/>
                <w:sz w:val="20"/>
                <w:szCs w:val="20"/>
              </w:rPr>
              <w:t>281.2 </w:t>
            </w:r>
          </w:p>
        </w:tc>
        <w:tc>
          <w:tcPr>
            <w:tcW w:w="0" w:type="auto"/>
            <w:shd w:val="clear" w:color="auto" w:fill="FFFFFF"/>
            <w:tcMar>
              <w:top w:w="40" w:type="dxa"/>
              <w:left w:w="0" w:type="dxa"/>
              <w:bottom w:w="40" w:type="dxa"/>
              <w:right w:w="20" w:type="dxa"/>
            </w:tcMar>
            <w:vAlign w:val="bottom"/>
          </w:tcPr>
          <w:p w14:paraId="40CB00BB" w14:textId="77777777" w:rsidR="00584FB3" w:rsidRDefault="00584FB3">
            <w:pPr>
              <w:jc w:val="right"/>
              <w:rPr>
                <w:rFonts w:ascii="宋体"/>
              </w:rPr>
            </w:pPr>
          </w:p>
        </w:tc>
      </w:tr>
      <w:tr w:rsidR="00584FB3" w14:paraId="40CB00C3" w14:textId="77777777">
        <w:tc>
          <w:tcPr>
            <w:tcW w:w="0" w:type="auto"/>
            <w:gridSpan w:val="3"/>
            <w:shd w:val="clear" w:color="auto" w:fill="D7E4BC"/>
            <w:tcMar>
              <w:top w:w="40" w:type="dxa"/>
              <w:left w:w="380" w:type="dxa"/>
              <w:bottom w:w="40" w:type="dxa"/>
              <w:right w:w="20" w:type="dxa"/>
            </w:tcMar>
          </w:tcPr>
          <w:p w14:paraId="40CB00BD" w14:textId="77777777" w:rsidR="00584FB3" w:rsidRDefault="00786180">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40CB00BE" w14:textId="77777777" w:rsidR="00584FB3" w:rsidRDefault="00786180">
            <w:pPr>
              <w:jc w:val="right"/>
              <w:textAlignment w:val="bottom"/>
            </w:pPr>
            <w:r>
              <w:rPr>
                <w:rFonts w:ascii="Times New Roman" w:eastAsia="宋体" w:hAnsi="Times New Roman"/>
                <w:color w:val="000000"/>
                <w:sz w:val="20"/>
                <w:szCs w:val="20"/>
              </w:rPr>
              <w:t>888.0 </w:t>
            </w:r>
          </w:p>
        </w:tc>
        <w:tc>
          <w:tcPr>
            <w:tcW w:w="0" w:type="auto"/>
            <w:shd w:val="clear" w:color="auto" w:fill="D7E4BC"/>
            <w:tcMar>
              <w:top w:w="40" w:type="dxa"/>
              <w:left w:w="0" w:type="dxa"/>
              <w:bottom w:w="40" w:type="dxa"/>
              <w:right w:w="20" w:type="dxa"/>
            </w:tcMar>
            <w:vAlign w:val="bottom"/>
          </w:tcPr>
          <w:p w14:paraId="40CB00B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0C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0C1" w14:textId="77777777" w:rsidR="00584FB3" w:rsidRDefault="00786180">
            <w:pPr>
              <w:jc w:val="right"/>
              <w:textAlignment w:val="bottom"/>
            </w:pPr>
            <w:r>
              <w:rPr>
                <w:rFonts w:ascii="Times New Roman" w:eastAsia="宋体" w:hAnsi="Times New Roman"/>
                <w:color w:val="000000"/>
                <w:sz w:val="20"/>
                <w:szCs w:val="20"/>
              </w:rPr>
              <w:t>883.4 </w:t>
            </w:r>
          </w:p>
        </w:tc>
        <w:tc>
          <w:tcPr>
            <w:tcW w:w="0" w:type="auto"/>
            <w:shd w:val="clear" w:color="auto" w:fill="D7E4BC"/>
            <w:tcMar>
              <w:top w:w="40" w:type="dxa"/>
              <w:left w:w="0" w:type="dxa"/>
              <w:bottom w:w="40" w:type="dxa"/>
              <w:right w:w="20" w:type="dxa"/>
            </w:tcMar>
            <w:vAlign w:val="bottom"/>
          </w:tcPr>
          <w:p w14:paraId="40CB00C2" w14:textId="77777777" w:rsidR="00584FB3" w:rsidRDefault="00584FB3">
            <w:pPr>
              <w:jc w:val="right"/>
              <w:rPr>
                <w:rFonts w:ascii="宋体"/>
              </w:rPr>
            </w:pPr>
          </w:p>
        </w:tc>
      </w:tr>
      <w:tr w:rsidR="00584FB3" w14:paraId="40CB00CA" w14:textId="77777777">
        <w:tc>
          <w:tcPr>
            <w:tcW w:w="0" w:type="auto"/>
            <w:gridSpan w:val="3"/>
            <w:shd w:val="clear" w:color="auto" w:fill="FFFFFF"/>
            <w:tcMar>
              <w:top w:w="40" w:type="dxa"/>
              <w:left w:w="380" w:type="dxa"/>
              <w:bottom w:w="40" w:type="dxa"/>
              <w:right w:w="20" w:type="dxa"/>
            </w:tcMar>
          </w:tcPr>
          <w:p w14:paraId="40CB00C4" w14:textId="77777777" w:rsidR="00584FB3" w:rsidRDefault="00786180">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40CB00C5" w14:textId="77777777" w:rsidR="00584FB3" w:rsidRDefault="00786180">
            <w:pPr>
              <w:jc w:val="right"/>
              <w:textAlignment w:val="bottom"/>
            </w:pPr>
            <w:r>
              <w:rPr>
                <w:rFonts w:ascii="Times New Roman" w:eastAsia="宋体" w:hAnsi="Times New Roman"/>
                <w:color w:val="000000"/>
                <w:sz w:val="20"/>
                <w:szCs w:val="20"/>
              </w:rPr>
              <w:t>1,471.5 </w:t>
            </w:r>
          </w:p>
        </w:tc>
        <w:tc>
          <w:tcPr>
            <w:tcW w:w="0" w:type="auto"/>
            <w:shd w:val="clear" w:color="auto" w:fill="FFFFFF"/>
            <w:tcMar>
              <w:top w:w="40" w:type="dxa"/>
              <w:left w:w="0" w:type="dxa"/>
              <w:bottom w:w="40" w:type="dxa"/>
              <w:right w:w="20" w:type="dxa"/>
            </w:tcMar>
            <w:vAlign w:val="bottom"/>
          </w:tcPr>
          <w:p w14:paraId="40CB00C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0C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0C8" w14:textId="77777777" w:rsidR="00584FB3" w:rsidRDefault="00786180">
            <w:pPr>
              <w:jc w:val="right"/>
              <w:textAlignment w:val="bottom"/>
            </w:pPr>
            <w:r>
              <w:rPr>
                <w:rFonts w:ascii="Times New Roman" w:eastAsia="宋体" w:hAnsi="Times New Roman"/>
                <w:color w:val="000000"/>
                <w:sz w:val="20"/>
                <w:szCs w:val="20"/>
              </w:rPr>
              <w:t>1,551.4 </w:t>
            </w:r>
          </w:p>
        </w:tc>
        <w:tc>
          <w:tcPr>
            <w:tcW w:w="0" w:type="auto"/>
            <w:shd w:val="clear" w:color="auto" w:fill="FFFFFF"/>
            <w:tcMar>
              <w:top w:w="40" w:type="dxa"/>
              <w:left w:w="0" w:type="dxa"/>
              <w:bottom w:w="40" w:type="dxa"/>
              <w:right w:w="20" w:type="dxa"/>
            </w:tcMar>
            <w:vAlign w:val="bottom"/>
          </w:tcPr>
          <w:p w14:paraId="40CB00C9" w14:textId="77777777" w:rsidR="00584FB3" w:rsidRDefault="00584FB3">
            <w:pPr>
              <w:jc w:val="right"/>
              <w:rPr>
                <w:rFonts w:ascii="宋体"/>
              </w:rPr>
            </w:pPr>
          </w:p>
        </w:tc>
      </w:tr>
      <w:tr w:rsidR="00584FB3" w14:paraId="40CB00D1" w14:textId="77777777">
        <w:tc>
          <w:tcPr>
            <w:tcW w:w="0" w:type="auto"/>
            <w:gridSpan w:val="3"/>
            <w:shd w:val="clear" w:color="auto" w:fill="D7E4BC"/>
            <w:tcMar>
              <w:top w:w="40" w:type="dxa"/>
              <w:left w:w="380" w:type="dxa"/>
              <w:bottom w:w="40" w:type="dxa"/>
              <w:right w:w="20" w:type="dxa"/>
            </w:tcMar>
          </w:tcPr>
          <w:p w14:paraId="40CB00CB" w14:textId="77777777" w:rsidR="00584FB3" w:rsidRDefault="00786180">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40CB00CC" w14:textId="77777777" w:rsidR="00584FB3" w:rsidRDefault="00786180">
            <w:pPr>
              <w:jc w:val="right"/>
              <w:textAlignment w:val="bottom"/>
            </w:pPr>
            <w:r>
              <w:rPr>
                <w:rFonts w:ascii="Times New Roman" w:eastAsia="宋体" w:hAnsi="Times New Roman"/>
                <w:color w:val="000000"/>
                <w:sz w:val="20"/>
                <w:szCs w:val="20"/>
              </w:rPr>
              <w:t>734.4 </w:t>
            </w:r>
          </w:p>
        </w:tc>
        <w:tc>
          <w:tcPr>
            <w:tcW w:w="0" w:type="auto"/>
            <w:shd w:val="clear" w:color="auto" w:fill="D7E4BC"/>
            <w:tcMar>
              <w:top w:w="40" w:type="dxa"/>
              <w:left w:w="0" w:type="dxa"/>
              <w:bottom w:w="40" w:type="dxa"/>
              <w:right w:w="20" w:type="dxa"/>
            </w:tcMar>
            <w:vAlign w:val="bottom"/>
          </w:tcPr>
          <w:p w14:paraId="40CB00C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0C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0CF" w14:textId="77777777" w:rsidR="00584FB3" w:rsidRDefault="00786180">
            <w:pPr>
              <w:jc w:val="right"/>
              <w:textAlignment w:val="bottom"/>
            </w:pPr>
            <w:r>
              <w:rPr>
                <w:rFonts w:ascii="Times New Roman" w:eastAsia="宋体" w:hAnsi="Times New Roman"/>
                <w:color w:val="000000"/>
                <w:sz w:val="20"/>
                <w:szCs w:val="20"/>
              </w:rPr>
              <w:t>739.5 </w:t>
            </w:r>
          </w:p>
        </w:tc>
        <w:tc>
          <w:tcPr>
            <w:tcW w:w="0" w:type="auto"/>
            <w:shd w:val="clear" w:color="auto" w:fill="D7E4BC"/>
            <w:tcMar>
              <w:top w:w="40" w:type="dxa"/>
              <w:left w:w="0" w:type="dxa"/>
              <w:bottom w:w="40" w:type="dxa"/>
              <w:right w:w="20" w:type="dxa"/>
            </w:tcMar>
            <w:vAlign w:val="bottom"/>
          </w:tcPr>
          <w:p w14:paraId="40CB00D0" w14:textId="77777777" w:rsidR="00584FB3" w:rsidRDefault="00584FB3">
            <w:pPr>
              <w:jc w:val="right"/>
              <w:rPr>
                <w:rFonts w:ascii="宋体"/>
              </w:rPr>
            </w:pPr>
          </w:p>
        </w:tc>
      </w:tr>
      <w:tr w:rsidR="00584FB3" w14:paraId="40CB00D8" w14:textId="77777777">
        <w:tc>
          <w:tcPr>
            <w:tcW w:w="0" w:type="auto"/>
            <w:gridSpan w:val="3"/>
            <w:shd w:val="clear" w:color="auto" w:fill="FFFFFF"/>
            <w:tcMar>
              <w:top w:w="40" w:type="dxa"/>
              <w:left w:w="740" w:type="dxa"/>
              <w:bottom w:w="40" w:type="dxa"/>
              <w:right w:w="20" w:type="dxa"/>
            </w:tcMar>
          </w:tcPr>
          <w:p w14:paraId="40CB00D2" w14:textId="77777777" w:rsidR="00584FB3" w:rsidRDefault="00786180">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0D3" w14:textId="77777777" w:rsidR="00584FB3" w:rsidRDefault="00786180">
            <w:pPr>
              <w:jc w:val="right"/>
              <w:textAlignment w:val="bottom"/>
            </w:pPr>
            <w:r>
              <w:rPr>
                <w:rFonts w:ascii="Times New Roman" w:eastAsia="宋体" w:hAnsi="Times New Roman"/>
                <w:color w:val="000000"/>
                <w:sz w:val="20"/>
                <w:szCs w:val="20"/>
              </w:rPr>
              <w:t>8,357.5 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0D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0D5"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0D6" w14:textId="77777777" w:rsidR="00584FB3" w:rsidRDefault="00786180">
            <w:pPr>
              <w:jc w:val="right"/>
              <w:textAlignment w:val="bottom"/>
            </w:pPr>
            <w:r>
              <w:rPr>
                <w:rFonts w:ascii="Times New Roman" w:eastAsia="宋体" w:hAnsi="Times New Roman"/>
                <w:color w:val="000000"/>
                <w:sz w:val="20"/>
                <w:szCs w:val="20"/>
              </w:rPr>
              <w:t>7,806.4 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0D7" w14:textId="77777777" w:rsidR="00584FB3" w:rsidRDefault="00584FB3">
            <w:pPr>
              <w:jc w:val="right"/>
              <w:rPr>
                <w:rFonts w:ascii="宋体"/>
              </w:rPr>
            </w:pPr>
          </w:p>
        </w:tc>
      </w:tr>
      <w:tr w:rsidR="00584FB3" w14:paraId="40CB00DF" w14:textId="77777777">
        <w:tc>
          <w:tcPr>
            <w:tcW w:w="0" w:type="auto"/>
            <w:gridSpan w:val="3"/>
            <w:shd w:val="clear" w:color="auto" w:fill="D7E4BC"/>
            <w:tcMar>
              <w:top w:w="40" w:type="dxa"/>
              <w:left w:w="20" w:type="dxa"/>
              <w:bottom w:w="40" w:type="dxa"/>
              <w:right w:w="20" w:type="dxa"/>
            </w:tcMar>
          </w:tcPr>
          <w:p w14:paraId="40CB00D9" w14:textId="77777777" w:rsidR="00584FB3" w:rsidRDefault="00786180">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40CB00DA" w14:textId="77777777" w:rsidR="00584FB3" w:rsidRDefault="00786180">
            <w:pPr>
              <w:jc w:val="right"/>
              <w:textAlignment w:val="bottom"/>
            </w:pPr>
            <w:r>
              <w:rPr>
                <w:rFonts w:ascii="Times New Roman" w:eastAsia="宋体" w:hAnsi="Times New Roman"/>
                <w:color w:val="000000"/>
                <w:sz w:val="20"/>
                <w:szCs w:val="20"/>
              </w:rPr>
              <w:t>190.9 </w:t>
            </w:r>
          </w:p>
        </w:tc>
        <w:tc>
          <w:tcPr>
            <w:tcW w:w="0" w:type="auto"/>
            <w:shd w:val="clear" w:color="auto" w:fill="D7E4BC"/>
            <w:tcMar>
              <w:top w:w="40" w:type="dxa"/>
              <w:left w:w="0" w:type="dxa"/>
              <w:bottom w:w="40" w:type="dxa"/>
              <w:right w:w="20" w:type="dxa"/>
            </w:tcMar>
            <w:vAlign w:val="bottom"/>
          </w:tcPr>
          <w:p w14:paraId="40CB00D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0D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0DD" w14:textId="77777777" w:rsidR="00584FB3" w:rsidRDefault="00786180">
            <w:pPr>
              <w:jc w:val="right"/>
              <w:textAlignment w:val="bottom"/>
            </w:pPr>
            <w:r>
              <w:rPr>
                <w:rFonts w:ascii="Times New Roman" w:eastAsia="宋体" w:hAnsi="Times New Roman"/>
                <w:color w:val="000000"/>
                <w:sz w:val="20"/>
                <w:szCs w:val="20"/>
              </w:rPr>
              <w:t>206.1 </w:t>
            </w:r>
          </w:p>
        </w:tc>
        <w:tc>
          <w:tcPr>
            <w:tcW w:w="0" w:type="auto"/>
            <w:shd w:val="clear" w:color="auto" w:fill="D7E4BC"/>
            <w:tcMar>
              <w:top w:w="40" w:type="dxa"/>
              <w:left w:w="0" w:type="dxa"/>
              <w:bottom w:w="40" w:type="dxa"/>
              <w:right w:w="20" w:type="dxa"/>
            </w:tcMar>
            <w:vAlign w:val="bottom"/>
          </w:tcPr>
          <w:p w14:paraId="40CB00DE" w14:textId="77777777" w:rsidR="00584FB3" w:rsidRDefault="00584FB3">
            <w:pPr>
              <w:jc w:val="right"/>
              <w:rPr>
                <w:rFonts w:ascii="宋体"/>
              </w:rPr>
            </w:pPr>
          </w:p>
        </w:tc>
      </w:tr>
      <w:tr w:rsidR="00584FB3" w14:paraId="40CB00E6" w14:textId="77777777">
        <w:tc>
          <w:tcPr>
            <w:tcW w:w="0" w:type="auto"/>
            <w:gridSpan w:val="3"/>
            <w:shd w:val="clear" w:color="auto" w:fill="FFFFFF"/>
            <w:tcMar>
              <w:top w:w="40" w:type="dxa"/>
              <w:left w:w="20" w:type="dxa"/>
              <w:bottom w:w="40" w:type="dxa"/>
              <w:right w:w="20" w:type="dxa"/>
            </w:tcMar>
          </w:tcPr>
          <w:p w14:paraId="40CB00E0" w14:textId="77777777" w:rsidR="00584FB3" w:rsidRDefault="00786180">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40CB00E1" w14:textId="77777777" w:rsidR="00584FB3" w:rsidRDefault="00786180">
            <w:pPr>
              <w:jc w:val="right"/>
              <w:textAlignment w:val="bottom"/>
            </w:pPr>
            <w:r>
              <w:rPr>
                <w:rFonts w:ascii="Times New Roman" w:eastAsia="宋体" w:hAnsi="Times New Roman"/>
                <w:color w:val="000000"/>
                <w:sz w:val="20"/>
                <w:szCs w:val="20"/>
              </w:rPr>
              <w:t>496.0 </w:t>
            </w:r>
          </w:p>
        </w:tc>
        <w:tc>
          <w:tcPr>
            <w:tcW w:w="0" w:type="auto"/>
            <w:shd w:val="clear" w:color="auto" w:fill="FFFFFF"/>
            <w:tcMar>
              <w:top w:w="40" w:type="dxa"/>
              <w:left w:w="0" w:type="dxa"/>
              <w:bottom w:w="40" w:type="dxa"/>
              <w:right w:w="20" w:type="dxa"/>
            </w:tcMar>
            <w:vAlign w:val="bottom"/>
          </w:tcPr>
          <w:p w14:paraId="40CB00E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0E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0E4" w14:textId="77777777" w:rsidR="00584FB3" w:rsidRDefault="00786180">
            <w:pPr>
              <w:jc w:val="right"/>
              <w:textAlignment w:val="bottom"/>
            </w:pPr>
            <w:r>
              <w:rPr>
                <w:rFonts w:ascii="Times New Roman" w:eastAsia="宋体" w:hAnsi="Times New Roman"/>
                <w:color w:val="000000"/>
                <w:sz w:val="20"/>
                <w:szCs w:val="20"/>
              </w:rPr>
              <w:t>478.7 </w:t>
            </w:r>
          </w:p>
        </w:tc>
        <w:tc>
          <w:tcPr>
            <w:tcW w:w="0" w:type="auto"/>
            <w:shd w:val="clear" w:color="auto" w:fill="FFFFFF"/>
            <w:tcMar>
              <w:top w:w="40" w:type="dxa"/>
              <w:left w:w="0" w:type="dxa"/>
              <w:bottom w:w="40" w:type="dxa"/>
              <w:right w:w="20" w:type="dxa"/>
            </w:tcMar>
            <w:vAlign w:val="bottom"/>
          </w:tcPr>
          <w:p w14:paraId="40CB00E5" w14:textId="77777777" w:rsidR="00584FB3" w:rsidRDefault="00584FB3">
            <w:pPr>
              <w:jc w:val="right"/>
              <w:rPr>
                <w:rFonts w:ascii="宋体"/>
              </w:rPr>
            </w:pPr>
          </w:p>
        </w:tc>
      </w:tr>
      <w:tr w:rsidR="00584FB3" w14:paraId="40CB00ED" w14:textId="77777777">
        <w:tc>
          <w:tcPr>
            <w:tcW w:w="0" w:type="auto"/>
            <w:gridSpan w:val="3"/>
            <w:shd w:val="clear" w:color="auto" w:fill="D7E4BC"/>
            <w:tcMar>
              <w:top w:w="40" w:type="dxa"/>
              <w:left w:w="20" w:type="dxa"/>
              <w:bottom w:w="40" w:type="dxa"/>
              <w:right w:w="20" w:type="dxa"/>
            </w:tcMar>
          </w:tcPr>
          <w:p w14:paraId="40CB00E7" w14:textId="77777777" w:rsidR="00584FB3" w:rsidRDefault="00786180">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40CB00E8" w14:textId="77777777" w:rsidR="00584FB3" w:rsidRDefault="00786180">
            <w:pPr>
              <w:jc w:val="right"/>
              <w:textAlignment w:val="bottom"/>
            </w:pPr>
            <w:r>
              <w:rPr>
                <w:rFonts w:ascii="Times New Roman" w:eastAsia="宋体" w:hAnsi="Times New Roman"/>
                <w:color w:val="000000"/>
                <w:sz w:val="20"/>
                <w:szCs w:val="20"/>
              </w:rPr>
              <w:t>6,177.9 </w:t>
            </w:r>
          </w:p>
        </w:tc>
        <w:tc>
          <w:tcPr>
            <w:tcW w:w="0" w:type="auto"/>
            <w:shd w:val="clear" w:color="auto" w:fill="D7E4BC"/>
            <w:tcMar>
              <w:top w:w="40" w:type="dxa"/>
              <w:left w:w="0" w:type="dxa"/>
              <w:bottom w:w="40" w:type="dxa"/>
              <w:right w:w="20" w:type="dxa"/>
            </w:tcMar>
            <w:vAlign w:val="bottom"/>
          </w:tcPr>
          <w:p w14:paraId="40CB00E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0E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0EB" w14:textId="77777777" w:rsidR="00584FB3" w:rsidRDefault="00786180">
            <w:pPr>
              <w:jc w:val="right"/>
              <w:textAlignment w:val="bottom"/>
            </w:pPr>
            <w:r>
              <w:rPr>
                <w:rFonts w:ascii="Times New Roman" w:eastAsia="宋体" w:hAnsi="Times New Roman"/>
                <w:color w:val="000000"/>
                <w:sz w:val="20"/>
                <w:szCs w:val="20"/>
              </w:rPr>
              <w:t>6,241.4 </w:t>
            </w:r>
          </w:p>
        </w:tc>
        <w:tc>
          <w:tcPr>
            <w:tcW w:w="0" w:type="auto"/>
            <w:shd w:val="clear" w:color="auto" w:fill="D7E4BC"/>
            <w:tcMar>
              <w:top w:w="40" w:type="dxa"/>
              <w:left w:w="0" w:type="dxa"/>
              <w:bottom w:w="40" w:type="dxa"/>
              <w:right w:w="20" w:type="dxa"/>
            </w:tcMar>
            <w:vAlign w:val="bottom"/>
          </w:tcPr>
          <w:p w14:paraId="40CB00EC" w14:textId="77777777" w:rsidR="00584FB3" w:rsidRDefault="00584FB3">
            <w:pPr>
              <w:jc w:val="right"/>
              <w:rPr>
                <w:rFonts w:ascii="宋体"/>
              </w:rPr>
            </w:pPr>
          </w:p>
        </w:tc>
      </w:tr>
      <w:tr w:rsidR="00584FB3" w14:paraId="40CB00F4" w14:textId="77777777">
        <w:tc>
          <w:tcPr>
            <w:tcW w:w="0" w:type="auto"/>
            <w:gridSpan w:val="3"/>
            <w:shd w:val="clear" w:color="auto" w:fill="FFFFFF"/>
            <w:tcMar>
              <w:top w:w="40" w:type="dxa"/>
              <w:left w:w="20" w:type="dxa"/>
              <w:bottom w:w="40" w:type="dxa"/>
              <w:right w:w="20" w:type="dxa"/>
            </w:tcMar>
          </w:tcPr>
          <w:p w14:paraId="40CB00EE" w14:textId="77777777" w:rsidR="00584FB3" w:rsidRDefault="00786180">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40CB00EF" w14:textId="77777777" w:rsidR="00584FB3" w:rsidRDefault="00786180">
            <w:pPr>
              <w:jc w:val="right"/>
              <w:textAlignment w:val="bottom"/>
            </w:pPr>
            <w:r>
              <w:rPr>
                <w:rFonts w:ascii="Times New Roman" w:eastAsia="宋体" w:hAnsi="Times New Roman"/>
                <w:color w:val="000000"/>
                <w:sz w:val="20"/>
                <w:szCs w:val="20"/>
              </w:rPr>
              <w:t>8,199.4 </w:t>
            </w:r>
          </w:p>
        </w:tc>
        <w:tc>
          <w:tcPr>
            <w:tcW w:w="0" w:type="auto"/>
            <w:shd w:val="clear" w:color="auto" w:fill="FFFFFF"/>
            <w:tcMar>
              <w:top w:w="40" w:type="dxa"/>
              <w:left w:w="0" w:type="dxa"/>
              <w:bottom w:w="40" w:type="dxa"/>
              <w:right w:w="20" w:type="dxa"/>
            </w:tcMar>
            <w:vAlign w:val="bottom"/>
          </w:tcPr>
          <w:p w14:paraId="40CB00F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0F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0F2" w14:textId="77777777" w:rsidR="00584FB3" w:rsidRDefault="00786180">
            <w:pPr>
              <w:jc w:val="right"/>
              <w:textAlignment w:val="bottom"/>
            </w:pPr>
            <w:r>
              <w:rPr>
                <w:rFonts w:ascii="Times New Roman" w:eastAsia="宋体" w:hAnsi="Times New Roman"/>
                <w:color w:val="000000"/>
                <w:sz w:val="20"/>
                <w:szCs w:val="20"/>
              </w:rPr>
              <w:t>8,134.1 </w:t>
            </w:r>
          </w:p>
        </w:tc>
        <w:tc>
          <w:tcPr>
            <w:tcW w:w="0" w:type="auto"/>
            <w:shd w:val="clear" w:color="auto" w:fill="FFFFFF"/>
            <w:tcMar>
              <w:top w:w="40" w:type="dxa"/>
              <w:left w:w="0" w:type="dxa"/>
              <w:bottom w:w="40" w:type="dxa"/>
              <w:right w:w="20" w:type="dxa"/>
            </w:tcMar>
            <w:vAlign w:val="bottom"/>
          </w:tcPr>
          <w:p w14:paraId="40CB00F3" w14:textId="77777777" w:rsidR="00584FB3" w:rsidRDefault="00584FB3">
            <w:pPr>
              <w:jc w:val="right"/>
              <w:rPr>
                <w:rFonts w:ascii="宋体"/>
              </w:rPr>
            </w:pPr>
          </w:p>
        </w:tc>
      </w:tr>
      <w:tr w:rsidR="00584FB3" w14:paraId="40CB00FB" w14:textId="77777777">
        <w:tc>
          <w:tcPr>
            <w:tcW w:w="0" w:type="auto"/>
            <w:gridSpan w:val="3"/>
            <w:shd w:val="clear" w:color="auto" w:fill="D7E4BC"/>
            <w:tcMar>
              <w:top w:w="40" w:type="dxa"/>
              <w:left w:w="20" w:type="dxa"/>
              <w:bottom w:w="40" w:type="dxa"/>
              <w:right w:w="20" w:type="dxa"/>
            </w:tcMar>
          </w:tcPr>
          <w:p w14:paraId="40CB00F5" w14:textId="77777777" w:rsidR="00584FB3" w:rsidRDefault="00786180">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40CB00F6" w14:textId="77777777" w:rsidR="00584FB3" w:rsidRDefault="00786180">
            <w:pPr>
              <w:jc w:val="right"/>
              <w:textAlignment w:val="bottom"/>
            </w:pPr>
            <w:r>
              <w:rPr>
                <w:rFonts w:ascii="Times New Roman" w:eastAsia="宋体" w:hAnsi="Times New Roman"/>
                <w:color w:val="000000"/>
                <w:sz w:val="20"/>
                <w:szCs w:val="20"/>
              </w:rPr>
              <w:t>1,792.4 </w:t>
            </w:r>
          </w:p>
        </w:tc>
        <w:tc>
          <w:tcPr>
            <w:tcW w:w="0" w:type="auto"/>
            <w:shd w:val="clear" w:color="auto" w:fill="D7E4BC"/>
            <w:tcMar>
              <w:top w:w="40" w:type="dxa"/>
              <w:left w:w="0" w:type="dxa"/>
              <w:bottom w:w="40" w:type="dxa"/>
              <w:right w:w="20" w:type="dxa"/>
            </w:tcMar>
            <w:vAlign w:val="bottom"/>
          </w:tcPr>
          <w:p w14:paraId="40CB00F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0F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0F9" w14:textId="77777777" w:rsidR="00584FB3" w:rsidRDefault="00786180">
            <w:pPr>
              <w:jc w:val="right"/>
              <w:textAlignment w:val="bottom"/>
            </w:pPr>
            <w:r>
              <w:rPr>
                <w:rFonts w:ascii="Times New Roman" w:eastAsia="宋体" w:hAnsi="Times New Roman"/>
                <w:color w:val="000000"/>
                <w:sz w:val="20"/>
                <w:szCs w:val="20"/>
              </w:rPr>
              <w:t>1,789.9 </w:t>
            </w:r>
          </w:p>
        </w:tc>
        <w:tc>
          <w:tcPr>
            <w:tcW w:w="0" w:type="auto"/>
            <w:shd w:val="clear" w:color="auto" w:fill="D7E4BC"/>
            <w:tcMar>
              <w:top w:w="40" w:type="dxa"/>
              <w:left w:w="0" w:type="dxa"/>
              <w:bottom w:w="40" w:type="dxa"/>
              <w:right w:w="20" w:type="dxa"/>
            </w:tcMar>
            <w:vAlign w:val="bottom"/>
          </w:tcPr>
          <w:p w14:paraId="40CB00FA" w14:textId="77777777" w:rsidR="00584FB3" w:rsidRDefault="00584FB3">
            <w:pPr>
              <w:jc w:val="right"/>
              <w:rPr>
                <w:rFonts w:ascii="宋体"/>
              </w:rPr>
            </w:pPr>
          </w:p>
        </w:tc>
      </w:tr>
      <w:tr w:rsidR="00584FB3" w14:paraId="40CB0102" w14:textId="77777777">
        <w:tc>
          <w:tcPr>
            <w:tcW w:w="0" w:type="auto"/>
            <w:gridSpan w:val="3"/>
            <w:shd w:val="clear" w:color="auto" w:fill="FFFFFF"/>
            <w:tcMar>
              <w:top w:w="40" w:type="dxa"/>
              <w:left w:w="20" w:type="dxa"/>
              <w:bottom w:w="40" w:type="dxa"/>
              <w:right w:w="20" w:type="dxa"/>
            </w:tcMar>
          </w:tcPr>
          <w:p w14:paraId="40CB00FC" w14:textId="77777777" w:rsidR="00584FB3" w:rsidRDefault="00786180">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40CB00FD" w14:textId="77777777" w:rsidR="00584FB3" w:rsidRDefault="00786180">
            <w:pPr>
              <w:jc w:val="right"/>
              <w:textAlignment w:val="bottom"/>
            </w:pPr>
            <w:r>
              <w:rPr>
                <w:rFonts w:ascii="Times New Roman" w:eastAsia="宋体" w:hAnsi="Times New Roman"/>
                <w:color w:val="000000"/>
                <w:sz w:val="20"/>
                <w:szCs w:val="20"/>
              </w:rPr>
              <w:t>541.1 </w:t>
            </w:r>
          </w:p>
        </w:tc>
        <w:tc>
          <w:tcPr>
            <w:tcW w:w="0" w:type="auto"/>
            <w:shd w:val="clear" w:color="auto" w:fill="FFFFFF"/>
            <w:tcMar>
              <w:top w:w="40" w:type="dxa"/>
              <w:left w:w="0" w:type="dxa"/>
              <w:bottom w:w="40" w:type="dxa"/>
              <w:right w:w="20" w:type="dxa"/>
            </w:tcMar>
            <w:vAlign w:val="bottom"/>
          </w:tcPr>
          <w:p w14:paraId="40CB00F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0F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00" w14:textId="77777777" w:rsidR="00584FB3" w:rsidRDefault="00786180">
            <w:pPr>
              <w:jc w:val="right"/>
              <w:textAlignment w:val="bottom"/>
            </w:pPr>
            <w:r>
              <w:rPr>
                <w:rFonts w:ascii="Times New Roman" w:eastAsia="宋体" w:hAnsi="Times New Roman"/>
                <w:color w:val="000000"/>
                <w:sz w:val="20"/>
                <w:szCs w:val="20"/>
              </w:rPr>
              <w:t>568.6 </w:t>
            </w:r>
          </w:p>
        </w:tc>
        <w:tc>
          <w:tcPr>
            <w:tcW w:w="0" w:type="auto"/>
            <w:shd w:val="clear" w:color="auto" w:fill="FFFFFF"/>
            <w:tcMar>
              <w:top w:w="40" w:type="dxa"/>
              <w:left w:w="0" w:type="dxa"/>
              <w:bottom w:w="40" w:type="dxa"/>
              <w:right w:w="20" w:type="dxa"/>
            </w:tcMar>
            <w:vAlign w:val="bottom"/>
          </w:tcPr>
          <w:p w14:paraId="40CB0101" w14:textId="77777777" w:rsidR="00584FB3" w:rsidRDefault="00584FB3">
            <w:pPr>
              <w:jc w:val="right"/>
              <w:rPr>
                <w:rFonts w:ascii="宋体"/>
              </w:rPr>
            </w:pPr>
          </w:p>
        </w:tc>
      </w:tr>
      <w:tr w:rsidR="00584FB3" w14:paraId="40CB0109" w14:textId="77777777">
        <w:tc>
          <w:tcPr>
            <w:tcW w:w="0" w:type="auto"/>
            <w:gridSpan w:val="3"/>
            <w:shd w:val="clear" w:color="auto" w:fill="D7E4BC"/>
            <w:tcMar>
              <w:top w:w="40" w:type="dxa"/>
              <w:left w:w="20" w:type="dxa"/>
              <w:bottom w:w="40" w:type="dxa"/>
              <w:right w:w="20" w:type="dxa"/>
            </w:tcMar>
          </w:tcPr>
          <w:p w14:paraId="40CB0103" w14:textId="77777777" w:rsidR="00584FB3" w:rsidRDefault="00786180">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40CB0104" w14:textId="77777777" w:rsidR="00584FB3" w:rsidRDefault="00786180">
            <w:pPr>
              <w:jc w:val="right"/>
              <w:textAlignment w:val="bottom"/>
            </w:pPr>
            <w:r>
              <w:rPr>
                <w:rFonts w:ascii="Times New Roman" w:eastAsia="宋体" w:hAnsi="Times New Roman"/>
                <w:color w:val="000000"/>
                <w:sz w:val="20"/>
                <w:szCs w:val="20"/>
              </w:rPr>
              <w:t>506.4 </w:t>
            </w:r>
          </w:p>
        </w:tc>
        <w:tc>
          <w:tcPr>
            <w:tcW w:w="0" w:type="auto"/>
            <w:shd w:val="clear" w:color="auto" w:fill="D7E4BC"/>
            <w:tcMar>
              <w:top w:w="40" w:type="dxa"/>
              <w:left w:w="0" w:type="dxa"/>
              <w:bottom w:w="40" w:type="dxa"/>
              <w:right w:w="20" w:type="dxa"/>
            </w:tcMar>
            <w:vAlign w:val="bottom"/>
          </w:tcPr>
          <w:p w14:paraId="40CB010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0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07" w14:textId="77777777" w:rsidR="00584FB3" w:rsidRDefault="00786180">
            <w:pPr>
              <w:jc w:val="right"/>
              <w:textAlignment w:val="bottom"/>
            </w:pPr>
            <w:r>
              <w:rPr>
                <w:rFonts w:ascii="Times New Roman" w:eastAsia="宋体" w:hAnsi="Times New Roman"/>
                <w:color w:val="000000"/>
                <w:sz w:val="20"/>
                <w:szCs w:val="20"/>
              </w:rPr>
              <w:t>552.1 </w:t>
            </w:r>
          </w:p>
        </w:tc>
        <w:tc>
          <w:tcPr>
            <w:tcW w:w="0" w:type="auto"/>
            <w:shd w:val="clear" w:color="auto" w:fill="D7E4BC"/>
            <w:tcMar>
              <w:top w:w="40" w:type="dxa"/>
              <w:left w:w="0" w:type="dxa"/>
              <w:bottom w:w="40" w:type="dxa"/>
              <w:right w:w="20" w:type="dxa"/>
            </w:tcMar>
            <w:vAlign w:val="bottom"/>
          </w:tcPr>
          <w:p w14:paraId="40CB0108" w14:textId="77777777" w:rsidR="00584FB3" w:rsidRDefault="00584FB3">
            <w:pPr>
              <w:jc w:val="right"/>
              <w:rPr>
                <w:rFonts w:ascii="宋体"/>
              </w:rPr>
            </w:pPr>
          </w:p>
        </w:tc>
      </w:tr>
      <w:tr w:rsidR="00584FB3" w14:paraId="40CB0110" w14:textId="77777777">
        <w:tc>
          <w:tcPr>
            <w:tcW w:w="0" w:type="auto"/>
            <w:gridSpan w:val="3"/>
            <w:shd w:val="clear" w:color="auto" w:fill="FFFFFF"/>
            <w:tcMar>
              <w:top w:w="40" w:type="dxa"/>
              <w:left w:w="20" w:type="dxa"/>
              <w:bottom w:w="40" w:type="dxa"/>
              <w:right w:w="20" w:type="dxa"/>
            </w:tcMar>
          </w:tcPr>
          <w:p w14:paraId="40CB010A" w14:textId="77777777" w:rsidR="00584FB3" w:rsidRDefault="00786180">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40CB010B" w14:textId="77777777" w:rsidR="00584FB3" w:rsidRDefault="00786180">
            <w:pPr>
              <w:jc w:val="right"/>
              <w:textAlignment w:val="bottom"/>
            </w:pPr>
            <w:r>
              <w:rPr>
                <w:rFonts w:ascii="Times New Roman" w:eastAsia="宋体" w:hAnsi="Times New Roman"/>
                <w:color w:val="000000"/>
                <w:sz w:val="20"/>
                <w:szCs w:val="20"/>
              </w:rPr>
              <w:t>3,706.8 </w:t>
            </w:r>
          </w:p>
        </w:tc>
        <w:tc>
          <w:tcPr>
            <w:tcW w:w="0" w:type="auto"/>
            <w:shd w:val="clear" w:color="auto" w:fill="FFFFFF"/>
            <w:tcMar>
              <w:top w:w="40" w:type="dxa"/>
              <w:left w:w="0" w:type="dxa"/>
              <w:bottom w:w="40" w:type="dxa"/>
              <w:right w:w="20" w:type="dxa"/>
            </w:tcMar>
            <w:vAlign w:val="bottom"/>
          </w:tcPr>
          <w:p w14:paraId="40CB010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0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0E" w14:textId="77777777" w:rsidR="00584FB3" w:rsidRDefault="00786180">
            <w:pPr>
              <w:jc w:val="right"/>
              <w:textAlignment w:val="bottom"/>
            </w:pPr>
            <w:r>
              <w:rPr>
                <w:rFonts w:ascii="Times New Roman" w:eastAsia="宋体" w:hAnsi="Times New Roman"/>
                <w:color w:val="000000"/>
                <w:sz w:val="20"/>
                <w:szCs w:val="20"/>
              </w:rPr>
              <w:t>3,597.2 </w:t>
            </w:r>
          </w:p>
        </w:tc>
        <w:tc>
          <w:tcPr>
            <w:tcW w:w="0" w:type="auto"/>
            <w:shd w:val="clear" w:color="auto" w:fill="FFFFFF"/>
            <w:tcMar>
              <w:top w:w="40" w:type="dxa"/>
              <w:left w:w="0" w:type="dxa"/>
              <w:bottom w:w="40" w:type="dxa"/>
              <w:right w:w="20" w:type="dxa"/>
            </w:tcMar>
            <w:vAlign w:val="bottom"/>
          </w:tcPr>
          <w:p w14:paraId="40CB010F" w14:textId="77777777" w:rsidR="00584FB3" w:rsidRDefault="00584FB3">
            <w:pPr>
              <w:jc w:val="right"/>
              <w:rPr>
                <w:rFonts w:ascii="宋体"/>
              </w:rPr>
            </w:pPr>
          </w:p>
        </w:tc>
      </w:tr>
      <w:tr w:rsidR="00584FB3" w14:paraId="40CB0119" w14:textId="77777777">
        <w:tc>
          <w:tcPr>
            <w:tcW w:w="0" w:type="auto"/>
            <w:gridSpan w:val="3"/>
            <w:shd w:val="clear" w:color="auto" w:fill="D7E4BC"/>
            <w:tcMar>
              <w:top w:w="40" w:type="dxa"/>
              <w:left w:w="20" w:type="dxa"/>
              <w:bottom w:w="40" w:type="dxa"/>
              <w:right w:w="20" w:type="dxa"/>
            </w:tcMar>
          </w:tcPr>
          <w:p w14:paraId="40CB0111" w14:textId="77777777" w:rsidR="00584FB3" w:rsidRDefault="00786180">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011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113" w14:textId="77777777" w:rsidR="00584FB3" w:rsidRDefault="00786180">
            <w:pPr>
              <w:jc w:val="right"/>
              <w:textAlignment w:val="bottom"/>
            </w:pPr>
            <w:r>
              <w:rPr>
                <w:rFonts w:ascii="Times New Roman" w:eastAsia="宋体" w:hAnsi="Times New Roman"/>
                <w:color w:val="000000"/>
                <w:sz w:val="20"/>
                <w:szCs w:val="20"/>
              </w:rPr>
              <w:t>29,968.4 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1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15"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11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117" w14:textId="77777777" w:rsidR="00584FB3" w:rsidRDefault="00786180">
            <w:pPr>
              <w:jc w:val="right"/>
              <w:textAlignment w:val="bottom"/>
            </w:pPr>
            <w:r>
              <w:rPr>
                <w:rFonts w:ascii="Times New Roman" w:eastAsia="宋体" w:hAnsi="Times New Roman"/>
                <w:color w:val="000000"/>
                <w:sz w:val="20"/>
                <w:szCs w:val="20"/>
              </w:rPr>
              <w:t>29,374.5 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18" w14:textId="77777777" w:rsidR="00584FB3" w:rsidRDefault="00584FB3">
            <w:pPr>
              <w:jc w:val="right"/>
              <w:rPr>
                <w:rFonts w:ascii="宋体"/>
              </w:rPr>
            </w:pPr>
          </w:p>
        </w:tc>
      </w:tr>
      <w:tr w:rsidR="00584FB3" w14:paraId="40CB011E" w14:textId="77777777">
        <w:tc>
          <w:tcPr>
            <w:tcW w:w="0" w:type="auto"/>
            <w:gridSpan w:val="3"/>
            <w:shd w:val="clear" w:color="auto" w:fill="FFFFFF"/>
            <w:tcMar>
              <w:top w:w="40" w:type="dxa"/>
              <w:left w:w="20" w:type="dxa"/>
              <w:bottom w:w="40" w:type="dxa"/>
              <w:right w:w="20" w:type="dxa"/>
            </w:tcMar>
          </w:tcPr>
          <w:p w14:paraId="40CB011A" w14:textId="77777777" w:rsidR="00584FB3" w:rsidRDefault="00786180">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tcPr>
          <w:p w14:paraId="40CB011B"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11C"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11D" w14:textId="77777777" w:rsidR="00584FB3" w:rsidRDefault="00584FB3">
            <w:pPr>
              <w:rPr>
                <w:rFonts w:ascii="宋体"/>
              </w:rPr>
            </w:pPr>
          </w:p>
        </w:tc>
      </w:tr>
      <w:tr w:rsidR="00584FB3" w14:paraId="40CB0123" w14:textId="77777777">
        <w:tc>
          <w:tcPr>
            <w:tcW w:w="0" w:type="auto"/>
            <w:gridSpan w:val="3"/>
            <w:shd w:val="clear" w:color="auto" w:fill="D7E4BC"/>
            <w:tcMar>
              <w:top w:w="40" w:type="dxa"/>
              <w:left w:w="20" w:type="dxa"/>
              <w:bottom w:w="40" w:type="dxa"/>
              <w:right w:w="20" w:type="dxa"/>
            </w:tcMar>
          </w:tcPr>
          <w:p w14:paraId="40CB011F" w14:textId="77777777" w:rsidR="00584FB3" w:rsidRDefault="00786180">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top w:w="0" w:type="dxa"/>
              <w:left w:w="20" w:type="dxa"/>
              <w:bottom w:w="0" w:type="dxa"/>
              <w:right w:w="20" w:type="dxa"/>
            </w:tcMar>
          </w:tcPr>
          <w:p w14:paraId="40CB012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12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122" w14:textId="77777777" w:rsidR="00584FB3" w:rsidRDefault="00584FB3">
            <w:pPr>
              <w:rPr>
                <w:rFonts w:ascii="宋体"/>
              </w:rPr>
            </w:pPr>
          </w:p>
        </w:tc>
      </w:tr>
      <w:tr w:rsidR="00584FB3" w14:paraId="40CB012C" w14:textId="77777777">
        <w:tc>
          <w:tcPr>
            <w:tcW w:w="0" w:type="auto"/>
            <w:gridSpan w:val="3"/>
            <w:shd w:val="clear" w:color="auto" w:fill="FFFFFF"/>
            <w:tcMar>
              <w:top w:w="40" w:type="dxa"/>
              <w:left w:w="380" w:type="dxa"/>
              <w:bottom w:w="40" w:type="dxa"/>
              <w:right w:w="20" w:type="dxa"/>
            </w:tcMar>
          </w:tcPr>
          <w:p w14:paraId="40CB0124" w14:textId="77777777" w:rsidR="00584FB3" w:rsidRDefault="00786180">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40CB012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126" w14:textId="77777777" w:rsidR="00584FB3" w:rsidRDefault="00786180">
            <w:pPr>
              <w:jc w:val="right"/>
              <w:textAlignment w:val="bottom"/>
            </w:pPr>
            <w:r>
              <w:rPr>
                <w:rFonts w:ascii="Times New Roman" w:eastAsia="宋体" w:hAnsi="Times New Roman"/>
                <w:color w:val="000000"/>
                <w:sz w:val="20"/>
                <w:szCs w:val="20"/>
              </w:rPr>
              <w:t>1,050.6 </w:t>
            </w:r>
          </w:p>
        </w:tc>
        <w:tc>
          <w:tcPr>
            <w:tcW w:w="0" w:type="auto"/>
            <w:shd w:val="clear" w:color="auto" w:fill="FFFFFF"/>
            <w:tcMar>
              <w:top w:w="40" w:type="dxa"/>
              <w:left w:w="0" w:type="dxa"/>
              <w:bottom w:w="40" w:type="dxa"/>
              <w:right w:w="20" w:type="dxa"/>
            </w:tcMar>
            <w:vAlign w:val="bottom"/>
          </w:tcPr>
          <w:p w14:paraId="40CB012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28"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129"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12A" w14:textId="77777777" w:rsidR="00584FB3" w:rsidRDefault="00786180">
            <w:pPr>
              <w:jc w:val="right"/>
              <w:textAlignment w:val="bottom"/>
            </w:pPr>
            <w:r>
              <w:rPr>
                <w:rFonts w:ascii="Times New Roman" w:eastAsia="宋体" w:hAnsi="Times New Roman"/>
                <w:color w:val="000000"/>
                <w:sz w:val="20"/>
                <w:szCs w:val="20"/>
              </w:rPr>
              <w:t>997.9 </w:t>
            </w:r>
          </w:p>
        </w:tc>
        <w:tc>
          <w:tcPr>
            <w:tcW w:w="0" w:type="auto"/>
            <w:shd w:val="clear" w:color="auto" w:fill="FFFFFF"/>
            <w:tcMar>
              <w:top w:w="40" w:type="dxa"/>
              <w:left w:w="0" w:type="dxa"/>
              <w:bottom w:w="40" w:type="dxa"/>
              <w:right w:w="20" w:type="dxa"/>
            </w:tcMar>
            <w:vAlign w:val="bottom"/>
          </w:tcPr>
          <w:p w14:paraId="40CB012B" w14:textId="77777777" w:rsidR="00584FB3" w:rsidRDefault="00584FB3">
            <w:pPr>
              <w:jc w:val="right"/>
              <w:rPr>
                <w:rFonts w:ascii="宋体"/>
              </w:rPr>
            </w:pPr>
          </w:p>
        </w:tc>
      </w:tr>
      <w:tr w:rsidR="00584FB3" w14:paraId="40CB0133" w14:textId="77777777">
        <w:tc>
          <w:tcPr>
            <w:tcW w:w="0" w:type="auto"/>
            <w:gridSpan w:val="3"/>
            <w:shd w:val="clear" w:color="auto" w:fill="D7E4BC"/>
            <w:tcMar>
              <w:top w:w="40" w:type="dxa"/>
              <w:left w:w="380" w:type="dxa"/>
              <w:bottom w:w="40" w:type="dxa"/>
              <w:right w:w="20" w:type="dxa"/>
            </w:tcMar>
          </w:tcPr>
          <w:p w14:paraId="40CB012D" w14:textId="77777777" w:rsidR="00584FB3" w:rsidRDefault="00786180">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40CB012E" w14:textId="77777777" w:rsidR="00584FB3" w:rsidRDefault="00786180">
            <w:pPr>
              <w:jc w:val="right"/>
              <w:textAlignment w:val="bottom"/>
            </w:pPr>
            <w:r>
              <w:rPr>
                <w:rFonts w:ascii="Times New Roman" w:eastAsia="宋体" w:hAnsi="Times New Roman"/>
                <w:color w:val="000000"/>
                <w:sz w:val="20"/>
                <w:szCs w:val="20"/>
              </w:rPr>
              <w:t>1,616.9 </w:t>
            </w:r>
          </w:p>
        </w:tc>
        <w:tc>
          <w:tcPr>
            <w:tcW w:w="0" w:type="auto"/>
            <w:shd w:val="clear" w:color="auto" w:fill="D7E4BC"/>
            <w:tcMar>
              <w:top w:w="40" w:type="dxa"/>
              <w:left w:w="0" w:type="dxa"/>
              <w:bottom w:w="40" w:type="dxa"/>
              <w:right w:w="20" w:type="dxa"/>
            </w:tcMar>
            <w:vAlign w:val="bottom"/>
          </w:tcPr>
          <w:p w14:paraId="40CB012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3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31" w14:textId="77777777" w:rsidR="00584FB3" w:rsidRDefault="00786180">
            <w:pPr>
              <w:jc w:val="right"/>
              <w:textAlignment w:val="bottom"/>
            </w:pPr>
            <w:r>
              <w:rPr>
                <w:rFonts w:ascii="Times New Roman" w:eastAsia="宋体" w:hAnsi="Times New Roman"/>
                <w:color w:val="000000"/>
                <w:sz w:val="20"/>
                <w:szCs w:val="20"/>
              </w:rPr>
              <w:t>1,160.7 </w:t>
            </w:r>
          </w:p>
        </w:tc>
        <w:tc>
          <w:tcPr>
            <w:tcW w:w="0" w:type="auto"/>
            <w:shd w:val="clear" w:color="auto" w:fill="D7E4BC"/>
            <w:tcMar>
              <w:top w:w="40" w:type="dxa"/>
              <w:left w:w="0" w:type="dxa"/>
              <w:bottom w:w="40" w:type="dxa"/>
              <w:right w:w="20" w:type="dxa"/>
            </w:tcMar>
            <w:vAlign w:val="bottom"/>
          </w:tcPr>
          <w:p w14:paraId="40CB0132" w14:textId="77777777" w:rsidR="00584FB3" w:rsidRDefault="00584FB3">
            <w:pPr>
              <w:jc w:val="right"/>
              <w:rPr>
                <w:rFonts w:ascii="宋体"/>
              </w:rPr>
            </w:pPr>
          </w:p>
        </w:tc>
      </w:tr>
      <w:tr w:rsidR="00584FB3" w14:paraId="40CB013A" w14:textId="77777777">
        <w:tc>
          <w:tcPr>
            <w:tcW w:w="0" w:type="auto"/>
            <w:gridSpan w:val="3"/>
            <w:shd w:val="clear" w:color="auto" w:fill="FFFFFF"/>
            <w:tcMar>
              <w:top w:w="40" w:type="dxa"/>
              <w:left w:w="380" w:type="dxa"/>
              <w:bottom w:w="40" w:type="dxa"/>
              <w:right w:w="20" w:type="dxa"/>
            </w:tcMar>
          </w:tcPr>
          <w:p w14:paraId="40CB0134" w14:textId="77777777" w:rsidR="00584FB3" w:rsidRDefault="00786180">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40CB0135" w14:textId="77777777" w:rsidR="00584FB3" w:rsidRDefault="00786180">
            <w:pPr>
              <w:jc w:val="right"/>
              <w:textAlignment w:val="bottom"/>
            </w:pPr>
            <w:r>
              <w:rPr>
                <w:rFonts w:ascii="Times New Roman" w:eastAsia="宋体" w:hAnsi="Times New Roman"/>
                <w:color w:val="000000"/>
                <w:sz w:val="20"/>
                <w:szCs w:val="20"/>
              </w:rPr>
              <w:t>685.3 </w:t>
            </w:r>
          </w:p>
        </w:tc>
        <w:tc>
          <w:tcPr>
            <w:tcW w:w="0" w:type="auto"/>
            <w:shd w:val="clear" w:color="auto" w:fill="FFFFFF"/>
            <w:tcMar>
              <w:top w:w="40" w:type="dxa"/>
              <w:left w:w="0" w:type="dxa"/>
              <w:bottom w:w="40" w:type="dxa"/>
              <w:right w:w="20" w:type="dxa"/>
            </w:tcMar>
            <w:vAlign w:val="bottom"/>
          </w:tcPr>
          <w:p w14:paraId="40CB013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3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38" w14:textId="77777777" w:rsidR="00584FB3" w:rsidRDefault="00786180">
            <w:pPr>
              <w:jc w:val="right"/>
              <w:textAlignment w:val="bottom"/>
            </w:pPr>
            <w:r>
              <w:rPr>
                <w:rFonts w:ascii="Times New Roman" w:eastAsia="宋体" w:hAnsi="Times New Roman"/>
                <w:color w:val="000000"/>
                <w:sz w:val="20"/>
                <w:szCs w:val="20"/>
              </w:rPr>
              <w:t>696.0 </w:t>
            </w:r>
          </w:p>
        </w:tc>
        <w:tc>
          <w:tcPr>
            <w:tcW w:w="0" w:type="auto"/>
            <w:shd w:val="clear" w:color="auto" w:fill="FFFFFF"/>
            <w:tcMar>
              <w:top w:w="40" w:type="dxa"/>
              <w:left w:w="0" w:type="dxa"/>
              <w:bottom w:w="40" w:type="dxa"/>
              <w:right w:w="20" w:type="dxa"/>
            </w:tcMar>
            <w:vAlign w:val="bottom"/>
          </w:tcPr>
          <w:p w14:paraId="40CB0139" w14:textId="77777777" w:rsidR="00584FB3" w:rsidRDefault="00584FB3">
            <w:pPr>
              <w:jc w:val="right"/>
              <w:rPr>
                <w:rFonts w:ascii="宋体"/>
              </w:rPr>
            </w:pPr>
          </w:p>
        </w:tc>
      </w:tr>
      <w:tr w:rsidR="00584FB3" w14:paraId="40CB0141" w14:textId="77777777">
        <w:tc>
          <w:tcPr>
            <w:tcW w:w="0" w:type="auto"/>
            <w:gridSpan w:val="3"/>
            <w:shd w:val="clear" w:color="auto" w:fill="D7E4BC"/>
            <w:tcMar>
              <w:top w:w="40" w:type="dxa"/>
              <w:left w:w="380" w:type="dxa"/>
              <w:bottom w:w="40" w:type="dxa"/>
              <w:right w:w="20" w:type="dxa"/>
            </w:tcMar>
          </w:tcPr>
          <w:p w14:paraId="40CB013B" w14:textId="77777777" w:rsidR="00584FB3" w:rsidRDefault="00786180">
            <w:pPr>
              <w:textAlignment w:val="top"/>
            </w:pPr>
            <w:r>
              <w:rPr>
                <w:rFonts w:ascii="Times New Roman" w:eastAsia="宋体" w:hAnsi="Times New Roman"/>
                <w:color w:val="000000"/>
                <w:sz w:val="20"/>
                <w:szCs w:val="20"/>
              </w:rPr>
              <w:t xml:space="preserve">Income taxes payable </w:t>
            </w:r>
          </w:p>
        </w:tc>
        <w:tc>
          <w:tcPr>
            <w:tcW w:w="0" w:type="auto"/>
            <w:gridSpan w:val="2"/>
            <w:shd w:val="clear" w:color="auto" w:fill="D7E4BC"/>
            <w:tcMar>
              <w:top w:w="40" w:type="dxa"/>
              <w:left w:w="20" w:type="dxa"/>
              <w:bottom w:w="40" w:type="dxa"/>
              <w:right w:w="0" w:type="dxa"/>
            </w:tcMar>
            <w:vAlign w:val="bottom"/>
          </w:tcPr>
          <w:p w14:paraId="40CB013C" w14:textId="77777777" w:rsidR="00584FB3" w:rsidRDefault="00786180">
            <w:pPr>
              <w:jc w:val="right"/>
              <w:textAlignment w:val="bottom"/>
            </w:pPr>
            <w:r>
              <w:rPr>
                <w:rFonts w:ascii="Times New Roman" w:eastAsia="宋体" w:hAnsi="Times New Roman"/>
                <w:color w:val="000000"/>
                <w:sz w:val="20"/>
                <w:szCs w:val="20"/>
              </w:rPr>
              <w:t>149.7 </w:t>
            </w:r>
          </w:p>
        </w:tc>
        <w:tc>
          <w:tcPr>
            <w:tcW w:w="0" w:type="auto"/>
            <w:shd w:val="clear" w:color="auto" w:fill="D7E4BC"/>
            <w:tcMar>
              <w:top w:w="40" w:type="dxa"/>
              <w:left w:w="0" w:type="dxa"/>
              <w:bottom w:w="40" w:type="dxa"/>
              <w:right w:w="20" w:type="dxa"/>
            </w:tcMar>
            <w:vAlign w:val="bottom"/>
          </w:tcPr>
          <w:p w14:paraId="40CB013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3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3F" w14:textId="77777777" w:rsidR="00584FB3" w:rsidRDefault="00786180">
            <w:pPr>
              <w:jc w:val="right"/>
              <w:textAlignment w:val="bottom"/>
            </w:pPr>
            <w:r>
              <w:rPr>
                <w:rFonts w:ascii="Times New Roman" w:eastAsia="宋体" w:hAnsi="Times New Roman"/>
                <w:color w:val="000000"/>
                <w:sz w:val="20"/>
                <w:szCs w:val="20"/>
              </w:rPr>
              <w:t>98.2 </w:t>
            </w:r>
          </w:p>
        </w:tc>
        <w:tc>
          <w:tcPr>
            <w:tcW w:w="0" w:type="auto"/>
            <w:shd w:val="clear" w:color="auto" w:fill="D7E4BC"/>
            <w:tcMar>
              <w:top w:w="40" w:type="dxa"/>
              <w:left w:w="0" w:type="dxa"/>
              <w:bottom w:w="40" w:type="dxa"/>
              <w:right w:w="20" w:type="dxa"/>
            </w:tcMar>
            <w:vAlign w:val="bottom"/>
          </w:tcPr>
          <w:p w14:paraId="40CB0140" w14:textId="77777777" w:rsidR="00584FB3" w:rsidRDefault="00584FB3">
            <w:pPr>
              <w:jc w:val="right"/>
              <w:rPr>
                <w:rFonts w:ascii="宋体"/>
              </w:rPr>
            </w:pPr>
          </w:p>
        </w:tc>
      </w:tr>
      <w:tr w:rsidR="00584FB3" w14:paraId="40CB0148" w14:textId="77777777">
        <w:tc>
          <w:tcPr>
            <w:tcW w:w="0" w:type="auto"/>
            <w:gridSpan w:val="3"/>
            <w:shd w:val="clear" w:color="auto" w:fill="FFFFFF"/>
            <w:tcMar>
              <w:top w:w="40" w:type="dxa"/>
              <w:left w:w="380" w:type="dxa"/>
              <w:bottom w:w="40" w:type="dxa"/>
              <w:right w:w="20" w:type="dxa"/>
            </w:tcMar>
          </w:tcPr>
          <w:p w14:paraId="40CB0142" w14:textId="77777777" w:rsidR="00584FB3" w:rsidRDefault="00786180">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40CB0143" w14:textId="77777777" w:rsidR="00584FB3" w:rsidRDefault="00786180">
            <w:pPr>
              <w:jc w:val="right"/>
              <w:textAlignment w:val="bottom"/>
            </w:pPr>
            <w:r>
              <w:rPr>
                <w:rFonts w:ascii="Times New Roman" w:eastAsia="宋体" w:hAnsi="Times New Roman"/>
                <w:color w:val="000000"/>
                <w:sz w:val="20"/>
                <w:szCs w:val="20"/>
              </w:rPr>
              <w:t>1,267.6 </w:t>
            </w:r>
          </w:p>
        </w:tc>
        <w:tc>
          <w:tcPr>
            <w:tcW w:w="0" w:type="auto"/>
            <w:shd w:val="clear" w:color="auto" w:fill="FFFFFF"/>
            <w:tcMar>
              <w:top w:w="40" w:type="dxa"/>
              <w:left w:w="0" w:type="dxa"/>
              <w:bottom w:w="40" w:type="dxa"/>
              <w:right w:w="20" w:type="dxa"/>
            </w:tcMar>
            <w:vAlign w:val="bottom"/>
          </w:tcPr>
          <w:p w14:paraId="40CB014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4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46" w14:textId="77777777" w:rsidR="00584FB3" w:rsidRDefault="00786180">
            <w:pPr>
              <w:jc w:val="right"/>
              <w:textAlignment w:val="bottom"/>
            </w:pPr>
            <w:r>
              <w:rPr>
                <w:rFonts w:ascii="Times New Roman" w:eastAsia="宋体" w:hAnsi="Times New Roman"/>
                <w:color w:val="000000"/>
                <w:sz w:val="20"/>
                <w:szCs w:val="20"/>
              </w:rPr>
              <w:t>1,248.8 </w:t>
            </w:r>
          </w:p>
        </w:tc>
        <w:tc>
          <w:tcPr>
            <w:tcW w:w="0" w:type="auto"/>
            <w:shd w:val="clear" w:color="auto" w:fill="FFFFFF"/>
            <w:tcMar>
              <w:top w:w="40" w:type="dxa"/>
              <w:left w:w="0" w:type="dxa"/>
              <w:bottom w:w="40" w:type="dxa"/>
              <w:right w:w="20" w:type="dxa"/>
            </w:tcMar>
            <w:vAlign w:val="bottom"/>
          </w:tcPr>
          <w:p w14:paraId="40CB0147" w14:textId="77777777" w:rsidR="00584FB3" w:rsidRDefault="00584FB3">
            <w:pPr>
              <w:jc w:val="right"/>
              <w:rPr>
                <w:rFonts w:ascii="宋体"/>
              </w:rPr>
            </w:pPr>
          </w:p>
        </w:tc>
      </w:tr>
      <w:tr w:rsidR="00584FB3" w14:paraId="40CB014F" w14:textId="77777777">
        <w:tc>
          <w:tcPr>
            <w:tcW w:w="0" w:type="auto"/>
            <w:gridSpan w:val="3"/>
            <w:shd w:val="clear" w:color="auto" w:fill="D7E4BC"/>
            <w:tcMar>
              <w:top w:w="40" w:type="dxa"/>
              <w:left w:w="380" w:type="dxa"/>
              <w:bottom w:w="40" w:type="dxa"/>
              <w:right w:w="20" w:type="dxa"/>
            </w:tcMar>
          </w:tcPr>
          <w:p w14:paraId="40CB0149" w14:textId="77777777" w:rsidR="00584FB3" w:rsidRDefault="00786180">
            <w:pPr>
              <w:textAlignment w:val="top"/>
            </w:pPr>
            <w:r>
              <w:rPr>
                <w:rFonts w:ascii="Times New Roman" w:eastAsia="宋体" w:hAnsi="Times New Roman"/>
                <w:color w:val="000000"/>
                <w:sz w:val="20"/>
                <w:szCs w:val="20"/>
              </w:rPr>
              <w:t>Stored value card liability and current portion of deferred revenue</w:t>
            </w:r>
          </w:p>
        </w:tc>
        <w:tc>
          <w:tcPr>
            <w:tcW w:w="0" w:type="auto"/>
            <w:gridSpan w:val="2"/>
            <w:shd w:val="clear" w:color="auto" w:fill="D7E4BC"/>
            <w:tcMar>
              <w:top w:w="40" w:type="dxa"/>
              <w:left w:w="20" w:type="dxa"/>
              <w:bottom w:w="40" w:type="dxa"/>
              <w:right w:w="0" w:type="dxa"/>
            </w:tcMar>
            <w:vAlign w:val="bottom"/>
          </w:tcPr>
          <w:p w14:paraId="40CB014A" w14:textId="77777777" w:rsidR="00584FB3" w:rsidRDefault="00786180">
            <w:pPr>
              <w:jc w:val="right"/>
              <w:textAlignment w:val="bottom"/>
            </w:pPr>
            <w:r>
              <w:rPr>
                <w:rFonts w:ascii="Times New Roman" w:eastAsia="宋体" w:hAnsi="Times New Roman"/>
                <w:color w:val="000000"/>
                <w:sz w:val="20"/>
                <w:szCs w:val="20"/>
              </w:rPr>
              <w:t>1,871.2 </w:t>
            </w:r>
          </w:p>
        </w:tc>
        <w:tc>
          <w:tcPr>
            <w:tcW w:w="0" w:type="auto"/>
            <w:shd w:val="clear" w:color="auto" w:fill="D7E4BC"/>
            <w:tcMar>
              <w:top w:w="40" w:type="dxa"/>
              <w:left w:w="0" w:type="dxa"/>
              <w:bottom w:w="40" w:type="dxa"/>
              <w:right w:w="20" w:type="dxa"/>
            </w:tcMar>
            <w:vAlign w:val="bottom"/>
          </w:tcPr>
          <w:p w14:paraId="40CB014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4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4D" w14:textId="77777777" w:rsidR="00584FB3" w:rsidRDefault="00786180">
            <w:pPr>
              <w:jc w:val="right"/>
              <w:textAlignment w:val="bottom"/>
            </w:pPr>
            <w:r>
              <w:rPr>
                <w:rFonts w:ascii="Times New Roman" w:eastAsia="宋体" w:hAnsi="Times New Roman"/>
                <w:color w:val="000000"/>
                <w:sz w:val="20"/>
                <w:szCs w:val="20"/>
              </w:rPr>
              <w:t>1,456.5 </w:t>
            </w:r>
          </w:p>
        </w:tc>
        <w:tc>
          <w:tcPr>
            <w:tcW w:w="0" w:type="auto"/>
            <w:shd w:val="clear" w:color="auto" w:fill="D7E4BC"/>
            <w:tcMar>
              <w:top w:w="40" w:type="dxa"/>
              <w:left w:w="0" w:type="dxa"/>
              <w:bottom w:w="40" w:type="dxa"/>
              <w:right w:w="20" w:type="dxa"/>
            </w:tcMar>
            <w:vAlign w:val="bottom"/>
          </w:tcPr>
          <w:p w14:paraId="40CB014E" w14:textId="77777777" w:rsidR="00584FB3" w:rsidRDefault="00584FB3">
            <w:pPr>
              <w:jc w:val="right"/>
              <w:rPr>
                <w:rFonts w:ascii="宋体"/>
              </w:rPr>
            </w:pPr>
          </w:p>
        </w:tc>
      </w:tr>
      <w:tr w:rsidR="00584FB3" w14:paraId="40CB0156" w14:textId="77777777">
        <w:tc>
          <w:tcPr>
            <w:tcW w:w="0" w:type="auto"/>
            <w:gridSpan w:val="3"/>
            <w:shd w:val="clear" w:color="auto" w:fill="FFFFFF"/>
            <w:tcMar>
              <w:top w:w="40" w:type="dxa"/>
              <w:left w:w="380" w:type="dxa"/>
              <w:bottom w:w="40" w:type="dxa"/>
              <w:right w:w="20" w:type="dxa"/>
            </w:tcMar>
          </w:tcPr>
          <w:p w14:paraId="40CB0150" w14:textId="77777777" w:rsidR="00584FB3" w:rsidRDefault="00786180">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40CB0151" w14:textId="77777777" w:rsidR="00584FB3" w:rsidRDefault="00786180">
            <w:pPr>
              <w:jc w:val="right"/>
              <w:textAlignment w:val="bottom"/>
            </w:pPr>
            <w:r>
              <w:rPr>
                <w:rFonts w:ascii="Times New Roman" w:eastAsia="宋体" w:hAnsi="Times New Roman"/>
                <w:color w:val="000000"/>
                <w:sz w:val="20"/>
                <w:szCs w:val="20"/>
              </w:rPr>
              <w:t>492.6 </w:t>
            </w:r>
          </w:p>
        </w:tc>
        <w:tc>
          <w:tcPr>
            <w:tcW w:w="0" w:type="auto"/>
            <w:shd w:val="clear" w:color="auto" w:fill="FFFFFF"/>
            <w:tcMar>
              <w:top w:w="40" w:type="dxa"/>
              <w:left w:w="0" w:type="dxa"/>
              <w:bottom w:w="40" w:type="dxa"/>
              <w:right w:w="20" w:type="dxa"/>
            </w:tcMar>
            <w:vAlign w:val="bottom"/>
          </w:tcPr>
          <w:p w14:paraId="40CB015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5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54" w14:textId="77777777" w:rsidR="00584FB3" w:rsidRDefault="00786180">
            <w:pPr>
              <w:jc w:val="right"/>
              <w:textAlignment w:val="bottom"/>
            </w:pPr>
            <w:r>
              <w:rPr>
                <w:rFonts w:ascii="Times New Roman" w:eastAsia="宋体" w:hAnsi="Times New Roman"/>
                <w:color w:val="000000"/>
                <w:sz w:val="20"/>
                <w:szCs w:val="20"/>
              </w:rPr>
              <w:t>438.8 </w:t>
            </w:r>
          </w:p>
        </w:tc>
        <w:tc>
          <w:tcPr>
            <w:tcW w:w="0" w:type="auto"/>
            <w:shd w:val="clear" w:color="auto" w:fill="FFFFFF"/>
            <w:tcMar>
              <w:top w:w="40" w:type="dxa"/>
              <w:left w:w="0" w:type="dxa"/>
              <w:bottom w:w="40" w:type="dxa"/>
              <w:right w:w="20" w:type="dxa"/>
            </w:tcMar>
            <w:vAlign w:val="bottom"/>
          </w:tcPr>
          <w:p w14:paraId="40CB0155" w14:textId="77777777" w:rsidR="00584FB3" w:rsidRDefault="00584FB3">
            <w:pPr>
              <w:jc w:val="right"/>
              <w:rPr>
                <w:rFonts w:ascii="宋体"/>
              </w:rPr>
            </w:pPr>
          </w:p>
        </w:tc>
      </w:tr>
      <w:tr w:rsidR="00584FB3" w14:paraId="40CB015D" w14:textId="77777777">
        <w:tc>
          <w:tcPr>
            <w:tcW w:w="0" w:type="auto"/>
            <w:gridSpan w:val="3"/>
            <w:shd w:val="clear" w:color="auto" w:fill="D7E4BC"/>
            <w:tcMar>
              <w:top w:w="40" w:type="dxa"/>
              <w:left w:w="380" w:type="dxa"/>
              <w:bottom w:w="40" w:type="dxa"/>
              <w:right w:w="20" w:type="dxa"/>
            </w:tcMar>
          </w:tcPr>
          <w:p w14:paraId="40CB0157" w14:textId="77777777" w:rsidR="00584FB3" w:rsidRDefault="00786180">
            <w:pPr>
              <w:textAlignment w:val="top"/>
            </w:pPr>
            <w:r>
              <w:rPr>
                <w:rFonts w:ascii="Times New Roman" w:eastAsia="宋体" w:hAnsi="Times New Roman"/>
                <w:color w:val="000000"/>
                <w:sz w:val="20"/>
                <w:szCs w:val="20"/>
              </w:rPr>
              <w:t xml:space="preserve">Current portion of </w:t>
            </w: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40CB0158" w14:textId="77777777" w:rsidR="00584FB3" w:rsidRDefault="00786180">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40CB015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5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5B" w14:textId="77777777" w:rsidR="00584FB3" w:rsidRDefault="00786180">
            <w:pPr>
              <w:jc w:val="right"/>
              <w:textAlignment w:val="bottom"/>
            </w:pPr>
            <w:r>
              <w:rPr>
                <w:rFonts w:ascii="Times New Roman" w:eastAsia="宋体" w:hAnsi="Times New Roman"/>
                <w:color w:val="000000"/>
                <w:sz w:val="20"/>
                <w:szCs w:val="20"/>
              </w:rPr>
              <w:t>1,249.9 </w:t>
            </w:r>
          </w:p>
        </w:tc>
        <w:tc>
          <w:tcPr>
            <w:tcW w:w="0" w:type="auto"/>
            <w:shd w:val="clear" w:color="auto" w:fill="D7E4BC"/>
            <w:tcMar>
              <w:top w:w="40" w:type="dxa"/>
              <w:left w:w="0" w:type="dxa"/>
              <w:bottom w:w="40" w:type="dxa"/>
              <w:right w:w="20" w:type="dxa"/>
            </w:tcMar>
            <w:vAlign w:val="bottom"/>
          </w:tcPr>
          <w:p w14:paraId="40CB015C" w14:textId="77777777" w:rsidR="00584FB3" w:rsidRDefault="00584FB3">
            <w:pPr>
              <w:jc w:val="right"/>
              <w:rPr>
                <w:rFonts w:ascii="宋体"/>
              </w:rPr>
            </w:pPr>
          </w:p>
        </w:tc>
      </w:tr>
      <w:tr w:rsidR="00584FB3" w14:paraId="40CB0164" w14:textId="77777777">
        <w:tc>
          <w:tcPr>
            <w:tcW w:w="0" w:type="auto"/>
            <w:gridSpan w:val="3"/>
            <w:shd w:val="clear" w:color="auto" w:fill="FFFFFF"/>
            <w:tcMar>
              <w:top w:w="40" w:type="dxa"/>
              <w:left w:w="740" w:type="dxa"/>
              <w:bottom w:w="40" w:type="dxa"/>
              <w:right w:w="20" w:type="dxa"/>
            </w:tcMar>
          </w:tcPr>
          <w:p w14:paraId="40CB015E" w14:textId="77777777" w:rsidR="00584FB3" w:rsidRDefault="00786180">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15F" w14:textId="77777777" w:rsidR="00584FB3" w:rsidRDefault="00786180">
            <w:pPr>
              <w:jc w:val="right"/>
              <w:textAlignment w:val="bottom"/>
            </w:pPr>
            <w:r>
              <w:rPr>
                <w:rFonts w:ascii="Times New Roman" w:eastAsia="宋体" w:hAnsi="Times New Roman"/>
                <w:color w:val="000000"/>
                <w:sz w:val="20"/>
                <w:szCs w:val="20"/>
              </w:rPr>
              <w:t>7,883.9 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16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61"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162" w14:textId="77777777" w:rsidR="00584FB3" w:rsidRDefault="00786180">
            <w:pPr>
              <w:jc w:val="right"/>
              <w:textAlignment w:val="bottom"/>
            </w:pPr>
            <w:r>
              <w:rPr>
                <w:rFonts w:ascii="Times New Roman" w:eastAsia="宋体" w:hAnsi="Times New Roman"/>
                <w:color w:val="000000"/>
                <w:sz w:val="20"/>
                <w:szCs w:val="20"/>
              </w:rPr>
              <w:t>7,346.8 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163" w14:textId="77777777" w:rsidR="00584FB3" w:rsidRDefault="00584FB3">
            <w:pPr>
              <w:jc w:val="right"/>
              <w:rPr>
                <w:rFonts w:ascii="宋体"/>
              </w:rPr>
            </w:pPr>
          </w:p>
        </w:tc>
      </w:tr>
      <w:tr w:rsidR="00584FB3" w14:paraId="40CB016B" w14:textId="77777777">
        <w:tc>
          <w:tcPr>
            <w:tcW w:w="0" w:type="auto"/>
            <w:gridSpan w:val="3"/>
            <w:shd w:val="clear" w:color="auto" w:fill="D7E4BC"/>
            <w:tcMar>
              <w:top w:w="40" w:type="dxa"/>
              <w:left w:w="20" w:type="dxa"/>
              <w:bottom w:w="40" w:type="dxa"/>
              <w:right w:w="20" w:type="dxa"/>
            </w:tcMar>
          </w:tcPr>
          <w:p w14:paraId="40CB0165" w14:textId="77777777" w:rsidR="00584FB3" w:rsidRDefault="00786180">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40CB0166" w14:textId="77777777" w:rsidR="00584FB3" w:rsidRDefault="00786180">
            <w:pPr>
              <w:jc w:val="right"/>
              <w:textAlignment w:val="bottom"/>
            </w:pPr>
            <w:r>
              <w:rPr>
                <w:rFonts w:ascii="Times New Roman" w:eastAsia="宋体" w:hAnsi="Times New Roman"/>
                <w:color w:val="000000"/>
                <w:sz w:val="20"/>
                <w:szCs w:val="20"/>
              </w:rPr>
              <w:t>14,673.5 </w:t>
            </w:r>
          </w:p>
        </w:tc>
        <w:tc>
          <w:tcPr>
            <w:tcW w:w="0" w:type="auto"/>
            <w:shd w:val="clear" w:color="auto" w:fill="D7E4BC"/>
            <w:tcMar>
              <w:top w:w="40" w:type="dxa"/>
              <w:left w:w="0" w:type="dxa"/>
              <w:bottom w:w="40" w:type="dxa"/>
              <w:right w:w="20" w:type="dxa"/>
            </w:tcMar>
            <w:vAlign w:val="bottom"/>
          </w:tcPr>
          <w:p w14:paraId="40CB016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6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69" w14:textId="77777777" w:rsidR="00584FB3" w:rsidRDefault="00786180">
            <w:pPr>
              <w:jc w:val="right"/>
              <w:textAlignment w:val="bottom"/>
            </w:pPr>
            <w:r>
              <w:rPr>
                <w:rFonts w:ascii="Times New Roman" w:eastAsia="宋体" w:hAnsi="Times New Roman"/>
                <w:color w:val="000000"/>
                <w:sz w:val="20"/>
                <w:szCs w:val="20"/>
              </w:rPr>
              <w:t>14,659.6 </w:t>
            </w:r>
          </w:p>
        </w:tc>
        <w:tc>
          <w:tcPr>
            <w:tcW w:w="0" w:type="auto"/>
            <w:shd w:val="clear" w:color="auto" w:fill="D7E4BC"/>
            <w:tcMar>
              <w:top w:w="40" w:type="dxa"/>
              <w:left w:w="0" w:type="dxa"/>
              <w:bottom w:w="40" w:type="dxa"/>
              <w:right w:w="20" w:type="dxa"/>
            </w:tcMar>
            <w:vAlign w:val="bottom"/>
          </w:tcPr>
          <w:p w14:paraId="40CB016A" w14:textId="77777777" w:rsidR="00584FB3" w:rsidRDefault="00584FB3">
            <w:pPr>
              <w:jc w:val="right"/>
              <w:rPr>
                <w:rFonts w:ascii="宋体"/>
              </w:rPr>
            </w:pPr>
          </w:p>
        </w:tc>
      </w:tr>
      <w:tr w:rsidR="00584FB3" w14:paraId="40CB0172" w14:textId="77777777">
        <w:tc>
          <w:tcPr>
            <w:tcW w:w="0" w:type="auto"/>
            <w:gridSpan w:val="3"/>
            <w:shd w:val="clear" w:color="auto" w:fill="FFFFFF"/>
            <w:tcMar>
              <w:top w:w="40" w:type="dxa"/>
              <w:left w:w="20" w:type="dxa"/>
              <w:bottom w:w="40" w:type="dxa"/>
              <w:right w:w="20" w:type="dxa"/>
            </w:tcMar>
          </w:tcPr>
          <w:p w14:paraId="40CB016C" w14:textId="77777777" w:rsidR="00584FB3" w:rsidRDefault="00786180">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40CB016D" w14:textId="77777777" w:rsidR="00584FB3" w:rsidRDefault="00786180">
            <w:pPr>
              <w:jc w:val="right"/>
              <w:textAlignment w:val="bottom"/>
            </w:pPr>
            <w:r>
              <w:rPr>
                <w:rFonts w:ascii="Times New Roman" w:eastAsia="宋体" w:hAnsi="Times New Roman"/>
                <w:color w:val="000000"/>
                <w:sz w:val="20"/>
                <w:szCs w:val="20"/>
              </w:rPr>
              <w:t>7,754.5 </w:t>
            </w:r>
          </w:p>
        </w:tc>
        <w:tc>
          <w:tcPr>
            <w:tcW w:w="0" w:type="auto"/>
            <w:shd w:val="clear" w:color="auto" w:fill="FFFFFF"/>
            <w:tcMar>
              <w:top w:w="40" w:type="dxa"/>
              <w:left w:w="0" w:type="dxa"/>
              <w:bottom w:w="40" w:type="dxa"/>
              <w:right w:w="20" w:type="dxa"/>
            </w:tcMar>
            <w:vAlign w:val="bottom"/>
          </w:tcPr>
          <w:p w14:paraId="40CB016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6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70" w14:textId="77777777" w:rsidR="00584FB3" w:rsidRDefault="00786180">
            <w:pPr>
              <w:jc w:val="right"/>
              <w:textAlignment w:val="bottom"/>
            </w:pPr>
            <w:r>
              <w:rPr>
                <w:rFonts w:ascii="Times New Roman" w:eastAsia="宋体" w:hAnsi="Times New Roman"/>
                <w:color w:val="000000"/>
                <w:sz w:val="20"/>
                <w:szCs w:val="20"/>
              </w:rPr>
              <w:t>7,661.7 </w:t>
            </w:r>
          </w:p>
        </w:tc>
        <w:tc>
          <w:tcPr>
            <w:tcW w:w="0" w:type="auto"/>
            <w:shd w:val="clear" w:color="auto" w:fill="FFFFFF"/>
            <w:tcMar>
              <w:top w:w="40" w:type="dxa"/>
              <w:left w:w="0" w:type="dxa"/>
              <w:bottom w:w="40" w:type="dxa"/>
              <w:right w:w="20" w:type="dxa"/>
            </w:tcMar>
            <w:vAlign w:val="bottom"/>
          </w:tcPr>
          <w:p w14:paraId="40CB0171" w14:textId="77777777" w:rsidR="00584FB3" w:rsidRDefault="00584FB3">
            <w:pPr>
              <w:jc w:val="right"/>
              <w:rPr>
                <w:rFonts w:ascii="宋体"/>
              </w:rPr>
            </w:pPr>
          </w:p>
        </w:tc>
      </w:tr>
      <w:tr w:rsidR="00584FB3" w14:paraId="40CB0179" w14:textId="77777777">
        <w:tc>
          <w:tcPr>
            <w:tcW w:w="0" w:type="auto"/>
            <w:gridSpan w:val="3"/>
            <w:shd w:val="clear" w:color="auto" w:fill="D7E4BC"/>
            <w:tcMar>
              <w:top w:w="40" w:type="dxa"/>
              <w:left w:w="20" w:type="dxa"/>
              <w:bottom w:w="40" w:type="dxa"/>
              <w:right w:w="20" w:type="dxa"/>
            </w:tcMar>
          </w:tcPr>
          <w:p w14:paraId="40CB0173" w14:textId="77777777" w:rsidR="00584FB3" w:rsidRDefault="00786180">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40CB0174" w14:textId="77777777" w:rsidR="00584FB3" w:rsidRDefault="00786180">
            <w:pPr>
              <w:jc w:val="right"/>
              <w:textAlignment w:val="bottom"/>
            </w:pPr>
            <w:r>
              <w:rPr>
                <w:rFonts w:ascii="Times New Roman" w:eastAsia="宋体" w:hAnsi="Times New Roman"/>
                <w:color w:val="000000"/>
                <w:sz w:val="20"/>
                <w:szCs w:val="20"/>
              </w:rPr>
              <w:t>6,597.7 </w:t>
            </w:r>
          </w:p>
        </w:tc>
        <w:tc>
          <w:tcPr>
            <w:tcW w:w="0" w:type="auto"/>
            <w:shd w:val="clear" w:color="auto" w:fill="D7E4BC"/>
            <w:tcMar>
              <w:top w:w="40" w:type="dxa"/>
              <w:left w:w="0" w:type="dxa"/>
              <w:bottom w:w="40" w:type="dxa"/>
              <w:right w:w="20" w:type="dxa"/>
            </w:tcMar>
            <w:vAlign w:val="bottom"/>
          </w:tcPr>
          <w:p w14:paraId="40CB017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7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77" w14:textId="77777777" w:rsidR="00584FB3" w:rsidRDefault="00786180">
            <w:pPr>
              <w:jc w:val="right"/>
              <w:textAlignment w:val="bottom"/>
            </w:pPr>
            <w:r>
              <w:rPr>
                <w:rFonts w:ascii="Times New Roman" w:eastAsia="宋体" w:hAnsi="Times New Roman"/>
                <w:color w:val="000000"/>
                <w:sz w:val="20"/>
                <w:szCs w:val="20"/>
              </w:rPr>
              <w:t>6,598.5 </w:t>
            </w:r>
          </w:p>
        </w:tc>
        <w:tc>
          <w:tcPr>
            <w:tcW w:w="0" w:type="auto"/>
            <w:shd w:val="clear" w:color="auto" w:fill="D7E4BC"/>
            <w:tcMar>
              <w:top w:w="40" w:type="dxa"/>
              <w:left w:w="0" w:type="dxa"/>
              <w:bottom w:w="40" w:type="dxa"/>
              <w:right w:w="20" w:type="dxa"/>
            </w:tcMar>
            <w:vAlign w:val="bottom"/>
          </w:tcPr>
          <w:p w14:paraId="40CB0178" w14:textId="77777777" w:rsidR="00584FB3" w:rsidRDefault="00584FB3">
            <w:pPr>
              <w:jc w:val="right"/>
              <w:rPr>
                <w:rFonts w:ascii="宋体"/>
              </w:rPr>
            </w:pPr>
          </w:p>
        </w:tc>
      </w:tr>
      <w:tr w:rsidR="00584FB3" w14:paraId="40CB0180" w14:textId="77777777">
        <w:tc>
          <w:tcPr>
            <w:tcW w:w="0" w:type="auto"/>
            <w:gridSpan w:val="3"/>
            <w:shd w:val="clear" w:color="auto" w:fill="FFFFFF"/>
            <w:tcMar>
              <w:top w:w="40" w:type="dxa"/>
              <w:left w:w="20" w:type="dxa"/>
              <w:bottom w:w="40" w:type="dxa"/>
              <w:right w:w="20" w:type="dxa"/>
            </w:tcMar>
          </w:tcPr>
          <w:p w14:paraId="40CB017A" w14:textId="77777777" w:rsidR="00584FB3" w:rsidRDefault="00786180">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FFFFFF"/>
            <w:tcMar>
              <w:top w:w="40" w:type="dxa"/>
              <w:left w:w="20" w:type="dxa"/>
              <w:bottom w:w="40" w:type="dxa"/>
              <w:right w:w="0" w:type="dxa"/>
            </w:tcMar>
            <w:vAlign w:val="bottom"/>
          </w:tcPr>
          <w:p w14:paraId="40CB017B" w14:textId="77777777" w:rsidR="00584FB3" w:rsidRDefault="00786180">
            <w:pPr>
              <w:jc w:val="right"/>
              <w:textAlignment w:val="bottom"/>
            </w:pPr>
            <w:r>
              <w:rPr>
                <w:rFonts w:ascii="Times New Roman" w:eastAsia="宋体" w:hAnsi="Times New Roman"/>
                <w:color w:val="000000"/>
                <w:sz w:val="20"/>
                <w:szCs w:val="20"/>
              </w:rPr>
              <w:t>962.8 </w:t>
            </w:r>
          </w:p>
        </w:tc>
        <w:tc>
          <w:tcPr>
            <w:tcW w:w="0" w:type="auto"/>
            <w:shd w:val="clear" w:color="auto" w:fill="FFFFFF"/>
            <w:tcMar>
              <w:top w:w="40" w:type="dxa"/>
              <w:left w:w="0" w:type="dxa"/>
              <w:bottom w:w="40" w:type="dxa"/>
              <w:right w:w="20" w:type="dxa"/>
            </w:tcMar>
            <w:vAlign w:val="bottom"/>
          </w:tcPr>
          <w:p w14:paraId="40CB017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7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7E" w14:textId="77777777" w:rsidR="00584FB3" w:rsidRDefault="00786180">
            <w:pPr>
              <w:jc w:val="right"/>
              <w:textAlignment w:val="bottom"/>
            </w:pPr>
            <w:r>
              <w:rPr>
                <w:rFonts w:ascii="Times New Roman" w:eastAsia="宋体" w:hAnsi="Times New Roman"/>
                <w:color w:val="000000"/>
                <w:sz w:val="20"/>
                <w:szCs w:val="20"/>
              </w:rPr>
              <w:t>907.3 </w:t>
            </w:r>
          </w:p>
        </w:tc>
        <w:tc>
          <w:tcPr>
            <w:tcW w:w="0" w:type="auto"/>
            <w:shd w:val="clear" w:color="auto" w:fill="FFFFFF"/>
            <w:tcMar>
              <w:top w:w="40" w:type="dxa"/>
              <w:left w:w="0" w:type="dxa"/>
              <w:bottom w:w="40" w:type="dxa"/>
              <w:right w:w="20" w:type="dxa"/>
            </w:tcMar>
            <w:vAlign w:val="bottom"/>
          </w:tcPr>
          <w:p w14:paraId="40CB017F" w14:textId="77777777" w:rsidR="00584FB3" w:rsidRDefault="00584FB3">
            <w:pPr>
              <w:jc w:val="right"/>
              <w:rPr>
                <w:rFonts w:ascii="宋体"/>
              </w:rPr>
            </w:pPr>
          </w:p>
        </w:tc>
      </w:tr>
      <w:tr w:rsidR="00584FB3" w14:paraId="40CB0187" w14:textId="77777777">
        <w:tc>
          <w:tcPr>
            <w:tcW w:w="0" w:type="auto"/>
            <w:gridSpan w:val="3"/>
            <w:shd w:val="clear" w:color="auto" w:fill="D7E4BC"/>
            <w:tcMar>
              <w:top w:w="40" w:type="dxa"/>
              <w:left w:w="740" w:type="dxa"/>
              <w:bottom w:w="40" w:type="dxa"/>
              <w:right w:w="20" w:type="dxa"/>
            </w:tcMar>
          </w:tcPr>
          <w:p w14:paraId="40CB0181" w14:textId="77777777" w:rsidR="00584FB3" w:rsidRDefault="00786180">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182" w14:textId="77777777" w:rsidR="00584FB3" w:rsidRDefault="00786180">
            <w:pPr>
              <w:jc w:val="right"/>
              <w:textAlignment w:val="bottom"/>
            </w:pPr>
            <w:r>
              <w:rPr>
                <w:rFonts w:ascii="Times New Roman" w:eastAsia="宋体" w:hAnsi="Times New Roman"/>
                <w:color w:val="000000"/>
                <w:sz w:val="20"/>
                <w:szCs w:val="20"/>
              </w:rPr>
              <w:t>37,872.4 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8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84"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185" w14:textId="77777777" w:rsidR="00584FB3" w:rsidRDefault="00786180">
            <w:pPr>
              <w:jc w:val="right"/>
              <w:textAlignment w:val="bottom"/>
            </w:pPr>
            <w:r>
              <w:rPr>
                <w:rFonts w:ascii="Times New Roman" w:eastAsia="宋体" w:hAnsi="Times New Roman"/>
                <w:color w:val="000000"/>
                <w:sz w:val="20"/>
                <w:szCs w:val="20"/>
              </w:rPr>
              <w:t>37,173.9 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86" w14:textId="77777777" w:rsidR="00584FB3" w:rsidRDefault="00584FB3">
            <w:pPr>
              <w:jc w:val="right"/>
              <w:rPr>
                <w:rFonts w:ascii="宋体"/>
              </w:rPr>
            </w:pPr>
          </w:p>
        </w:tc>
      </w:tr>
      <w:tr w:rsidR="00584FB3" w14:paraId="40CB018C" w14:textId="77777777">
        <w:tc>
          <w:tcPr>
            <w:tcW w:w="0" w:type="auto"/>
            <w:gridSpan w:val="3"/>
            <w:shd w:val="clear" w:color="auto" w:fill="FFFFFF"/>
            <w:tcMar>
              <w:top w:w="40" w:type="dxa"/>
              <w:left w:w="20" w:type="dxa"/>
              <w:bottom w:w="40" w:type="dxa"/>
              <w:right w:w="20" w:type="dxa"/>
            </w:tcMar>
          </w:tcPr>
          <w:p w14:paraId="40CB0188" w14:textId="77777777" w:rsidR="00584FB3" w:rsidRDefault="00786180">
            <w:pPr>
              <w:textAlignment w:val="top"/>
            </w:pPr>
            <w:r>
              <w:rPr>
                <w:rFonts w:ascii="Times New Roman" w:eastAsia="宋体" w:hAnsi="Times New Roman"/>
                <w:color w:val="000000"/>
                <w:sz w:val="20"/>
                <w:szCs w:val="20"/>
              </w:rPr>
              <w:t>Shareholders' deficit:</w:t>
            </w:r>
          </w:p>
        </w:tc>
        <w:tc>
          <w:tcPr>
            <w:tcW w:w="0" w:type="auto"/>
            <w:gridSpan w:val="3"/>
            <w:shd w:val="clear" w:color="auto" w:fill="FFFFFF"/>
            <w:tcMar>
              <w:top w:w="0" w:type="dxa"/>
              <w:left w:w="20" w:type="dxa"/>
              <w:bottom w:w="0" w:type="dxa"/>
              <w:right w:w="20" w:type="dxa"/>
            </w:tcMar>
          </w:tcPr>
          <w:p w14:paraId="40CB0189"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18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18B" w14:textId="77777777" w:rsidR="00584FB3" w:rsidRDefault="00584FB3">
            <w:pPr>
              <w:rPr>
                <w:rFonts w:ascii="宋体"/>
              </w:rPr>
            </w:pPr>
          </w:p>
        </w:tc>
      </w:tr>
      <w:tr w:rsidR="00584FB3" w14:paraId="40CB0193" w14:textId="77777777">
        <w:tc>
          <w:tcPr>
            <w:tcW w:w="0" w:type="auto"/>
            <w:gridSpan w:val="3"/>
            <w:shd w:val="clear" w:color="auto" w:fill="D7E4BC"/>
            <w:tcMar>
              <w:top w:w="40" w:type="dxa"/>
              <w:left w:w="20" w:type="dxa"/>
              <w:bottom w:w="40" w:type="dxa"/>
              <w:right w:w="20" w:type="dxa"/>
            </w:tcMar>
          </w:tcPr>
          <w:p w14:paraId="40CB018D" w14:textId="77777777" w:rsidR="00584FB3" w:rsidRDefault="00786180">
            <w:pPr>
              <w:textAlignment w:val="top"/>
            </w:pPr>
            <w:r>
              <w:rPr>
                <w:rFonts w:ascii="Times New Roman" w:eastAsia="宋体" w:hAnsi="Times New Roman"/>
                <w:color w:val="000000"/>
                <w:sz w:val="20"/>
                <w:szCs w:val="20"/>
              </w:rPr>
              <w:t>Common stock ($0.001 par value) — authorized, 2,400.0 shares; issued and outstanding, 1,177.2 and 1,173.3 shares, respectively</w:t>
            </w:r>
          </w:p>
        </w:tc>
        <w:tc>
          <w:tcPr>
            <w:tcW w:w="0" w:type="auto"/>
            <w:gridSpan w:val="2"/>
            <w:shd w:val="clear" w:color="auto" w:fill="D7E4BC"/>
            <w:tcMar>
              <w:top w:w="40" w:type="dxa"/>
              <w:left w:w="20" w:type="dxa"/>
              <w:bottom w:w="40" w:type="dxa"/>
              <w:right w:w="0" w:type="dxa"/>
            </w:tcMar>
            <w:vAlign w:val="bottom"/>
          </w:tcPr>
          <w:p w14:paraId="40CB018E" w14:textId="77777777" w:rsidR="00584FB3" w:rsidRDefault="00786180">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40CB018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9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91" w14:textId="77777777" w:rsidR="00584FB3" w:rsidRDefault="00786180">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40CB0192" w14:textId="77777777" w:rsidR="00584FB3" w:rsidRDefault="00584FB3">
            <w:pPr>
              <w:jc w:val="right"/>
              <w:rPr>
                <w:rFonts w:ascii="宋体"/>
              </w:rPr>
            </w:pPr>
          </w:p>
        </w:tc>
      </w:tr>
      <w:tr w:rsidR="00584FB3" w14:paraId="40CB019A" w14:textId="77777777">
        <w:tc>
          <w:tcPr>
            <w:tcW w:w="0" w:type="auto"/>
            <w:gridSpan w:val="3"/>
            <w:shd w:val="clear" w:color="auto" w:fill="FFFFFF"/>
            <w:tcMar>
              <w:top w:w="40" w:type="dxa"/>
              <w:left w:w="380" w:type="dxa"/>
              <w:bottom w:w="40" w:type="dxa"/>
              <w:right w:w="20" w:type="dxa"/>
            </w:tcMar>
          </w:tcPr>
          <w:p w14:paraId="40CB0194" w14:textId="77777777" w:rsidR="00584FB3" w:rsidRDefault="00786180">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40CB0195" w14:textId="77777777" w:rsidR="00584FB3" w:rsidRDefault="00786180">
            <w:pPr>
              <w:jc w:val="right"/>
              <w:textAlignment w:val="bottom"/>
            </w:pPr>
            <w:r>
              <w:rPr>
                <w:rFonts w:ascii="Times New Roman" w:eastAsia="宋体" w:hAnsi="Times New Roman"/>
                <w:color w:val="000000"/>
                <w:sz w:val="20"/>
                <w:szCs w:val="20"/>
              </w:rPr>
              <w:t>488.6 </w:t>
            </w:r>
          </w:p>
        </w:tc>
        <w:tc>
          <w:tcPr>
            <w:tcW w:w="0" w:type="auto"/>
            <w:shd w:val="clear" w:color="auto" w:fill="FFFFFF"/>
            <w:tcMar>
              <w:top w:w="40" w:type="dxa"/>
              <w:left w:w="0" w:type="dxa"/>
              <w:bottom w:w="40" w:type="dxa"/>
              <w:right w:w="20" w:type="dxa"/>
            </w:tcMar>
            <w:vAlign w:val="bottom"/>
          </w:tcPr>
          <w:p w14:paraId="40CB019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9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98" w14:textId="77777777" w:rsidR="00584FB3" w:rsidRDefault="00786180">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40CB0199" w14:textId="77777777" w:rsidR="00584FB3" w:rsidRDefault="00584FB3">
            <w:pPr>
              <w:jc w:val="right"/>
              <w:rPr>
                <w:rFonts w:ascii="宋体"/>
              </w:rPr>
            </w:pPr>
          </w:p>
        </w:tc>
      </w:tr>
      <w:tr w:rsidR="00584FB3" w14:paraId="40CB01A1" w14:textId="77777777">
        <w:tc>
          <w:tcPr>
            <w:tcW w:w="0" w:type="auto"/>
            <w:gridSpan w:val="3"/>
            <w:shd w:val="clear" w:color="auto" w:fill="D7E4BC"/>
            <w:tcMar>
              <w:top w:w="40" w:type="dxa"/>
              <w:left w:w="380" w:type="dxa"/>
              <w:bottom w:w="40" w:type="dxa"/>
              <w:right w:w="20" w:type="dxa"/>
            </w:tcMar>
          </w:tcPr>
          <w:p w14:paraId="40CB019B" w14:textId="77777777" w:rsidR="00584FB3" w:rsidRDefault="00786180">
            <w:pPr>
              <w:textAlignment w:val="top"/>
            </w:pPr>
            <w:r>
              <w:rPr>
                <w:rFonts w:ascii="Times New Roman" w:eastAsia="宋体" w:hAnsi="Times New Roman"/>
                <w:color w:val="000000"/>
                <w:sz w:val="20"/>
                <w:szCs w:val="20"/>
              </w:rPr>
              <w:t>Retained deficit</w:t>
            </w:r>
          </w:p>
        </w:tc>
        <w:tc>
          <w:tcPr>
            <w:tcW w:w="0" w:type="auto"/>
            <w:gridSpan w:val="2"/>
            <w:shd w:val="clear" w:color="auto" w:fill="D7E4BC"/>
            <w:tcMar>
              <w:top w:w="40" w:type="dxa"/>
              <w:left w:w="20" w:type="dxa"/>
              <w:bottom w:w="40" w:type="dxa"/>
              <w:right w:w="0" w:type="dxa"/>
            </w:tcMar>
            <w:vAlign w:val="bottom"/>
          </w:tcPr>
          <w:p w14:paraId="40CB019C" w14:textId="77777777" w:rsidR="00584FB3" w:rsidRDefault="00786180">
            <w:pPr>
              <w:jc w:val="right"/>
              <w:textAlignment w:val="bottom"/>
            </w:pPr>
            <w:r>
              <w:rPr>
                <w:rFonts w:ascii="Times New Roman" w:eastAsia="宋体" w:hAnsi="Times New Roman"/>
                <w:color w:val="000000"/>
                <w:sz w:val="20"/>
                <w:szCs w:val="20"/>
              </w:rPr>
              <w:t>(8,253.6)</w:t>
            </w:r>
          </w:p>
        </w:tc>
        <w:tc>
          <w:tcPr>
            <w:tcW w:w="0" w:type="auto"/>
            <w:shd w:val="clear" w:color="auto" w:fill="D7E4BC"/>
            <w:tcMar>
              <w:top w:w="40" w:type="dxa"/>
              <w:left w:w="0" w:type="dxa"/>
              <w:bottom w:w="40" w:type="dxa"/>
              <w:right w:w="20" w:type="dxa"/>
            </w:tcMar>
            <w:vAlign w:val="bottom"/>
          </w:tcPr>
          <w:p w14:paraId="40CB019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9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19F" w14:textId="77777777" w:rsidR="00584FB3" w:rsidRDefault="00786180">
            <w:pPr>
              <w:jc w:val="right"/>
              <w:textAlignment w:val="bottom"/>
            </w:pPr>
            <w:r>
              <w:rPr>
                <w:rFonts w:ascii="Times New Roman" w:eastAsia="宋体" w:hAnsi="Times New Roman"/>
                <w:color w:val="000000"/>
                <w:sz w:val="20"/>
                <w:szCs w:val="20"/>
              </w:rPr>
              <w:t>(7,815.6)</w:t>
            </w:r>
          </w:p>
        </w:tc>
        <w:tc>
          <w:tcPr>
            <w:tcW w:w="0" w:type="auto"/>
            <w:shd w:val="clear" w:color="auto" w:fill="D7E4BC"/>
            <w:tcMar>
              <w:top w:w="40" w:type="dxa"/>
              <w:left w:w="0" w:type="dxa"/>
              <w:bottom w:w="40" w:type="dxa"/>
              <w:right w:w="20" w:type="dxa"/>
            </w:tcMar>
            <w:vAlign w:val="bottom"/>
          </w:tcPr>
          <w:p w14:paraId="40CB01A0" w14:textId="77777777" w:rsidR="00584FB3" w:rsidRDefault="00584FB3">
            <w:pPr>
              <w:jc w:val="right"/>
              <w:rPr>
                <w:rFonts w:ascii="宋体"/>
              </w:rPr>
            </w:pPr>
          </w:p>
        </w:tc>
      </w:tr>
      <w:tr w:rsidR="00584FB3" w14:paraId="40CB01A8" w14:textId="77777777">
        <w:tc>
          <w:tcPr>
            <w:tcW w:w="0" w:type="auto"/>
            <w:gridSpan w:val="3"/>
            <w:shd w:val="clear" w:color="auto" w:fill="FFFFFF"/>
            <w:tcMar>
              <w:top w:w="40" w:type="dxa"/>
              <w:left w:w="380" w:type="dxa"/>
              <w:bottom w:w="40" w:type="dxa"/>
              <w:right w:w="20" w:type="dxa"/>
            </w:tcMar>
          </w:tcPr>
          <w:p w14:paraId="40CB01A2" w14:textId="77777777" w:rsidR="00584FB3" w:rsidRDefault="00786180">
            <w:pPr>
              <w:textAlignment w:val="top"/>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40CB01A3" w14:textId="77777777" w:rsidR="00584FB3" w:rsidRDefault="00786180">
            <w:pPr>
              <w:jc w:val="right"/>
              <w:textAlignment w:val="bottom"/>
            </w:pPr>
            <w:r>
              <w:rPr>
                <w:rFonts w:ascii="Times New Roman" w:eastAsia="宋体" w:hAnsi="Times New Roman"/>
                <w:color w:val="000000"/>
                <w:sz w:val="20"/>
                <w:szCs w:val="20"/>
              </w:rPr>
              <w:t>(145.9)</w:t>
            </w:r>
          </w:p>
        </w:tc>
        <w:tc>
          <w:tcPr>
            <w:tcW w:w="0" w:type="auto"/>
            <w:shd w:val="clear" w:color="auto" w:fill="FFFFFF"/>
            <w:tcMar>
              <w:top w:w="40" w:type="dxa"/>
              <w:left w:w="0" w:type="dxa"/>
              <w:bottom w:w="40" w:type="dxa"/>
              <w:right w:w="20" w:type="dxa"/>
            </w:tcMar>
            <w:vAlign w:val="bottom"/>
          </w:tcPr>
          <w:p w14:paraId="40CB01A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A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A6" w14:textId="77777777" w:rsidR="00584FB3" w:rsidRDefault="00786180">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40CB01A7" w14:textId="77777777" w:rsidR="00584FB3" w:rsidRDefault="00584FB3">
            <w:pPr>
              <w:jc w:val="right"/>
              <w:rPr>
                <w:rFonts w:ascii="宋体"/>
              </w:rPr>
            </w:pPr>
          </w:p>
        </w:tc>
      </w:tr>
      <w:tr w:rsidR="00584FB3" w14:paraId="40CB01AF" w14:textId="77777777">
        <w:tc>
          <w:tcPr>
            <w:tcW w:w="0" w:type="auto"/>
            <w:gridSpan w:val="3"/>
            <w:shd w:val="clear" w:color="auto" w:fill="D7E4BC"/>
            <w:tcMar>
              <w:top w:w="40" w:type="dxa"/>
              <w:left w:w="740" w:type="dxa"/>
              <w:bottom w:w="40" w:type="dxa"/>
              <w:right w:w="20" w:type="dxa"/>
            </w:tcMar>
          </w:tcPr>
          <w:p w14:paraId="40CB01A9" w14:textId="77777777" w:rsidR="00584FB3" w:rsidRDefault="00786180">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1AA" w14:textId="77777777" w:rsidR="00584FB3" w:rsidRDefault="00786180">
            <w:pPr>
              <w:jc w:val="right"/>
              <w:textAlignment w:val="bottom"/>
            </w:pPr>
            <w:r>
              <w:rPr>
                <w:rFonts w:ascii="Times New Roman" w:eastAsia="宋体" w:hAnsi="Times New Roman"/>
                <w:color w:val="000000"/>
                <w:sz w:val="20"/>
                <w:szCs w:val="20"/>
              </w:rPr>
              <w:t>(7,909.7)</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A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AC"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1AD" w14:textId="77777777" w:rsidR="00584FB3" w:rsidRDefault="00786180">
            <w:pPr>
              <w:jc w:val="right"/>
              <w:textAlignment w:val="bottom"/>
            </w:pPr>
            <w:r>
              <w:rPr>
                <w:rFonts w:ascii="Times New Roman" w:eastAsia="宋体" w:hAnsi="Times New Roman"/>
                <w:color w:val="000000"/>
                <w:sz w:val="20"/>
                <w:szCs w:val="20"/>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AE" w14:textId="77777777" w:rsidR="00584FB3" w:rsidRDefault="00584FB3">
            <w:pPr>
              <w:jc w:val="right"/>
              <w:rPr>
                <w:rFonts w:ascii="宋体"/>
              </w:rPr>
            </w:pPr>
          </w:p>
        </w:tc>
      </w:tr>
      <w:tr w:rsidR="00584FB3" w14:paraId="40CB01B6" w14:textId="77777777">
        <w:tc>
          <w:tcPr>
            <w:tcW w:w="0" w:type="auto"/>
            <w:gridSpan w:val="3"/>
            <w:shd w:val="clear" w:color="auto" w:fill="FFFFFF"/>
            <w:tcMar>
              <w:top w:w="40" w:type="dxa"/>
              <w:left w:w="20" w:type="dxa"/>
              <w:bottom w:w="40" w:type="dxa"/>
              <w:right w:w="20" w:type="dxa"/>
            </w:tcMar>
          </w:tcPr>
          <w:p w14:paraId="40CB01B0" w14:textId="77777777" w:rsidR="00584FB3" w:rsidRDefault="00786180">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40CB01B1" w14:textId="77777777" w:rsidR="00584FB3" w:rsidRDefault="00786180">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40CB01B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B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B4" w14:textId="77777777" w:rsidR="00584FB3" w:rsidRDefault="00786180">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40CB01B5" w14:textId="77777777" w:rsidR="00584FB3" w:rsidRDefault="00584FB3">
            <w:pPr>
              <w:jc w:val="right"/>
              <w:rPr>
                <w:rFonts w:ascii="宋体"/>
              </w:rPr>
            </w:pPr>
          </w:p>
        </w:tc>
      </w:tr>
      <w:tr w:rsidR="00584FB3" w14:paraId="40CB01BD" w14:textId="77777777">
        <w:tc>
          <w:tcPr>
            <w:tcW w:w="0" w:type="auto"/>
            <w:gridSpan w:val="3"/>
            <w:shd w:val="clear" w:color="auto" w:fill="D7E4BC"/>
            <w:tcMar>
              <w:top w:w="40" w:type="dxa"/>
              <w:left w:w="740" w:type="dxa"/>
              <w:bottom w:w="40" w:type="dxa"/>
              <w:right w:w="20" w:type="dxa"/>
            </w:tcMar>
          </w:tcPr>
          <w:p w14:paraId="40CB01B7" w14:textId="77777777" w:rsidR="00584FB3" w:rsidRDefault="00786180">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1B8" w14:textId="77777777" w:rsidR="00584FB3" w:rsidRDefault="00786180">
            <w:pPr>
              <w:jc w:val="right"/>
              <w:textAlignment w:val="bottom"/>
            </w:pPr>
            <w:r>
              <w:rPr>
                <w:rFonts w:ascii="Times New Roman" w:eastAsia="宋体" w:hAnsi="Times New Roman"/>
                <w:color w:val="000000"/>
                <w:sz w:val="20"/>
                <w:szCs w:val="20"/>
              </w:rPr>
              <w:t>(7,904.0)</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B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1BA"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1BB" w14:textId="77777777" w:rsidR="00584FB3" w:rsidRDefault="00786180">
            <w:pPr>
              <w:jc w:val="right"/>
              <w:textAlignment w:val="bottom"/>
            </w:pPr>
            <w:r>
              <w:rPr>
                <w:rFonts w:ascii="Times New Roman" w:eastAsia="宋体" w:hAnsi="Times New Roman"/>
                <w:color w:val="000000"/>
                <w:sz w:val="20"/>
                <w:szCs w:val="20"/>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1BC" w14:textId="77777777" w:rsidR="00584FB3" w:rsidRDefault="00584FB3">
            <w:pPr>
              <w:jc w:val="right"/>
              <w:rPr>
                <w:rFonts w:ascii="宋体"/>
              </w:rPr>
            </w:pPr>
          </w:p>
        </w:tc>
      </w:tr>
      <w:tr w:rsidR="00584FB3" w14:paraId="40CB01C6" w14:textId="77777777">
        <w:tc>
          <w:tcPr>
            <w:tcW w:w="0" w:type="auto"/>
            <w:gridSpan w:val="3"/>
            <w:shd w:val="clear" w:color="auto" w:fill="FFFFFF"/>
            <w:tcMar>
              <w:top w:w="40" w:type="dxa"/>
              <w:left w:w="20" w:type="dxa"/>
              <w:bottom w:w="40" w:type="dxa"/>
              <w:right w:w="20" w:type="dxa"/>
            </w:tcMar>
          </w:tcPr>
          <w:p w14:paraId="40CB01BE" w14:textId="77777777" w:rsidR="00584FB3" w:rsidRDefault="00786180">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01BF"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01C0" w14:textId="77777777" w:rsidR="00584FB3" w:rsidRDefault="00786180">
            <w:pPr>
              <w:jc w:val="right"/>
              <w:textAlignment w:val="bottom"/>
            </w:pPr>
            <w:r>
              <w:rPr>
                <w:rFonts w:ascii="Times New Roman" w:eastAsia="宋体" w:hAnsi="Times New Roman"/>
                <w:color w:val="000000"/>
                <w:sz w:val="20"/>
                <w:szCs w:val="20"/>
              </w:rPr>
              <w:t>29,968.4 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01C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C2"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01C3"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01C4" w14:textId="77777777" w:rsidR="00584FB3" w:rsidRDefault="00786180">
            <w:pPr>
              <w:jc w:val="right"/>
              <w:textAlignment w:val="bottom"/>
            </w:pPr>
            <w:r>
              <w:rPr>
                <w:rFonts w:ascii="Times New Roman" w:eastAsia="宋体" w:hAnsi="Times New Roman"/>
                <w:color w:val="000000"/>
                <w:sz w:val="20"/>
                <w:szCs w:val="20"/>
              </w:rPr>
              <w:t>29,374.5 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01C5" w14:textId="77777777" w:rsidR="00584FB3" w:rsidRDefault="00584FB3">
            <w:pPr>
              <w:jc w:val="right"/>
              <w:rPr>
                <w:rFonts w:ascii="宋体"/>
              </w:rPr>
            </w:pPr>
          </w:p>
        </w:tc>
      </w:tr>
    </w:tbl>
    <w:p w14:paraId="40CB01C7" w14:textId="77777777" w:rsidR="00584FB3" w:rsidRDefault="00584FB3">
      <w:pPr>
        <w:spacing w:before="180"/>
        <w:jc w:val="center"/>
      </w:pPr>
    </w:p>
    <w:p w14:paraId="40CB01C8" w14:textId="77777777" w:rsidR="00584FB3" w:rsidRDefault="00786180">
      <w:pPr>
        <w:jc w:val="center"/>
      </w:pPr>
      <w:r>
        <w:rPr>
          <w:rFonts w:ascii="Times New Roman" w:eastAsia="宋体" w:hAnsi="Times New Roman"/>
          <w:i/>
          <w:iCs/>
          <w:color w:val="000000"/>
          <w:sz w:val="20"/>
          <w:szCs w:val="20"/>
        </w:rPr>
        <w:t>See Notes to Consolidated Financial Statements.</w:t>
      </w:r>
    </w:p>
    <w:p w14:paraId="40CB01C9" w14:textId="77777777" w:rsidR="00584FB3" w:rsidRDefault="00786180">
      <w:pPr>
        <w:jc w:val="center"/>
      </w:pPr>
      <w:r>
        <w:rPr>
          <w:rFonts w:ascii="Times New Roman" w:eastAsia="宋体" w:hAnsi="Times New Roman"/>
          <w:color w:val="000000"/>
          <w:sz w:val="20"/>
          <w:szCs w:val="20"/>
        </w:rPr>
        <w:t>5</w:t>
      </w:r>
    </w:p>
    <w:p w14:paraId="40CB01CA" w14:textId="77777777" w:rsidR="00584FB3" w:rsidRDefault="00786180">
      <w:r>
        <w:pict w14:anchorId="40CB2A3A">
          <v:rect id="_x0000_i1029" style="width:415.3pt;height:1.5pt" o:hralign="center" o:hrstd="t" o:hr="t" fillcolor="#a0a0a0" stroked="f"/>
        </w:pict>
      </w:r>
    </w:p>
    <w:p w14:paraId="40CB01CB" w14:textId="77777777" w:rsidR="00584FB3" w:rsidRDefault="00786180">
      <w:hyperlink r:id="rId43" w:anchor="i11706e4b673c41db9f2dcbdb897203bb_7" w:history="1">
        <w:r>
          <w:rPr>
            <w:rStyle w:val="a5"/>
            <w:rFonts w:ascii="Times New Roman" w:eastAsia="宋体" w:hAnsi="Times New Roman"/>
            <w:sz w:val="20"/>
            <w:szCs w:val="20"/>
          </w:rPr>
          <w:t>Table of Contents</w:t>
        </w:r>
      </w:hyperlink>
    </w:p>
    <w:p w14:paraId="40CB01CC" w14:textId="77777777" w:rsidR="00584FB3" w:rsidRDefault="00786180">
      <w:pPr>
        <w:spacing w:before="280"/>
        <w:ind w:firstLine="720"/>
        <w:jc w:val="center"/>
      </w:pPr>
      <w:r>
        <w:rPr>
          <w:rFonts w:ascii="Times New Roman" w:eastAsia="宋体" w:hAnsi="Times New Roman"/>
          <w:b/>
          <w:bCs/>
          <w:color w:val="000000"/>
          <w:sz w:val="20"/>
          <w:szCs w:val="20"/>
        </w:rPr>
        <w:t>STARBUCKS CORPORATION</w:t>
      </w:r>
    </w:p>
    <w:p w14:paraId="40CB01CD" w14:textId="77777777" w:rsidR="00584FB3" w:rsidRDefault="00786180">
      <w:pPr>
        <w:jc w:val="center"/>
      </w:pPr>
      <w:r>
        <w:rPr>
          <w:rFonts w:ascii="Times New Roman" w:eastAsia="宋体" w:hAnsi="Times New Roman"/>
          <w:b/>
          <w:bCs/>
          <w:color w:val="000000"/>
          <w:sz w:val="20"/>
          <w:szCs w:val="20"/>
        </w:rPr>
        <w:t>CONSOLIDATED STATEMENTS OF CASH FLOWS</w:t>
      </w:r>
    </w:p>
    <w:p w14:paraId="40CB01CE" w14:textId="77777777" w:rsidR="00584FB3" w:rsidRDefault="00786180">
      <w:pPr>
        <w:jc w:val="center"/>
      </w:pPr>
      <w:r>
        <w:rPr>
          <w:rFonts w:ascii="Times New Roman" w:eastAsia="宋体" w:hAnsi="Times New Roman"/>
          <w:i/>
          <w:iCs/>
          <w:color w:val="000000"/>
          <w:sz w:val="20"/>
          <w:szCs w:val="20"/>
        </w:rPr>
        <w:t xml:space="preserve">(in millions, </w:t>
      </w: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95"/>
        <w:gridCol w:w="40"/>
        <w:gridCol w:w="120"/>
        <w:gridCol w:w="937"/>
        <w:gridCol w:w="36"/>
        <w:gridCol w:w="36"/>
        <w:gridCol w:w="36"/>
        <w:gridCol w:w="36"/>
        <w:gridCol w:w="120"/>
        <w:gridCol w:w="903"/>
        <w:gridCol w:w="36"/>
      </w:tblGrid>
      <w:tr w:rsidR="00584FB3" w14:paraId="40CB01DB" w14:textId="77777777">
        <w:trPr>
          <w:jc w:val="center"/>
        </w:trPr>
        <w:tc>
          <w:tcPr>
            <w:tcW w:w="50" w:type="pct"/>
            <w:shd w:val="clear" w:color="auto" w:fill="auto"/>
          </w:tcPr>
          <w:p w14:paraId="40CB01CF" w14:textId="77777777" w:rsidR="00584FB3" w:rsidRDefault="00584FB3">
            <w:pPr>
              <w:rPr>
                <w:rFonts w:ascii="宋体"/>
              </w:rPr>
            </w:pPr>
          </w:p>
        </w:tc>
        <w:tc>
          <w:tcPr>
            <w:tcW w:w="3621" w:type="pct"/>
            <w:shd w:val="clear" w:color="auto" w:fill="auto"/>
          </w:tcPr>
          <w:p w14:paraId="40CB01D0" w14:textId="77777777" w:rsidR="00584FB3" w:rsidRDefault="00584FB3">
            <w:pPr>
              <w:rPr>
                <w:rFonts w:ascii="宋体"/>
              </w:rPr>
            </w:pPr>
          </w:p>
        </w:tc>
        <w:tc>
          <w:tcPr>
            <w:tcW w:w="5" w:type="pct"/>
            <w:shd w:val="clear" w:color="auto" w:fill="auto"/>
          </w:tcPr>
          <w:p w14:paraId="40CB01D1" w14:textId="77777777" w:rsidR="00584FB3" w:rsidRDefault="00584FB3">
            <w:pPr>
              <w:rPr>
                <w:rFonts w:ascii="宋体"/>
              </w:rPr>
            </w:pPr>
          </w:p>
        </w:tc>
        <w:tc>
          <w:tcPr>
            <w:tcW w:w="50" w:type="pct"/>
            <w:shd w:val="clear" w:color="auto" w:fill="auto"/>
          </w:tcPr>
          <w:p w14:paraId="40CB01D2" w14:textId="77777777" w:rsidR="00584FB3" w:rsidRDefault="00584FB3">
            <w:pPr>
              <w:rPr>
                <w:rFonts w:ascii="宋体"/>
              </w:rPr>
            </w:pPr>
          </w:p>
        </w:tc>
        <w:tc>
          <w:tcPr>
            <w:tcW w:w="588" w:type="pct"/>
            <w:shd w:val="clear" w:color="auto" w:fill="auto"/>
          </w:tcPr>
          <w:p w14:paraId="40CB01D3" w14:textId="77777777" w:rsidR="00584FB3" w:rsidRDefault="00584FB3">
            <w:pPr>
              <w:rPr>
                <w:rFonts w:ascii="宋体"/>
              </w:rPr>
            </w:pPr>
          </w:p>
        </w:tc>
        <w:tc>
          <w:tcPr>
            <w:tcW w:w="5" w:type="pct"/>
            <w:shd w:val="clear" w:color="auto" w:fill="auto"/>
          </w:tcPr>
          <w:p w14:paraId="40CB01D4" w14:textId="77777777" w:rsidR="00584FB3" w:rsidRDefault="00584FB3">
            <w:pPr>
              <w:rPr>
                <w:rFonts w:ascii="宋体"/>
              </w:rPr>
            </w:pPr>
          </w:p>
        </w:tc>
        <w:tc>
          <w:tcPr>
            <w:tcW w:w="5" w:type="pct"/>
            <w:shd w:val="clear" w:color="auto" w:fill="auto"/>
          </w:tcPr>
          <w:p w14:paraId="40CB01D5" w14:textId="77777777" w:rsidR="00584FB3" w:rsidRDefault="00584FB3">
            <w:pPr>
              <w:rPr>
                <w:rFonts w:ascii="宋体"/>
              </w:rPr>
            </w:pPr>
          </w:p>
        </w:tc>
        <w:tc>
          <w:tcPr>
            <w:tcW w:w="26" w:type="pct"/>
            <w:shd w:val="clear" w:color="auto" w:fill="auto"/>
          </w:tcPr>
          <w:p w14:paraId="40CB01D6" w14:textId="77777777" w:rsidR="00584FB3" w:rsidRDefault="00584FB3">
            <w:pPr>
              <w:rPr>
                <w:rFonts w:ascii="宋体"/>
              </w:rPr>
            </w:pPr>
          </w:p>
        </w:tc>
        <w:tc>
          <w:tcPr>
            <w:tcW w:w="5" w:type="pct"/>
            <w:shd w:val="clear" w:color="auto" w:fill="auto"/>
          </w:tcPr>
          <w:p w14:paraId="40CB01D7" w14:textId="77777777" w:rsidR="00584FB3" w:rsidRDefault="00584FB3">
            <w:pPr>
              <w:rPr>
                <w:rFonts w:ascii="宋体"/>
              </w:rPr>
            </w:pPr>
          </w:p>
        </w:tc>
        <w:tc>
          <w:tcPr>
            <w:tcW w:w="50" w:type="pct"/>
            <w:shd w:val="clear" w:color="auto" w:fill="auto"/>
          </w:tcPr>
          <w:p w14:paraId="40CB01D8" w14:textId="77777777" w:rsidR="00584FB3" w:rsidRDefault="00584FB3">
            <w:pPr>
              <w:rPr>
                <w:rFonts w:ascii="宋体"/>
              </w:rPr>
            </w:pPr>
          </w:p>
        </w:tc>
        <w:tc>
          <w:tcPr>
            <w:tcW w:w="588" w:type="pct"/>
            <w:shd w:val="clear" w:color="auto" w:fill="auto"/>
          </w:tcPr>
          <w:p w14:paraId="40CB01D9" w14:textId="77777777" w:rsidR="00584FB3" w:rsidRDefault="00584FB3">
            <w:pPr>
              <w:rPr>
                <w:rFonts w:ascii="宋体"/>
              </w:rPr>
            </w:pPr>
          </w:p>
        </w:tc>
        <w:tc>
          <w:tcPr>
            <w:tcW w:w="5" w:type="pct"/>
            <w:shd w:val="clear" w:color="auto" w:fill="auto"/>
          </w:tcPr>
          <w:p w14:paraId="40CB01DA" w14:textId="77777777" w:rsidR="00584FB3" w:rsidRDefault="00584FB3">
            <w:pPr>
              <w:rPr>
                <w:rFonts w:ascii="宋体"/>
              </w:rPr>
            </w:pPr>
          </w:p>
        </w:tc>
      </w:tr>
      <w:tr w:rsidR="00584FB3" w14:paraId="40CB01DE" w14:textId="77777777">
        <w:trPr>
          <w:jc w:val="center"/>
        </w:trPr>
        <w:tc>
          <w:tcPr>
            <w:tcW w:w="0" w:type="auto"/>
            <w:gridSpan w:val="3"/>
            <w:shd w:val="clear" w:color="auto" w:fill="auto"/>
            <w:tcMar>
              <w:top w:w="40" w:type="dxa"/>
              <w:left w:w="20" w:type="dxa"/>
              <w:bottom w:w="40" w:type="dxa"/>
              <w:right w:w="20" w:type="dxa"/>
            </w:tcMar>
            <w:vAlign w:val="bottom"/>
          </w:tcPr>
          <w:p w14:paraId="40CB01DC" w14:textId="77777777" w:rsidR="00584FB3" w:rsidRDefault="00786180">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40CB01DD" w14:textId="77777777" w:rsidR="00584FB3" w:rsidRDefault="00786180">
            <w:pPr>
              <w:jc w:val="center"/>
              <w:textAlignment w:val="bottom"/>
            </w:pPr>
            <w:r>
              <w:rPr>
                <w:rFonts w:ascii="Times New Roman" w:eastAsia="宋体" w:hAnsi="Times New Roman"/>
                <w:b/>
                <w:bCs/>
                <w:color w:val="FFFFFF"/>
                <w:sz w:val="16"/>
                <w:szCs w:val="16"/>
              </w:rPr>
              <w:t>Quarter Ended</w:t>
            </w:r>
          </w:p>
        </w:tc>
      </w:tr>
      <w:tr w:rsidR="00584FB3" w14:paraId="40CB01E3" w14:textId="77777777">
        <w:trPr>
          <w:jc w:val="center"/>
        </w:trPr>
        <w:tc>
          <w:tcPr>
            <w:tcW w:w="0" w:type="auto"/>
            <w:gridSpan w:val="3"/>
            <w:shd w:val="clear" w:color="auto" w:fill="auto"/>
            <w:tcMar>
              <w:top w:w="0" w:type="dxa"/>
              <w:left w:w="20" w:type="dxa"/>
              <w:bottom w:w="0" w:type="dxa"/>
              <w:right w:w="20" w:type="dxa"/>
            </w:tcMar>
          </w:tcPr>
          <w:p w14:paraId="40CB01DF"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1E0"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01E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1E2"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r>
      <w:tr w:rsidR="00584FB3" w14:paraId="40CB01E8" w14:textId="77777777">
        <w:trPr>
          <w:jc w:val="center"/>
        </w:trPr>
        <w:tc>
          <w:tcPr>
            <w:tcW w:w="0" w:type="auto"/>
            <w:gridSpan w:val="3"/>
            <w:shd w:val="clear" w:color="auto" w:fill="D7E4BC"/>
            <w:tcMar>
              <w:top w:w="40" w:type="dxa"/>
              <w:left w:w="20" w:type="dxa"/>
              <w:bottom w:w="40" w:type="dxa"/>
              <w:right w:w="20" w:type="dxa"/>
            </w:tcMar>
          </w:tcPr>
          <w:p w14:paraId="40CB01E4" w14:textId="77777777" w:rsidR="00584FB3" w:rsidRDefault="00786180">
            <w:pPr>
              <w:textAlignment w:val="top"/>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tcPr>
          <w:p w14:paraId="40CB01E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1E6"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1E7" w14:textId="77777777" w:rsidR="00584FB3" w:rsidRDefault="00584FB3">
            <w:pPr>
              <w:rPr>
                <w:rFonts w:ascii="宋体"/>
              </w:rPr>
            </w:pPr>
          </w:p>
        </w:tc>
      </w:tr>
      <w:tr w:rsidR="00584FB3" w14:paraId="40CB01F1" w14:textId="77777777">
        <w:trPr>
          <w:jc w:val="center"/>
        </w:trPr>
        <w:tc>
          <w:tcPr>
            <w:tcW w:w="0" w:type="auto"/>
            <w:gridSpan w:val="3"/>
            <w:shd w:val="clear" w:color="auto" w:fill="FFFFFF"/>
            <w:tcMar>
              <w:top w:w="40" w:type="dxa"/>
              <w:left w:w="20" w:type="dxa"/>
              <w:bottom w:w="40" w:type="dxa"/>
              <w:right w:w="20" w:type="dxa"/>
            </w:tcMar>
          </w:tcPr>
          <w:p w14:paraId="40CB01E9" w14:textId="77777777" w:rsidR="00584FB3" w:rsidRDefault="00786180">
            <w:pPr>
              <w:textAlignment w:val="top"/>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right w:w="0" w:type="dxa"/>
            </w:tcMar>
            <w:vAlign w:val="bottom"/>
          </w:tcPr>
          <w:p w14:paraId="40CB01EA"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1EB" w14:textId="77777777" w:rsidR="00584FB3" w:rsidRDefault="00786180">
            <w:pPr>
              <w:jc w:val="right"/>
              <w:textAlignment w:val="bottom"/>
            </w:pPr>
            <w:r>
              <w:rPr>
                <w:rFonts w:ascii="Times New Roman" w:eastAsia="宋体" w:hAnsi="Times New Roman"/>
                <w:color w:val="000000"/>
                <w:sz w:val="20"/>
                <w:szCs w:val="20"/>
              </w:rPr>
              <w:t>622.2 </w:t>
            </w:r>
          </w:p>
        </w:tc>
        <w:tc>
          <w:tcPr>
            <w:tcW w:w="0" w:type="auto"/>
            <w:shd w:val="clear" w:color="auto" w:fill="FFFFFF"/>
            <w:tcMar>
              <w:top w:w="40" w:type="dxa"/>
              <w:left w:w="0" w:type="dxa"/>
              <w:bottom w:w="40" w:type="dxa"/>
              <w:right w:w="20" w:type="dxa"/>
            </w:tcMar>
            <w:vAlign w:val="bottom"/>
          </w:tcPr>
          <w:p w14:paraId="40CB01E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ED"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1EE"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1EF" w14:textId="77777777" w:rsidR="00584FB3" w:rsidRDefault="00786180">
            <w:pPr>
              <w:jc w:val="right"/>
              <w:textAlignment w:val="bottom"/>
            </w:pPr>
            <w:r>
              <w:rPr>
                <w:rFonts w:ascii="Times New Roman" w:eastAsia="宋体" w:hAnsi="Times New Roman"/>
                <w:color w:val="000000"/>
                <w:sz w:val="20"/>
                <w:szCs w:val="20"/>
              </w:rPr>
              <w:t>885.3 </w:t>
            </w:r>
          </w:p>
        </w:tc>
        <w:tc>
          <w:tcPr>
            <w:tcW w:w="0" w:type="auto"/>
            <w:shd w:val="clear" w:color="auto" w:fill="FFFFFF"/>
            <w:tcMar>
              <w:top w:w="40" w:type="dxa"/>
              <w:left w:w="0" w:type="dxa"/>
              <w:bottom w:w="40" w:type="dxa"/>
              <w:right w:w="20" w:type="dxa"/>
            </w:tcMar>
            <w:vAlign w:val="bottom"/>
          </w:tcPr>
          <w:p w14:paraId="40CB01F0" w14:textId="77777777" w:rsidR="00584FB3" w:rsidRDefault="00584FB3">
            <w:pPr>
              <w:jc w:val="right"/>
              <w:rPr>
                <w:rFonts w:ascii="宋体"/>
              </w:rPr>
            </w:pPr>
          </w:p>
        </w:tc>
      </w:tr>
      <w:tr w:rsidR="00584FB3" w14:paraId="40CB01F6" w14:textId="77777777">
        <w:trPr>
          <w:jc w:val="center"/>
        </w:trPr>
        <w:tc>
          <w:tcPr>
            <w:tcW w:w="0" w:type="auto"/>
            <w:gridSpan w:val="3"/>
            <w:shd w:val="clear" w:color="auto" w:fill="D7E4BC"/>
            <w:tcMar>
              <w:top w:w="40" w:type="dxa"/>
              <w:left w:w="20" w:type="dxa"/>
              <w:bottom w:w="40" w:type="dxa"/>
              <w:right w:w="20" w:type="dxa"/>
            </w:tcMar>
          </w:tcPr>
          <w:p w14:paraId="40CB01F2" w14:textId="77777777" w:rsidR="00584FB3" w:rsidRDefault="00786180">
            <w:pPr>
              <w:textAlignment w:val="top"/>
            </w:pPr>
            <w:r>
              <w:rPr>
                <w:rFonts w:ascii="Times New Roman" w:eastAsia="宋体" w:hAnsi="Times New Roman"/>
                <w:color w:val="000000"/>
                <w:sz w:val="20"/>
                <w:szCs w:val="20"/>
              </w:rPr>
              <w:t xml:space="preserve">Adjustments to reconcile net earnings to net cash provided by operating </w:t>
            </w:r>
            <w:r>
              <w:rPr>
                <w:rFonts w:ascii="Times New Roman" w:eastAsia="宋体" w:hAnsi="Times New Roman"/>
                <w:color w:val="000000"/>
                <w:sz w:val="20"/>
                <w:szCs w:val="20"/>
              </w:rPr>
              <w:t>activities:</w:t>
            </w:r>
          </w:p>
        </w:tc>
        <w:tc>
          <w:tcPr>
            <w:tcW w:w="0" w:type="auto"/>
            <w:gridSpan w:val="3"/>
            <w:shd w:val="clear" w:color="auto" w:fill="D7E4BC"/>
            <w:tcMar>
              <w:top w:w="0" w:type="dxa"/>
              <w:left w:w="20" w:type="dxa"/>
              <w:bottom w:w="0" w:type="dxa"/>
              <w:right w:w="20" w:type="dxa"/>
            </w:tcMar>
          </w:tcPr>
          <w:p w14:paraId="40CB01F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1F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1F5" w14:textId="77777777" w:rsidR="00584FB3" w:rsidRDefault="00584FB3">
            <w:pPr>
              <w:rPr>
                <w:rFonts w:ascii="宋体"/>
              </w:rPr>
            </w:pPr>
          </w:p>
        </w:tc>
      </w:tr>
      <w:tr w:rsidR="00584FB3" w14:paraId="40CB01FD" w14:textId="77777777">
        <w:trPr>
          <w:jc w:val="center"/>
        </w:trPr>
        <w:tc>
          <w:tcPr>
            <w:tcW w:w="0" w:type="auto"/>
            <w:gridSpan w:val="3"/>
            <w:shd w:val="clear" w:color="auto" w:fill="FFFFFF"/>
            <w:tcMar>
              <w:top w:w="40" w:type="dxa"/>
              <w:left w:w="380" w:type="dxa"/>
              <w:bottom w:w="40" w:type="dxa"/>
              <w:right w:w="20" w:type="dxa"/>
            </w:tcMar>
          </w:tcPr>
          <w:p w14:paraId="40CB01F7" w14:textId="77777777" w:rsidR="00584FB3" w:rsidRDefault="00786180">
            <w:pPr>
              <w:textAlignment w:val="top"/>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40CB01F8" w14:textId="77777777" w:rsidR="00584FB3" w:rsidRDefault="00786180">
            <w:pPr>
              <w:jc w:val="right"/>
              <w:textAlignment w:val="bottom"/>
            </w:pPr>
            <w:r>
              <w:rPr>
                <w:rFonts w:ascii="Times New Roman" w:eastAsia="宋体" w:hAnsi="Times New Roman"/>
                <w:color w:val="000000"/>
                <w:sz w:val="20"/>
                <w:szCs w:val="20"/>
              </w:rPr>
              <w:t>388.4 </w:t>
            </w:r>
          </w:p>
        </w:tc>
        <w:tc>
          <w:tcPr>
            <w:tcW w:w="0" w:type="auto"/>
            <w:shd w:val="clear" w:color="auto" w:fill="FFFFFF"/>
            <w:tcMar>
              <w:top w:w="40" w:type="dxa"/>
              <w:left w:w="0" w:type="dxa"/>
              <w:bottom w:w="40" w:type="dxa"/>
              <w:right w:w="20" w:type="dxa"/>
            </w:tcMar>
            <w:vAlign w:val="bottom"/>
          </w:tcPr>
          <w:p w14:paraId="40CB01F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1F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1FB" w14:textId="77777777" w:rsidR="00584FB3" w:rsidRDefault="00786180">
            <w:pPr>
              <w:jc w:val="right"/>
              <w:textAlignment w:val="bottom"/>
            </w:pPr>
            <w:r>
              <w:rPr>
                <w:rFonts w:ascii="Times New Roman" w:eastAsia="宋体" w:hAnsi="Times New Roman"/>
                <w:color w:val="000000"/>
                <w:sz w:val="20"/>
                <w:szCs w:val="20"/>
              </w:rPr>
              <w:t>369.2 </w:t>
            </w:r>
          </w:p>
        </w:tc>
        <w:tc>
          <w:tcPr>
            <w:tcW w:w="0" w:type="auto"/>
            <w:shd w:val="clear" w:color="auto" w:fill="FFFFFF"/>
            <w:tcMar>
              <w:top w:w="40" w:type="dxa"/>
              <w:left w:w="0" w:type="dxa"/>
              <w:bottom w:w="40" w:type="dxa"/>
              <w:right w:w="20" w:type="dxa"/>
            </w:tcMar>
            <w:vAlign w:val="bottom"/>
          </w:tcPr>
          <w:p w14:paraId="40CB01FC" w14:textId="77777777" w:rsidR="00584FB3" w:rsidRDefault="00584FB3">
            <w:pPr>
              <w:jc w:val="right"/>
              <w:rPr>
                <w:rFonts w:ascii="宋体"/>
              </w:rPr>
            </w:pPr>
          </w:p>
        </w:tc>
      </w:tr>
      <w:tr w:rsidR="00584FB3" w14:paraId="40CB0204" w14:textId="77777777">
        <w:trPr>
          <w:jc w:val="center"/>
        </w:trPr>
        <w:tc>
          <w:tcPr>
            <w:tcW w:w="0" w:type="auto"/>
            <w:gridSpan w:val="3"/>
            <w:shd w:val="clear" w:color="auto" w:fill="D7E4BC"/>
            <w:tcMar>
              <w:top w:w="40" w:type="dxa"/>
              <w:left w:w="380" w:type="dxa"/>
              <w:bottom w:w="40" w:type="dxa"/>
              <w:right w:w="20" w:type="dxa"/>
            </w:tcMar>
          </w:tcPr>
          <w:p w14:paraId="40CB01FE" w14:textId="77777777" w:rsidR="00584FB3" w:rsidRDefault="00786180">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40CB01FF" w14:textId="77777777" w:rsidR="00584FB3" w:rsidRDefault="00786180">
            <w:pPr>
              <w:jc w:val="right"/>
              <w:textAlignment w:val="bottom"/>
            </w:pPr>
            <w:r>
              <w:rPr>
                <w:rFonts w:ascii="Times New Roman" w:eastAsia="宋体" w:hAnsi="Times New Roman"/>
                <w:color w:val="000000"/>
                <w:sz w:val="20"/>
                <w:szCs w:val="20"/>
              </w:rPr>
              <w:t>(6.1)</w:t>
            </w:r>
          </w:p>
        </w:tc>
        <w:tc>
          <w:tcPr>
            <w:tcW w:w="0" w:type="auto"/>
            <w:shd w:val="clear" w:color="auto" w:fill="D7E4BC"/>
            <w:tcMar>
              <w:top w:w="40" w:type="dxa"/>
              <w:left w:w="0" w:type="dxa"/>
              <w:bottom w:w="40" w:type="dxa"/>
              <w:right w:w="20" w:type="dxa"/>
            </w:tcMar>
            <w:vAlign w:val="bottom"/>
          </w:tcPr>
          <w:p w14:paraId="40CB020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0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02" w14:textId="77777777" w:rsidR="00584FB3" w:rsidRDefault="00786180">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left w:w="0" w:type="dxa"/>
              <w:bottom w:w="40" w:type="dxa"/>
              <w:right w:w="20" w:type="dxa"/>
            </w:tcMar>
            <w:vAlign w:val="bottom"/>
          </w:tcPr>
          <w:p w14:paraId="40CB0203" w14:textId="77777777" w:rsidR="00584FB3" w:rsidRDefault="00584FB3">
            <w:pPr>
              <w:jc w:val="right"/>
              <w:rPr>
                <w:rFonts w:ascii="宋体"/>
              </w:rPr>
            </w:pPr>
          </w:p>
        </w:tc>
      </w:tr>
      <w:tr w:rsidR="00584FB3" w14:paraId="40CB020B" w14:textId="77777777">
        <w:trPr>
          <w:jc w:val="center"/>
        </w:trPr>
        <w:tc>
          <w:tcPr>
            <w:tcW w:w="0" w:type="auto"/>
            <w:gridSpan w:val="3"/>
            <w:shd w:val="clear" w:color="auto" w:fill="FFFFFF"/>
            <w:tcMar>
              <w:top w:w="40" w:type="dxa"/>
              <w:left w:w="380" w:type="dxa"/>
              <w:bottom w:w="40" w:type="dxa"/>
              <w:right w:w="20" w:type="dxa"/>
            </w:tcMar>
          </w:tcPr>
          <w:p w14:paraId="40CB0205" w14:textId="77777777" w:rsidR="00584FB3" w:rsidRDefault="00786180">
            <w:pPr>
              <w:textAlignment w:val="top"/>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bottom"/>
          </w:tcPr>
          <w:p w14:paraId="40CB0206" w14:textId="77777777" w:rsidR="00584FB3" w:rsidRDefault="00786180">
            <w:pPr>
              <w:jc w:val="right"/>
              <w:textAlignment w:val="bottom"/>
            </w:pPr>
            <w:r>
              <w:rPr>
                <w:rFonts w:ascii="Times New Roman" w:eastAsia="宋体" w:hAnsi="Times New Roman"/>
                <w:color w:val="000000"/>
                <w:sz w:val="20"/>
                <w:szCs w:val="20"/>
              </w:rPr>
              <w:t>(69.0)</w:t>
            </w:r>
          </w:p>
        </w:tc>
        <w:tc>
          <w:tcPr>
            <w:tcW w:w="0" w:type="auto"/>
            <w:shd w:val="clear" w:color="auto" w:fill="FFFFFF"/>
            <w:tcMar>
              <w:top w:w="40" w:type="dxa"/>
              <w:left w:w="0" w:type="dxa"/>
              <w:bottom w:w="40" w:type="dxa"/>
              <w:right w:w="20" w:type="dxa"/>
            </w:tcMar>
            <w:vAlign w:val="bottom"/>
          </w:tcPr>
          <w:p w14:paraId="40CB020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0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09" w14:textId="77777777" w:rsidR="00584FB3" w:rsidRDefault="00786180">
            <w:pPr>
              <w:jc w:val="right"/>
              <w:textAlignment w:val="bottom"/>
            </w:pPr>
            <w:r>
              <w:rPr>
                <w:rFonts w:ascii="Times New Roman" w:eastAsia="宋体" w:hAnsi="Times New Roman"/>
                <w:color w:val="000000"/>
                <w:sz w:val="20"/>
                <w:szCs w:val="20"/>
              </w:rPr>
              <w:t>(62.9)</w:t>
            </w:r>
          </w:p>
        </w:tc>
        <w:tc>
          <w:tcPr>
            <w:tcW w:w="0" w:type="auto"/>
            <w:shd w:val="clear" w:color="auto" w:fill="FFFFFF"/>
            <w:tcMar>
              <w:top w:w="40" w:type="dxa"/>
              <w:left w:w="0" w:type="dxa"/>
              <w:bottom w:w="40" w:type="dxa"/>
              <w:right w:w="20" w:type="dxa"/>
            </w:tcMar>
            <w:vAlign w:val="bottom"/>
          </w:tcPr>
          <w:p w14:paraId="40CB020A" w14:textId="77777777" w:rsidR="00584FB3" w:rsidRDefault="00584FB3">
            <w:pPr>
              <w:jc w:val="right"/>
              <w:rPr>
                <w:rFonts w:ascii="宋体"/>
              </w:rPr>
            </w:pPr>
          </w:p>
        </w:tc>
      </w:tr>
      <w:tr w:rsidR="00584FB3" w14:paraId="40CB0212" w14:textId="77777777">
        <w:trPr>
          <w:jc w:val="center"/>
        </w:trPr>
        <w:tc>
          <w:tcPr>
            <w:tcW w:w="0" w:type="auto"/>
            <w:gridSpan w:val="3"/>
            <w:shd w:val="clear" w:color="auto" w:fill="D7E4BC"/>
            <w:tcMar>
              <w:top w:w="40" w:type="dxa"/>
              <w:left w:w="380" w:type="dxa"/>
              <w:bottom w:w="40" w:type="dxa"/>
              <w:right w:w="20" w:type="dxa"/>
            </w:tcMar>
          </w:tcPr>
          <w:p w14:paraId="40CB020C" w14:textId="77777777" w:rsidR="00584FB3" w:rsidRDefault="00786180">
            <w:pPr>
              <w:textAlignment w:val="top"/>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40CB020D" w14:textId="77777777" w:rsidR="00584FB3" w:rsidRDefault="00786180">
            <w:pPr>
              <w:jc w:val="right"/>
              <w:textAlignment w:val="bottom"/>
            </w:pPr>
            <w:r>
              <w:rPr>
                <w:rFonts w:ascii="Times New Roman" w:eastAsia="宋体" w:hAnsi="Times New Roman"/>
                <w:color w:val="000000"/>
                <w:sz w:val="20"/>
                <w:szCs w:val="20"/>
              </w:rPr>
              <w:t>77.2 </w:t>
            </w:r>
          </w:p>
        </w:tc>
        <w:tc>
          <w:tcPr>
            <w:tcW w:w="0" w:type="auto"/>
            <w:shd w:val="clear" w:color="auto" w:fill="D7E4BC"/>
            <w:tcMar>
              <w:top w:w="40" w:type="dxa"/>
              <w:left w:w="0" w:type="dxa"/>
              <w:bottom w:w="40" w:type="dxa"/>
              <w:right w:w="20" w:type="dxa"/>
            </w:tcMar>
            <w:vAlign w:val="bottom"/>
          </w:tcPr>
          <w:p w14:paraId="40CB020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0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10" w14:textId="77777777" w:rsidR="00584FB3" w:rsidRDefault="00786180">
            <w:pPr>
              <w:jc w:val="right"/>
              <w:textAlignment w:val="bottom"/>
            </w:pPr>
            <w:r>
              <w:rPr>
                <w:rFonts w:ascii="Times New Roman" w:eastAsia="宋体" w:hAnsi="Times New Roman"/>
                <w:color w:val="000000"/>
                <w:sz w:val="20"/>
                <w:szCs w:val="20"/>
              </w:rPr>
              <w:t>64.3 </w:t>
            </w:r>
          </w:p>
        </w:tc>
        <w:tc>
          <w:tcPr>
            <w:tcW w:w="0" w:type="auto"/>
            <w:shd w:val="clear" w:color="auto" w:fill="D7E4BC"/>
            <w:tcMar>
              <w:top w:w="40" w:type="dxa"/>
              <w:left w:w="0" w:type="dxa"/>
              <w:bottom w:w="40" w:type="dxa"/>
              <w:right w:w="20" w:type="dxa"/>
            </w:tcMar>
            <w:vAlign w:val="bottom"/>
          </w:tcPr>
          <w:p w14:paraId="40CB0211" w14:textId="77777777" w:rsidR="00584FB3" w:rsidRDefault="00584FB3">
            <w:pPr>
              <w:jc w:val="right"/>
              <w:rPr>
                <w:rFonts w:ascii="宋体"/>
              </w:rPr>
            </w:pPr>
          </w:p>
        </w:tc>
      </w:tr>
      <w:tr w:rsidR="00584FB3" w14:paraId="40CB0217" w14:textId="77777777">
        <w:trPr>
          <w:jc w:val="center"/>
          <w:hidden/>
        </w:trPr>
        <w:tc>
          <w:tcPr>
            <w:tcW w:w="0" w:type="auto"/>
            <w:gridSpan w:val="3"/>
            <w:shd w:val="clear" w:color="auto" w:fill="auto"/>
          </w:tcPr>
          <w:p w14:paraId="40CB0213" w14:textId="77777777" w:rsidR="00584FB3" w:rsidRDefault="00584FB3">
            <w:pPr>
              <w:rPr>
                <w:rFonts w:ascii="宋体"/>
                <w:vanish/>
              </w:rPr>
            </w:pPr>
          </w:p>
        </w:tc>
        <w:tc>
          <w:tcPr>
            <w:tcW w:w="0" w:type="auto"/>
            <w:gridSpan w:val="3"/>
            <w:shd w:val="clear" w:color="auto" w:fill="auto"/>
          </w:tcPr>
          <w:p w14:paraId="40CB0214" w14:textId="77777777" w:rsidR="00584FB3" w:rsidRDefault="00584FB3">
            <w:pPr>
              <w:rPr>
                <w:rFonts w:ascii="宋体"/>
                <w:vanish/>
              </w:rPr>
            </w:pPr>
          </w:p>
        </w:tc>
        <w:tc>
          <w:tcPr>
            <w:tcW w:w="0" w:type="auto"/>
            <w:gridSpan w:val="3"/>
            <w:shd w:val="clear" w:color="auto" w:fill="auto"/>
          </w:tcPr>
          <w:p w14:paraId="40CB0215" w14:textId="77777777" w:rsidR="00584FB3" w:rsidRDefault="00584FB3">
            <w:pPr>
              <w:rPr>
                <w:rFonts w:ascii="宋体"/>
                <w:vanish/>
              </w:rPr>
            </w:pPr>
          </w:p>
        </w:tc>
        <w:tc>
          <w:tcPr>
            <w:tcW w:w="0" w:type="auto"/>
            <w:gridSpan w:val="3"/>
            <w:shd w:val="clear" w:color="auto" w:fill="auto"/>
          </w:tcPr>
          <w:p w14:paraId="40CB0216" w14:textId="77777777" w:rsidR="00584FB3" w:rsidRDefault="00584FB3">
            <w:pPr>
              <w:rPr>
                <w:rFonts w:ascii="宋体"/>
                <w:vanish/>
              </w:rPr>
            </w:pPr>
          </w:p>
        </w:tc>
      </w:tr>
      <w:tr w:rsidR="00584FB3" w14:paraId="40CB021C" w14:textId="77777777">
        <w:trPr>
          <w:jc w:val="center"/>
          <w:hidden/>
        </w:trPr>
        <w:tc>
          <w:tcPr>
            <w:tcW w:w="0" w:type="auto"/>
            <w:gridSpan w:val="3"/>
            <w:shd w:val="clear" w:color="auto" w:fill="auto"/>
          </w:tcPr>
          <w:p w14:paraId="40CB0218" w14:textId="77777777" w:rsidR="00584FB3" w:rsidRDefault="00584FB3">
            <w:pPr>
              <w:rPr>
                <w:rFonts w:ascii="宋体"/>
                <w:vanish/>
              </w:rPr>
            </w:pPr>
          </w:p>
        </w:tc>
        <w:tc>
          <w:tcPr>
            <w:tcW w:w="0" w:type="auto"/>
            <w:gridSpan w:val="3"/>
            <w:shd w:val="clear" w:color="auto" w:fill="auto"/>
          </w:tcPr>
          <w:p w14:paraId="40CB0219" w14:textId="77777777" w:rsidR="00584FB3" w:rsidRDefault="00584FB3">
            <w:pPr>
              <w:rPr>
                <w:rFonts w:ascii="宋体"/>
                <w:vanish/>
              </w:rPr>
            </w:pPr>
          </w:p>
        </w:tc>
        <w:tc>
          <w:tcPr>
            <w:tcW w:w="0" w:type="auto"/>
            <w:gridSpan w:val="3"/>
            <w:shd w:val="clear" w:color="auto" w:fill="auto"/>
          </w:tcPr>
          <w:p w14:paraId="40CB021A" w14:textId="77777777" w:rsidR="00584FB3" w:rsidRDefault="00584FB3">
            <w:pPr>
              <w:rPr>
                <w:rFonts w:ascii="宋体"/>
                <w:vanish/>
              </w:rPr>
            </w:pPr>
          </w:p>
        </w:tc>
        <w:tc>
          <w:tcPr>
            <w:tcW w:w="0" w:type="auto"/>
            <w:gridSpan w:val="3"/>
            <w:shd w:val="clear" w:color="auto" w:fill="auto"/>
          </w:tcPr>
          <w:p w14:paraId="40CB021B" w14:textId="77777777" w:rsidR="00584FB3" w:rsidRDefault="00584FB3">
            <w:pPr>
              <w:rPr>
                <w:rFonts w:ascii="宋体"/>
                <w:vanish/>
              </w:rPr>
            </w:pPr>
          </w:p>
        </w:tc>
      </w:tr>
      <w:tr w:rsidR="00584FB3" w14:paraId="40CB0223" w14:textId="77777777">
        <w:trPr>
          <w:jc w:val="center"/>
        </w:trPr>
        <w:tc>
          <w:tcPr>
            <w:tcW w:w="0" w:type="auto"/>
            <w:gridSpan w:val="3"/>
            <w:shd w:val="clear" w:color="auto" w:fill="FFFFFF"/>
            <w:tcMar>
              <w:top w:w="40" w:type="dxa"/>
              <w:left w:w="380" w:type="dxa"/>
              <w:bottom w:w="40" w:type="dxa"/>
              <w:right w:w="20" w:type="dxa"/>
            </w:tcMar>
          </w:tcPr>
          <w:p w14:paraId="40CB021D" w14:textId="77777777" w:rsidR="00584FB3" w:rsidRDefault="00786180">
            <w:pPr>
              <w:textAlignment w:val="top"/>
            </w:pPr>
            <w:r>
              <w:rPr>
                <w:rFonts w:ascii="Times New Roman" w:eastAsia="宋体" w:hAnsi="Times New Roman"/>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40CB021E" w14:textId="77777777" w:rsidR="00584FB3" w:rsidRDefault="00786180">
            <w:pPr>
              <w:jc w:val="right"/>
              <w:textAlignment w:val="bottom"/>
            </w:pPr>
            <w:r>
              <w:rPr>
                <w:rFonts w:ascii="Times New Roman" w:eastAsia="宋体" w:hAnsi="Times New Roman"/>
                <w:color w:val="000000"/>
                <w:sz w:val="20"/>
                <w:szCs w:val="20"/>
              </w:rPr>
              <w:t>99.3 </w:t>
            </w:r>
          </w:p>
        </w:tc>
        <w:tc>
          <w:tcPr>
            <w:tcW w:w="0" w:type="auto"/>
            <w:shd w:val="clear" w:color="auto" w:fill="FFFFFF"/>
            <w:tcMar>
              <w:top w:w="40" w:type="dxa"/>
              <w:left w:w="0" w:type="dxa"/>
              <w:bottom w:w="40" w:type="dxa"/>
              <w:right w:w="20" w:type="dxa"/>
            </w:tcMar>
            <w:vAlign w:val="bottom"/>
          </w:tcPr>
          <w:p w14:paraId="40CB021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2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21" w14:textId="77777777" w:rsidR="00584FB3" w:rsidRDefault="00786180">
            <w:pPr>
              <w:jc w:val="right"/>
              <w:textAlignment w:val="bottom"/>
            </w:pPr>
            <w:r>
              <w:rPr>
                <w:rFonts w:ascii="Times New Roman" w:eastAsia="宋体" w:hAnsi="Times New Roman"/>
                <w:color w:val="000000"/>
                <w:sz w:val="20"/>
                <w:szCs w:val="20"/>
              </w:rPr>
              <w:t>90.3 </w:t>
            </w:r>
          </w:p>
        </w:tc>
        <w:tc>
          <w:tcPr>
            <w:tcW w:w="0" w:type="auto"/>
            <w:shd w:val="clear" w:color="auto" w:fill="FFFFFF"/>
            <w:tcMar>
              <w:top w:w="40" w:type="dxa"/>
              <w:left w:w="0" w:type="dxa"/>
              <w:bottom w:w="40" w:type="dxa"/>
              <w:right w:w="20" w:type="dxa"/>
            </w:tcMar>
            <w:vAlign w:val="bottom"/>
          </w:tcPr>
          <w:p w14:paraId="40CB0222" w14:textId="77777777" w:rsidR="00584FB3" w:rsidRDefault="00584FB3">
            <w:pPr>
              <w:jc w:val="right"/>
              <w:rPr>
                <w:rFonts w:ascii="宋体"/>
              </w:rPr>
            </w:pPr>
          </w:p>
        </w:tc>
      </w:tr>
      <w:tr w:rsidR="00584FB3" w14:paraId="40CB0228" w14:textId="77777777">
        <w:trPr>
          <w:jc w:val="center"/>
          <w:hidden/>
        </w:trPr>
        <w:tc>
          <w:tcPr>
            <w:tcW w:w="0" w:type="auto"/>
            <w:gridSpan w:val="3"/>
            <w:shd w:val="clear" w:color="auto" w:fill="auto"/>
          </w:tcPr>
          <w:p w14:paraId="40CB0224" w14:textId="77777777" w:rsidR="00584FB3" w:rsidRDefault="00584FB3">
            <w:pPr>
              <w:rPr>
                <w:rFonts w:ascii="宋体"/>
                <w:vanish/>
              </w:rPr>
            </w:pPr>
          </w:p>
        </w:tc>
        <w:tc>
          <w:tcPr>
            <w:tcW w:w="0" w:type="auto"/>
            <w:gridSpan w:val="3"/>
            <w:shd w:val="clear" w:color="auto" w:fill="auto"/>
          </w:tcPr>
          <w:p w14:paraId="40CB0225" w14:textId="77777777" w:rsidR="00584FB3" w:rsidRDefault="00584FB3">
            <w:pPr>
              <w:rPr>
                <w:rFonts w:ascii="宋体"/>
                <w:vanish/>
              </w:rPr>
            </w:pPr>
          </w:p>
        </w:tc>
        <w:tc>
          <w:tcPr>
            <w:tcW w:w="0" w:type="auto"/>
            <w:gridSpan w:val="3"/>
            <w:shd w:val="clear" w:color="auto" w:fill="auto"/>
          </w:tcPr>
          <w:p w14:paraId="40CB0226" w14:textId="77777777" w:rsidR="00584FB3" w:rsidRDefault="00584FB3">
            <w:pPr>
              <w:rPr>
                <w:rFonts w:ascii="宋体"/>
                <w:vanish/>
              </w:rPr>
            </w:pPr>
          </w:p>
        </w:tc>
        <w:tc>
          <w:tcPr>
            <w:tcW w:w="0" w:type="auto"/>
            <w:gridSpan w:val="3"/>
            <w:shd w:val="clear" w:color="auto" w:fill="auto"/>
          </w:tcPr>
          <w:p w14:paraId="40CB0227" w14:textId="77777777" w:rsidR="00584FB3" w:rsidRDefault="00584FB3">
            <w:pPr>
              <w:rPr>
                <w:rFonts w:ascii="宋体"/>
                <w:vanish/>
              </w:rPr>
            </w:pPr>
          </w:p>
        </w:tc>
      </w:tr>
      <w:tr w:rsidR="00584FB3" w14:paraId="40CB022F" w14:textId="77777777">
        <w:trPr>
          <w:jc w:val="center"/>
        </w:trPr>
        <w:tc>
          <w:tcPr>
            <w:tcW w:w="0" w:type="auto"/>
            <w:gridSpan w:val="3"/>
            <w:shd w:val="clear" w:color="auto" w:fill="D7E4BC"/>
            <w:tcMar>
              <w:top w:w="40" w:type="dxa"/>
              <w:left w:w="380" w:type="dxa"/>
              <w:bottom w:w="40" w:type="dxa"/>
              <w:right w:w="20" w:type="dxa"/>
            </w:tcMar>
          </w:tcPr>
          <w:p w14:paraId="40CB0229" w14:textId="77777777" w:rsidR="00584FB3" w:rsidRDefault="00786180">
            <w:pPr>
              <w:textAlignment w:val="top"/>
            </w:pPr>
            <w:r>
              <w:rPr>
                <w:rFonts w:ascii="Times New Roman" w:eastAsia="宋体" w:hAnsi="Times New Roman"/>
                <w:color w:val="000000"/>
                <w:sz w:val="20"/>
                <w:szCs w:val="20"/>
              </w:rPr>
              <w:t>Non-cash lease costs</w:t>
            </w:r>
          </w:p>
        </w:tc>
        <w:tc>
          <w:tcPr>
            <w:tcW w:w="0" w:type="auto"/>
            <w:gridSpan w:val="2"/>
            <w:shd w:val="clear" w:color="auto" w:fill="D7E4BC"/>
            <w:tcMar>
              <w:top w:w="40" w:type="dxa"/>
              <w:left w:w="20" w:type="dxa"/>
              <w:bottom w:w="40" w:type="dxa"/>
              <w:right w:w="0" w:type="dxa"/>
            </w:tcMar>
            <w:vAlign w:val="bottom"/>
          </w:tcPr>
          <w:p w14:paraId="40CB022A" w14:textId="77777777" w:rsidR="00584FB3" w:rsidRDefault="00786180">
            <w:pPr>
              <w:jc w:val="right"/>
              <w:textAlignment w:val="bottom"/>
            </w:pPr>
            <w:r>
              <w:rPr>
                <w:rFonts w:ascii="Times New Roman" w:eastAsia="宋体" w:hAnsi="Times New Roman"/>
                <w:color w:val="000000"/>
                <w:sz w:val="20"/>
                <w:szCs w:val="20"/>
              </w:rPr>
              <w:t>308.3 </w:t>
            </w:r>
          </w:p>
        </w:tc>
        <w:tc>
          <w:tcPr>
            <w:tcW w:w="0" w:type="auto"/>
            <w:shd w:val="clear" w:color="auto" w:fill="D7E4BC"/>
            <w:tcMar>
              <w:top w:w="40" w:type="dxa"/>
              <w:left w:w="0" w:type="dxa"/>
              <w:bottom w:w="40" w:type="dxa"/>
              <w:right w:w="20" w:type="dxa"/>
            </w:tcMar>
            <w:vAlign w:val="bottom"/>
          </w:tcPr>
          <w:p w14:paraId="40CB022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2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2D" w14:textId="77777777" w:rsidR="00584FB3" w:rsidRDefault="00786180">
            <w:pPr>
              <w:jc w:val="right"/>
              <w:textAlignment w:val="bottom"/>
            </w:pPr>
            <w:r>
              <w:rPr>
                <w:rFonts w:ascii="Times New Roman" w:eastAsia="宋体" w:hAnsi="Times New Roman"/>
                <w:color w:val="000000"/>
                <w:sz w:val="20"/>
                <w:szCs w:val="20"/>
              </w:rPr>
              <w:t>294.9 </w:t>
            </w:r>
          </w:p>
        </w:tc>
        <w:tc>
          <w:tcPr>
            <w:tcW w:w="0" w:type="auto"/>
            <w:shd w:val="clear" w:color="auto" w:fill="D7E4BC"/>
            <w:tcMar>
              <w:top w:w="40" w:type="dxa"/>
              <w:left w:w="0" w:type="dxa"/>
              <w:bottom w:w="40" w:type="dxa"/>
              <w:right w:w="20" w:type="dxa"/>
            </w:tcMar>
            <w:vAlign w:val="bottom"/>
          </w:tcPr>
          <w:p w14:paraId="40CB022E" w14:textId="77777777" w:rsidR="00584FB3" w:rsidRDefault="00584FB3">
            <w:pPr>
              <w:jc w:val="right"/>
              <w:rPr>
                <w:rFonts w:ascii="宋体"/>
              </w:rPr>
            </w:pPr>
          </w:p>
        </w:tc>
      </w:tr>
      <w:tr w:rsidR="00584FB3" w14:paraId="40CB0236" w14:textId="77777777">
        <w:trPr>
          <w:jc w:val="center"/>
        </w:trPr>
        <w:tc>
          <w:tcPr>
            <w:tcW w:w="0" w:type="auto"/>
            <w:gridSpan w:val="3"/>
            <w:shd w:val="clear" w:color="auto" w:fill="FFFFFF"/>
            <w:tcMar>
              <w:top w:w="40" w:type="dxa"/>
              <w:left w:w="380" w:type="dxa"/>
              <w:bottom w:w="40" w:type="dxa"/>
              <w:right w:w="20" w:type="dxa"/>
            </w:tcMar>
          </w:tcPr>
          <w:p w14:paraId="40CB0230" w14:textId="77777777" w:rsidR="00584FB3" w:rsidRDefault="00786180">
            <w:pPr>
              <w:textAlignment w:val="top"/>
            </w:pPr>
            <w:r>
              <w:rPr>
                <w:rFonts w:ascii="Times New Roman" w:eastAsia="宋体" w:hAnsi="Times New Roman"/>
                <w:color w:val="000000"/>
                <w:sz w:val="20"/>
                <w:szCs w:val="20"/>
              </w:rPr>
              <w:t>Loss on retirement and impairment of assets</w:t>
            </w:r>
          </w:p>
        </w:tc>
        <w:tc>
          <w:tcPr>
            <w:tcW w:w="0" w:type="auto"/>
            <w:gridSpan w:val="2"/>
            <w:shd w:val="clear" w:color="auto" w:fill="FFFFFF"/>
            <w:tcMar>
              <w:top w:w="40" w:type="dxa"/>
              <w:left w:w="20" w:type="dxa"/>
              <w:bottom w:w="40" w:type="dxa"/>
              <w:right w:w="0" w:type="dxa"/>
            </w:tcMar>
            <w:vAlign w:val="bottom"/>
          </w:tcPr>
          <w:p w14:paraId="40CB0231" w14:textId="77777777" w:rsidR="00584FB3" w:rsidRDefault="00786180">
            <w:pPr>
              <w:jc w:val="right"/>
              <w:textAlignment w:val="bottom"/>
            </w:pPr>
            <w:r>
              <w:rPr>
                <w:rFonts w:ascii="Times New Roman" w:eastAsia="宋体" w:hAnsi="Times New Roman"/>
                <w:color w:val="000000"/>
                <w:sz w:val="20"/>
                <w:szCs w:val="20"/>
              </w:rPr>
              <w:t>132.6 </w:t>
            </w:r>
          </w:p>
        </w:tc>
        <w:tc>
          <w:tcPr>
            <w:tcW w:w="0" w:type="auto"/>
            <w:shd w:val="clear" w:color="auto" w:fill="FFFFFF"/>
            <w:tcMar>
              <w:top w:w="40" w:type="dxa"/>
              <w:left w:w="0" w:type="dxa"/>
              <w:bottom w:w="40" w:type="dxa"/>
              <w:right w:w="20" w:type="dxa"/>
            </w:tcMar>
            <w:vAlign w:val="bottom"/>
          </w:tcPr>
          <w:p w14:paraId="40CB023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3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34" w14:textId="77777777" w:rsidR="00584FB3" w:rsidRDefault="00786180">
            <w:pPr>
              <w:jc w:val="right"/>
              <w:textAlignment w:val="bottom"/>
            </w:pPr>
            <w:r>
              <w:rPr>
                <w:rFonts w:ascii="Times New Roman" w:eastAsia="宋体" w:hAnsi="Times New Roman"/>
                <w:color w:val="000000"/>
                <w:sz w:val="20"/>
                <w:szCs w:val="20"/>
              </w:rPr>
              <w:t>12.7 </w:t>
            </w:r>
          </w:p>
        </w:tc>
        <w:tc>
          <w:tcPr>
            <w:tcW w:w="0" w:type="auto"/>
            <w:shd w:val="clear" w:color="auto" w:fill="FFFFFF"/>
            <w:tcMar>
              <w:top w:w="40" w:type="dxa"/>
              <w:left w:w="0" w:type="dxa"/>
              <w:bottom w:w="40" w:type="dxa"/>
              <w:right w:w="20" w:type="dxa"/>
            </w:tcMar>
            <w:vAlign w:val="bottom"/>
          </w:tcPr>
          <w:p w14:paraId="40CB0235" w14:textId="77777777" w:rsidR="00584FB3" w:rsidRDefault="00584FB3">
            <w:pPr>
              <w:jc w:val="right"/>
              <w:rPr>
                <w:rFonts w:ascii="宋体"/>
              </w:rPr>
            </w:pPr>
          </w:p>
        </w:tc>
      </w:tr>
      <w:tr w:rsidR="00584FB3" w14:paraId="40CB023D" w14:textId="77777777">
        <w:trPr>
          <w:jc w:val="center"/>
        </w:trPr>
        <w:tc>
          <w:tcPr>
            <w:tcW w:w="0" w:type="auto"/>
            <w:gridSpan w:val="3"/>
            <w:shd w:val="clear" w:color="auto" w:fill="D7E4BC"/>
            <w:tcMar>
              <w:top w:w="40" w:type="dxa"/>
              <w:left w:w="380" w:type="dxa"/>
              <w:bottom w:w="40" w:type="dxa"/>
              <w:right w:w="20" w:type="dxa"/>
            </w:tcMar>
          </w:tcPr>
          <w:p w14:paraId="40CB0237" w14:textId="77777777" w:rsidR="00584FB3" w:rsidRDefault="00786180">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40CB0238" w14:textId="77777777" w:rsidR="00584FB3" w:rsidRDefault="00786180">
            <w:pPr>
              <w:jc w:val="right"/>
              <w:textAlignment w:val="bottom"/>
            </w:pPr>
            <w:r>
              <w:rPr>
                <w:rFonts w:ascii="Times New Roman" w:eastAsia="宋体" w:hAnsi="Times New Roman"/>
                <w:color w:val="000000"/>
                <w:sz w:val="20"/>
                <w:szCs w:val="20"/>
              </w:rPr>
              <w:t>(10.2)</w:t>
            </w:r>
          </w:p>
        </w:tc>
        <w:tc>
          <w:tcPr>
            <w:tcW w:w="0" w:type="auto"/>
            <w:shd w:val="clear" w:color="auto" w:fill="D7E4BC"/>
            <w:tcMar>
              <w:top w:w="40" w:type="dxa"/>
              <w:left w:w="0" w:type="dxa"/>
              <w:bottom w:w="40" w:type="dxa"/>
              <w:right w:w="20" w:type="dxa"/>
            </w:tcMar>
            <w:vAlign w:val="bottom"/>
          </w:tcPr>
          <w:p w14:paraId="40CB023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3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3B" w14:textId="77777777" w:rsidR="00584FB3" w:rsidRDefault="00786180">
            <w:pPr>
              <w:jc w:val="right"/>
              <w:textAlignment w:val="bottom"/>
            </w:pPr>
            <w:r>
              <w:rPr>
                <w:rFonts w:ascii="Times New Roman" w:eastAsia="宋体" w:hAnsi="Times New Roman"/>
                <w:color w:val="000000"/>
                <w:sz w:val="20"/>
                <w:szCs w:val="20"/>
              </w:rPr>
              <w:t>(7.6)</w:t>
            </w:r>
          </w:p>
        </w:tc>
        <w:tc>
          <w:tcPr>
            <w:tcW w:w="0" w:type="auto"/>
            <w:shd w:val="clear" w:color="auto" w:fill="D7E4BC"/>
            <w:tcMar>
              <w:top w:w="40" w:type="dxa"/>
              <w:left w:w="0" w:type="dxa"/>
              <w:bottom w:w="40" w:type="dxa"/>
              <w:right w:w="20" w:type="dxa"/>
            </w:tcMar>
            <w:vAlign w:val="bottom"/>
          </w:tcPr>
          <w:p w14:paraId="40CB023C" w14:textId="77777777" w:rsidR="00584FB3" w:rsidRDefault="00584FB3">
            <w:pPr>
              <w:jc w:val="right"/>
              <w:rPr>
                <w:rFonts w:ascii="宋体"/>
              </w:rPr>
            </w:pPr>
          </w:p>
        </w:tc>
      </w:tr>
      <w:tr w:rsidR="00584FB3" w14:paraId="40CB0242" w14:textId="77777777">
        <w:trPr>
          <w:jc w:val="center"/>
        </w:trPr>
        <w:tc>
          <w:tcPr>
            <w:tcW w:w="0" w:type="auto"/>
            <w:gridSpan w:val="3"/>
            <w:shd w:val="clear" w:color="auto" w:fill="FFFFFF"/>
            <w:tcMar>
              <w:top w:w="40" w:type="dxa"/>
              <w:left w:w="380" w:type="dxa"/>
              <w:bottom w:w="40" w:type="dxa"/>
              <w:right w:w="20" w:type="dxa"/>
            </w:tcMar>
          </w:tcPr>
          <w:p w14:paraId="40CB023E" w14:textId="77777777" w:rsidR="00584FB3" w:rsidRDefault="00786180">
            <w:pPr>
              <w:textAlignment w:val="top"/>
            </w:pPr>
            <w:r>
              <w:rPr>
                <w:rFonts w:ascii="Times New Roman" w:eastAsia="宋体" w:hAnsi="Times New Roman"/>
                <w:color w:val="000000"/>
                <w:sz w:val="20"/>
                <w:szCs w:val="20"/>
              </w:rPr>
              <w:t>Cash provided by changes in operating assets and liabilities:</w:t>
            </w:r>
          </w:p>
        </w:tc>
        <w:tc>
          <w:tcPr>
            <w:tcW w:w="0" w:type="auto"/>
            <w:gridSpan w:val="3"/>
            <w:shd w:val="clear" w:color="auto" w:fill="FFFFFF"/>
            <w:tcMar>
              <w:top w:w="0" w:type="dxa"/>
              <w:left w:w="20" w:type="dxa"/>
              <w:bottom w:w="0" w:type="dxa"/>
              <w:right w:w="20" w:type="dxa"/>
            </w:tcMar>
          </w:tcPr>
          <w:p w14:paraId="40CB023F"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24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241" w14:textId="77777777" w:rsidR="00584FB3" w:rsidRDefault="00584FB3">
            <w:pPr>
              <w:rPr>
                <w:rFonts w:ascii="宋体"/>
              </w:rPr>
            </w:pPr>
          </w:p>
        </w:tc>
      </w:tr>
      <w:tr w:rsidR="00584FB3" w14:paraId="40CB0249" w14:textId="77777777">
        <w:trPr>
          <w:jc w:val="center"/>
        </w:trPr>
        <w:tc>
          <w:tcPr>
            <w:tcW w:w="0" w:type="auto"/>
            <w:gridSpan w:val="3"/>
            <w:shd w:val="clear" w:color="auto" w:fill="D7E4BC"/>
            <w:tcMar>
              <w:top w:w="40" w:type="dxa"/>
              <w:left w:w="740" w:type="dxa"/>
              <w:bottom w:w="40" w:type="dxa"/>
              <w:right w:w="20" w:type="dxa"/>
            </w:tcMar>
          </w:tcPr>
          <w:p w14:paraId="40CB0243" w14:textId="77777777" w:rsidR="00584FB3" w:rsidRDefault="00786180">
            <w:pPr>
              <w:textAlignment w:val="top"/>
            </w:pPr>
            <w:r>
              <w:rPr>
                <w:rFonts w:ascii="Times New Roman" w:eastAsia="宋体" w:hAnsi="Times New Roman"/>
                <w:color w:val="000000"/>
                <w:sz w:val="20"/>
                <w:szCs w:val="20"/>
              </w:rPr>
              <w:t xml:space="preserve">Accounts </w:t>
            </w:r>
            <w:r>
              <w:rPr>
                <w:rFonts w:ascii="Times New Roman" w:eastAsia="宋体" w:hAnsi="Times New Roman"/>
                <w:color w:val="000000"/>
                <w:sz w:val="20"/>
                <w:szCs w:val="20"/>
              </w:rPr>
              <w:t>receivable</w:t>
            </w:r>
          </w:p>
        </w:tc>
        <w:tc>
          <w:tcPr>
            <w:tcW w:w="0" w:type="auto"/>
            <w:gridSpan w:val="2"/>
            <w:shd w:val="clear" w:color="auto" w:fill="D7E4BC"/>
            <w:tcMar>
              <w:top w:w="40" w:type="dxa"/>
              <w:left w:w="20" w:type="dxa"/>
              <w:bottom w:w="40" w:type="dxa"/>
              <w:right w:w="0" w:type="dxa"/>
            </w:tcMar>
            <w:vAlign w:val="bottom"/>
          </w:tcPr>
          <w:p w14:paraId="40CB0244" w14:textId="77777777" w:rsidR="00584FB3" w:rsidRDefault="00786180">
            <w:pPr>
              <w:jc w:val="right"/>
              <w:textAlignment w:val="bottom"/>
            </w:pPr>
            <w:r>
              <w:rPr>
                <w:rFonts w:ascii="Times New Roman" w:eastAsia="宋体" w:hAnsi="Times New Roman"/>
                <w:color w:val="000000"/>
                <w:sz w:val="20"/>
                <w:szCs w:val="20"/>
              </w:rPr>
              <w:t>19.6 </w:t>
            </w:r>
          </w:p>
        </w:tc>
        <w:tc>
          <w:tcPr>
            <w:tcW w:w="0" w:type="auto"/>
            <w:shd w:val="clear" w:color="auto" w:fill="D7E4BC"/>
            <w:tcMar>
              <w:top w:w="40" w:type="dxa"/>
              <w:left w:w="0" w:type="dxa"/>
              <w:bottom w:w="40" w:type="dxa"/>
              <w:right w:w="20" w:type="dxa"/>
            </w:tcMar>
            <w:vAlign w:val="bottom"/>
          </w:tcPr>
          <w:p w14:paraId="40CB024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4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47" w14:textId="77777777" w:rsidR="00584FB3" w:rsidRDefault="00786180">
            <w:pPr>
              <w:jc w:val="right"/>
              <w:textAlignment w:val="bottom"/>
            </w:pPr>
            <w:r>
              <w:rPr>
                <w:rFonts w:ascii="Times New Roman" w:eastAsia="宋体" w:hAnsi="Times New Roman"/>
                <w:color w:val="000000"/>
                <w:sz w:val="20"/>
                <w:szCs w:val="20"/>
              </w:rPr>
              <w:t>(22.9)</w:t>
            </w:r>
          </w:p>
        </w:tc>
        <w:tc>
          <w:tcPr>
            <w:tcW w:w="0" w:type="auto"/>
            <w:shd w:val="clear" w:color="auto" w:fill="D7E4BC"/>
            <w:tcMar>
              <w:top w:w="40" w:type="dxa"/>
              <w:left w:w="0" w:type="dxa"/>
              <w:bottom w:w="40" w:type="dxa"/>
              <w:right w:w="20" w:type="dxa"/>
            </w:tcMar>
            <w:vAlign w:val="bottom"/>
          </w:tcPr>
          <w:p w14:paraId="40CB0248" w14:textId="77777777" w:rsidR="00584FB3" w:rsidRDefault="00584FB3">
            <w:pPr>
              <w:jc w:val="right"/>
              <w:rPr>
                <w:rFonts w:ascii="宋体"/>
              </w:rPr>
            </w:pPr>
          </w:p>
        </w:tc>
      </w:tr>
      <w:tr w:rsidR="00584FB3" w14:paraId="40CB0250" w14:textId="77777777">
        <w:trPr>
          <w:jc w:val="center"/>
        </w:trPr>
        <w:tc>
          <w:tcPr>
            <w:tcW w:w="0" w:type="auto"/>
            <w:gridSpan w:val="3"/>
            <w:shd w:val="clear" w:color="auto" w:fill="FFFFFF"/>
            <w:tcMar>
              <w:top w:w="40" w:type="dxa"/>
              <w:left w:w="740" w:type="dxa"/>
              <w:bottom w:w="40" w:type="dxa"/>
              <w:right w:w="20" w:type="dxa"/>
            </w:tcMar>
          </w:tcPr>
          <w:p w14:paraId="40CB024A" w14:textId="77777777" w:rsidR="00584FB3" w:rsidRDefault="00786180">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40CB024B" w14:textId="77777777" w:rsidR="00584FB3" w:rsidRDefault="00786180">
            <w:pPr>
              <w:jc w:val="right"/>
              <w:textAlignment w:val="bottom"/>
            </w:pPr>
            <w:r>
              <w:rPr>
                <w:rFonts w:ascii="Times New Roman" w:eastAsia="宋体" w:hAnsi="Times New Roman"/>
                <w:color w:val="000000"/>
                <w:sz w:val="20"/>
                <w:szCs w:val="20"/>
              </w:rPr>
              <w:t>90.1 </w:t>
            </w:r>
          </w:p>
        </w:tc>
        <w:tc>
          <w:tcPr>
            <w:tcW w:w="0" w:type="auto"/>
            <w:shd w:val="clear" w:color="auto" w:fill="FFFFFF"/>
            <w:tcMar>
              <w:top w:w="40" w:type="dxa"/>
              <w:left w:w="0" w:type="dxa"/>
              <w:bottom w:w="40" w:type="dxa"/>
              <w:right w:w="20" w:type="dxa"/>
            </w:tcMar>
            <w:vAlign w:val="bottom"/>
          </w:tcPr>
          <w:p w14:paraId="40CB024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4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4E" w14:textId="77777777" w:rsidR="00584FB3" w:rsidRDefault="00786180">
            <w:pPr>
              <w:jc w:val="right"/>
              <w:textAlignment w:val="bottom"/>
            </w:pPr>
            <w:r>
              <w:rPr>
                <w:rFonts w:ascii="Times New Roman" w:eastAsia="宋体" w:hAnsi="Times New Roman"/>
                <w:color w:val="000000"/>
                <w:sz w:val="20"/>
                <w:szCs w:val="20"/>
              </w:rPr>
              <w:t>122.8 </w:t>
            </w:r>
          </w:p>
        </w:tc>
        <w:tc>
          <w:tcPr>
            <w:tcW w:w="0" w:type="auto"/>
            <w:shd w:val="clear" w:color="auto" w:fill="FFFFFF"/>
            <w:tcMar>
              <w:top w:w="40" w:type="dxa"/>
              <w:left w:w="0" w:type="dxa"/>
              <w:bottom w:w="40" w:type="dxa"/>
              <w:right w:w="20" w:type="dxa"/>
            </w:tcMar>
            <w:vAlign w:val="bottom"/>
          </w:tcPr>
          <w:p w14:paraId="40CB024F" w14:textId="77777777" w:rsidR="00584FB3" w:rsidRDefault="00584FB3">
            <w:pPr>
              <w:jc w:val="right"/>
              <w:rPr>
                <w:rFonts w:ascii="宋体"/>
              </w:rPr>
            </w:pPr>
          </w:p>
        </w:tc>
      </w:tr>
      <w:tr w:rsidR="00584FB3" w14:paraId="40CB0257" w14:textId="77777777">
        <w:trPr>
          <w:jc w:val="center"/>
        </w:trPr>
        <w:tc>
          <w:tcPr>
            <w:tcW w:w="0" w:type="auto"/>
            <w:gridSpan w:val="3"/>
            <w:shd w:val="clear" w:color="auto" w:fill="D7E4BC"/>
            <w:tcMar>
              <w:top w:w="40" w:type="dxa"/>
              <w:left w:w="740" w:type="dxa"/>
              <w:bottom w:w="40" w:type="dxa"/>
              <w:right w:w="20" w:type="dxa"/>
            </w:tcMar>
          </w:tcPr>
          <w:p w14:paraId="40CB0251" w14:textId="77777777" w:rsidR="00584FB3" w:rsidRDefault="00786180">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40CB0252" w14:textId="77777777" w:rsidR="00584FB3" w:rsidRDefault="00786180">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bottom"/>
          </w:tcPr>
          <w:p w14:paraId="40CB025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5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55" w14:textId="77777777" w:rsidR="00584FB3" w:rsidRDefault="00786180">
            <w:pPr>
              <w:jc w:val="right"/>
              <w:textAlignment w:val="bottom"/>
            </w:pPr>
            <w:r>
              <w:rPr>
                <w:rFonts w:ascii="Times New Roman" w:eastAsia="宋体" w:hAnsi="Times New Roman"/>
                <w:color w:val="000000"/>
                <w:sz w:val="20"/>
                <w:szCs w:val="20"/>
              </w:rPr>
              <w:t>(28.5)</w:t>
            </w:r>
          </w:p>
        </w:tc>
        <w:tc>
          <w:tcPr>
            <w:tcW w:w="0" w:type="auto"/>
            <w:shd w:val="clear" w:color="auto" w:fill="D7E4BC"/>
            <w:tcMar>
              <w:top w:w="40" w:type="dxa"/>
              <w:left w:w="0" w:type="dxa"/>
              <w:bottom w:w="40" w:type="dxa"/>
              <w:right w:w="20" w:type="dxa"/>
            </w:tcMar>
            <w:vAlign w:val="bottom"/>
          </w:tcPr>
          <w:p w14:paraId="40CB0256" w14:textId="77777777" w:rsidR="00584FB3" w:rsidRDefault="00584FB3">
            <w:pPr>
              <w:jc w:val="right"/>
              <w:rPr>
                <w:rFonts w:ascii="宋体"/>
              </w:rPr>
            </w:pPr>
          </w:p>
        </w:tc>
      </w:tr>
      <w:tr w:rsidR="00584FB3" w14:paraId="40CB025E" w14:textId="77777777">
        <w:trPr>
          <w:jc w:val="center"/>
        </w:trPr>
        <w:tc>
          <w:tcPr>
            <w:tcW w:w="0" w:type="auto"/>
            <w:gridSpan w:val="3"/>
            <w:shd w:val="clear" w:color="auto" w:fill="FFFFFF"/>
            <w:tcMar>
              <w:top w:w="40" w:type="dxa"/>
              <w:left w:w="740" w:type="dxa"/>
              <w:bottom w:w="40" w:type="dxa"/>
              <w:right w:w="20" w:type="dxa"/>
            </w:tcMar>
          </w:tcPr>
          <w:p w14:paraId="40CB0258" w14:textId="77777777" w:rsidR="00584FB3" w:rsidRDefault="00786180">
            <w:pPr>
              <w:textAlignment w:val="top"/>
            </w:pPr>
            <w:r>
              <w:rPr>
                <w:rFonts w:ascii="Times New Roman" w:eastAsia="宋体" w:hAnsi="Times New Roman"/>
                <w:color w:val="000000"/>
                <w:sz w:val="20"/>
                <w:szCs w:val="20"/>
              </w:rPr>
              <w:t>Income taxes payable</w:t>
            </w:r>
          </w:p>
        </w:tc>
        <w:tc>
          <w:tcPr>
            <w:tcW w:w="0" w:type="auto"/>
            <w:gridSpan w:val="2"/>
            <w:shd w:val="clear" w:color="auto" w:fill="FFFFFF"/>
            <w:tcMar>
              <w:top w:w="40" w:type="dxa"/>
              <w:left w:w="20" w:type="dxa"/>
              <w:bottom w:w="40" w:type="dxa"/>
              <w:right w:w="0" w:type="dxa"/>
            </w:tcMar>
            <w:vAlign w:val="bottom"/>
          </w:tcPr>
          <w:p w14:paraId="40CB0259" w14:textId="77777777" w:rsidR="00584FB3" w:rsidRDefault="00786180">
            <w:pPr>
              <w:jc w:val="right"/>
              <w:textAlignment w:val="bottom"/>
            </w:pPr>
            <w:r>
              <w:rPr>
                <w:rFonts w:ascii="Times New Roman" w:eastAsia="宋体" w:hAnsi="Times New Roman"/>
                <w:color w:val="000000"/>
                <w:sz w:val="20"/>
                <w:szCs w:val="20"/>
              </w:rPr>
              <w:t>56.9 </w:t>
            </w:r>
          </w:p>
        </w:tc>
        <w:tc>
          <w:tcPr>
            <w:tcW w:w="0" w:type="auto"/>
            <w:shd w:val="clear" w:color="auto" w:fill="FFFFFF"/>
            <w:tcMar>
              <w:top w:w="40" w:type="dxa"/>
              <w:left w:w="0" w:type="dxa"/>
              <w:bottom w:w="40" w:type="dxa"/>
              <w:right w:w="20" w:type="dxa"/>
            </w:tcMar>
            <w:vAlign w:val="bottom"/>
          </w:tcPr>
          <w:p w14:paraId="40CB025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5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5C" w14:textId="77777777" w:rsidR="00584FB3" w:rsidRDefault="00786180">
            <w:pPr>
              <w:jc w:val="right"/>
              <w:textAlignment w:val="bottom"/>
            </w:pPr>
            <w:r>
              <w:rPr>
                <w:rFonts w:ascii="Times New Roman" w:eastAsia="宋体" w:hAnsi="Times New Roman"/>
                <w:color w:val="000000"/>
                <w:sz w:val="20"/>
                <w:szCs w:val="20"/>
              </w:rPr>
              <w:t>125.1 </w:t>
            </w:r>
          </w:p>
        </w:tc>
        <w:tc>
          <w:tcPr>
            <w:tcW w:w="0" w:type="auto"/>
            <w:shd w:val="clear" w:color="auto" w:fill="FFFFFF"/>
            <w:tcMar>
              <w:top w:w="40" w:type="dxa"/>
              <w:left w:w="0" w:type="dxa"/>
              <w:bottom w:w="40" w:type="dxa"/>
              <w:right w:w="20" w:type="dxa"/>
            </w:tcMar>
            <w:vAlign w:val="bottom"/>
          </w:tcPr>
          <w:p w14:paraId="40CB025D" w14:textId="77777777" w:rsidR="00584FB3" w:rsidRDefault="00584FB3">
            <w:pPr>
              <w:jc w:val="right"/>
              <w:rPr>
                <w:rFonts w:ascii="宋体"/>
              </w:rPr>
            </w:pPr>
          </w:p>
        </w:tc>
      </w:tr>
      <w:tr w:rsidR="00584FB3" w14:paraId="40CB0265" w14:textId="77777777">
        <w:trPr>
          <w:jc w:val="center"/>
        </w:trPr>
        <w:tc>
          <w:tcPr>
            <w:tcW w:w="0" w:type="auto"/>
            <w:gridSpan w:val="3"/>
            <w:shd w:val="clear" w:color="auto" w:fill="D7E4BC"/>
            <w:tcMar>
              <w:top w:w="40" w:type="dxa"/>
              <w:left w:w="740" w:type="dxa"/>
              <w:bottom w:w="40" w:type="dxa"/>
              <w:right w:w="20" w:type="dxa"/>
            </w:tcMar>
          </w:tcPr>
          <w:p w14:paraId="40CB025F" w14:textId="77777777" w:rsidR="00584FB3" w:rsidRDefault="00786180">
            <w:pPr>
              <w:textAlignment w:val="top"/>
            </w:pPr>
            <w:r>
              <w:rPr>
                <w:rFonts w:ascii="Times New Roman" w:eastAsia="宋体" w:hAnsi="Times New Roman"/>
                <w:color w:val="000000"/>
                <w:sz w:val="20"/>
                <w:szCs w:val="20"/>
              </w:rPr>
              <w:t>Accounts payable</w:t>
            </w:r>
          </w:p>
        </w:tc>
        <w:tc>
          <w:tcPr>
            <w:tcW w:w="0" w:type="auto"/>
            <w:gridSpan w:val="2"/>
            <w:shd w:val="clear" w:color="auto" w:fill="D7E4BC"/>
            <w:tcMar>
              <w:top w:w="40" w:type="dxa"/>
              <w:left w:w="20" w:type="dxa"/>
              <w:bottom w:w="40" w:type="dxa"/>
              <w:right w:w="0" w:type="dxa"/>
            </w:tcMar>
            <w:vAlign w:val="bottom"/>
          </w:tcPr>
          <w:p w14:paraId="40CB0260" w14:textId="77777777" w:rsidR="00584FB3" w:rsidRDefault="00786180">
            <w:pPr>
              <w:jc w:val="right"/>
              <w:textAlignment w:val="bottom"/>
            </w:pPr>
            <w:r>
              <w:rPr>
                <w:rFonts w:ascii="Times New Roman" w:eastAsia="宋体" w:hAnsi="Times New Roman"/>
                <w:color w:val="000000"/>
                <w:sz w:val="20"/>
                <w:szCs w:val="20"/>
              </w:rPr>
              <w:t>24.8 </w:t>
            </w:r>
          </w:p>
        </w:tc>
        <w:tc>
          <w:tcPr>
            <w:tcW w:w="0" w:type="auto"/>
            <w:shd w:val="clear" w:color="auto" w:fill="D7E4BC"/>
            <w:tcMar>
              <w:top w:w="40" w:type="dxa"/>
              <w:left w:w="0" w:type="dxa"/>
              <w:bottom w:w="40" w:type="dxa"/>
              <w:right w:w="20" w:type="dxa"/>
            </w:tcMar>
            <w:vAlign w:val="bottom"/>
          </w:tcPr>
          <w:p w14:paraId="40CB026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6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63" w14:textId="77777777" w:rsidR="00584FB3" w:rsidRDefault="00786180">
            <w:pPr>
              <w:jc w:val="right"/>
              <w:textAlignment w:val="bottom"/>
            </w:pPr>
            <w:r>
              <w:rPr>
                <w:rFonts w:ascii="Times New Roman" w:eastAsia="宋体" w:hAnsi="Times New Roman"/>
                <w:color w:val="000000"/>
                <w:sz w:val="20"/>
                <w:szCs w:val="20"/>
              </w:rPr>
              <w:t>(110.3)</w:t>
            </w:r>
          </w:p>
        </w:tc>
        <w:tc>
          <w:tcPr>
            <w:tcW w:w="0" w:type="auto"/>
            <w:shd w:val="clear" w:color="auto" w:fill="D7E4BC"/>
            <w:tcMar>
              <w:top w:w="40" w:type="dxa"/>
              <w:left w:w="0" w:type="dxa"/>
              <w:bottom w:w="40" w:type="dxa"/>
              <w:right w:w="20" w:type="dxa"/>
            </w:tcMar>
            <w:vAlign w:val="bottom"/>
          </w:tcPr>
          <w:p w14:paraId="40CB0264" w14:textId="77777777" w:rsidR="00584FB3" w:rsidRDefault="00584FB3">
            <w:pPr>
              <w:jc w:val="right"/>
              <w:rPr>
                <w:rFonts w:ascii="宋体"/>
              </w:rPr>
            </w:pPr>
          </w:p>
        </w:tc>
      </w:tr>
      <w:tr w:rsidR="00584FB3" w14:paraId="40CB026C" w14:textId="77777777">
        <w:trPr>
          <w:jc w:val="center"/>
        </w:trPr>
        <w:tc>
          <w:tcPr>
            <w:tcW w:w="0" w:type="auto"/>
            <w:gridSpan w:val="3"/>
            <w:shd w:val="clear" w:color="auto" w:fill="FFFFFF"/>
            <w:tcMar>
              <w:top w:w="40" w:type="dxa"/>
              <w:left w:w="740" w:type="dxa"/>
              <w:bottom w:w="40" w:type="dxa"/>
              <w:right w:w="20" w:type="dxa"/>
            </w:tcMar>
          </w:tcPr>
          <w:p w14:paraId="40CB0266" w14:textId="77777777" w:rsidR="00584FB3" w:rsidRDefault="00786180">
            <w:pPr>
              <w:textAlignment w:val="top"/>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40CB0267" w14:textId="77777777" w:rsidR="00584FB3" w:rsidRDefault="00786180">
            <w:pPr>
              <w:jc w:val="right"/>
              <w:textAlignment w:val="bottom"/>
            </w:pPr>
            <w:r>
              <w:rPr>
                <w:rFonts w:ascii="Times New Roman" w:eastAsia="宋体" w:hAnsi="Times New Roman"/>
                <w:color w:val="000000"/>
                <w:sz w:val="20"/>
                <w:szCs w:val="20"/>
              </w:rPr>
              <w:t>398.9 </w:t>
            </w:r>
          </w:p>
        </w:tc>
        <w:tc>
          <w:tcPr>
            <w:tcW w:w="0" w:type="auto"/>
            <w:shd w:val="clear" w:color="auto" w:fill="FFFFFF"/>
            <w:tcMar>
              <w:top w:w="40" w:type="dxa"/>
              <w:left w:w="0" w:type="dxa"/>
              <w:bottom w:w="40" w:type="dxa"/>
              <w:right w:w="20" w:type="dxa"/>
            </w:tcMar>
            <w:vAlign w:val="bottom"/>
          </w:tcPr>
          <w:p w14:paraId="40CB026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6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6A" w14:textId="77777777" w:rsidR="00584FB3" w:rsidRDefault="00786180">
            <w:pPr>
              <w:jc w:val="right"/>
              <w:textAlignment w:val="bottom"/>
            </w:pPr>
            <w:r>
              <w:rPr>
                <w:rFonts w:ascii="Times New Roman" w:eastAsia="宋体" w:hAnsi="Times New Roman"/>
                <w:color w:val="000000"/>
                <w:sz w:val="20"/>
                <w:szCs w:val="20"/>
              </w:rPr>
              <w:t>426.7 </w:t>
            </w:r>
          </w:p>
        </w:tc>
        <w:tc>
          <w:tcPr>
            <w:tcW w:w="0" w:type="auto"/>
            <w:shd w:val="clear" w:color="auto" w:fill="FFFFFF"/>
            <w:tcMar>
              <w:top w:w="40" w:type="dxa"/>
              <w:left w:w="0" w:type="dxa"/>
              <w:bottom w:w="40" w:type="dxa"/>
              <w:right w:w="20" w:type="dxa"/>
            </w:tcMar>
            <w:vAlign w:val="bottom"/>
          </w:tcPr>
          <w:p w14:paraId="40CB026B" w14:textId="77777777" w:rsidR="00584FB3" w:rsidRDefault="00584FB3">
            <w:pPr>
              <w:jc w:val="right"/>
              <w:rPr>
                <w:rFonts w:ascii="宋体"/>
              </w:rPr>
            </w:pPr>
          </w:p>
        </w:tc>
      </w:tr>
      <w:tr w:rsidR="00584FB3" w14:paraId="40CB0273" w14:textId="77777777">
        <w:trPr>
          <w:jc w:val="center"/>
        </w:trPr>
        <w:tc>
          <w:tcPr>
            <w:tcW w:w="0" w:type="auto"/>
            <w:gridSpan w:val="3"/>
            <w:shd w:val="clear" w:color="auto" w:fill="D7E4BC"/>
            <w:tcMar>
              <w:top w:w="40" w:type="dxa"/>
              <w:left w:w="740" w:type="dxa"/>
              <w:bottom w:w="40" w:type="dxa"/>
              <w:right w:w="20" w:type="dxa"/>
            </w:tcMar>
          </w:tcPr>
          <w:p w14:paraId="40CB026D" w14:textId="77777777" w:rsidR="00584FB3" w:rsidRDefault="00786180">
            <w:pPr>
              <w:textAlignment w:val="top"/>
            </w:pPr>
            <w:r>
              <w:rPr>
                <w:rFonts w:ascii="Times New Roman" w:eastAsia="宋体" w:hAnsi="Times New Roman"/>
                <w:color w:val="000000"/>
                <w:sz w:val="20"/>
                <w:szCs w:val="20"/>
              </w:rPr>
              <w:t xml:space="preserve">Operating lease </w:t>
            </w:r>
            <w:r>
              <w:rPr>
                <w:rFonts w:ascii="Times New Roman" w:eastAsia="宋体" w:hAnsi="Times New Roman"/>
                <w:color w:val="000000"/>
                <w:sz w:val="20"/>
                <w:szCs w:val="20"/>
              </w:rPr>
              <w:t>liability</w:t>
            </w:r>
          </w:p>
        </w:tc>
        <w:tc>
          <w:tcPr>
            <w:tcW w:w="0" w:type="auto"/>
            <w:gridSpan w:val="2"/>
            <w:shd w:val="clear" w:color="auto" w:fill="D7E4BC"/>
            <w:tcMar>
              <w:top w:w="40" w:type="dxa"/>
              <w:left w:w="20" w:type="dxa"/>
              <w:bottom w:w="40" w:type="dxa"/>
              <w:right w:w="0" w:type="dxa"/>
            </w:tcMar>
            <w:vAlign w:val="bottom"/>
          </w:tcPr>
          <w:p w14:paraId="40CB026E" w14:textId="77777777" w:rsidR="00584FB3" w:rsidRDefault="00786180">
            <w:pPr>
              <w:jc w:val="right"/>
              <w:textAlignment w:val="bottom"/>
            </w:pPr>
            <w:r>
              <w:rPr>
                <w:rFonts w:ascii="Times New Roman" w:eastAsia="宋体" w:hAnsi="Times New Roman"/>
                <w:color w:val="000000"/>
                <w:sz w:val="20"/>
                <w:szCs w:val="20"/>
              </w:rPr>
              <w:t>(314.8)</w:t>
            </w:r>
          </w:p>
        </w:tc>
        <w:tc>
          <w:tcPr>
            <w:tcW w:w="0" w:type="auto"/>
            <w:shd w:val="clear" w:color="auto" w:fill="D7E4BC"/>
            <w:tcMar>
              <w:top w:w="40" w:type="dxa"/>
              <w:left w:w="0" w:type="dxa"/>
              <w:bottom w:w="40" w:type="dxa"/>
              <w:right w:w="20" w:type="dxa"/>
            </w:tcMar>
            <w:vAlign w:val="bottom"/>
          </w:tcPr>
          <w:p w14:paraId="40CB026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7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71" w14:textId="77777777" w:rsidR="00584FB3" w:rsidRDefault="00786180">
            <w:pPr>
              <w:jc w:val="right"/>
              <w:textAlignment w:val="bottom"/>
            </w:pPr>
            <w:r>
              <w:rPr>
                <w:rFonts w:ascii="Times New Roman" w:eastAsia="宋体" w:hAnsi="Times New Roman"/>
                <w:color w:val="000000"/>
                <w:sz w:val="20"/>
                <w:szCs w:val="20"/>
              </w:rPr>
              <w:t>(301.6)</w:t>
            </w:r>
          </w:p>
        </w:tc>
        <w:tc>
          <w:tcPr>
            <w:tcW w:w="0" w:type="auto"/>
            <w:shd w:val="clear" w:color="auto" w:fill="D7E4BC"/>
            <w:tcMar>
              <w:top w:w="40" w:type="dxa"/>
              <w:left w:w="0" w:type="dxa"/>
              <w:bottom w:w="40" w:type="dxa"/>
              <w:right w:w="20" w:type="dxa"/>
            </w:tcMar>
            <w:vAlign w:val="bottom"/>
          </w:tcPr>
          <w:p w14:paraId="40CB0272" w14:textId="77777777" w:rsidR="00584FB3" w:rsidRDefault="00584FB3">
            <w:pPr>
              <w:jc w:val="right"/>
              <w:rPr>
                <w:rFonts w:ascii="宋体"/>
              </w:rPr>
            </w:pPr>
          </w:p>
        </w:tc>
      </w:tr>
      <w:tr w:rsidR="00584FB3" w14:paraId="40CB027A" w14:textId="77777777">
        <w:trPr>
          <w:jc w:val="center"/>
        </w:trPr>
        <w:tc>
          <w:tcPr>
            <w:tcW w:w="0" w:type="auto"/>
            <w:gridSpan w:val="3"/>
            <w:shd w:val="clear" w:color="auto" w:fill="FFFFFF"/>
            <w:tcMar>
              <w:top w:w="40" w:type="dxa"/>
              <w:left w:w="740" w:type="dxa"/>
              <w:bottom w:w="40" w:type="dxa"/>
              <w:right w:w="20" w:type="dxa"/>
            </w:tcMar>
          </w:tcPr>
          <w:p w14:paraId="40CB0274" w14:textId="77777777" w:rsidR="00584FB3" w:rsidRDefault="00786180">
            <w:pPr>
              <w:textAlignment w:val="top"/>
            </w:pPr>
            <w:r>
              <w:rPr>
                <w:rFonts w:ascii="Times New Roman" w:eastAsia="宋体" w:hAnsi="Times New Roman"/>
                <w:color w:val="000000"/>
                <w:sz w:val="20"/>
                <w:szCs w:val="20"/>
              </w:rPr>
              <w:t>Other operating assets and liabilities</w:t>
            </w:r>
          </w:p>
        </w:tc>
        <w:tc>
          <w:tcPr>
            <w:tcW w:w="0" w:type="auto"/>
            <w:gridSpan w:val="2"/>
            <w:shd w:val="clear" w:color="auto" w:fill="FFFFFF"/>
            <w:tcMar>
              <w:top w:w="40" w:type="dxa"/>
              <w:left w:w="20" w:type="dxa"/>
              <w:bottom w:w="40" w:type="dxa"/>
              <w:right w:w="0" w:type="dxa"/>
            </w:tcMar>
            <w:vAlign w:val="bottom"/>
          </w:tcPr>
          <w:p w14:paraId="40CB0275" w14:textId="77777777" w:rsidR="00584FB3" w:rsidRDefault="00786180">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40CB027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7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78" w14:textId="77777777" w:rsidR="00584FB3" w:rsidRDefault="00786180">
            <w:pPr>
              <w:jc w:val="right"/>
              <w:textAlignment w:val="bottom"/>
            </w:pPr>
            <w:r>
              <w:rPr>
                <w:rFonts w:ascii="Times New Roman" w:eastAsia="宋体" w:hAnsi="Times New Roman"/>
                <w:color w:val="000000"/>
                <w:sz w:val="20"/>
                <w:szCs w:val="20"/>
              </w:rPr>
              <w:t>(31.8)</w:t>
            </w:r>
          </w:p>
        </w:tc>
        <w:tc>
          <w:tcPr>
            <w:tcW w:w="0" w:type="auto"/>
            <w:shd w:val="clear" w:color="auto" w:fill="FFFFFF"/>
            <w:tcMar>
              <w:top w:w="40" w:type="dxa"/>
              <w:left w:w="0" w:type="dxa"/>
              <w:bottom w:w="40" w:type="dxa"/>
              <w:right w:w="20" w:type="dxa"/>
            </w:tcMar>
            <w:vAlign w:val="bottom"/>
          </w:tcPr>
          <w:p w14:paraId="40CB0279" w14:textId="77777777" w:rsidR="00584FB3" w:rsidRDefault="00584FB3">
            <w:pPr>
              <w:jc w:val="right"/>
              <w:rPr>
                <w:rFonts w:ascii="宋体"/>
              </w:rPr>
            </w:pPr>
          </w:p>
        </w:tc>
      </w:tr>
      <w:tr w:rsidR="00584FB3" w14:paraId="40CB0281" w14:textId="77777777">
        <w:trPr>
          <w:jc w:val="center"/>
        </w:trPr>
        <w:tc>
          <w:tcPr>
            <w:tcW w:w="0" w:type="auto"/>
            <w:gridSpan w:val="3"/>
            <w:shd w:val="clear" w:color="auto" w:fill="D7E4BC"/>
            <w:tcMar>
              <w:top w:w="40" w:type="dxa"/>
              <w:left w:w="20" w:type="dxa"/>
              <w:bottom w:w="40" w:type="dxa"/>
              <w:right w:w="20" w:type="dxa"/>
            </w:tcMar>
          </w:tcPr>
          <w:p w14:paraId="40CB027B" w14:textId="77777777" w:rsidR="00584FB3" w:rsidRDefault="00786180">
            <w:pPr>
              <w:textAlignment w:val="top"/>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27C" w14:textId="77777777" w:rsidR="00584FB3" w:rsidRDefault="00786180">
            <w:pPr>
              <w:jc w:val="right"/>
              <w:textAlignment w:val="bottom"/>
            </w:pPr>
            <w:r>
              <w:rPr>
                <w:rFonts w:ascii="Times New Roman" w:eastAsia="宋体" w:hAnsi="Times New Roman"/>
                <w:color w:val="000000"/>
                <w:sz w:val="20"/>
                <w:szCs w:val="20"/>
              </w:rPr>
              <w:t>1,835.7 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27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7E"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027F" w14:textId="77777777" w:rsidR="00584FB3" w:rsidRDefault="00786180">
            <w:pPr>
              <w:jc w:val="right"/>
              <w:textAlignment w:val="bottom"/>
            </w:pPr>
            <w:r>
              <w:rPr>
                <w:rFonts w:ascii="Times New Roman" w:eastAsia="宋体" w:hAnsi="Times New Roman"/>
                <w:color w:val="000000"/>
                <w:sz w:val="20"/>
                <w:szCs w:val="20"/>
              </w:rPr>
              <w:t>1,836.1 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280" w14:textId="77777777" w:rsidR="00584FB3" w:rsidRDefault="00584FB3">
            <w:pPr>
              <w:jc w:val="right"/>
              <w:rPr>
                <w:rFonts w:ascii="宋体"/>
              </w:rPr>
            </w:pPr>
          </w:p>
        </w:tc>
      </w:tr>
      <w:tr w:rsidR="00584FB3" w14:paraId="40CB0286" w14:textId="77777777">
        <w:trPr>
          <w:jc w:val="center"/>
        </w:trPr>
        <w:tc>
          <w:tcPr>
            <w:tcW w:w="0" w:type="auto"/>
            <w:gridSpan w:val="3"/>
            <w:shd w:val="clear" w:color="auto" w:fill="FFFFFF"/>
            <w:tcMar>
              <w:top w:w="40" w:type="dxa"/>
              <w:left w:w="20" w:type="dxa"/>
              <w:bottom w:w="40" w:type="dxa"/>
              <w:right w:w="20" w:type="dxa"/>
            </w:tcMar>
            <w:vAlign w:val="bottom"/>
          </w:tcPr>
          <w:p w14:paraId="40CB0282" w14:textId="77777777" w:rsidR="00584FB3" w:rsidRDefault="00786180">
            <w:pPr>
              <w:textAlignment w:val="bottom"/>
            </w:pPr>
            <w:r>
              <w:rPr>
                <w:rFonts w:ascii="Times New Roman" w:eastAsia="宋体" w:hAnsi="Times New Roman"/>
                <w:color w:val="000000"/>
                <w:sz w:val="20"/>
                <w:szCs w:val="20"/>
              </w:rPr>
              <w:t>INVESTING ACTIVITIES:</w:t>
            </w:r>
          </w:p>
        </w:tc>
        <w:tc>
          <w:tcPr>
            <w:tcW w:w="0" w:type="auto"/>
            <w:gridSpan w:val="3"/>
            <w:shd w:val="clear" w:color="auto" w:fill="FFFFFF"/>
            <w:tcMar>
              <w:top w:w="0" w:type="dxa"/>
              <w:left w:w="20" w:type="dxa"/>
              <w:bottom w:w="0" w:type="dxa"/>
              <w:right w:w="20" w:type="dxa"/>
            </w:tcMar>
          </w:tcPr>
          <w:p w14:paraId="40CB0283"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284"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285" w14:textId="77777777" w:rsidR="00584FB3" w:rsidRDefault="00584FB3">
            <w:pPr>
              <w:rPr>
                <w:rFonts w:ascii="宋体"/>
              </w:rPr>
            </w:pPr>
          </w:p>
        </w:tc>
      </w:tr>
      <w:tr w:rsidR="00584FB3" w14:paraId="40CB028D" w14:textId="77777777">
        <w:trPr>
          <w:jc w:val="center"/>
        </w:trPr>
        <w:tc>
          <w:tcPr>
            <w:tcW w:w="0" w:type="auto"/>
            <w:gridSpan w:val="3"/>
            <w:shd w:val="clear" w:color="auto" w:fill="D7E4BC"/>
            <w:tcMar>
              <w:top w:w="40" w:type="dxa"/>
              <w:left w:w="20" w:type="dxa"/>
              <w:bottom w:w="40" w:type="dxa"/>
              <w:right w:w="20" w:type="dxa"/>
            </w:tcMar>
          </w:tcPr>
          <w:p w14:paraId="40CB0287" w14:textId="77777777" w:rsidR="00584FB3" w:rsidRDefault="00786180">
            <w:pPr>
              <w:textAlignment w:val="top"/>
            </w:pPr>
            <w:r>
              <w:rPr>
                <w:rFonts w:ascii="Times New Roman" w:eastAsia="宋体" w:hAnsi="Times New Roman"/>
                <w:color w:val="000000"/>
                <w:sz w:val="20"/>
                <w:szCs w:val="20"/>
              </w:rPr>
              <w:t>Purchases of investments</w:t>
            </w:r>
          </w:p>
        </w:tc>
        <w:tc>
          <w:tcPr>
            <w:tcW w:w="0" w:type="auto"/>
            <w:gridSpan w:val="2"/>
            <w:shd w:val="clear" w:color="auto" w:fill="D7E4BC"/>
            <w:tcMar>
              <w:top w:w="40" w:type="dxa"/>
              <w:left w:w="20" w:type="dxa"/>
              <w:bottom w:w="40" w:type="dxa"/>
              <w:right w:w="0" w:type="dxa"/>
            </w:tcMar>
            <w:vAlign w:val="bottom"/>
          </w:tcPr>
          <w:p w14:paraId="40CB0288" w14:textId="77777777" w:rsidR="00584FB3" w:rsidRDefault="00786180">
            <w:pPr>
              <w:jc w:val="right"/>
              <w:textAlignment w:val="bottom"/>
            </w:pPr>
            <w:r>
              <w:rPr>
                <w:rFonts w:ascii="Times New Roman" w:eastAsia="宋体" w:hAnsi="Times New Roman"/>
                <w:color w:val="000000"/>
                <w:sz w:val="20"/>
                <w:szCs w:val="20"/>
              </w:rPr>
              <w:t>(135.5)</w:t>
            </w:r>
          </w:p>
        </w:tc>
        <w:tc>
          <w:tcPr>
            <w:tcW w:w="0" w:type="auto"/>
            <w:shd w:val="clear" w:color="auto" w:fill="D7E4BC"/>
            <w:tcMar>
              <w:top w:w="40" w:type="dxa"/>
              <w:left w:w="0" w:type="dxa"/>
              <w:bottom w:w="40" w:type="dxa"/>
              <w:right w:w="20" w:type="dxa"/>
            </w:tcMar>
            <w:vAlign w:val="bottom"/>
          </w:tcPr>
          <w:p w14:paraId="40CB028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8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8B" w14:textId="77777777" w:rsidR="00584FB3" w:rsidRDefault="00786180">
            <w:pPr>
              <w:jc w:val="right"/>
              <w:textAlignment w:val="bottom"/>
            </w:pPr>
            <w:r>
              <w:rPr>
                <w:rFonts w:ascii="Times New Roman" w:eastAsia="宋体" w:hAnsi="Times New Roman"/>
                <w:color w:val="000000"/>
                <w:sz w:val="20"/>
                <w:szCs w:val="20"/>
              </w:rPr>
              <w:t>(38.0)</w:t>
            </w:r>
          </w:p>
        </w:tc>
        <w:tc>
          <w:tcPr>
            <w:tcW w:w="0" w:type="auto"/>
            <w:shd w:val="clear" w:color="auto" w:fill="D7E4BC"/>
            <w:tcMar>
              <w:top w:w="40" w:type="dxa"/>
              <w:left w:w="0" w:type="dxa"/>
              <w:bottom w:w="40" w:type="dxa"/>
              <w:right w:w="20" w:type="dxa"/>
            </w:tcMar>
            <w:vAlign w:val="bottom"/>
          </w:tcPr>
          <w:p w14:paraId="40CB028C" w14:textId="77777777" w:rsidR="00584FB3" w:rsidRDefault="00584FB3">
            <w:pPr>
              <w:jc w:val="right"/>
              <w:rPr>
                <w:rFonts w:ascii="宋体"/>
              </w:rPr>
            </w:pPr>
          </w:p>
        </w:tc>
      </w:tr>
      <w:tr w:rsidR="00584FB3" w14:paraId="40CB0294" w14:textId="77777777">
        <w:trPr>
          <w:jc w:val="center"/>
        </w:trPr>
        <w:tc>
          <w:tcPr>
            <w:tcW w:w="0" w:type="auto"/>
            <w:gridSpan w:val="3"/>
            <w:shd w:val="clear" w:color="auto" w:fill="FFFFFF"/>
            <w:tcMar>
              <w:top w:w="40" w:type="dxa"/>
              <w:left w:w="20" w:type="dxa"/>
              <w:bottom w:w="40" w:type="dxa"/>
              <w:right w:w="20" w:type="dxa"/>
            </w:tcMar>
          </w:tcPr>
          <w:p w14:paraId="40CB028E" w14:textId="77777777" w:rsidR="00584FB3" w:rsidRDefault="00786180">
            <w:pPr>
              <w:textAlignment w:val="top"/>
            </w:pPr>
            <w:r>
              <w:rPr>
                <w:rFonts w:ascii="Times New Roman" w:eastAsia="宋体" w:hAnsi="Times New Roman"/>
                <w:color w:val="000000"/>
                <w:sz w:val="20"/>
                <w:szCs w:val="20"/>
              </w:rPr>
              <w:t>Sales of investments</w:t>
            </w:r>
          </w:p>
        </w:tc>
        <w:tc>
          <w:tcPr>
            <w:tcW w:w="0" w:type="auto"/>
            <w:gridSpan w:val="2"/>
            <w:shd w:val="clear" w:color="auto" w:fill="FFFFFF"/>
            <w:tcMar>
              <w:top w:w="40" w:type="dxa"/>
              <w:left w:w="20" w:type="dxa"/>
              <w:bottom w:w="40" w:type="dxa"/>
              <w:right w:w="0" w:type="dxa"/>
            </w:tcMar>
            <w:vAlign w:val="bottom"/>
          </w:tcPr>
          <w:p w14:paraId="40CB028F" w14:textId="77777777" w:rsidR="00584FB3" w:rsidRDefault="00786180">
            <w:pPr>
              <w:jc w:val="right"/>
              <w:textAlignment w:val="bottom"/>
            </w:pPr>
            <w:r>
              <w:rPr>
                <w:rFonts w:ascii="Times New Roman" w:eastAsia="宋体" w:hAnsi="Times New Roman"/>
                <w:color w:val="000000"/>
                <w:sz w:val="20"/>
                <w:szCs w:val="20"/>
              </w:rPr>
              <w:t>91.2 </w:t>
            </w:r>
          </w:p>
        </w:tc>
        <w:tc>
          <w:tcPr>
            <w:tcW w:w="0" w:type="auto"/>
            <w:shd w:val="clear" w:color="auto" w:fill="FFFFFF"/>
            <w:tcMar>
              <w:top w:w="40" w:type="dxa"/>
              <w:left w:w="0" w:type="dxa"/>
              <w:bottom w:w="40" w:type="dxa"/>
              <w:right w:w="20" w:type="dxa"/>
            </w:tcMar>
            <w:vAlign w:val="bottom"/>
          </w:tcPr>
          <w:p w14:paraId="40CB029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9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92" w14:textId="77777777" w:rsidR="00584FB3" w:rsidRDefault="00786180">
            <w:pPr>
              <w:jc w:val="right"/>
              <w:textAlignment w:val="bottom"/>
            </w:pPr>
            <w:r>
              <w:rPr>
                <w:rFonts w:ascii="Times New Roman" w:eastAsia="宋体" w:hAnsi="Times New Roman"/>
                <w:color w:val="000000"/>
                <w:sz w:val="20"/>
                <w:szCs w:val="20"/>
              </w:rPr>
              <w:t>64.6 </w:t>
            </w:r>
          </w:p>
        </w:tc>
        <w:tc>
          <w:tcPr>
            <w:tcW w:w="0" w:type="auto"/>
            <w:shd w:val="clear" w:color="auto" w:fill="FFFFFF"/>
            <w:tcMar>
              <w:top w:w="40" w:type="dxa"/>
              <w:left w:w="0" w:type="dxa"/>
              <w:bottom w:w="40" w:type="dxa"/>
              <w:right w:w="20" w:type="dxa"/>
            </w:tcMar>
            <w:vAlign w:val="bottom"/>
          </w:tcPr>
          <w:p w14:paraId="40CB0293" w14:textId="77777777" w:rsidR="00584FB3" w:rsidRDefault="00584FB3">
            <w:pPr>
              <w:jc w:val="right"/>
              <w:rPr>
                <w:rFonts w:ascii="宋体"/>
              </w:rPr>
            </w:pPr>
          </w:p>
        </w:tc>
      </w:tr>
      <w:tr w:rsidR="00584FB3" w14:paraId="40CB029B" w14:textId="77777777">
        <w:trPr>
          <w:jc w:val="center"/>
        </w:trPr>
        <w:tc>
          <w:tcPr>
            <w:tcW w:w="0" w:type="auto"/>
            <w:gridSpan w:val="3"/>
            <w:shd w:val="clear" w:color="auto" w:fill="D7E4BC"/>
            <w:tcMar>
              <w:top w:w="40" w:type="dxa"/>
              <w:left w:w="20" w:type="dxa"/>
              <w:bottom w:w="40" w:type="dxa"/>
              <w:right w:w="20" w:type="dxa"/>
            </w:tcMar>
          </w:tcPr>
          <w:p w14:paraId="40CB0295" w14:textId="77777777" w:rsidR="00584FB3" w:rsidRDefault="00786180">
            <w:pPr>
              <w:textAlignment w:val="top"/>
            </w:pPr>
            <w:r>
              <w:rPr>
                <w:rFonts w:ascii="Times New Roman" w:eastAsia="宋体" w:hAnsi="Times New Roman"/>
                <w:color w:val="000000"/>
                <w:sz w:val="20"/>
                <w:szCs w:val="20"/>
              </w:rPr>
              <w:t>Maturities and calls of investments</w:t>
            </w:r>
          </w:p>
        </w:tc>
        <w:tc>
          <w:tcPr>
            <w:tcW w:w="0" w:type="auto"/>
            <w:gridSpan w:val="2"/>
            <w:shd w:val="clear" w:color="auto" w:fill="D7E4BC"/>
            <w:tcMar>
              <w:top w:w="40" w:type="dxa"/>
              <w:left w:w="20" w:type="dxa"/>
              <w:bottom w:w="40" w:type="dxa"/>
              <w:right w:w="0" w:type="dxa"/>
            </w:tcMar>
            <w:vAlign w:val="bottom"/>
          </w:tcPr>
          <w:p w14:paraId="40CB0296" w14:textId="77777777" w:rsidR="00584FB3" w:rsidRDefault="00786180">
            <w:pPr>
              <w:jc w:val="right"/>
              <w:textAlignment w:val="bottom"/>
            </w:pPr>
            <w:r>
              <w:rPr>
                <w:rFonts w:ascii="Times New Roman" w:eastAsia="宋体" w:hAnsi="Times New Roman"/>
                <w:color w:val="000000"/>
                <w:sz w:val="20"/>
                <w:szCs w:val="20"/>
              </w:rPr>
              <w:t>113.7 </w:t>
            </w:r>
          </w:p>
        </w:tc>
        <w:tc>
          <w:tcPr>
            <w:tcW w:w="0" w:type="auto"/>
            <w:shd w:val="clear" w:color="auto" w:fill="D7E4BC"/>
            <w:tcMar>
              <w:top w:w="40" w:type="dxa"/>
              <w:left w:w="0" w:type="dxa"/>
              <w:bottom w:w="40" w:type="dxa"/>
              <w:right w:w="20" w:type="dxa"/>
            </w:tcMar>
            <w:vAlign w:val="bottom"/>
          </w:tcPr>
          <w:p w14:paraId="40CB029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9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99" w14:textId="77777777" w:rsidR="00584FB3" w:rsidRDefault="00786180">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40CB029A" w14:textId="77777777" w:rsidR="00584FB3" w:rsidRDefault="00584FB3">
            <w:pPr>
              <w:jc w:val="right"/>
              <w:rPr>
                <w:rFonts w:ascii="宋体"/>
              </w:rPr>
            </w:pPr>
          </w:p>
        </w:tc>
      </w:tr>
      <w:tr w:rsidR="00584FB3" w14:paraId="40CB02A0" w14:textId="77777777">
        <w:trPr>
          <w:jc w:val="center"/>
          <w:hidden/>
        </w:trPr>
        <w:tc>
          <w:tcPr>
            <w:tcW w:w="0" w:type="auto"/>
            <w:gridSpan w:val="3"/>
            <w:shd w:val="clear" w:color="auto" w:fill="auto"/>
          </w:tcPr>
          <w:p w14:paraId="40CB029C" w14:textId="77777777" w:rsidR="00584FB3" w:rsidRDefault="00584FB3">
            <w:pPr>
              <w:rPr>
                <w:rFonts w:ascii="宋体"/>
                <w:vanish/>
              </w:rPr>
            </w:pPr>
          </w:p>
        </w:tc>
        <w:tc>
          <w:tcPr>
            <w:tcW w:w="0" w:type="auto"/>
            <w:gridSpan w:val="3"/>
            <w:shd w:val="clear" w:color="auto" w:fill="auto"/>
          </w:tcPr>
          <w:p w14:paraId="40CB029D" w14:textId="77777777" w:rsidR="00584FB3" w:rsidRDefault="00584FB3">
            <w:pPr>
              <w:rPr>
                <w:rFonts w:ascii="宋体"/>
                <w:vanish/>
              </w:rPr>
            </w:pPr>
          </w:p>
        </w:tc>
        <w:tc>
          <w:tcPr>
            <w:tcW w:w="0" w:type="auto"/>
            <w:gridSpan w:val="3"/>
            <w:shd w:val="clear" w:color="auto" w:fill="auto"/>
          </w:tcPr>
          <w:p w14:paraId="40CB029E" w14:textId="77777777" w:rsidR="00584FB3" w:rsidRDefault="00584FB3">
            <w:pPr>
              <w:rPr>
                <w:rFonts w:ascii="宋体"/>
                <w:vanish/>
              </w:rPr>
            </w:pPr>
          </w:p>
        </w:tc>
        <w:tc>
          <w:tcPr>
            <w:tcW w:w="0" w:type="auto"/>
            <w:gridSpan w:val="3"/>
            <w:shd w:val="clear" w:color="auto" w:fill="auto"/>
          </w:tcPr>
          <w:p w14:paraId="40CB029F" w14:textId="77777777" w:rsidR="00584FB3" w:rsidRDefault="00584FB3">
            <w:pPr>
              <w:rPr>
                <w:rFonts w:ascii="宋体"/>
                <w:vanish/>
              </w:rPr>
            </w:pPr>
          </w:p>
        </w:tc>
      </w:tr>
      <w:tr w:rsidR="00584FB3" w14:paraId="40CB02A7" w14:textId="77777777">
        <w:trPr>
          <w:jc w:val="center"/>
        </w:trPr>
        <w:tc>
          <w:tcPr>
            <w:tcW w:w="0" w:type="auto"/>
            <w:gridSpan w:val="3"/>
            <w:shd w:val="clear" w:color="auto" w:fill="FFFFFF"/>
            <w:tcMar>
              <w:top w:w="40" w:type="dxa"/>
              <w:left w:w="20" w:type="dxa"/>
              <w:bottom w:w="40" w:type="dxa"/>
              <w:right w:w="20" w:type="dxa"/>
            </w:tcMar>
          </w:tcPr>
          <w:p w14:paraId="40CB02A1" w14:textId="77777777" w:rsidR="00584FB3" w:rsidRDefault="00786180">
            <w:pPr>
              <w:textAlignment w:val="top"/>
            </w:pPr>
            <w:r>
              <w:rPr>
                <w:rFonts w:ascii="Times New Roman" w:eastAsia="宋体" w:hAnsi="Times New Roman"/>
                <w:color w:val="000000"/>
                <w:sz w:val="20"/>
                <w:szCs w:val="20"/>
              </w:rPr>
              <w:t>Additions to property, plant and equipment</w:t>
            </w:r>
          </w:p>
        </w:tc>
        <w:tc>
          <w:tcPr>
            <w:tcW w:w="0" w:type="auto"/>
            <w:gridSpan w:val="2"/>
            <w:shd w:val="clear" w:color="auto" w:fill="FFFFFF"/>
            <w:tcMar>
              <w:top w:w="40" w:type="dxa"/>
              <w:left w:w="20" w:type="dxa"/>
              <w:bottom w:w="40" w:type="dxa"/>
              <w:right w:w="0" w:type="dxa"/>
            </w:tcMar>
            <w:vAlign w:val="bottom"/>
          </w:tcPr>
          <w:p w14:paraId="40CB02A2" w14:textId="77777777" w:rsidR="00584FB3" w:rsidRDefault="00786180">
            <w:pPr>
              <w:jc w:val="right"/>
              <w:textAlignment w:val="bottom"/>
            </w:pPr>
            <w:r>
              <w:rPr>
                <w:rFonts w:ascii="Times New Roman" w:eastAsia="宋体" w:hAnsi="Times New Roman"/>
                <w:color w:val="000000"/>
                <w:sz w:val="20"/>
                <w:szCs w:val="20"/>
              </w:rPr>
              <w:t>(324.2)</w:t>
            </w:r>
          </w:p>
        </w:tc>
        <w:tc>
          <w:tcPr>
            <w:tcW w:w="0" w:type="auto"/>
            <w:shd w:val="clear" w:color="auto" w:fill="FFFFFF"/>
            <w:tcMar>
              <w:top w:w="40" w:type="dxa"/>
              <w:left w:w="0" w:type="dxa"/>
              <w:bottom w:w="40" w:type="dxa"/>
              <w:right w:w="20" w:type="dxa"/>
            </w:tcMar>
            <w:vAlign w:val="bottom"/>
          </w:tcPr>
          <w:p w14:paraId="40CB02A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A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A5" w14:textId="77777777" w:rsidR="00584FB3" w:rsidRDefault="00786180">
            <w:pPr>
              <w:jc w:val="right"/>
              <w:textAlignment w:val="bottom"/>
            </w:pPr>
            <w:r>
              <w:rPr>
                <w:rFonts w:ascii="Times New Roman" w:eastAsia="宋体" w:hAnsi="Times New Roman"/>
                <w:color w:val="000000"/>
                <w:sz w:val="20"/>
                <w:szCs w:val="20"/>
              </w:rPr>
              <w:t>(394.3)</w:t>
            </w:r>
          </w:p>
        </w:tc>
        <w:tc>
          <w:tcPr>
            <w:tcW w:w="0" w:type="auto"/>
            <w:shd w:val="clear" w:color="auto" w:fill="FFFFFF"/>
            <w:tcMar>
              <w:top w:w="40" w:type="dxa"/>
              <w:left w:w="0" w:type="dxa"/>
              <w:bottom w:w="40" w:type="dxa"/>
              <w:right w:w="20" w:type="dxa"/>
            </w:tcMar>
            <w:vAlign w:val="bottom"/>
          </w:tcPr>
          <w:p w14:paraId="40CB02A6" w14:textId="77777777" w:rsidR="00584FB3" w:rsidRDefault="00584FB3">
            <w:pPr>
              <w:jc w:val="right"/>
              <w:rPr>
                <w:rFonts w:ascii="宋体"/>
              </w:rPr>
            </w:pPr>
          </w:p>
        </w:tc>
      </w:tr>
      <w:tr w:rsidR="00584FB3" w14:paraId="40CB02AC" w14:textId="77777777">
        <w:trPr>
          <w:jc w:val="center"/>
          <w:hidden/>
        </w:trPr>
        <w:tc>
          <w:tcPr>
            <w:tcW w:w="0" w:type="auto"/>
            <w:gridSpan w:val="3"/>
            <w:shd w:val="clear" w:color="auto" w:fill="auto"/>
          </w:tcPr>
          <w:p w14:paraId="40CB02A8" w14:textId="77777777" w:rsidR="00584FB3" w:rsidRDefault="00584FB3">
            <w:pPr>
              <w:rPr>
                <w:rFonts w:ascii="宋体"/>
                <w:vanish/>
              </w:rPr>
            </w:pPr>
          </w:p>
        </w:tc>
        <w:tc>
          <w:tcPr>
            <w:tcW w:w="0" w:type="auto"/>
            <w:gridSpan w:val="3"/>
            <w:shd w:val="clear" w:color="auto" w:fill="auto"/>
          </w:tcPr>
          <w:p w14:paraId="40CB02A9" w14:textId="77777777" w:rsidR="00584FB3" w:rsidRDefault="00584FB3">
            <w:pPr>
              <w:rPr>
                <w:rFonts w:ascii="宋体"/>
                <w:vanish/>
              </w:rPr>
            </w:pPr>
          </w:p>
        </w:tc>
        <w:tc>
          <w:tcPr>
            <w:tcW w:w="0" w:type="auto"/>
            <w:gridSpan w:val="3"/>
            <w:shd w:val="clear" w:color="auto" w:fill="auto"/>
          </w:tcPr>
          <w:p w14:paraId="40CB02AA" w14:textId="77777777" w:rsidR="00584FB3" w:rsidRDefault="00584FB3">
            <w:pPr>
              <w:rPr>
                <w:rFonts w:ascii="宋体"/>
                <w:vanish/>
              </w:rPr>
            </w:pPr>
          </w:p>
        </w:tc>
        <w:tc>
          <w:tcPr>
            <w:tcW w:w="0" w:type="auto"/>
            <w:gridSpan w:val="3"/>
            <w:shd w:val="clear" w:color="auto" w:fill="auto"/>
          </w:tcPr>
          <w:p w14:paraId="40CB02AB" w14:textId="77777777" w:rsidR="00584FB3" w:rsidRDefault="00584FB3">
            <w:pPr>
              <w:rPr>
                <w:rFonts w:ascii="宋体"/>
                <w:vanish/>
              </w:rPr>
            </w:pPr>
          </w:p>
        </w:tc>
      </w:tr>
      <w:tr w:rsidR="00584FB3" w14:paraId="40CB02B1" w14:textId="77777777">
        <w:trPr>
          <w:jc w:val="center"/>
          <w:hidden/>
        </w:trPr>
        <w:tc>
          <w:tcPr>
            <w:tcW w:w="0" w:type="auto"/>
            <w:gridSpan w:val="3"/>
            <w:shd w:val="clear" w:color="auto" w:fill="auto"/>
          </w:tcPr>
          <w:p w14:paraId="40CB02AD" w14:textId="77777777" w:rsidR="00584FB3" w:rsidRDefault="00584FB3">
            <w:pPr>
              <w:rPr>
                <w:rFonts w:ascii="宋体"/>
                <w:vanish/>
              </w:rPr>
            </w:pPr>
          </w:p>
        </w:tc>
        <w:tc>
          <w:tcPr>
            <w:tcW w:w="0" w:type="auto"/>
            <w:gridSpan w:val="3"/>
            <w:shd w:val="clear" w:color="auto" w:fill="auto"/>
          </w:tcPr>
          <w:p w14:paraId="40CB02AE" w14:textId="77777777" w:rsidR="00584FB3" w:rsidRDefault="00584FB3">
            <w:pPr>
              <w:rPr>
                <w:rFonts w:ascii="宋体"/>
                <w:vanish/>
              </w:rPr>
            </w:pPr>
          </w:p>
        </w:tc>
        <w:tc>
          <w:tcPr>
            <w:tcW w:w="0" w:type="auto"/>
            <w:gridSpan w:val="3"/>
            <w:shd w:val="clear" w:color="auto" w:fill="auto"/>
          </w:tcPr>
          <w:p w14:paraId="40CB02AF" w14:textId="77777777" w:rsidR="00584FB3" w:rsidRDefault="00584FB3">
            <w:pPr>
              <w:rPr>
                <w:rFonts w:ascii="宋体"/>
                <w:vanish/>
              </w:rPr>
            </w:pPr>
          </w:p>
        </w:tc>
        <w:tc>
          <w:tcPr>
            <w:tcW w:w="0" w:type="auto"/>
            <w:gridSpan w:val="3"/>
            <w:shd w:val="clear" w:color="auto" w:fill="auto"/>
          </w:tcPr>
          <w:p w14:paraId="40CB02B0" w14:textId="77777777" w:rsidR="00584FB3" w:rsidRDefault="00584FB3">
            <w:pPr>
              <w:rPr>
                <w:rFonts w:ascii="宋体"/>
                <w:vanish/>
              </w:rPr>
            </w:pPr>
          </w:p>
        </w:tc>
      </w:tr>
      <w:tr w:rsidR="00584FB3" w14:paraId="40CB02B8" w14:textId="77777777">
        <w:trPr>
          <w:jc w:val="center"/>
        </w:trPr>
        <w:tc>
          <w:tcPr>
            <w:tcW w:w="0" w:type="auto"/>
            <w:gridSpan w:val="3"/>
            <w:shd w:val="clear" w:color="auto" w:fill="D7E4BC"/>
            <w:tcMar>
              <w:top w:w="40" w:type="dxa"/>
              <w:left w:w="20" w:type="dxa"/>
              <w:bottom w:w="40" w:type="dxa"/>
              <w:right w:w="20" w:type="dxa"/>
            </w:tcMar>
          </w:tcPr>
          <w:p w14:paraId="40CB02B2" w14:textId="77777777" w:rsidR="00584FB3" w:rsidRDefault="00786180">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40CB02B3" w14:textId="77777777" w:rsidR="00584FB3" w:rsidRDefault="00786180">
            <w:pPr>
              <w:jc w:val="right"/>
              <w:textAlignment w:val="bottom"/>
            </w:pPr>
            <w:r>
              <w:rPr>
                <w:rFonts w:ascii="Times New Roman" w:eastAsia="宋体" w:hAnsi="Times New Roman"/>
                <w:color w:val="000000"/>
                <w:sz w:val="20"/>
                <w:szCs w:val="20"/>
              </w:rPr>
              <w:t>(17.7)</w:t>
            </w:r>
          </w:p>
        </w:tc>
        <w:tc>
          <w:tcPr>
            <w:tcW w:w="0" w:type="auto"/>
            <w:shd w:val="clear" w:color="auto" w:fill="D7E4BC"/>
            <w:tcMar>
              <w:top w:w="40" w:type="dxa"/>
              <w:left w:w="0" w:type="dxa"/>
              <w:bottom w:w="40" w:type="dxa"/>
              <w:right w:w="20" w:type="dxa"/>
            </w:tcMar>
            <w:vAlign w:val="bottom"/>
          </w:tcPr>
          <w:p w14:paraId="40CB02B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B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B6" w14:textId="77777777" w:rsidR="00584FB3" w:rsidRDefault="00786180">
            <w:pPr>
              <w:jc w:val="right"/>
              <w:textAlignment w:val="bottom"/>
            </w:pPr>
            <w:r>
              <w:rPr>
                <w:rFonts w:ascii="Times New Roman" w:eastAsia="宋体" w:hAnsi="Times New Roman"/>
                <w:color w:val="000000"/>
                <w:sz w:val="20"/>
                <w:szCs w:val="20"/>
              </w:rPr>
              <w:t>(19.9)</w:t>
            </w:r>
          </w:p>
        </w:tc>
        <w:tc>
          <w:tcPr>
            <w:tcW w:w="0" w:type="auto"/>
            <w:shd w:val="clear" w:color="auto" w:fill="D7E4BC"/>
            <w:tcMar>
              <w:top w:w="40" w:type="dxa"/>
              <w:left w:w="0" w:type="dxa"/>
              <w:bottom w:w="40" w:type="dxa"/>
              <w:right w:w="20" w:type="dxa"/>
            </w:tcMar>
            <w:vAlign w:val="bottom"/>
          </w:tcPr>
          <w:p w14:paraId="40CB02B7" w14:textId="77777777" w:rsidR="00584FB3" w:rsidRDefault="00584FB3">
            <w:pPr>
              <w:jc w:val="right"/>
              <w:rPr>
                <w:rFonts w:ascii="宋体"/>
              </w:rPr>
            </w:pPr>
          </w:p>
        </w:tc>
      </w:tr>
      <w:tr w:rsidR="00584FB3" w14:paraId="40CB02BF" w14:textId="77777777">
        <w:trPr>
          <w:jc w:val="center"/>
        </w:trPr>
        <w:tc>
          <w:tcPr>
            <w:tcW w:w="0" w:type="auto"/>
            <w:gridSpan w:val="3"/>
            <w:shd w:val="clear" w:color="auto" w:fill="FFFFFF"/>
            <w:tcMar>
              <w:top w:w="40" w:type="dxa"/>
              <w:left w:w="20" w:type="dxa"/>
              <w:bottom w:w="40" w:type="dxa"/>
              <w:right w:w="20" w:type="dxa"/>
            </w:tcMar>
          </w:tcPr>
          <w:p w14:paraId="40CB02B9" w14:textId="77777777" w:rsidR="00584FB3" w:rsidRDefault="00786180">
            <w:pPr>
              <w:textAlignment w:val="top"/>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2BA" w14:textId="77777777" w:rsidR="00584FB3" w:rsidRDefault="00786180">
            <w:pPr>
              <w:jc w:val="right"/>
              <w:textAlignment w:val="bottom"/>
            </w:pPr>
            <w:r>
              <w:rPr>
                <w:rFonts w:ascii="Times New Roman" w:eastAsia="宋体" w:hAnsi="Times New Roman"/>
                <w:color w:val="000000"/>
                <w:sz w:val="20"/>
                <w:szCs w:val="20"/>
              </w:rPr>
              <w:t>(272.5)</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2B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BC"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2BD" w14:textId="77777777" w:rsidR="00584FB3" w:rsidRDefault="00786180">
            <w:pPr>
              <w:jc w:val="right"/>
              <w:textAlignment w:val="bottom"/>
            </w:pPr>
            <w:r>
              <w:rPr>
                <w:rFonts w:ascii="Times New Roman" w:eastAsia="宋体" w:hAnsi="Times New Roman"/>
                <w:color w:val="000000"/>
                <w:sz w:val="20"/>
                <w:szCs w:val="20"/>
              </w:rPr>
              <w:t>(386.3)</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2BE" w14:textId="77777777" w:rsidR="00584FB3" w:rsidRDefault="00584FB3">
            <w:pPr>
              <w:jc w:val="right"/>
              <w:rPr>
                <w:rFonts w:ascii="宋体"/>
              </w:rPr>
            </w:pPr>
          </w:p>
        </w:tc>
      </w:tr>
      <w:tr w:rsidR="00584FB3" w14:paraId="40CB02C4" w14:textId="77777777">
        <w:trPr>
          <w:jc w:val="center"/>
        </w:trPr>
        <w:tc>
          <w:tcPr>
            <w:tcW w:w="0" w:type="auto"/>
            <w:gridSpan w:val="3"/>
            <w:shd w:val="clear" w:color="auto" w:fill="D7E4BC"/>
            <w:tcMar>
              <w:top w:w="40" w:type="dxa"/>
              <w:left w:w="20" w:type="dxa"/>
              <w:bottom w:w="40" w:type="dxa"/>
              <w:right w:w="20" w:type="dxa"/>
            </w:tcMar>
            <w:vAlign w:val="bottom"/>
          </w:tcPr>
          <w:p w14:paraId="40CB02C0" w14:textId="77777777" w:rsidR="00584FB3" w:rsidRDefault="00786180">
            <w:pPr>
              <w:textAlignment w:val="bottom"/>
            </w:pPr>
            <w:r>
              <w:rPr>
                <w:rFonts w:ascii="Times New Roman" w:eastAsia="宋体" w:hAnsi="Times New Roman"/>
                <w:color w:val="000000"/>
                <w:sz w:val="20"/>
                <w:szCs w:val="20"/>
              </w:rPr>
              <w:t>FINANCING ACTIVITIES:</w:t>
            </w:r>
          </w:p>
        </w:tc>
        <w:tc>
          <w:tcPr>
            <w:tcW w:w="0" w:type="auto"/>
            <w:gridSpan w:val="3"/>
            <w:shd w:val="clear" w:color="auto" w:fill="D7E4BC"/>
            <w:tcMar>
              <w:top w:w="0" w:type="dxa"/>
              <w:left w:w="20" w:type="dxa"/>
              <w:bottom w:w="0" w:type="dxa"/>
              <w:right w:w="20" w:type="dxa"/>
            </w:tcMar>
          </w:tcPr>
          <w:p w14:paraId="40CB02C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2C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2C3" w14:textId="77777777" w:rsidR="00584FB3" w:rsidRDefault="00584FB3">
            <w:pPr>
              <w:rPr>
                <w:rFonts w:ascii="宋体"/>
              </w:rPr>
            </w:pPr>
          </w:p>
        </w:tc>
      </w:tr>
      <w:tr w:rsidR="00584FB3" w14:paraId="40CB02CB" w14:textId="77777777">
        <w:trPr>
          <w:jc w:val="center"/>
        </w:trPr>
        <w:tc>
          <w:tcPr>
            <w:tcW w:w="0" w:type="auto"/>
            <w:gridSpan w:val="3"/>
            <w:shd w:val="clear" w:color="auto" w:fill="FFFFFF"/>
            <w:tcMar>
              <w:top w:w="40" w:type="dxa"/>
              <w:left w:w="20" w:type="dxa"/>
              <w:bottom w:w="40" w:type="dxa"/>
              <w:right w:w="20" w:type="dxa"/>
            </w:tcMar>
          </w:tcPr>
          <w:p w14:paraId="40CB02C5" w14:textId="77777777" w:rsidR="00584FB3" w:rsidRDefault="00786180">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proceeds from issuance of commercial paper</w:t>
            </w:r>
          </w:p>
        </w:tc>
        <w:tc>
          <w:tcPr>
            <w:tcW w:w="0" w:type="auto"/>
            <w:gridSpan w:val="2"/>
            <w:shd w:val="clear" w:color="auto" w:fill="FFFFFF"/>
            <w:tcMar>
              <w:top w:w="40" w:type="dxa"/>
              <w:left w:w="20" w:type="dxa"/>
              <w:bottom w:w="40" w:type="dxa"/>
              <w:right w:w="0" w:type="dxa"/>
            </w:tcMar>
            <w:vAlign w:val="bottom"/>
          </w:tcPr>
          <w:p w14:paraId="40CB02C6"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2C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C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C9" w14:textId="77777777" w:rsidR="00584FB3" w:rsidRDefault="00786180">
            <w:pPr>
              <w:jc w:val="right"/>
              <w:textAlignment w:val="bottom"/>
            </w:pPr>
            <w:r>
              <w:rPr>
                <w:rFonts w:ascii="Times New Roman" w:eastAsia="宋体" w:hAnsi="Times New Roman"/>
                <w:color w:val="000000"/>
                <w:sz w:val="20"/>
                <w:szCs w:val="20"/>
              </w:rPr>
              <w:t>398.9 </w:t>
            </w:r>
          </w:p>
        </w:tc>
        <w:tc>
          <w:tcPr>
            <w:tcW w:w="0" w:type="auto"/>
            <w:shd w:val="clear" w:color="auto" w:fill="FFFFFF"/>
            <w:tcMar>
              <w:top w:w="40" w:type="dxa"/>
              <w:left w:w="0" w:type="dxa"/>
              <w:bottom w:w="40" w:type="dxa"/>
              <w:right w:w="20" w:type="dxa"/>
            </w:tcMar>
            <w:vAlign w:val="bottom"/>
          </w:tcPr>
          <w:p w14:paraId="40CB02CA" w14:textId="77777777" w:rsidR="00584FB3" w:rsidRDefault="00584FB3">
            <w:pPr>
              <w:jc w:val="right"/>
              <w:rPr>
                <w:rFonts w:ascii="宋体"/>
              </w:rPr>
            </w:pPr>
          </w:p>
        </w:tc>
      </w:tr>
      <w:tr w:rsidR="00584FB3" w14:paraId="40CB02D2" w14:textId="77777777">
        <w:trPr>
          <w:jc w:val="center"/>
        </w:trPr>
        <w:tc>
          <w:tcPr>
            <w:tcW w:w="0" w:type="auto"/>
            <w:gridSpan w:val="3"/>
            <w:shd w:val="clear" w:color="auto" w:fill="D7E4BC"/>
            <w:tcMar>
              <w:top w:w="40" w:type="dxa"/>
              <w:left w:w="20" w:type="dxa"/>
              <w:bottom w:w="40" w:type="dxa"/>
              <w:right w:w="20" w:type="dxa"/>
            </w:tcMar>
          </w:tcPr>
          <w:p w14:paraId="40CB02CC" w14:textId="77777777" w:rsidR="00584FB3" w:rsidRDefault="00786180">
            <w:pPr>
              <w:textAlignment w:val="top"/>
            </w:pPr>
            <w:r>
              <w:rPr>
                <w:rFonts w:ascii="Times New Roman" w:eastAsia="宋体" w:hAnsi="Times New Roman"/>
                <w:color w:val="000000"/>
                <w:sz w:val="20"/>
                <w:szCs w:val="20"/>
              </w:rPr>
              <w:t>Net proceeds from issuance of short-term debt</w:t>
            </w:r>
          </w:p>
        </w:tc>
        <w:tc>
          <w:tcPr>
            <w:tcW w:w="0" w:type="auto"/>
            <w:gridSpan w:val="2"/>
            <w:shd w:val="clear" w:color="auto" w:fill="D7E4BC"/>
            <w:tcMar>
              <w:top w:w="40" w:type="dxa"/>
              <w:left w:w="20" w:type="dxa"/>
              <w:bottom w:w="40" w:type="dxa"/>
              <w:right w:w="0" w:type="dxa"/>
            </w:tcMar>
            <w:vAlign w:val="bottom"/>
          </w:tcPr>
          <w:p w14:paraId="40CB02CD" w14:textId="77777777" w:rsidR="00584FB3" w:rsidRDefault="00786180">
            <w:pPr>
              <w:jc w:val="right"/>
              <w:textAlignment w:val="bottom"/>
            </w:pPr>
            <w:r>
              <w:rPr>
                <w:rFonts w:ascii="Times New Roman" w:eastAsia="宋体" w:hAnsi="Times New Roman"/>
                <w:color w:val="000000"/>
                <w:sz w:val="20"/>
                <w:szCs w:val="20"/>
              </w:rPr>
              <w:t>192.9 </w:t>
            </w:r>
          </w:p>
        </w:tc>
        <w:tc>
          <w:tcPr>
            <w:tcW w:w="0" w:type="auto"/>
            <w:shd w:val="clear" w:color="auto" w:fill="D7E4BC"/>
            <w:tcMar>
              <w:top w:w="40" w:type="dxa"/>
              <w:left w:w="0" w:type="dxa"/>
              <w:bottom w:w="40" w:type="dxa"/>
              <w:right w:w="20" w:type="dxa"/>
            </w:tcMar>
            <w:vAlign w:val="bottom"/>
          </w:tcPr>
          <w:p w14:paraId="40CB02C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C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D0" w14:textId="77777777" w:rsidR="00584FB3" w:rsidRDefault="00786180">
            <w:pPr>
              <w:jc w:val="right"/>
              <w:textAlignment w:val="bottom"/>
            </w:pPr>
            <w:r>
              <w:rPr>
                <w:rFonts w:ascii="Times New Roman" w:eastAsia="宋体" w:hAnsi="Times New Roman"/>
                <w:color w:val="000000"/>
                <w:sz w:val="20"/>
                <w:szCs w:val="20"/>
              </w:rPr>
              <w:t>99.0 </w:t>
            </w:r>
          </w:p>
        </w:tc>
        <w:tc>
          <w:tcPr>
            <w:tcW w:w="0" w:type="auto"/>
            <w:shd w:val="clear" w:color="auto" w:fill="D7E4BC"/>
            <w:tcMar>
              <w:top w:w="40" w:type="dxa"/>
              <w:left w:w="0" w:type="dxa"/>
              <w:bottom w:w="40" w:type="dxa"/>
              <w:right w:w="20" w:type="dxa"/>
            </w:tcMar>
            <w:vAlign w:val="bottom"/>
          </w:tcPr>
          <w:p w14:paraId="40CB02D1" w14:textId="77777777" w:rsidR="00584FB3" w:rsidRDefault="00584FB3">
            <w:pPr>
              <w:jc w:val="right"/>
              <w:rPr>
                <w:rFonts w:ascii="宋体"/>
              </w:rPr>
            </w:pPr>
          </w:p>
        </w:tc>
      </w:tr>
      <w:tr w:rsidR="00584FB3" w14:paraId="40CB02D9" w14:textId="77777777">
        <w:trPr>
          <w:jc w:val="center"/>
        </w:trPr>
        <w:tc>
          <w:tcPr>
            <w:tcW w:w="0" w:type="auto"/>
            <w:gridSpan w:val="3"/>
            <w:shd w:val="clear" w:color="auto" w:fill="FFFFFF"/>
            <w:tcMar>
              <w:top w:w="40" w:type="dxa"/>
              <w:left w:w="20" w:type="dxa"/>
              <w:bottom w:w="40" w:type="dxa"/>
              <w:right w:w="20" w:type="dxa"/>
            </w:tcMar>
          </w:tcPr>
          <w:p w14:paraId="40CB02D3" w14:textId="77777777" w:rsidR="00584FB3" w:rsidRDefault="00786180">
            <w:pPr>
              <w:textAlignment w:val="top"/>
            </w:pPr>
            <w:r>
              <w:rPr>
                <w:rFonts w:ascii="Times New Roman" w:eastAsia="宋体" w:hAnsi="Times New Roman"/>
                <w:color w:val="000000"/>
                <w:sz w:val="20"/>
                <w:szCs w:val="20"/>
              </w:rPr>
              <w:t>Repayments of short-term debt</w:t>
            </w:r>
          </w:p>
        </w:tc>
        <w:tc>
          <w:tcPr>
            <w:tcW w:w="0" w:type="auto"/>
            <w:gridSpan w:val="2"/>
            <w:shd w:val="clear" w:color="auto" w:fill="FFFFFF"/>
            <w:tcMar>
              <w:top w:w="40" w:type="dxa"/>
              <w:left w:w="20" w:type="dxa"/>
              <w:bottom w:w="40" w:type="dxa"/>
              <w:right w:w="0" w:type="dxa"/>
            </w:tcMar>
            <w:vAlign w:val="bottom"/>
          </w:tcPr>
          <w:p w14:paraId="40CB02D4" w14:textId="77777777" w:rsidR="00584FB3" w:rsidRDefault="00786180">
            <w:pPr>
              <w:jc w:val="right"/>
              <w:textAlignment w:val="bottom"/>
            </w:pPr>
            <w:r>
              <w:rPr>
                <w:rFonts w:ascii="Times New Roman" w:eastAsia="宋体" w:hAnsi="Times New Roman"/>
                <w:color w:val="000000"/>
                <w:sz w:val="20"/>
                <w:szCs w:val="20"/>
              </w:rPr>
              <w:t>(144.7)</w:t>
            </w:r>
          </w:p>
        </w:tc>
        <w:tc>
          <w:tcPr>
            <w:tcW w:w="0" w:type="auto"/>
            <w:shd w:val="clear" w:color="auto" w:fill="FFFFFF"/>
            <w:tcMar>
              <w:top w:w="40" w:type="dxa"/>
              <w:left w:w="0" w:type="dxa"/>
              <w:bottom w:w="40" w:type="dxa"/>
              <w:right w:w="20" w:type="dxa"/>
            </w:tcMar>
            <w:vAlign w:val="bottom"/>
          </w:tcPr>
          <w:p w14:paraId="40CB02D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D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D7"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2D8" w14:textId="77777777" w:rsidR="00584FB3" w:rsidRDefault="00584FB3">
            <w:pPr>
              <w:jc w:val="right"/>
              <w:rPr>
                <w:rFonts w:ascii="宋体"/>
              </w:rPr>
            </w:pPr>
          </w:p>
        </w:tc>
      </w:tr>
      <w:tr w:rsidR="00584FB3" w14:paraId="40CB02DE" w14:textId="77777777">
        <w:trPr>
          <w:jc w:val="center"/>
          <w:hidden/>
        </w:trPr>
        <w:tc>
          <w:tcPr>
            <w:tcW w:w="0" w:type="auto"/>
            <w:gridSpan w:val="3"/>
            <w:shd w:val="clear" w:color="auto" w:fill="auto"/>
          </w:tcPr>
          <w:p w14:paraId="40CB02DA" w14:textId="77777777" w:rsidR="00584FB3" w:rsidRDefault="00584FB3">
            <w:pPr>
              <w:rPr>
                <w:rFonts w:ascii="宋体"/>
                <w:vanish/>
              </w:rPr>
            </w:pPr>
          </w:p>
        </w:tc>
        <w:tc>
          <w:tcPr>
            <w:tcW w:w="0" w:type="auto"/>
            <w:gridSpan w:val="3"/>
            <w:shd w:val="clear" w:color="auto" w:fill="auto"/>
          </w:tcPr>
          <w:p w14:paraId="40CB02DB" w14:textId="77777777" w:rsidR="00584FB3" w:rsidRDefault="00584FB3">
            <w:pPr>
              <w:rPr>
                <w:rFonts w:ascii="宋体"/>
                <w:vanish/>
              </w:rPr>
            </w:pPr>
          </w:p>
        </w:tc>
        <w:tc>
          <w:tcPr>
            <w:tcW w:w="0" w:type="auto"/>
            <w:gridSpan w:val="3"/>
            <w:shd w:val="clear" w:color="auto" w:fill="auto"/>
          </w:tcPr>
          <w:p w14:paraId="40CB02DC" w14:textId="77777777" w:rsidR="00584FB3" w:rsidRDefault="00584FB3">
            <w:pPr>
              <w:rPr>
                <w:rFonts w:ascii="宋体"/>
                <w:vanish/>
              </w:rPr>
            </w:pPr>
          </w:p>
        </w:tc>
        <w:tc>
          <w:tcPr>
            <w:tcW w:w="0" w:type="auto"/>
            <w:gridSpan w:val="3"/>
            <w:shd w:val="clear" w:color="auto" w:fill="auto"/>
          </w:tcPr>
          <w:p w14:paraId="40CB02DD" w14:textId="77777777" w:rsidR="00584FB3" w:rsidRDefault="00584FB3">
            <w:pPr>
              <w:rPr>
                <w:rFonts w:ascii="宋体"/>
                <w:vanish/>
              </w:rPr>
            </w:pPr>
          </w:p>
        </w:tc>
      </w:tr>
      <w:tr w:rsidR="00584FB3" w14:paraId="40CB02E5" w14:textId="77777777">
        <w:trPr>
          <w:jc w:val="center"/>
        </w:trPr>
        <w:tc>
          <w:tcPr>
            <w:tcW w:w="0" w:type="auto"/>
            <w:gridSpan w:val="3"/>
            <w:shd w:val="clear" w:color="auto" w:fill="D7E4BC"/>
            <w:tcMar>
              <w:top w:w="40" w:type="dxa"/>
              <w:left w:w="20" w:type="dxa"/>
              <w:bottom w:w="40" w:type="dxa"/>
              <w:right w:w="20" w:type="dxa"/>
            </w:tcMar>
          </w:tcPr>
          <w:p w14:paraId="40CB02DF" w14:textId="77777777" w:rsidR="00584FB3" w:rsidRDefault="00786180">
            <w:pPr>
              <w:textAlignment w:val="top"/>
            </w:pPr>
            <w:r>
              <w:rPr>
                <w:rFonts w:ascii="Times New Roman" w:eastAsia="宋体" w:hAnsi="Times New Roman"/>
                <w:color w:val="000000"/>
                <w:sz w:val="20"/>
                <w:szCs w:val="20"/>
              </w:rPr>
              <w:t>Repayments of long-term debt</w:t>
            </w:r>
          </w:p>
        </w:tc>
        <w:tc>
          <w:tcPr>
            <w:tcW w:w="0" w:type="auto"/>
            <w:gridSpan w:val="2"/>
            <w:shd w:val="clear" w:color="auto" w:fill="D7E4BC"/>
            <w:tcMar>
              <w:top w:w="40" w:type="dxa"/>
              <w:left w:w="20" w:type="dxa"/>
              <w:bottom w:w="40" w:type="dxa"/>
              <w:right w:w="0" w:type="dxa"/>
            </w:tcMar>
            <w:vAlign w:val="bottom"/>
          </w:tcPr>
          <w:p w14:paraId="40CB02E0" w14:textId="77777777" w:rsidR="00584FB3" w:rsidRDefault="00786180">
            <w:pPr>
              <w:jc w:val="right"/>
              <w:textAlignment w:val="bottom"/>
            </w:pPr>
            <w:r>
              <w:rPr>
                <w:rFonts w:ascii="Times New Roman" w:eastAsia="宋体" w:hAnsi="Times New Roman"/>
                <w:color w:val="000000"/>
                <w:sz w:val="20"/>
                <w:szCs w:val="20"/>
              </w:rPr>
              <w:t>(500.0)</w:t>
            </w:r>
          </w:p>
        </w:tc>
        <w:tc>
          <w:tcPr>
            <w:tcW w:w="0" w:type="auto"/>
            <w:shd w:val="clear" w:color="auto" w:fill="D7E4BC"/>
            <w:tcMar>
              <w:top w:w="40" w:type="dxa"/>
              <w:left w:w="0" w:type="dxa"/>
              <w:bottom w:w="40" w:type="dxa"/>
              <w:right w:w="20" w:type="dxa"/>
            </w:tcMar>
            <w:vAlign w:val="bottom"/>
          </w:tcPr>
          <w:p w14:paraId="40CB02E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E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E3"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2E4" w14:textId="77777777" w:rsidR="00584FB3" w:rsidRDefault="00584FB3">
            <w:pPr>
              <w:jc w:val="right"/>
              <w:rPr>
                <w:rFonts w:ascii="宋体"/>
              </w:rPr>
            </w:pPr>
          </w:p>
        </w:tc>
      </w:tr>
      <w:tr w:rsidR="00584FB3" w14:paraId="40CB02EA" w14:textId="77777777">
        <w:trPr>
          <w:jc w:val="center"/>
          <w:hidden/>
        </w:trPr>
        <w:tc>
          <w:tcPr>
            <w:tcW w:w="0" w:type="auto"/>
            <w:gridSpan w:val="3"/>
            <w:shd w:val="clear" w:color="auto" w:fill="auto"/>
          </w:tcPr>
          <w:p w14:paraId="40CB02E6" w14:textId="77777777" w:rsidR="00584FB3" w:rsidRDefault="00584FB3">
            <w:pPr>
              <w:rPr>
                <w:rFonts w:ascii="宋体"/>
                <w:vanish/>
              </w:rPr>
            </w:pPr>
          </w:p>
        </w:tc>
        <w:tc>
          <w:tcPr>
            <w:tcW w:w="0" w:type="auto"/>
            <w:gridSpan w:val="3"/>
            <w:shd w:val="clear" w:color="auto" w:fill="auto"/>
          </w:tcPr>
          <w:p w14:paraId="40CB02E7" w14:textId="77777777" w:rsidR="00584FB3" w:rsidRDefault="00584FB3">
            <w:pPr>
              <w:rPr>
                <w:rFonts w:ascii="宋体"/>
                <w:vanish/>
              </w:rPr>
            </w:pPr>
          </w:p>
        </w:tc>
        <w:tc>
          <w:tcPr>
            <w:tcW w:w="0" w:type="auto"/>
            <w:gridSpan w:val="3"/>
            <w:shd w:val="clear" w:color="auto" w:fill="auto"/>
          </w:tcPr>
          <w:p w14:paraId="40CB02E8" w14:textId="77777777" w:rsidR="00584FB3" w:rsidRDefault="00584FB3">
            <w:pPr>
              <w:rPr>
                <w:rFonts w:ascii="宋体"/>
                <w:vanish/>
              </w:rPr>
            </w:pPr>
          </w:p>
        </w:tc>
        <w:tc>
          <w:tcPr>
            <w:tcW w:w="0" w:type="auto"/>
            <w:gridSpan w:val="3"/>
            <w:shd w:val="clear" w:color="auto" w:fill="auto"/>
          </w:tcPr>
          <w:p w14:paraId="40CB02E9" w14:textId="77777777" w:rsidR="00584FB3" w:rsidRDefault="00584FB3">
            <w:pPr>
              <w:rPr>
                <w:rFonts w:ascii="宋体"/>
                <w:vanish/>
              </w:rPr>
            </w:pPr>
          </w:p>
        </w:tc>
      </w:tr>
      <w:tr w:rsidR="00584FB3" w14:paraId="40CB02F1" w14:textId="77777777">
        <w:trPr>
          <w:jc w:val="center"/>
        </w:trPr>
        <w:tc>
          <w:tcPr>
            <w:tcW w:w="0" w:type="auto"/>
            <w:gridSpan w:val="3"/>
            <w:shd w:val="clear" w:color="auto" w:fill="FFFFFF"/>
            <w:tcMar>
              <w:top w:w="40" w:type="dxa"/>
              <w:left w:w="20" w:type="dxa"/>
              <w:bottom w:w="40" w:type="dxa"/>
              <w:right w:w="20" w:type="dxa"/>
            </w:tcMar>
          </w:tcPr>
          <w:p w14:paraId="40CB02EB" w14:textId="77777777" w:rsidR="00584FB3" w:rsidRDefault="00786180">
            <w:pPr>
              <w:textAlignment w:val="top"/>
            </w:pPr>
            <w:r>
              <w:rPr>
                <w:rFonts w:ascii="Times New Roman" w:eastAsia="宋体" w:hAnsi="Times New Roman"/>
                <w:color w:val="000000"/>
                <w:sz w:val="20"/>
                <w:szCs w:val="20"/>
              </w:rPr>
              <w:t xml:space="preserve">Proceeds from issuance of </w:t>
            </w:r>
            <w:r>
              <w:rPr>
                <w:rFonts w:ascii="Times New Roman" w:eastAsia="宋体" w:hAnsi="Times New Roman"/>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40CB02EC" w14:textId="77777777" w:rsidR="00584FB3" w:rsidRDefault="00786180">
            <w:pPr>
              <w:jc w:val="right"/>
              <w:textAlignment w:val="bottom"/>
            </w:pPr>
            <w:r>
              <w:rPr>
                <w:rFonts w:ascii="Times New Roman" w:eastAsia="宋体" w:hAnsi="Times New Roman"/>
                <w:color w:val="000000"/>
                <w:sz w:val="20"/>
                <w:szCs w:val="20"/>
              </w:rPr>
              <w:t>102.8 </w:t>
            </w:r>
          </w:p>
        </w:tc>
        <w:tc>
          <w:tcPr>
            <w:tcW w:w="0" w:type="auto"/>
            <w:shd w:val="clear" w:color="auto" w:fill="FFFFFF"/>
            <w:tcMar>
              <w:top w:w="40" w:type="dxa"/>
              <w:left w:w="0" w:type="dxa"/>
              <w:bottom w:w="40" w:type="dxa"/>
              <w:right w:w="20" w:type="dxa"/>
            </w:tcMar>
            <w:vAlign w:val="bottom"/>
          </w:tcPr>
          <w:p w14:paraId="40CB02E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E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EF" w14:textId="77777777" w:rsidR="00584FB3" w:rsidRDefault="00786180">
            <w:pPr>
              <w:jc w:val="right"/>
              <w:textAlignment w:val="bottom"/>
            </w:pPr>
            <w:r>
              <w:rPr>
                <w:rFonts w:ascii="Times New Roman" w:eastAsia="宋体" w:hAnsi="Times New Roman"/>
                <w:color w:val="000000"/>
                <w:sz w:val="20"/>
                <w:szCs w:val="20"/>
              </w:rPr>
              <w:t>33.1 </w:t>
            </w:r>
          </w:p>
        </w:tc>
        <w:tc>
          <w:tcPr>
            <w:tcW w:w="0" w:type="auto"/>
            <w:shd w:val="clear" w:color="auto" w:fill="FFFFFF"/>
            <w:tcMar>
              <w:top w:w="40" w:type="dxa"/>
              <w:left w:w="0" w:type="dxa"/>
              <w:bottom w:w="40" w:type="dxa"/>
              <w:right w:w="20" w:type="dxa"/>
            </w:tcMar>
            <w:vAlign w:val="bottom"/>
          </w:tcPr>
          <w:p w14:paraId="40CB02F0" w14:textId="77777777" w:rsidR="00584FB3" w:rsidRDefault="00584FB3">
            <w:pPr>
              <w:jc w:val="right"/>
              <w:rPr>
                <w:rFonts w:ascii="宋体"/>
              </w:rPr>
            </w:pPr>
          </w:p>
        </w:tc>
      </w:tr>
      <w:tr w:rsidR="00584FB3" w14:paraId="40CB02F8" w14:textId="77777777">
        <w:trPr>
          <w:jc w:val="center"/>
        </w:trPr>
        <w:tc>
          <w:tcPr>
            <w:tcW w:w="0" w:type="auto"/>
            <w:gridSpan w:val="3"/>
            <w:shd w:val="clear" w:color="auto" w:fill="D7E4BC"/>
            <w:tcMar>
              <w:top w:w="40" w:type="dxa"/>
              <w:left w:w="20" w:type="dxa"/>
              <w:bottom w:w="40" w:type="dxa"/>
              <w:right w:w="20" w:type="dxa"/>
            </w:tcMar>
          </w:tcPr>
          <w:p w14:paraId="40CB02F2" w14:textId="77777777" w:rsidR="00584FB3" w:rsidRDefault="00786180">
            <w:pPr>
              <w:textAlignment w:val="top"/>
            </w:pPr>
            <w:r>
              <w:rPr>
                <w:rFonts w:ascii="Times New Roman" w:eastAsia="宋体" w:hAnsi="Times New Roman"/>
                <w:color w:val="000000"/>
                <w:sz w:val="20"/>
                <w:szCs w:val="20"/>
              </w:rPr>
              <w:t>Cash dividends paid</w:t>
            </w:r>
          </w:p>
        </w:tc>
        <w:tc>
          <w:tcPr>
            <w:tcW w:w="0" w:type="auto"/>
            <w:gridSpan w:val="2"/>
            <w:shd w:val="clear" w:color="auto" w:fill="D7E4BC"/>
            <w:tcMar>
              <w:top w:w="40" w:type="dxa"/>
              <w:left w:w="20" w:type="dxa"/>
              <w:bottom w:w="40" w:type="dxa"/>
              <w:right w:w="0" w:type="dxa"/>
            </w:tcMar>
            <w:vAlign w:val="bottom"/>
          </w:tcPr>
          <w:p w14:paraId="40CB02F3" w14:textId="77777777" w:rsidR="00584FB3" w:rsidRDefault="00786180">
            <w:pPr>
              <w:jc w:val="right"/>
              <w:textAlignment w:val="bottom"/>
            </w:pPr>
            <w:r>
              <w:rPr>
                <w:rFonts w:ascii="Times New Roman" w:eastAsia="宋体" w:hAnsi="Times New Roman"/>
                <w:color w:val="000000"/>
                <w:sz w:val="20"/>
                <w:szCs w:val="20"/>
              </w:rPr>
              <w:t>(528.2)</w:t>
            </w:r>
          </w:p>
        </w:tc>
        <w:tc>
          <w:tcPr>
            <w:tcW w:w="0" w:type="auto"/>
            <w:shd w:val="clear" w:color="auto" w:fill="D7E4BC"/>
            <w:tcMar>
              <w:top w:w="40" w:type="dxa"/>
              <w:left w:w="0" w:type="dxa"/>
              <w:bottom w:w="40" w:type="dxa"/>
              <w:right w:w="20" w:type="dxa"/>
            </w:tcMar>
            <w:vAlign w:val="bottom"/>
          </w:tcPr>
          <w:p w14:paraId="40CB02F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2F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2F6" w14:textId="77777777" w:rsidR="00584FB3" w:rsidRDefault="00786180">
            <w:pPr>
              <w:jc w:val="right"/>
              <w:textAlignment w:val="bottom"/>
            </w:pPr>
            <w:r>
              <w:rPr>
                <w:rFonts w:ascii="Times New Roman" w:eastAsia="宋体" w:hAnsi="Times New Roman"/>
                <w:color w:val="000000"/>
                <w:sz w:val="20"/>
                <w:szCs w:val="20"/>
              </w:rPr>
              <w:t>(484.2)</w:t>
            </w:r>
          </w:p>
        </w:tc>
        <w:tc>
          <w:tcPr>
            <w:tcW w:w="0" w:type="auto"/>
            <w:shd w:val="clear" w:color="auto" w:fill="D7E4BC"/>
            <w:tcMar>
              <w:top w:w="40" w:type="dxa"/>
              <w:left w:w="0" w:type="dxa"/>
              <w:bottom w:w="40" w:type="dxa"/>
              <w:right w:w="20" w:type="dxa"/>
            </w:tcMar>
            <w:vAlign w:val="bottom"/>
          </w:tcPr>
          <w:p w14:paraId="40CB02F7" w14:textId="77777777" w:rsidR="00584FB3" w:rsidRDefault="00584FB3">
            <w:pPr>
              <w:jc w:val="right"/>
              <w:rPr>
                <w:rFonts w:ascii="宋体"/>
              </w:rPr>
            </w:pPr>
          </w:p>
        </w:tc>
      </w:tr>
      <w:tr w:rsidR="00584FB3" w14:paraId="40CB02FF" w14:textId="77777777">
        <w:trPr>
          <w:jc w:val="center"/>
        </w:trPr>
        <w:tc>
          <w:tcPr>
            <w:tcW w:w="0" w:type="auto"/>
            <w:gridSpan w:val="3"/>
            <w:shd w:val="clear" w:color="auto" w:fill="FFFFFF"/>
            <w:tcMar>
              <w:top w:w="40" w:type="dxa"/>
              <w:left w:w="20" w:type="dxa"/>
              <w:bottom w:w="40" w:type="dxa"/>
              <w:right w:w="20" w:type="dxa"/>
            </w:tcMar>
          </w:tcPr>
          <w:p w14:paraId="40CB02F9" w14:textId="77777777" w:rsidR="00584FB3" w:rsidRDefault="00786180">
            <w:pPr>
              <w:textAlignment w:val="top"/>
            </w:pPr>
            <w:r>
              <w:rPr>
                <w:rFonts w:ascii="Times New Roman" w:eastAsia="宋体" w:hAnsi="Times New Roman"/>
                <w:color w:val="000000"/>
                <w:sz w:val="20"/>
                <w:szCs w:val="20"/>
              </w:rPr>
              <w:t>Repurchase of common stock</w:t>
            </w:r>
          </w:p>
        </w:tc>
        <w:tc>
          <w:tcPr>
            <w:tcW w:w="0" w:type="auto"/>
            <w:gridSpan w:val="2"/>
            <w:shd w:val="clear" w:color="auto" w:fill="FFFFFF"/>
            <w:tcMar>
              <w:top w:w="40" w:type="dxa"/>
              <w:left w:w="20" w:type="dxa"/>
              <w:bottom w:w="40" w:type="dxa"/>
              <w:right w:w="0" w:type="dxa"/>
            </w:tcMar>
            <w:vAlign w:val="bottom"/>
          </w:tcPr>
          <w:p w14:paraId="40CB02FA"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2F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2F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2FD" w14:textId="77777777" w:rsidR="00584FB3" w:rsidRDefault="00786180">
            <w:pPr>
              <w:jc w:val="right"/>
              <w:textAlignment w:val="bottom"/>
            </w:pPr>
            <w:r>
              <w:rPr>
                <w:rFonts w:ascii="Times New Roman" w:eastAsia="宋体" w:hAnsi="Times New Roman"/>
                <w:color w:val="000000"/>
                <w:sz w:val="20"/>
                <w:szCs w:val="20"/>
              </w:rPr>
              <w:t>(1,091.4)</w:t>
            </w:r>
          </w:p>
        </w:tc>
        <w:tc>
          <w:tcPr>
            <w:tcW w:w="0" w:type="auto"/>
            <w:shd w:val="clear" w:color="auto" w:fill="FFFFFF"/>
            <w:tcMar>
              <w:top w:w="40" w:type="dxa"/>
              <w:left w:w="0" w:type="dxa"/>
              <w:bottom w:w="40" w:type="dxa"/>
              <w:right w:w="20" w:type="dxa"/>
            </w:tcMar>
            <w:vAlign w:val="bottom"/>
          </w:tcPr>
          <w:p w14:paraId="40CB02FE" w14:textId="77777777" w:rsidR="00584FB3" w:rsidRDefault="00584FB3">
            <w:pPr>
              <w:jc w:val="right"/>
              <w:rPr>
                <w:rFonts w:ascii="宋体"/>
              </w:rPr>
            </w:pPr>
          </w:p>
        </w:tc>
      </w:tr>
      <w:tr w:rsidR="00584FB3" w14:paraId="40CB0306" w14:textId="77777777">
        <w:trPr>
          <w:jc w:val="center"/>
        </w:trPr>
        <w:tc>
          <w:tcPr>
            <w:tcW w:w="0" w:type="auto"/>
            <w:gridSpan w:val="3"/>
            <w:shd w:val="clear" w:color="auto" w:fill="D7E4BC"/>
            <w:tcMar>
              <w:top w:w="40" w:type="dxa"/>
              <w:left w:w="20" w:type="dxa"/>
              <w:bottom w:w="40" w:type="dxa"/>
              <w:right w:w="20" w:type="dxa"/>
            </w:tcMar>
          </w:tcPr>
          <w:p w14:paraId="40CB0300" w14:textId="77777777" w:rsidR="00584FB3" w:rsidRDefault="00786180">
            <w:pPr>
              <w:textAlignment w:val="top"/>
            </w:pPr>
            <w:r>
              <w:rPr>
                <w:rFonts w:ascii="Times New Roman" w:eastAsia="宋体" w:hAnsi="Times New Roman"/>
                <w:color w:val="000000"/>
                <w:sz w:val="20"/>
                <w:szCs w:val="20"/>
              </w:rPr>
              <w:t>Minimum tax withholdings on share-based awards</w:t>
            </w:r>
          </w:p>
        </w:tc>
        <w:tc>
          <w:tcPr>
            <w:tcW w:w="0" w:type="auto"/>
            <w:gridSpan w:val="2"/>
            <w:shd w:val="clear" w:color="auto" w:fill="D7E4BC"/>
            <w:tcMar>
              <w:top w:w="40" w:type="dxa"/>
              <w:left w:w="20" w:type="dxa"/>
              <w:bottom w:w="40" w:type="dxa"/>
              <w:right w:w="0" w:type="dxa"/>
            </w:tcMar>
            <w:vAlign w:val="bottom"/>
          </w:tcPr>
          <w:p w14:paraId="40CB0301" w14:textId="77777777" w:rsidR="00584FB3" w:rsidRDefault="00786180">
            <w:pPr>
              <w:jc w:val="right"/>
              <w:textAlignment w:val="bottom"/>
            </w:pPr>
            <w:r>
              <w:rPr>
                <w:rFonts w:ascii="Times New Roman" w:eastAsia="宋体" w:hAnsi="Times New Roman"/>
                <w:color w:val="000000"/>
                <w:sz w:val="20"/>
                <w:szCs w:val="20"/>
              </w:rPr>
              <w:t>(88.6)</w:t>
            </w:r>
          </w:p>
        </w:tc>
        <w:tc>
          <w:tcPr>
            <w:tcW w:w="0" w:type="auto"/>
            <w:shd w:val="clear" w:color="auto" w:fill="D7E4BC"/>
            <w:tcMar>
              <w:top w:w="40" w:type="dxa"/>
              <w:left w:w="0" w:type="dxa"/>
              <w:bottom w:w="40" w:type="dxa"/>
              <w:right w:w="20" w:type="dxa"/>
            </w:tcMar>
            <w:vAlign w:val="bottom"/>
          </w:tcPr>
          <w:p w14:paraId="40CB030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0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04" w14:textId="77777777" w:rsidR="00584FB3" w:rsidRDefault="00786180">
            <w:pPr>
              <w:jc w:val="right"/>
              <w:textAlignment w:val="bottom"/>
            </w:pPr>
            <w:r>
              <w:rPr>
                <w:rFonts w:ascii="Times New Roman" w:eastAsia="宋体" w:hAnsi="Times New Roman"/>
                <w:color w:val="000000"/>
                <w:sz w:val="20"/>
                <w:szCs w:val="20"/>
              </w:rPr>
              <w:t>(78.4)</w:t>
            </w:r>
          </w:p>
        </w:tc>
        <w:tc>
          <w:tcPr>
            <w:tcW w:w="0" w:type="auto"/>
            <w:shd w:val="clear" w:color="auto" w:fill="D7E4BC"/>
            <w:tcMar>
              <w:top w:w="40" w:type="dxa"/>
              <w:left w:w="0" w:type="dxa"/>
              <w:bottom w:w="40" w:type="dxa"/>
              <w:right w:w="20" w:type="dxa"/>
            </w:tcMar>
            <w:vAlign w:val="bottom"/>
          </w:tcPr>
          <w:p w14:paraId="40CB0305" w14:textId="77777777" w:rsidR="00584FB3" w:rsidRDefault="00584FB3">
            <w:pPr>
              <w:jc w:val="right"/>
              <w:rPr>
                <w:rFonts w:ascii="宋体"/>
              </w:rPr>
            </w:pPr>
          </w:p>
        </w:tc>
      </w:tr>
      <w:tr w:rsidR="00584FB3" w14:paraId="40CB030B" w14:textId="77777777">
        <w:trPr>
          <w:jc w:val="center"/>
          <w:hidden/>
        </w:trPr>
        <w:tc>
          <w:tcPr>
            <w:tcW w:w="0" w:type="auto"/>
            <w:gridSpan w:val="3"/>
            <w:shd w:val="clear" w:color="auto" w:fill="auto"/>
          </w:tcPr>
          <w:p w14:paraId="40CB0307" w14:textId="77777777" w:rsidR="00584FB3" w:rsidRDefault="00584FB3">
            <w:pPr>
              <w:rPr>
                <w:rFonts w:ascii="宋体"/>
                <w:vanish/>
              </w:rPr>
            </w:pPr>
          </w:p>
        </w:tc>
        <w:tc>
          <w:tcPr>
            <w:tcW w:w="0" w:type="auto"/>
            <w:gridSpan w:val="3"/>
            <w:shd w:val="clear" w:color="auto" w:fill="auto"/>
          </w:tcPr>
          <w:p w14:paraId="40CB0308" w14:textId="77777777" w:rsidR="00584FB3" w:rsidRDefault="00584FB3">
            <w:pPr>
              <w:rPr>
                <w:rFonts w:ascii="宋体"/>
                <w:vanish/>
              </w:rPr>
            </w:pPr>
          </w:p>
        </w:tc>
        <w:tc>
          <w:tcPr>
            <w:tcW w:w="0" w:type="auto"/>
            <w:gridSpan w:val="3"/>
            <w:shd w:val="clear" w:color="auto" w:fill="auto"/>
          </w:tcPr>
          <w:p w14:paraId="40CB0309" w14:textId="77777777" w:rsidR="00584FB3" w:rsidRDefault="00584FB3">
            <w:pPr>
              <w:rPr>
                <w:rFonts w:ascii="宋体"/>
                <w:vanish/>
              </w:rPr>
            </w:pPr>
          </w:p>
        </w:tc>
        <w:tc>
          <w:tcPr>
            <w:tcW w:w="0" w:type="auto"/>
            <w:gridSpan w:val="3"/>
            <w:shd w:val="clear" w:color="auto" w:fill="auto"/>
          </w:tcPr>
          <w:p w14:paraId="40CB030A" w14:textId="77777777" w:rsidR="00584FB3" w:rsidRDefault="00584FB3">
            <w:pPr>
              <w:rPr>
                <w:rFonts w:ascii="宋体"/>
                <w:vanish/>
              </w:rPr>
            </w:pPr>
          </w:p>
        </w:tc>
      </w:tr>
      <w:tr w:rsidR="00584FB3" w14:paraId="40CB0312" w14:textId="77777777">
        <w:trPr>
          <w:jc w:val="center"/>
        </w:trPr>
        <w:tc>
          <w:tcPr>
            <w:tcW w:w="0" w:type="auto"/>
            <w:gridSpan w:val="3"/>
            <w:shd w:val="clear" w:color="auto" w:fill="FFFFFF"/>
            <w:tcMar>
              <w:top w:w="40" w:type="dxa"/>
              <w:left w:w="20" w:type="dxa"/>
              <w:bottom w:w="40" w:type="dxa"/>
              <w:right w:w="20" w:type="dxa"/>
            </w:tcMar>
          </w:tcPr>
          <w:p w14:paraId="40CB030C" w14:textId="77777777" w:rsidR="00584FB3" w:rsidRDefault="00786180">
            <w:pPr>
              <w:textAlignment w:val="top"/>
            </w:pPr>
            <w:r>
              <w:rPr>
                <w:rFonts w:ascii="Times New Roman" w:eastAsia="宋体" w:hAnsi="Times New Roman"/>
                <w:color w:val="000000"/>
                <w:sz w:val="20"/>
                <w:szCs w:val="20"/>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30D" w14:textId="77777777" w:rsidR="00584FB3" w:rsidRDefault="00786180">
            <w:pPr>
              <w:jc w:val="right"/>
              <w:textAlignment w:val="bottom"/>
            </w:pPr>
            <w:r>
              <w:rPr>
                <w:rFonts w:ascii="Times New Roman" w:eastAsia="宋体" w:hAnsi="Times New Roman"/>
                <w:color w:val="000000"/>
                <w:sz w:val="20"/>
                <w:szCs w:val="20"/>
              </w:rPr>
              <w:t>(965.8)</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30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0F"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0CB0310" w14:textId="77777777" w:rsidR="00584FB3" w:rsidRDefault="00786180">
            <w:pPr>
              <w:jc w:val="right"/>
              <w:textAlignment w:val="center"/>
            </w:pPr>
            <w:r>
              <w:rPr>
                <w:rFonts w:ascii="Times New Roman" w:eastAsia="宋体" w:hAnsi="Times New Roman"/>
                <w:color w:val="000000"/>
                <w:sz w:val="20"/>
                <w:szCs w:val="20"/>
              </w:rPr>
              <w:t>(1,123.0)</w:t>
            </w:r>
          </w:p>
        </w:tc>
        <w:tc>
          <w:tcPr>
            <w:tcW w:w="0" w:type="auto"/>
            <w:tcBorders>
              <w:top w:val="single" w:sz="8" w:space="0" w:color="000000"/>
            </w:tcBorders>
            <w:shd w:val="clear" w:color="auto" w:fill="FFFFFF"/>
            <w:tcMar>
              <w:top w:w="40" w:type="dxa"/>
              <w:left w:w="0" w:type="dxa"/>
              <w:bottom w:w="40" w:type="dxa"/>
              <w:right w:w="20" w:type="dxa"/>
            </w:tcMar>
            <w:vAlign w:val="center"/>
          </w:tcPr>
          <w:p w14:paraId="40CB0311" w14:textId="77777777" w:rsidR="00584FB3" w:rsidRDefault="00584FB3">
            <w:pPr>
              <w:jc w:val="right"/>
              <w:rPr>
                <w:rFonts w:ascii="宋体"/>
              </w:rPr>
            </w:pPr>
          </w:p>
        </w:tc>
      </w:tr>
      <w:tr w:rsidR="00584FB3" w14:paraId="40CB0319" w14:textId="77777777">
        <w:trPr>
          <w:jc w:val="center"/>
        </w:trPr>
        <w:tc>
          <w:tcPr>
            <w:tcW w:w="0" w:type="auto"/>
            <w:gridSpan w:val="3"/>
            <w:shd w:val="clear" w:color="auto" w:fill="D7E4BC"/>
            <w:tcMar>
              <w:top w:w="40" w:type="dxa"/>
              <w:left w:w="20" w:type="dxa"/>
              <w:bottom w:w="40" w:type="dxa"/>
              <w:right w:w="20" w:type="dxa"/>
            </w:tcMar>
          </w:tcPr>
          <w:p w14:paraId="40CB0313" w14:textId="77777777" w:rsidR="00584FB3" w:rsidRDefault="00786180">
            <w:pPr>
              <w:textAlignment w:val="top"/>
            </w:pPr>
            <w:r>
              <w:rPr>
                <w:rFonts w:ascii="Times New Roman" w:eastAsia="宋体" w:hAnsi="Times New Roman"/>
                <w:color w:val="000000"/>
                <w:sz w:val="20"/>
                <w:szCs w:val="20"/>
              </w:rPr>
              <w:t xml:space="preserve">Effect of </w:t>
            </w:r>
            <w:r>
              <w:rPr>
                <w:rFonts w:ascii="Times New Roman" w:eastAsia="宋体" w:hAnsi="Times New Roman"/>
                <w:color w:val="000000"/>
                <w:sz w:val="20"/>
                <w:szCs w:val="20"/>
              </w:rPr>
              <w:t>exchange rate changes on cash and cash equivalents</w:t>
            </w:r>
          </w:p>
        </w:tc>
        <w:tc>
          <w:tcPr>
            <w:tcW w:w="0" w:type="auto"/>
            <w:gridSpan w:val="2"/>
            <w:shd w:val="clear" w:color="auto" w:fill="D7E4BC"/>
            <w:tcMar>
              <w:top w:w="40" w:type="dxa"/>
              <w:left w:w="20" w:type="dxa"/>
              <w:bottom w:w="40" w:type="dxa"/>
              <w:right w:w="0" w:type="dxa"/>
            </w:tcMar>
            <w:vAlign w:val="bottom"/>
          </w:tcPr>
          <w:p w14:paraId="40CB0314" w14:textId="77777777" w:rsidR="00584FB3" w:rsidRDefault="00786180">
            <w:pPr>
              <w:jc w:val="right"/>
              <w:textAlignment w:val="bottom"/>
            </w:pPr>
            <w:r>
              <w:rPr>
                <w:rFonts w:ascii="Times New Roman" w:eastAsia="宋体" w:hAnsi="Times New Roman"/>
                <w:color w:val="000000"/>
                <w:sz w:val="20"/>
                <w:szCs w:val="20"/>
              </w:rPr>
              <w:t>79.8 </w:t>
            </w:r>
          </w:p>
        </w:tc>
        <w:tc>
          <w:tcPr>
            <w:tcW w:w="0" w:type="auto"/>
            <w:shd w:val="clear" w:color="auto" w:fill="D7E4BC"/>
            <w:tcMar>
              <w:top w:w="40" w:type="dxa"/>
              <w:left w:w="0" w:type="dxa"/>
              <w:bottom w:w="40" w:type="dxa"/>
              <w:right w:w="20" w:type="dxa"/>
            </w:tcMar>
            <w:vAlign w:val="bottom"/>
          </w:tcPr>
          <w:p w14:paraId="40CB031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1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17" w14:textId="77777777" w:rsidR="00584FB3" w:rsidRDefault="00786180">
            <w:pPr>
              <w:jc w:val="right"/>
              <w:textAlignment w:val="bottom"/>
            </w:pPr>
            <w:r>
              <w:rPr>
                <w:rFonts w:ascii="Times New Roman" w:eastAsia="宋体" w:hAnsi="Times New Roman"/>
                <w:color w:val="000000"/>
                <w:sz w:val="20"/>
                <w:szCs w:val="20"/>
              </w:rPr>
              <w:t>27.1 </w:t>
            </w:r>
          </w:p>
        </w:tc>
        <w:tc>
          <w:tcPr>
            <w:tcW w:w="0" w:type="auto"/>
            <w:shd w:val="clear" w:color="auto" w:fill="D7E4BC"/>
            <w:tcMar>
              <w:top w:w="40" w:type="dxa"/>
              <w:left w:w="0" w:type="dxa"/>
              <w:bottom w:w="40" w:type="dxa"/>
              <w:right w:w="20" w:type="dxa"/>
            </w:tcMar>
            <w:vAlign w:val="bottom"/>
          </w:tcPr>
          <w:p w14:paraId="40CB0318" w14:textId="77777777" w:rsidR="00584FB3" w:rsidRDefault="00584FB3">
            <w:pPr>
              <w:jc w:val="right"/>
              <w:rPr>
                <w:rFonts w:ascii="宋体"/>
              </w:rPr>
            </w:pPr>
          </w:p>
        </w:tc>
      </w:tr>
      <w:tr w:rsidR="00584FB3" w14:paraId="40CB0320" w14:textId="77777777">
        <w:trPr>
          <w:jc w:val="center"/>
        </w:trPr>
        <w:tc>
          <w:tcPr>
            <w:tcW w:w="0" w:type="auto"/>
            <w:gridSpan w:val="3"/>
            <w:shd w:val="clear" w:color="auto" w:fill="FFFFFF"/>
            <w:tcMar>
              <w:top w:w="40" w:type="dxa"/>
              <w:left w:w="20" w:type="dxa"/>
              <w:bottom w:w="40" w:type="dxa"/>
              <w:right w:w="20" w:type="dxa"/>
            </w:tcMar>
          </w:tcPr>
          <w:p w14:paraId="40CB031A" w14:textId="77777777" w:rsidR="00584FB3" w:rsidRDefault="00786180">
            <w:pPr>
              <w:textAlignment w:val="top"/>
            </w:pPr>
            <w:r>
              <w:rPr>
                <w:rFonts w:ascii="Times New Roman" w:eastAsia="宋体" w:hAnsi="Times New Roman"/>
                <w:color w:val="000000"/>
                <w:sz w:val="20"/>
                <w:szCs w:val="20"/>
              </w:rPr>
              <w:t>Net increase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31B" w14:textId="77777777" w:rsidR="00584FB3" w:rsidRDefault="00786180">
            <w:pPr>
              <w:jc w:val="right"/>
              <w:textAlignment w:val="bottom"/>
            </w:pPr>
            <w:r>
              <w:rPr>
                <w:rFonts w:ascii="Times New Roman" w:eastAsia="宋体" w:hAnsi="Times New Roman"/>
                <w:color w:val="000000"/>
                <w:sz w:val="20"/>
                <w:szCs w:val="20"/>
              </w:rPr>
              <w:t>677.2 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31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1D"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31E" w14:textId="77777777" w:rsidR="00584FB3" w:rsidRDefault="00786180">
            <w:pPr>
              <w:jc w:val="right"/>
              <w:textAlignment w:val="bottom"/>
            </w:pPr>
            <w:r>
              <w:rPr>
                <w:rFonts w:ascii="Times New Roman" w:eastAsia="宋体" w:hAnsi="Times New Roman"/>
                <w:color w:val="000000"/>
                <w:sz w:val="20"/>
                <w:szCs w:val="20"/>
              </w:rPr>
              <w:t>353.9 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31F" w14:textId="77777777" w:rsidR="00584FB3" w:rsidRDefault="00584FB3">
            <w:pPr>
              <w:jc w:val="right"/>
              <w:rPr>
                <w:rFonts w:ascii="宋体"/>
              </w:rPr>
            </w:pPr>
          </w:p>
        </w:tc>
      </w:tr>
      <w:tr w:rsidR="00584FB3" w14:paraId="40CB0325" w14:textId="77777777">
        <w:trPr>
          <w:jc w:val="center"/>
        </w:trPr>
        <w:tc>
          <w:tcPr>
            <w:tcW w:w="0" w:type="auto"/>
            <w:gridSpan w:val="3"/>
            <w:shd w:val="clear" w:color="auto" w:fill="D7E4BC"/>
            <w:tcMar>
              <w:top w:w="40" w:type="dxa"/>
              <w:left w:w="20" w:type="dxa"/>
              <w:bottom w:w="40" w:type="dxa"/>
              <w:right w:w="20" w:type="dxa"/>
            </w:tcMar>
            <w:vAlign w:val="bottom"/>
          </w:tcPr>
          <w:p w14:paraId="40CB0321" w14:textId="77777777" w:rsidR="00584FB3" w:rsidRDefault="00786180">
            <w:pPr>
              <w:textAlignment w:val="bottom"/>
            </w:pPr>
            <w:r>
              <w:rPr>
                <w:rFonts w:ascii="Times New Roman" w:eastAsia="宋体" w:hAnsi="Times New Roman"/>
                <w:color w:val="000000"/>
                <w:sz w:val="20"/>
                <w:szCs w:val="20"/>
              </w:rPr>
              <w:t>CASH AND CASH EQUIVALENTS:</w:t>
            </w:r>
          </w:p>
        </w:tc>
        <w:tc>
          <w:tcPr>
            <w:tcW w:w="0" w:type="auto"/>
            <w:gridSpan w:val="3"/>
            <w:shd w:val="clear" w:color="auto" w:fill="D7E4BC"/>
            <w:tcMar>
              <w:top w:w="0" w:type="dxa"/>
              <w:left w:w="20" w:type="dxa"/>
              <w:bottom w:w="0" w:type="dxa"/>
              <w:right w:w="20" w:type="dxa"/>
            </w:tcMar>
          </w:tcPr>
          <w:p w14:paraId="40CB032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32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324" w14:textId="77777777" w:rsidR="00584FB3" w:rsidRDefault="00584FB3">
            <w:pPr>
              <w:rPr>
                <w:rFonts w:ascii="宋体"/>
              </w:rPr>
            </w:pPr>
          </w:p>
        </w:tc>
      </w:tr>
      <w:tr w:rsidR="00584FB3" w14:paraId="40CB032C" w14:textId="77777777">
        <w:trPr>
          <w:jc w:val="center"/>
        </w:trPr>
        <w:tc>
          <w:tcPr>
            <w:tcW w:w="0" w:type="auto"/>
            <w:gridSpan w:val="3"/>
            <w:shd w:val="clear" w:color="auto" w:fill="FFFFFF"/>
            <w:tcMar>
              <w:top w:w="40" w:type="dxa"/>
              <w:left w:w="20" w:type="dxa"/>
              <w:bottom w:w="40" w:type="dxa"/>
              <w:right w:w="20" w:type="dxa"/>
            </w:tcMar>
          </w:tcPr>
          <w:p w14:paraId="40CB0326" w14:textId="77777777" w:rsidR="00584FB3" w:rsidRDefault="00786180">
            <w:pPr>
              <w:textAlignment w:val="top"/>
            </w:pPr>
            <w:r>
              <w:rPr>
                <w:rFonts w:ascii="Times New Roman" w:eastAsia="宋体" w:hAnsi="Times New Roman"/>
                <w:color w:val="000000"/>
                <w:sz w:val="20"/>
                <w:szCs w:val="20"/>
              </w:rPr>
              <w:t>Beginning of period</w:t>
            </w:r>
          </w:p>
        </w:tc>
        <w:tc>
          <w:tcPr>
            <w:tcW w:w="0" w:type="auto"/>
            <w:gridSpan w:val="2"/>
            <w:shd w:val="clear" w:color="auto" w:fill="FFFFFF"/>
            <w:tcMar>
              <w:top w:w="40" w:type="dxa"/>
              <w:left w:w="20" w:type="dxa"/>
              <w:bottom w:w="40" w:type="dxa"/>
              <w:right w:w="0" w:type="dxa"/>
            </w:tcMar>
            <w:vAlign w:val="bottom"/>
          </w:tcPr>
          <w:p w14:paraId="40CB0327" w14:textId="77777777" w:rsidR="00584FB3" w:rsidRDefault="00786180">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40CB032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2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2A" w14:textId="77777777" w:rsidR="00584FB3" w:rsidRDefault="00786180">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left w:w="0" w:type="dxa"/>
              <w:bottom w:w="40" w:type="dxa"/>
              <w:right w:w="20" w:type="dxa"/>
            </w:tcMar>
            <w:vAlign w:val="bottom"/>
          </w:tcPr>
          <w:p w14:paraId="40CB032B" w14:textId="77777777" w:rsidR="00584FB3" w:rsidRDefault="00584FB3">
            <w:pPr>
              <w:jc w:val="right"/>
              <w:rPr>
                <w:rFonts w:ascii="宋体"/>
              </w:rPr>
            </w:pPr>
          </w:p>
        </w:tc>
      </w:tr>
      <w:tr w:rsidR="00584FB3" w14:paraId="40CB0335" w14:textId="77777777">
        <w:trPr>
          <w:jc w:val="center"/>
        </w:trPr>
        <w:tc>
          <w:tcPr>
            <w:tcW w:w="0" w:type="auto"/>
            <w:gridSpan w:val="3"/>
            <w:shd w:val="clear" w:color="auto" w:fill="D7E4BC"/>
            <w:tcMar>
              <w:top w:w="40" w:type="dxa"/>
              <w:left w:w="20" w:type="dxa"/>
              <w:bottom w:w="40" w:type="dxa"/>
              <w:right w:w="20" w:type="dxa"/>
            </w:tcMar>
          </w:tcPr>
          <w:p w14:paraId="40CB032D" w14:textId="77777777" w:rsidR="00584FB3" w:rsidRDefault="00786180">
            <w:pPr>
              <w:textAlignment w:val="top"/>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032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2F" w14:textId="77777777" w:rsidR="00584FB3" w:rsidRDefault="00786180">
            <w:pPr>
              <w:jc w:val="right"/>
              <w:textAlignment w:val="bottom"/>
            </w:pPr>
            <w:r>
              <w:rPr>
                <w:rFonts w:ascii="Times New Roman" w:eastAsia="宋体" w:hAnsi="Times New Roman"/>
                <w:color w:val="000000"/>
                <w:sz w:val="20"/>
                <w:szCs w:val="20"/>
              </w:rPr>
              <w:t>5,028.1 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3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31"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3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33" w14:textId="77777777" w:rsidR="00584FB3" w:rsidRDefault="00786180">
            <w:pPr>
              <w:jc w:val="right"/>
              <w:textAlignment w:val="bottom"/>
            </w:pPr>
            <w:r>
              <w:rPr>
                <w:rFonts w:ascii="Times New Roman" w:eastAsia="宋体" w:hAnsi="Times New Roman"/>
                <w:color w:val="000000"/>
                <w:sz w:val="20"/>
                <w:szCs w:val="20"/>
              </w:rPr>
              <w:t>3,040.5 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34" w14:textId="77777777" w:rsidR="00584FB3" w:rsidRDefault="00584FB3">
            <w:pPr>
              <w:jc w:val="right"/>
              <w:rPr>
                <w:rFonts w:ascii="宋体"/>
              </w:rPr>
            </w:pPr>
          </w:p>
        </w:tc>
      </w:tr>
      <w:tr w:rsidR="00584FB3" w14:paraId="40CB033A" w14:textId="77777777">
        <w:trPr>
          <w:jc w:val="center"/>
        </w:trPr>
        <w:tc>
          <w:tcPr>
            <w:tcW w:w="0" w:type="auto"/>
            <w:gridSpan w:val="3"/>
            <w:shd w:val="clear" w:color="auto" w:fill="FFFFFF"/>
            <w:tcMar>
              <w:top w:w="40" w:type="dxa"/>
              <w:left w:w="20" w:type="dxa"/>
              <w:bottom w:w="40" w:type="dxa"/>
              <w:right w:w="20" w:type="dxa"/>
            </w:tcMar>
            <w:vAlign w:val="bottom"/>
          </w:tcPr>
          <w:p w14:paraId="40CB0336" w14:textId="77777777" w:rsidR="00584FB3" w:rsidRDefault="00786180">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FFFFFF"/>
            <w:tcMar>
              <w:top w:w="0" w:type="dxa"/>
              <w:left w:w="20" w:type="dxa"/>
              <w:bottom w:w="0" w:type="dxa"/>
              <w:right w:w="20" w:type="dxa"/>
            </w:tcMar>
          </w:tcPr>
          <w:p w14:paraId="40CB0337"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338"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339" w14:textId="77777777" w:rsidR="00584FB3" w:rsidRDefault="00584FB3">
            <w:pPr>
              <w:rPr>
                <w:rFonts w:ascii="宋体"/>
              </w:rPr>
            </w:pPr>
          </w:p>
        </w:tc>
      </w:tr>
      <w:tr w:rsidR="00584FB3" w14:paraId="40CB033F" w14:textId="77777777">
        <w:trPr>
          <w:jc w:val="center"/>
        </w:trPr>
        <w:tc>
          <w:tcPr>
            <w:tcW w:w="0" w:type="auto"/>
            <w:gridSpan w:val="3"/>
            <w:shd w:val="clear" w:color="auto" w:fill="D7E4BC"/>
            <w:tcMar>
              <w:top w:w="40" w:type="dxa"/>
              <w:left w:w="20" w:type="dxa"/>
              <w:bottom w:w="40" w:type="dxa"/>
              <w:right w:w="20" w:type="dxa"/>
            </w:tcMar>
            <w:vAlign w:val="bottom"/>
          </w:tcPr>
          <w:p w14:paraId="40CB033B" w14:textId="77777777" w:rsidR="00584FB3" w:rsidRDefault="00786180">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D7E4BC"/>
            <w:tcMar>
              <w:top w:w="0" w:type="dxa"/>
              <w:left w:w="20" w:type="dxa"/>
              <w:bottom w:w="0" w:type="dxa"/>
              <w:right w:w="20" w:type="dxa"/>
            </w:tcMar>
          </w:tcPr>
          <w:p w14:paraId="40CB033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33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33E" w14:textId="77777777" w:rsidR="00584FB3" w:rsidRDefault="00584FB3">
            <w:pPr>
              <w:rPr>
                <w:rFonts w:ascii="宋体"/>
              </w:rPr>
            </w:pPr>
          </w:p>
        </w:tc>
      </w:tr>
      <w:tr w:rsidR="00584FB3" w14:paraId="40CB0348" w14:textId="77777777">
        <w:trPr>
          <w:jc w:val="center"/>
        </w:trPr>
        <w:tc>
          <w:tcPr>
            <w:tcW w:w="0" w:type="auto"/>
            <w:gridSpan w:val="3"/>
            <w:shd w:val="clear" w:color="auto" w:fill="FFFFFF"/>
            <w:tcMar>
              <w:top w:w="40" w:type="dxa"/>
              <w:left w:w="20" w:type="dxa"/>
              <w:bottom w:w="40" w:type="dxa"/>
              <w:right w:w="20" w:type="dxa"/>
            </w:tcMar>
          </w:tcPr>
          <w:p w14:paraId="40CB0340" w14:textId="77777777" w:rsidR="00584FB3" w:rsidRDefault="00786180">
            <w:pPr>
              <w:textAlignment w:val="top"/>
            </w:pPr>
            <w:r>
              <w:rPr>
                <w:rFonts w:ascii="Times New Roman" w:eastAsia="宋体" w:hAnsi="Times New Roman"/>
                <w:color w:val="000000"/>
                <w:sz w:val="20"/>
                <w:szCs w:val="20"/>
              </w:rPr>
              <w:t>Interest, net of capitalized interest</w:t>
            </w:r>
          </w:p>
        </w:tc>
        <w:tc>
          <w:tcPr>
            <w:tcW w:w="0" w:type="auto"/>
            <w:shd w:val="clear" w:color="auto" w:fill="FFFFFF"/>
            <w:tcMar>
              <w:top w:w="40" w:type="dxa"/>
              <w:left w:w="20" w:type="dxa"/>
              <w:bottom w:w="40" w:type="dxa"/>
              <w:right w:w="0" w:type="dxa"/>
            </w:tcMar>
            <w:vAlign w:val="bottom"/>
          </w:tcPr>
          <w:p w14:paraId="40CB0341"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342" w14:textId="77777777" w:rsidR="00584FB3" w:rsidRDefault="00786180">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40CB034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44"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34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346" w14:textId="77777777" w:rsidR="00584FB3" w:rsidRDefault="00786180">
            <w:pPr>
              <w:jc w:val="right"/>
              <w:textAlignment w:val="bottom"/>
            </w:pPr>
            <w:r>
              <w:rPr>
                <w:rFonts w:ascii="Times New Roman" w:eastAsia="宋体" w:hAnsi="Times New Roman"/>
                <w:color w:val="000000"/>
                <w:sz w:val="20"/>
                <w:szCs w:val="20"/>
              </w:rPr>
              <w:t>87.2 </w:t>
            </w:r>
          </w:p>
        </w:tc>
        <w:tc>
          <w:tcPr>
            <w:tcW w:w="0" w:type="auto"/>
            <w:shd w:val="clear" w:color="auto" w:fill="FFFFFF"/>
            <w:tcMar>
              <w:top w:w="40" w:type="dxa"/>
              <w:left w:w="0" w:type="dxa"/>
              <w:bottom w:w="40" w:type="dxa"/>
              <w:right w:w="20" w:type="dxa"/>
            </w:tcMar>
            <w:vAlign w:val="bottom"/>
          </w:tcPr>
          <w:p w14:paraId="40CB0347" w14:textId="77777777" w:rsidR="00584FB3" w:rsidRDefault="00584FB3">
            <w:pPr>
              <w:jc w:val="right"/>
              <w:rPr>
                <w:rFonts w:ascii="宋体"/>
              </w:rPr>
            </w:pPr>
          </w:p>
        </w:tc>
      </w:tr>
      <w:tr w:rsidR="00584FB3" w14:paraId="40CB0351" w14:textId="77777777">
        <w:trPr>
          <w:jc w:val="center"/>
        </w:trPr>
        <w:tc>
          <w:tcPr>
            <w:tcW w:w="0" w:type="auto"/>
            <w:gridSpan w:val="3"/>
            <w:shd w:val="clear" w:color="auto" w:fill="D7E4BC"/>
            <w:tcMar>
              <w:top w:w="40" w:type="dxa"/>
              <w:left w:w="20" w:type="dxa"/>
              <w:bottom w:w="40" w:type="dxa"/>
              <w:right w:w="20" w:type="dxa"/>
            </w:tcMar>
          </w:tcPr>
          <w:p w14:paraId="40CB0349" w14:textId="77777777" w:rsidR="00584FB3" w:rsidRDefault="00786180">
            <w:pPr>
              <w:textAlignment w:val="top"/>
            </w:pPr>
            <w:r>
              <w:rPr>
                <w:rFonts w:ascii="Times New Roman" w:eastAsia="宋体" w:hAnsi="Times New Roman"/>
                <w:color w:val="000000"/>
                <w:sz w:val="20"/>
                <w:szCs w:val="20"/>
              </w:rPr>
              <w:t>Income taxes</w:t>
            </w:r>
          </w:p>
        </w:tc>
        <w:tc>
          <w:tcPr>
            <w:tcW w:w="0" w:type="auto"/>
            <w:shd w:val="clear" w:color="auto" w:fill="D7E4BC"/>
            <w:tcMar>
              <w:top w:w="40" w:type="dxa"/>
              <w:left w:w="20" w:type="dxa"/>
              <w:bottom w:w="40" w:type="dxa"/>
              <w:right w:w="0" w:type="dxa"/>
            </w:tcMar>
            <w:vAlign w:val="bottom"/>
          </w:tcPr>
          <w:p w14:paraId="40CB034A"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034B" w14:textId="77777777" w:rsidR="00584FB3" w:rsidRDefault="00786180">
            <w:pPr>
              <w:jc w:val="right"/>
              <w:textAlignment w:val="bottom"/>
            </w:pPr>
            <w:r>
              <w:rPr>
                <w:rFonts w:ascii="Times New Roman" w:eastAsia="宋体" w:hAnsi="Times New Roman"/>
                <w:color w:val="000000"/>
                <w:sz w:val="20"/>
                <w:szCs w:val="20"/>
              </w:rPr>
              <w:t>109.4 </w:t>
            </w:r>
          </w:p>
        </w:tc>
        <w:tc>
          <w:tcPr>
            <w:tcW w:w="0" w:type="auto"/>
            <w:shd w:val="clear" w:color="auto" w:fill="D7E4BC"/>
            <w:tcMar>
              <w:top w:w="40" w:type="dxa"/>
              <w:left w:w="0" w:type="dxa"/>
              <w:bottom w:w="40" w:type="dxa"/>
              <w:right w:w="20" w:type="dxa"/>
            </w:tcMar>
            <w:vAlign w:val="bottom"/>
          </w:tcPr>
          <w:p w14:paraId="40CB034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4D"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34E"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034F" w14:textId="77777777" w:rsidR="00584FB3" w:rsidRDefault="00786180">
            <w:pPr>
              <w:jc w:val="right"/>
              <w:textAlignment w:val="bottom"/>
            </w:pPr>
            <w:r>
              <w:rPr>
                <w:rFonts w:ascii="Times New Roman" w:eastAsia="宋体" w:hAnsi="Times New Roman"/>
                <w:color w:val="000000"/>
                <w:sz w:val="20"/>
                <w:szCs w:val="20"/>
              </w:rPr>
              <w:t>92.1 </w:t>
            </w:r>
          </w:p>
        </w:tc>
        <w:tc>
          <w:tcPr>
            <w:tcW w:w="0" w:type="auto"/>
            <w:shd w:val="clear" w:color="auto" w:fill="D7E4BC"/>
            <w:tcMar>
              <w:top w:w="40" w:type="dxa"/>
              <w:left w:w="0" w:type="dxa"/>
              <w:bottom w:w="40" w:type="dxa"/>
              <w:right w:w="20" w:type="dxa"/>
            </w:tcMar>
            <w:vAlign w:val="bottom"/>
          </w:tcPr>
          <w:p w14:paraId="40CB0350" w14:textId="77777777" w:rsidR="00584FB3" w:rsidRDefault="00584FB3">
            <w:pPr>
              <w:jc w:val="right"/>
              <w:rPr>
                <w:rFonts w:ascii="宋体"/>
              </w:rPr>
            </w:pPr>
          </w:p>
        </w:tc>
      </w:tr>
      <w:tr w:rsidR="00584FB3" w14:paraId="40CB0356" w14:textId="77777777">
        <w:trPr>
          <w:jc w:val="center"/>
          <w:hidden/>
        </w:trPr>
        <w:tc>
          <w:tcPr>
            <w:tcW w:w="0" w:type="auto"/>
            <w:gridSpan w:val="3"/>
            <w:shd w:val="clear" w:color="auto" w:fill="auto"/>
          </w:tcPr>
          <w:p w14:paraId="40CB0352" w14:textId="77777777" w:rsidR="00584FB3" w:rsidRDefault="00584FB3">
            <w:pPr>
              <w:rPr>
                <w:rFonts w:ascii="宋体"/>
                <w:vanish/>
              </w:rPr>
            </w:pPr>
          </w:p>
        </w:tc>
        <w:tc>
          <w:tcPr>
            <w:tcW w:w="0" w:type="auto"/>
            <w:gridSpan w:val="3"/>
            <w:shd w:val="clear" w:color="auto" w:fill="auto"/>
          </w:tcPr>
          <w:p w14:paraId="40CB0353" w14:textId="77777777" w:rsidR="00584FB3" w:rsidRDefault="00584FB3">
            <w:pPr>
              <w:rPr>
                <w:rFonts w:ascii="宋体"/>
                <w:vanish/>
              </w:rPr>
            </w:pPr>
          </w:p>
        </w:tc>
        <w:tc>
          <w:tcPr>
            <w:tcW w:w="0" w:type="auto"/>
            <w:gridSpan w:val="3"/>
            <w:shd w:val="clear" w:color="auto" w:fill="auto"/>
          </w:tcPr>
          <w:p w14:paraId="40CB0354" w14:textId="77777777" w:rsidR="00584FB3" w:rsidRDefault="00584FB3">
            <w:pPr>
              <w:rPr>
                <w:rFonts w:ascii="宋体"/>
                <w:vanish/>
              </w:rPr>
            </w:pPr>
          </w:p>
        </w:tc>
        <w:tc>
          <w:tcPr>
            <w:tcW w:w="0" w:type="auto"/>
            <w:gridSpan w:val="3"/>
            <w:shd w:val="clear" w:color="auto" w:fill="auto"/>
          </w:tcPr>
          <w:p w14:paraId="40CB0355" w14:textId="77777777" w:rsidR="00584FB3" w:rsidRDefault="00584FB3">
            <w:pPr>
              <w:rPr>
                <w:rFonts w:ascii="宋体"/>
                <w:vanish/>
              </w:rPr>
            </w:pPr>
          </w:p>
        </w:tc>
      </w:tr>
      <w:tr w:rsidR="00584FB3" w14:paraId="40CB035B" w14:textId="77777777">
        <w:trPr>
          <w:jc w:val="center"/>
          <w:hidden/>
        </w:trPr>
        <w:tc>
          <w:tcPr>
            <w:tcW w:w="0" w:type="auto"/>
            <w:gridSpan w:val="3"/>
            <w:shd w:val="clear" w:color="auto" w:fill="auto"/>
          </w:tcPr>
          <w:p w14:paraId="40CB0357" w14:textId="77777777" w:rsidR="00584FB3" w:rsidRDefault="00584FB3">
            <w:pPr>
              <w:rPr>
                <w:rFonts w:ascii="宋体"/>
                <w:vanish/>
              </w:rPr>
            </w:pPr>
          </w:p>
        </w:tc>
        <w:tc>
          <w:tcPr>
            <w:tcW w:w="0" w:type="auto"/>
            <w:gridSpan w:val="3"/>
            <w:shd w:val="clear" w:color="auto" w:fill="auto"/>
          </w:tcPr>
          <w:p w14:paraId="40CB0358" w14:textId="77777777" w:rsidR="00584FB3" w:rsidRDefault="00584FB3">
            <w:pPr>
              <w:rPr>
                <w:rFonts w:ascii="宋体"/>
                <w:vanish/>
              </w:rPr>
            </w:pPr>
          </w:p>
        </w:tc>
        <w:tc>
          <w:tcPr>
            <w:tcW w:w="0" w:type="auto"/>
            <w:gridSpan w:val="3"/>
            <w:shd w:val="clear" w:color="auto" w:fill="auto"/>
          </w:tcPr>
          <w:p w14:paraId="40CB0359" w14:textId="77777777" w:rsidR="00584FB3" w:rsidRDefault="00584FB3">
            <w:pPr>
              <w:rPr>
                <w:rFonts w:ascii="宋体"/>
                <w:vanish/>
              </w:rPr>
            </w:pPr>
          </w:p>
        </w:tc>
        <w:tc>
          <w:tcPr>
            <w:tcW w:w="0" w:type="auto"/>
            <w:gridSpan w:val="3"/>
            <w:shd w:val="clear" w:color="auto" w:fill="auto"/>
          </w:tcPr>
          <w:p w14:paraId="40CB035A" w14:textId="77777777" w:rsidR="00584FB3" w:rsidRDefault="00584FB3">
            <w:pPr>
              <w:rPr>
                <w:rFonts w:ascii="宋体"/>
                <w:vanish/>
              </w:rPr>
            </w:pPr>
          </w:p>
        </w:tc>
      </w:tr>
    </w:tbl>
    <w:p w14:paraId="40CB035C" w14:textId="77777777" w:rsidR="00584FB3" w:rsidRDefault="00786180">
      <w:pPr>
        <w:jc w:val="center"/>
      </w:pPr>
      <w:r>
        <w:rPr>
          <w:rFonts w:ascii="Times New Roman" w:eastAsia="宋体" w:hAnsi="Times New Roman"/>
          <w:i/>
          <w:iCs/>
          <w:color w:val="000000"/>
          <w:sz w:val="20"/>
          <w:szCs w:val="20"/>
        </w:rPr>
        <w:t>See Notes to Consolidated Financial Statements.</w:t>
      </w:r>
    </w:p>
    <w:p w14:paraId="40CB035D" w14:textId="77777777" w:rsidR="00584FB3" w:rsidRDefault="00786180">
      <w:pPr>
        <w:jc w:val="center"/>
      </w:pPr>
      <w:r>
        <w:rPr>
          <w:rFonts w:ascii="Times New Roman" w:eastAsia="宋体" w:hAnsi="Times New Roman"/>
          <w:color w:val="000000"/>
          <w:sz w:val="20"/>
          <w:szCs w:val="20"/>
        </w:rPr>
        <w:t>6</w:t>
      </w:r>
    </w:p>
    <w:p w14:paraId="40CB035E" w14:textId="77777777" w:rsidR="00584FB3" w:rsidRDefault="00786180">
      <w:r>
        <w:pict w14:anchorId="40CB2A3B">
          <v:rect id="_x0000_i1030" style="width:415.3pt;height:1.5pt" o:hralign="center" o:hrstd="t" o:hr="t" fillcolor="#a0a0a0" stroked="f"/>
        </w:pict>
      </w:r>
    </w:p>
    <w:p w14:paraId="40CB035F" w14:textId="77777777" w:rsidR="00584FB3" w:rsidRDefault="00786180">
      <w:hyperlink r:id="rId44" w:anchor="i11706e4b673c41db9f2dcbdb897203bb_7" w:history="1">
        <w:r>
          <w:rPr>
            <w:rStyle w:val="a5"/>
            <w:rFonts w:ascii="Times New Roman" w:eastAsia="宋体" w:hAnsi="Times New Roman"/>
            <w:sz w:val="20"/>
            <w:szCs w:val="20"/>
          </w:rPr>
          <w:t>Table of Contents</w:t>
        </w:r>
      </w:hyperlink>
    </w:p>
    <w:p w14:paraId="40CB0360" w14:textId="77777777" w:rsidR="00584FB3" w:rsidRDefault="00786180">
      <w:pPr>
        <w:spacing w:before="280"/>
        <w:jc w:val="center"/>
      </w:pPr>
      <w:r>
        <w:rPr>
          <w:rFonts w:ascii="Times New Roman" w:eastAsia="宋体" w:hAnsi="Times New Roman"/>
          <w:b/>
          <w:bCs/>
          <w:color w:val="000000"/>
          <w:sz w:val="20"/>
          <w:szCs w:val="20"/>
        </w:rPr>
        <w:t>STARBUCKS CORPORATION</w:t>
      </w:r>
    </w:p>
    <w:p w14:paraId="40CB0361" w14:textId="77777777" w:rsidR="00584FB3" w:rsidRDefault="00786180">
      <w:pPr>
        <w:jc w:val="center"/>
      </w:pPr>
      <w:r>
        <w:rPr>
          <w:rFonts w:ascii="Times New Roman" w:eastAsia="宋体" w:hAnsi="Times New Roman"/>
          <w:b/>
          <w:bCs/>
          <w:color w:val="000000"/>
          <w:sz w:val="20"/>
          <w:szCs w:val="20"/>
        </w:rPr>
        <w:t>CONSOLIDATED STATEMENTS OF EQUITY</w:t>
      </w:r>
    </w:p>
    <w:p w14:paraId="40CB0362" w14:textId="77777777" w:rsidR="00584FB3" w:rsidRDefault="00786180">
      <w:pPr>
        <w:jc w:val="center"/>
      </w:pPr>
      <w:r>
        <w:rPr>
          <w:rFonts w:ascii="Times New Roman" w:eastAsia="宋体" w:hAnsi="Times New Roman"/>
          <w:i/>
          <w:iCs/>
          <w:color w:val="000000"/>
          <w:sz w:val="20"/>
          <w:szCs w:val="20"/>
        </w:rPr>
        <w:t xml:space="preserve">For the Quarters Ended </w:t>
      </w:r>
      <w:r>
        <w:rPr>
          <w:rFonts w:ascii="Times New Roman" w:eastAsia="宋体" w:hAnsi="Times New Roman"/>
          <w:i/>
          <w:iCs/>
          <w:color w:val="000000"/>
          <w:sz w:val="20"/>
          <w:szCs w:val="20"/>
        </w:rPr>
        <w:t>December 27, 2020 and December 29, 2019</w:t>
      </w:r>
    </w:p>
    <w:p w14:paraId="40CB0363" w14:textId="77777777" w:rsidR="00584FB3" w:rsidRDefault="00786180">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938"/>
        <w:gridCol w:w="35"/>
        <w:gridCol w:w="64"/>
        <w:gridCol w:w="437"/>
        <w:gridCol w:w="36"/>
        <w:gridCol w:w="37"/>
        <w:gridCol w:w="36"/>
        <w:gridCol w:w="36"/>
        <w:gridCol w:w="101"/>
        <w:gridCol w:w="453"/>
        <w:gridCol w:w="35"/>
        <w:gridCol w:w="37"/>
        <w:gridCol w:w="35"/>
        <w:gridCol w:w="35"/>
        <w:gridCol w:w="101"/>
        <w:gridCol w:w="578"/>
        <w:gridCol w:w="35"/>
        <w:gridCol w:w="37"/>
        <w:gridCol w:w="35"/>
        <w:gridCol w:w="35"/>
        <w:gridCol w:w="131"/>
        <w:gridCol w:w="949"/>
        <w:gridCol w:w="35"/>
        <w:gridCol w:w="37"/>
        <w:gridCol w:w="35"/>
        <w:gridCol w:w="35"/>
        <w:gridCol w:w="116"/>
        <w:gridCol w:w="830"/>
        <w:gridCol w:w="35"/>
        <w:gridCol w:w="37"/>
        <w:gridCol w:w="35"/>
        <w:gridCol w:w="35"/>
        <w:gridCol w:w="116"/>
        <w:gridCol w:w="830"/>
        <w:gridCol w:w="35"/>
        <w:gridCol w:w="37"/>
        <w:gridCol w:w="35"/>
        <w:gridCol w:w="35"/>
        <w:gridCol w:w="113"/>
        <w:gridCol w:w="803"/>
        <w:gridCol w:w="35"/>
        <w:gridCol w:w="37"/>
        <w:gridCol w:w="35"/>
        <w:gridCol w:w="35"/>
        <w:gridCol w:w="100"/>
        <w:gridCol w:w="568"/>
        <w:gridCol w:w="35"/>
      </w:tblGrid>
      <w:tr w:rsidR="00584FB3" w14:paraId="40CB0394" w14:textId="77777777">
        <w:trPr>
          <w:jc w:val="center"/>
        </w:trPr>
        <w:tc>
          <w:tcPr>
            <w:tcW w:w="50" w:type="pct"/>
            <w:shd w:val="clear" w:color="auto" w:fill="auto"/>
          </w:tcPr>
          <w:p w14:paraId="40CB0364" w14:textId="77777777" w:rsidR="00584FB3" w:rsidRDefault="00584FB3">
            <w:pPr>
              <w:rPr>
                <w:rFonts w:ascii="宋体"/>
              </w:rPr>
            </w:pPr>
          </w:p>
        </w:tc>
        <w:tc>
          <w:tcPr>
            <w:tcW w:w="1330" w:type="pct"/>
            <w:shd w:val="clear" w:color="auto" w:fill="auto"/>
          </w:tcPr>
          <w:p w14:paraId="40CB0365" w14:textId="77777777" w:rsidR="00584FB3" w:rsidRDefault="00584FB3">
            <w:pPr>
              <w:rPr>
                <w:rFonts w:ascii="宋体"/>
              </w:rPr>
            </w:pPr>
          </w:p>
        </w:tc>
        <w:tc>
          <w:tcPr>
            <w:tcW w:w="5" w:type="pct"/>
            <w:shd w:val="clear" w:color="auto" w:fill="auto"/>
          </w:tcPr>
          <w:p w14:paraId="40CB0366" w14:textId="77777777" w:rsidR="00584FB3" w:rsidRDefault="00584FB3">
            <w:pPr>
              <w:rPr>
                <w:rFonts w:ascii="宋体"/>
              </w:rPr>
            </w:pPr>
          </w:p>
        </w:tc>
        <w:tc>
          <w:tcPr>
            <w:tcW w:w="50" w:type="pct"/>
            <w:shd w:val="clear" w:color="auto" w:fill="auto"/>
          </w:tcPr>
          <w:p w14:paraId="40CB0367" w14:textId="77777777" w:rsidR="00584FB3" w:rsidRDefault="00584FB3">
            <w:pPr>
              <w:rPr>
                <w:rFonts w:ascii="宋体"/>
              </w:rPr>
            </w:pPr>
          </w:p>
        </w:tc>
        <w:tc>
          <w:tcPr>
            <w:tcW w:w="377" w:type="pct"/>
            <w:shd w:val="clear" w:color="auto" w:fill="auto"/>
          </w:tcPr>
          <w:p w14:paraId="40CB0368" w14:textId="77777777" w:rsidR="00584FB3" w:rsidRDefault="00584FB3">
            <w:pPr>
              <w:rPr>
                <w:rFonts w:ascii="宋体"/>
              </w:rPr>
            </w:pPr>
          </w:p>
        </w:tc>
        <w:tc>
          <w:tcPr>
            <w:tcW w:w="5" w:type="pct"/>
            <w:shd w:val="clear" w:color="auto" w:fill="auto"/>
          </w:tcPr>
          <w:p w14:paraId="40CB0369" w14:textId="77777777" w:rsidR="00584FB3" w:rsidRDefault="00584FB3">
            <w:pPr>
              <w:rPr>
                <w:rFonts w:ascii="宋体"/>
              </w:rPr>
            </w:pPr>
          </w:p>
        </w:tc>
        <w:tc>
          <w:tcPr>
            <w:tcW w:w="5" w:type="pct"/>
            <w:shd w:val="clear" w:color="auto" w:fill="auto"/>
          </w:tcPr>
          <w:p w14:paraId="40CB036A" w14:textId="77777777" w:rsidR="00584FB3" w:rsidRDefault="00584FB3">
            <w:pPr>
              <w:rPr>
                <w:rFonts w:ascii="宋体"/>
              </w:rPr>
            </w:pPr>
          </w:p>
        </w:tc>
        <w:tc>
          <w:tcPr>
            <w:tcW w:w="11" w:type="pct"/>
            <w:shd w:val="clear" w:color="auto" w:fill="auto"/>
          </w:tcPr>
          <w:p w14:paraId="40CB036B" w14:textId="77777777" w:rsidR="00584FB3" w:rsidRDefault="00584FB3">
            <w:pPr>
              <w:rPr>
                <w:rFonts w:ascii="宋体"/>
              </w:rPr>
            </w:pPr>
          </w:p>
        </w:tc>
        <w:tc>
          <w:tcPr>
            <w:tcW w:w="5" w:type="pct"/>
            <w:shd w:val="clear" w:color="auto" w:fill="auto"/>
          </w:tcPr>
          <w:p w14:paraId="40CB036C" w14:textId="77777777" w:rsidR="00584FB3" w:rsidRDefault="00584FB3">
            <w:pPr>
              <w:rPr>
                <w:rFonts w:ascii="宋体"/>
              </w:rPr>
            </w:pPr>
          </w:p>
        </w:tc>
        <w:tc>
          <w:tcPr>
            <w:tcW w:w="50" w:type="pct"/>
            <w:shd w:val="clear" w:color="auto" w:fill="auto"/>
          </w:tcPr>
          <w:p w14:paraId="40CB036D" w14:textId="77777777" w:rsidR="00584FB3" w:rsidRDefault="00584FB3">
            <w:pPr>
              <w:rPr>
                <w:rFonts w:ascii="宋体"/>
              </w:rPr>
            </w:pPr>
          </w:p>
        </w:tc>
        <w:tc>
          <w:tcPr>
            <w:tcW w:w="377" w:type="pct"/>
            <w:shd w:val="clear" w:color="auto" w:fill="auto"/>
          </w:tcPr>
          <w:p w14:paraId="40CB036E" w14:textId="77777777" w:rsidR="00584FB3" w:rsidRDefault="00584FB3">
            <w:pPr>
              <w:rPr>
                <w:rFonts w:ascii="宋体"/>
              </w:rPr>
            </w:pPr>
          </w:p>
        </w:tc>
        <w:tc>
          <w:tcPr>
            <w:tcW w:w="5" w:type="pct"/>
            <w:shd w:val="clear" w:color="auto" w:fill="auto"/>
          </w:tcPr>
          <w:p w14:paraId="40CB036F" w14:textId="77777777" w:rsidR="00584FB3" w:rsidRDefault="00584FB3">
            <w:pPr>
              <w:rPr>
                <w:rFonts w:ascii="宋体"/>
              </w:rPr>
            </w:pPr>
          </w:p>
        </w:tc>
        <w:tc>
          <w:tcPr>
            <w:tcW w:w="5" w:type="pct"/>
            <w:shd w:val="clear" w:color="auto" w:fill="auto"/>
          </w:tcPr>
          <w:p w14:paraId="40CB0370" w14:textId="77777777" w:rsidR="00584FB3" w:rsidRDefault="00584FB3">
            <w:pPr>
              <w:rPr>
                <w:rFonts w:ascii="宋体"/>
              </w:rPr>
            </w:pPr>
          </w:p>
        </w:tc>
        <w:tc>
          <w:tcPr>
            <w:tcW w:w="11" w:type="pct"/>
            <w:shd w:val="clear" w:color="auto" w:fill="auto"/>
          </w:tcPr>
          <w:p w14:paraId="40CB0371" w14:textId="77777777" w:rsidR="00584FB3" w:rsidRDefault="00584FB3">
            <w:pPr>
              <w:rPr>
                <w:rFonts w:ascii="宋体"/>
              </w:rPr>
            </w:pPr>
          </w:p>
        </w:tc>
        <w:tc>
          <w:tcPr>
            <w:tcW w:w="5" w:type="pct"/>
            <w:shd w:val="clear" w:color="auto" w:fill="auto"/>
          </w:tcPr>
          <w:p w14:paraId="40CB0372" w14:textId="77777777" w:rsidR="00584FB3" w:rsidRDefault="00584FB3">
            <w:pPr>
              <w:rPr>
                <w:rFonts w:ascii="宋体"/>
              </w:rPr>
            </w:pPr>
          </w:p>
        </w:tc>
        <w:tc>
          <w:tcPr>
            <w:tcW w:w="50" w:type="pct"/>
            <w:shd w:val="clear" w:color="auto" w:fill="auto"/>
          </w:tcPr>
          <w:p w14:paraId="40CB0373" w14:textId="77777777" w:rsidR="00584FB3" w:rsidRDefault="00584FB3">
            <w:pPr>
              <w:rPr>
                <w:rFonts w:ascii="宋体"/>
              </w:rPr>
            </w:pPr>
          </w:p>
        </w:tc>
        <w:tc>
          <w:tcPr>
            <w:tcW w:w="377" w:type="pct"/>
            <w:shd w:val="clear" w:color="auto" w:fill="auto"/>
          </w:tcPr>
          <w:p w14:paraId="40CB0374" w14:textId="77777777" w:rsidR="00584FB3" w:rsidRDefault="00584FB3">
            <w:pPr>
              <w:rPr>
                <w:rFonts w:ascii="宋体"/>
              </w:rPr>
            </w:pPr>
          </w:p>
        </w:tc>
        <w:tc>
          <w:tcPr>
            <w:tcW w:w="5" w:type="pct"/>
            <w:shd w:val="clear" w:color="auto" w:fill="auto"/>
          </w:tcPr>
          <w:p w14:paraId="40CB0375" w14:textId="77777777" w:rsidR="00584FB3" w:rsidRDefault="00584FB3">
            <w:pPr>
              <w:rPr>
                <w:rFonts w:ascii="宋体"/>
              </w:rPr>
            </w:pPr>
          </w:p>
        </w:tc>
        <w:tc>
          <w:tcPr>
            <w:tcW w:w="5" w:type="pct"/>
            <w:shd w:val="clear" w:color="auto" w:fill="auto"/>
          </w:tcPr>
          <w:p w14:paraId="40CB0376" w14:textId="77777777" w:rsidR="00584FB3" w:rsidRDefault="00584FB3">
            <w:pPr>
              <w:rPr>
                <w:rFonts w:ascii="宋体"/>
              </w:rPr>
            </w:pPr>
          </w:p>
        </w:tc>
        <w:tc>
          <w:tcPr>
            <w:tcW w:w="11" w:type="pct"/>
            <w:shd w:val="clear" w:color="auto" w:fill="auto"/>
          </w:tcPr>
          <w:p w14:paraId="40CB0377" w14:textId="77777777" w:rsidR="00584FB3" w:rsidRDefault="00584FB3">
            <w:pPr>
              <w:rPr>
                <w:rFonts w:ascii="宋体"/>
              </w:rPr>
            </w:pPr>
          </w:p>
        </w:tc>
        <w:tc>
          <w:tcPr>
            <w:tcW w:w="5" w:type="pct"/>
            <w:shd w:val="clear" w:color="auto" w:fill="auto"/>
          </w:tcPr>
          <w:p w14:paraId="40CB0378" w14:textId="77777777" w:rsidR="00584FB3" w:rsidRDefault="00584FB3">
            <w:pPr>
              <w:rPr>
                <w:rFonts w:ascii="宋体"/>
              </w:rPr>
            </w:pPr>
          </w:p>
        </w:tc>
        <w:tc>
          <w:tcPr>
            <w:tcW w:w="50" w:type="pct"/>
            <w:shd w:val="clear" w:color="auto" w:fill="auto"/>
          </w:tcPr>
          <w:p w14:paraId="40CB0379" w14:textId="77777777" w:rsidR="00584FB3" w:rsidRDefault="00584FB3">
            <w:pPr>
              <w:rPr>
                <w:rFonts w:ascii="宋体"/>
              </w:rPr>
            </w:pPr>
          </w:p>
        </w:tc>
        <w:tc>
          <w:tcPr>
            <w:tcW w:w="377" w:type="pct"/>
            <w:shd w:val="clear" w:color="auto" w:fill="auto"/>
          </w:tcPr>
          <w:p w14:paraId="40CB037A" w14:textId="77777777" w:rsidR="00584FB3" w:rsidRDefault="00584FB3">
            <w:pPr>
              <w:rPr>
                <w:rFonts w:ascii="宋体"/>
              </w:rPr>
            </w:pPr>
          </w:p>
        </w:tc>
        <w:tc>
          <w:tcPr>
            <w:tcW w:w="5" w:type="pct"/>
            <w:shd w:val="clear" w:color="auto" w:fill="auto"/>
          </w:tcPr>
          <w:p w14:paraId="40CB037B" w14:textId="77777777" w:rsidR="00584FB3" w:rsidRDefault="00584FB3">
            <w:pPr>
              <w:rPr>
                <w:rFonts w:ascii="宋体"/>
              </w:rPr>
            </w:pPr>
          </w:p>
        </w:tc>
        <w:tc>
          <w:tcPr>
            <w:tcW w:w="5" w:type="pct"/>
            <w:shd w:val="clear" w:color="auto" w:fill="auto"/>
          </w:tcPr>
          <w:p w14:paraId="40CB037C" w14:textId="77777777" w:rsidR="00584FB3" w:rsidRDefault="00584FB3">
            <w:pPr>
              <w:rPr>
                <w:rFonts w:ascii="宋体"/>
              </w:rPr>
            </w:pPr>
          </w:p>
        </w:tc>
        <w:tc>
          <w:tcPr>
            <w:tcW w:w="11" w:type="pct"/>
            <w:shd w:val="clear" w:color="auto" w:fill="auto"/>
          </w:tcPr>
          <w:p w14:paraId="40CB037D" w14:textId="77777777" w:rsidR="00584FB3" w:rsidRDefault="00584FB3">
            <w:pPr>
              <w:rPr>
                <w:rFonts w:ascii="宋体"/>
              </w:rPr>
            </w:pPr>
          </w:p>
        </w:tc>
        <w:tc>
          <w:tcPr>
            <w:tcW w:w="5" w:type="pct"/>
            <w:shd w:val="clear" w:color="auto" w:fill="auto"/>
          </w:tcPr>
          <w:p w14:paraId="40CB037E" w14:textId="77777777" w:rsidR="00584FB3" w:rsidRDefault="00584FB3">
            <w:pPr>
              <w:rPr>
                <w:rFonts w:ascii="宋体"/>
              </w:rPr>
            </w:pPr>
          </w:p>
        </w:tc>
        <w:tc>
          <w:tcPr>
            <w:tcW w:w="50" w:type="pct"/>
            <w:shd w:val="clear" w:color="auto" w:fill="auto"/>
          </w:tcPr>
          <w:p w14:paraId="40CB037F" w14:textId="77777777" w:rsidR="00584FB3" w:rsidRDefault="00584FB3">
            <w:pPr>
              <w:rPr>
                <w:rFonts w:ascii="宋体"/>
              </w:rPr>
            </w:pPr>
          </w:p>
        </w:tc>
        <w:tc>
          <w:tcPr>
            <w:tcW w:w="377" w:type="pct"/>
            <w:shd w:val="clear" w:color="auto" w:fill="auto"/>
          </w:tcPr>
          <w:p w14:paraId="40CB0380" w14:textId="77777777" w:rsidR="00584FB3" w:rsidRDefault="00584FB3">
            <w:pPr>
              <w:rPr>
                <w:rFonts w:ascii="宋体"/>
              </w:rPr>
            </w:pPr>
          </w:p>
        </w:tc>
        <w:tc>
          <w:tcPr>
            <w:tcW w:w="5" w:type="pct"/>
            <w:shd w:val="clear" w:color="auto" w:fill="auto"/>
          </w:tcPr>
          <w:p w14:paraId="40CB0381" w14:textId="77777777" w:rsidR="00584FB3" w:rsidRDefault="00584FB3">
            <w:pPr>
              <w:rPr>
                <w:rFonts w:ascii="宋体"/>
              </w:rPr>
            </w:pPr>
          </w:p>
        </w:tc>
        <w:tc>
          <w:tcPr>
            <w:tcW w:w="5" w:type="pct"/>
            <w:shd w:val="clear" w:color="auto" w:fill="auto"/>
          </w:tcPr>
          <w:p w14:paraId="40CB0382" w14:textId="77777777" w:rsidR="00584FB3" w:rsidRDefault="00584FB3">
            <w:pPr>
              <w:rPr>
                <w:rFonts w:ascii="宋体"/>
              </w:rPr>
            </w:pPr>
          </w:p>
        </w:tc>
        <w:tc>
          <w:tcPr>
            <w:tcW w:w="11" w:type="pct"/>
            <w:shd w:val="clear" w:color="auto" w:fill="auto"/>
          </w:tcPr>
          <w:p w14:paraId="40CB0383" w14:textId="77777777" w:rsidR="00584FB3" w:rsidRDefault="00584FB3">
            <w:pPr>
              <w:rPr>
                <w:rFonts w:ascii="宋体"/>
              </w:rPr>
            </w:pPr>
          </w:p>
        </w:tc>
        <w:tc>
          <w:tcPr>
            <w:tcW w:w="5" w:type="pct"/>
            <w:shd w:val="clear" w:color="auto" w:fill="auto"/>
          </w:tcPr>
          <w:p w14:paraId="40CB0384" w14:textId="77777777" w:rsidR="00584FB3" w:rsidRDefault="00584FB3">
            <w:pPr>
              <w:rPr>
                <w:rFonts w:ascii="宋体"/>
              </w:rPr>
            </w:pPr>
          </w:p>
        </w:tc>
        <w:tc>
          <w:tcPr>
            <w:tcW w:w="50" w:type="pct"/>
            <w:shd w:val="clear" w:color="auto" w:fill="auto"/>
          </w:tcPr>
          <w:p w14:paraId="40CB0385" w14:textId="77777777" w:rsidR="00584FB3" w:rsidRDefault="00584FB3">
            <w:pPr>
              <w:rPr>
                <w:rFonts w:ascii="宋体"/>
              </w:rPr>
            </w:pPr>
          </w:p>
        </w:tc>
        <w:tc>
          <w:tcPr>
            <w:tcW w:w="377" w:type="pct"/>
            <w:shd w:val="clear" w:color="auto" w:fill="auto"/>
          </w:tcPr>
          <w:p w14:paraId="40CB0386" w14:textId="77777777" w:rsidR="00584FB3" w:rsidRDefault="00584FB3">
            <w:pPr>
              <w:rPr>
                <w:rFonts w:ascii="宋体"/>
              </w:rPr>
            </w:pPr>
          </w:p>
        </w:tc>
        <w:tc>
          <w:tcPr>
            <w:tcW w:w="5" w:type="pct"/>
            <w:shd w:val="clear" w:color="auto" w:fill="auto"/>
          </w:tcPr>
          <w:p w14:paraId="40CB0387" w14:textId="77777777" w:rsidR="00584FB3" w:rsidRDefault="00584FB3">
            <w:pPr>
              <w:rPr>
                <w:rFonts w:ascii="宋体"/>
              </w:rPr>
            </w:pPr>
          </w:p>
        </w:tc>
        <w:tc>
          <w:tcPr>
            <w:tcW w:w="5" w:type="pct"/>
            <w:shd w:val="clear" w:color="auto" w:fill="auto"/>
          </w:tcPr>
          <w:p w14:paraId="40CB0388" w14:textId="77777777" w:rsidR="00584FB3" w:rsidRDefault="00584FB3">
            <w:pPr>
              <w:rPr>
                <w:rFonts w:ascii="宋体"/>
              </w:rPr>
            </w:pPr>
          </w:p>
        </w:tc>
        <w:tc>
          <w:tcPr>
            <w:tcW w:w="11" w:type="pct"/>
            <w:shd w:val="clear" w:color="auto" w:fill="auto"/>
          </w:tcPr>
          <w:p w14:paraId="40CB0389" w14:textId="77777777" w:rsidR="00584FB3" w:rsidRDefault="00584FB3">
            <w:pPr>
              <w:rPr>
                <w:rFonts w:ascii="宋体"/>
              </w:rPr>
            </w:pPr>
          </w:p>
        </w:tc>
        <w:tc>
          <w:tcPr>
            <w:tcW w:w="5" w:type="pct"/>
            <w:shd w:val="clear" w:color="auto" w:fill="auto"/>
          </w:tcPr>
          <w:p w14:paraId="40CB038A" w14:textId="77777777" w:rsidR="00584FB3" w:rsidRDefault="00584FB3">
            <w:pPr>
              <w:rPr>
                <w:rFonts w:ascii="宋体"/>
              </w:rPr>
            </w:pPr>
          </w:p>
        </w:tc>
        <w:tc>
          <w:tcPr>
            <w:tcW w:w="50" w:type="pct"/>
            <w:shd w:val="clear" w:color="auto" w:fill="auto"/>
          </w:tcPr>
          <w:p w14:paraId="40CB038B" w14:textId="77777777" w:rsidR="00584FB3" w:rsidRDefault="00584FB3">
            <w:pPr>
              <w:rPr>
                <w:rFonts w:ascii="宋体"/>
              </w:rPr>
            </w:pPr>
          </w:p>
        </w:tc>
        <w:tc>
          <w:tcPr>
            <w:tcW w:w="377" w:type="pct"/>
            <w:shd w:val="clear" w:color="auto" w:fill="auto"/>
          </w:tcPr>
          <w:p w14:paraId="40CB038C" w14:textId="77777777" w:rsidR="00584FB3" w:rsidRDefault="00584FB3">
            <w:pPr>
              <w:rPr>
                <w:rFonts w:ascii="宋体"/>
              </w:rPr>
            </w:pPr>
          </w:p>
        </w:tc>
        <w:tc>
          <w:tcPr>
            <w:tcW w:w="5" w:type="pct"/>
            <w:shd w:val="clear" w:color="auto" w:fill="auto"/>
          </w:tcPr>
          <w:p w14:paraId="40CB038D" w14:textId="77777777" w:rsidR="00584FB3" w:rsidRDefault="00584FB3">
            <w:pPr>
              <w:rPr>
                <w:rFonts w:ascii="宋体"/>
              </w:rPr>
            </w:pPr>
          </w:p>
        </w:tc>
        <w:tc>
          <w:tcPr>
            <w:tcW w:w="5" w:type="pct"/>
            <w:shd w:val="clear" w:color="auto" w:fill="auto"/>
          </w:tcPr>
          <w:p w14:paraId="40CB038E" w14:textId="77777777" w:rsidR="00584FB3" w:rsidRDefault="00584FB3">
            <w:pPr>
              <w:rPr>
                <w:rFonts w:ascii="宋体"/>
              </w:rPr>
            </w:pPr>
          </w:p>
        </w:tc>
        <w:tc>
          <w:tcPr>
            <w:tcW w:w="11" w:type="pct"/>
            <w:shd w:val="clear" w:color="auto" w:fill="auto"/>
          </w:tcPr>
          <w:p w14:paraId="40CB038F" w14:textId="77777777" w:rsidR="00584FB3" w:rsidRDefault="00584FB3">
            <w:pPr>
              <w:rPr>
                <w:rFonts w:ascii="宋体"/>
              </w:rPr>
            </w:pPr>
          </w:p>
        </w:tc>
        <w:tc>
          <w:tcPr>
            <w:tcW w:w="5" w:type="pct"/>
            <w:shd w:val="clear" w:color="auto" w:fill="auto"/>
          </w:tcPr>
          <w:p w14:paraId="40CB0390" w14:textId="77777777" w:rsidR="00584FB3" w:rsidRDefault="00584FB3">
            <w:pPr>
              <w:rPr>
                <w:rFonts w:ascii="宋体"/>
              </w:rPr>
            </w:pPr>
          </w:p>
        </w:tc>
        <w:tc>
          <w:tcPr>
            <w:tcW w:w="50" w:type="pct"/>
            <w:shd w:val="clear" w:color="auto" w:fill="auto"/>
          </w:tcPr>
          <w:p w14:paraId="40CB0391" w14:textId="77777777" w:rsidR="00584FB3" w:rsidRDefault="00584FB3">
            <w:pPr>
              <w:rPr>
                <w:rFonts w:ascii="宋体"/>
              </w:rPr>
            </w:pPr>
          </w:p>
        </w:tc>
        <w:tc>
          <w:tcPr>
            <w:tcW w:w="378" w:type="pct"/>
            <w:shd w:val="clear" w:color="auto" w:fill="auto"/>
          </w:tcPr>
          <w:p w14:paraId="40CB0392" w14:textId="77777777" w:rsidR="00584FB3" w:rsidRDefault="00584FB3">
            <w:pPr>
              <w:rPr>
                <w:rFonts w:ascii="宋体"/>
              </w:rPr>
            </w:pPr>
          </w:p>
        </w:tc>
        <w:tc>
          <w:tcPr>
            <w:tcW w:w="5" w:type="pct"/>
            <w:shd w:val="clear" w:color="auto" w:fill="auto"/>
          </w:tcPr>
          <w:p w14:paraId="40CB0393" w14:textId="77777777" w:rsidR="00584FB3" w:rsidRDefault="00584FB3">
            <w:pPr>
              <w:rPr>
                <w:rFonts w:ascii="宋体"/>
              </w:rPr>
            </w:pPr>
          </w:p>
        </w:tc>
      </w:tr>
      <w:tr w:rsidR="00584FB3" w14:paraId="40CB03A3" w14:textId="77777777">
        <w:trPr>
          <w:trHeight w:val="480"/>
          <w:jc w:val="center"/>
        </w:trPr>
        <w:tc>
          <w:tcPr>
            <w:tcW w:w="0" w:type="auto"/>
            <w:gridSpan w:val="3"/>
            <w:shd w:val="clear" w:color="auto" w:fill="auto"/>
            <w:tcMar>
              <w:top w:w="0" w:type="dxa"/>
              <w:left w:w="20" w:type="dxa"/>
              <w:bottom w:w="0" w:type="dxa"/>
              <w:right w:w="20" w:type="dxa"/>
            </w:tcMar>
          </w:tcPr>
          <w:p w14:paraId="40CB0395"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396" w14:textId="77777777" w:rsidR="00584FB3" w:rsidRDefault="00786180">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tcPr>
          <w:p w14:paraId="40CB0397"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398" w14:textId="77777777" w:rsidR="00584FB3" w:rsidRDefault="00786180">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tcPr>
          <w:p w14:paraId="40CB0399"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39A" w14:textId="77777777" w:rsidR="00584FB3" w:rsidRDefault="00786180">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tcPr>
          <w:p w14:paraId="40CB039B"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39C" w14:textId="77777777" w:rsidR="00584FB3" w:rsidRDefault="00786180">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tcPr>
          <w:p w14:paraId="40CB039D"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39E" w14:textId="77777777" w:rsidR="00584FB3" w:rsidRDefault="00786180">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tcPr>
          <w:p w14:paraId="40CB039F"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3A0" w14:textId="77777777" w:rsidR="00584FB3" w:rsidRDefault="00786180">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tcPr>
          <w:p w14:paraId="40CB03A1"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3A2"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03B4" w14:textId="77777777">
        <w:trPr>
          <w:trHeight w:val="300"/>
          <w:jc w:val="center"/>
        </w:trPr>
        <w:tc>
          <w:tcPr>
            <w:tcW w:w="0" w:type="auto"/>
            <w:gridSpan w:val="3"/>
            <w:shd w:val="clear" w:color="auto" w:fill="auto"/>
            <w:tcMar>
              <w:top w:w="40" w:type="dxa"/>
              <w:left w:w="20" w:type="dxa"/>
              <w:bottom w:w="40" w:type="dxa"/>
              <w:right w:w="20" w:type="dxa"/>
            </w:tcMar>
            <w:vAlign w:val="bottom"/>
          </w:tcPr>
          <w:p w14:paraId="40CB03A4"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03A5" w14:textId="77777777" w:rsidR="00584FB3" w:rsidRDefault="00786180">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tcPr>
          <w:p w14:paraId="40CB03A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3A7" w14:textId="77777777" w:rsidR="00584FB3" w:rsidRDefault="00786180">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tcPr>
          <w:p w14:paraId="40CB03A8"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3A9"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03AA"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3AB"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03AC"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3AD"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03AE"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3AF"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03B0"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3B1"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03B2"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3B3" w14:textId="77777777" w:rsidR="00584FB3" w:rsidRDefault="00584FB3">
            <w:pPr>
              <w:jc w:val="center"/>
              <w:rPr>
                <w:rFonts w:ascii="宋体"/>
              </w:rPr>
            </w:pPr>
          </w:p>
        </w:tc>
      </w:tr>
      <w:tr w:rsidR="00786180" w14:paraId="40CB03D3" w14:textId="77777777">
        <w:trPr>
          <w:jc w:val="center"/>
        </w:trPr>
        <w:tc>
          <w:tcPr>
            <w:tcW w:w="0" w:type="auto"/>
            <w:gridSpan w:val="3"/>
            <w:shd w:val="clear" w:color="auto" w:fill="D7E4BC"/>
            <w:tcMar>
              <w:top w:w="40" w:type="dxa"/>
              <w:left w:w="20" w:type="dxa"/>
              <w:bottom w:w="40" w:type="dxa"/>
              <w:right w:w="20" w:type="dxa"/>
            </w:tcMar>
            <w:vAlign w:val="bottom"/>
          </w:tcPr>
          <w:p w14:paraId="40CB03B5" w14:textId="77777777" w:rsidR="00584FB3" w:rsidRDefault="00786180">
            <w:pPr>
              <w:textAlignment w:val="bottom"/>
            </w:pPr>
            <w:r>
              <w:rPr>
                <w:rFonts w:ascii="Times New Roman" w:eastAsia="宋体" w:hAnsi="Times New Roman"/>
                <w:b/>
                <w:bCs/>
                <w:color w:val="000000"/>
                <w:sz w:val="18"/>
                <w:szCs w:val="18"/>
              </w:rPr>
              <w:t>Balance, September 27, 2020</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0CB03B6" w14:textId="77777777" w:rsidR="00584FB3" w:rsidRDefault="00786180">
            <w:pPr>
              <w:jc w:val="right"/>
              <w:textAlignment w:val="bottom"/>
            </w:pPr>
            <w:r>
              <w:rPr>
                <w:rFonts w:ascii="Times New Roman" w:eastAsia="宋体" w:hAnsi="Times New Roman"/>
                <w:color w:val="000000"/>
                <w:sz w:val="18"/>
                <w:szCs w:val="18"/>
              </w:rPr>
              <w:t>1,173.3</w:t>
            </w:r>
          </w:p>
        </w:tc>
        <w:tc>
          <w:tcPr>
            <w:tcW w:w="0" w:type="auto"/>
            <w:gridSpan w:val="3"/>
            <w:shd w:val="clear" w:color="auto" w:fill="D7E4BC"/>
            <w:tcMar>
              <w:top w:w="0" w:type="dxa"/>
              <w:left w:w="20" w:type="dxa"/>
              <w:bottom w:w="0" w:type="dxa"/>
              <w:right w:w="20" w:type="dxa"/>
            </w:tcMar>
          </w:tcPr>
          <w:p w14:paraId="40CB03B7"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B8"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B9" w14:textId="77777777" w:rsidR="00584FB3" w:rsidRDefault="00786180">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B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BB"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BC"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BD" w14:textId="77777777" w:rsidR="00584FB3" w:rsidRDefault="00786180">
            <w:pPr>
              <w:jc w:val="right"/>
              <w:textAlignment w:val="bottom"/>
            </w:pPr>
            <w:r>
              <w:rPr>
                <w:rFonts w:ascii="Times New Roman" w:eastAsia="宋体" w:hAnsi="Times New Roman"/>
                <w:color w:val="000000"/>
                <w:sz w:val="18"/>
                <w:szCs w:val="18"/>
              </w:rPr>
              <w:t>373.9 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B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BF"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C0"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C1" w14:textId="77777777" w:rsidR="00584FB3" w:rsidRDefault="00786180">
            <w:pPr>
              <w:jc w:val="right"/>
              <w:textAlignment w:val="bottom"/>
            </w:pPr>
            <w:r>
              <w:rPr>
                <w:rFonts w:ascii="Times New Roman" w:eastAsia="宋体" w:hAnsi="Times New Roman"/>
                <w:color w:val="000000"/>
                <w:sz w:val="18"/>
                <w:szCs w:val="18"/>
              </w:rPr>
              <w:t>(7,815.6)</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C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C3"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C4"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C5" w14:textId="77777777" w:rsidR="00584FB3" w:rsidRDefault="00786180">
            <w:pPr>
              <w:jc w:val="right"/>
              <w:textAlignment w:val="bottom"/>
            </w:pPr>
            <w:r>
              <w:rPr>
                <w:rFonts w:ascii="Times New Roman" w:eastAsia="宋体" w:hAnsi="Times New Roman"/>
                <w:color w:val="000000"/>
                <w:sz w:val="18"/>
                <w:szCs w:val="18"/>
              </w:rPr>
              <w:t>(364.6)</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C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C7"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C8"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C9" w14:textId="77777777" w:rsidR="00584FB3" w:rsidRDefault="00786180">
            <w:pPr>
              <w:jc w:val="right"/>
              <w:textAlignment w:val="bottom"/>
            </w:pPr>
            <w:r>
              <w:rPr>
                <w:rFonts w:ascii="Times New Roman" w:eastAsia="宋体" w:hAnsi="Times New Roman"/>
                <w:color w:val="000000"/>
                <w:sz w:val="18"/>
                <w:szCs w:val="18"/>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C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CB"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CC"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CD" w14:textId="77777777" w:rsidR="00584FB3" w:rsidRDefault="00786180">
            <w:pPr>
              <w:jc w:val="right"/>
              <w:textAlignment w:val="bottom"/>
            </w:pPr>
            <w:r>
              <w:rPr>
                <w:rFonts w:ascii="Times New Roman" w:eastAsia="宋体" w:hAnsi="Times New Roman"/>
                <w:color w:val="000000"/>
                <w:sz w:val="18"/>
                <w:szCs w:val="18"/>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C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CF"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3D0"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3D1" w14:textId="77777777" w:rsidR="00584FB3" w:rsidRDefault="00786180">
            <w:pPr>
              <w:jc w:val="right"/>
              <w:textAlignment w:val="bottom"/>
            </w:pPr>
            <w:r>
              <w:rPr>
                <w:rFonts w:ascii="Times New Roman" w:eastAsia="宋体" w:hAnsi="Times New Roman"/>
                <w:color w:val="000000"/>
                <w:sz w:val="18"/>
                <w:szCs w:val="18"/>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3D2" w14:textId="77777777" w:rsidR="00584FB3" w:rsidRDefault="00584FB3">
            <w:pPr>
              <w:jc w:val="right"/>
              <w:rPr>
                <w:rFonts w:ascii="宋体"/>
              </w:rPr>
            </w:pPr>
          </w:p>
        </w:tc>
      </w:tr>
      <w:tr w:rsidR="00584FB3" w14:paraId="40CB03EB" w14:textId="77777777">
        <w:trPr>
          <w:jc w:val="center"/>
        </w:trPr>
        <w:tc>
          <w:tcPr>
            <w:tcW w:w="0" w:type="auto"/>
            <w:gridSpan w:val="3"/>
            <w:shd w:val="clear" w:color="auto" w:fill="FFFFFF"/>
            <w:tcMar>
              <w:top w:w="40" w:type="dxa"/>
              <w:left w:w="20" w:type="dxa"/>
              <w:bottom w:w="40" w:type="dxa"/>
              <w:right w:w="20" w:type="dxa"/>
            </w:tcMar>
          </w:tcPr>
          <w:p w14:paraId="40CB03D4" w14:textId="77777777" w:rsidR="00584FB3" w:rsidRDefault="00786180">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40CB03D5"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40CB03D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D7"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3D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D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DA"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3D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D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DD" w14:textId="77777777" w:rsidR="00584FB3" w:rsidRDefault="00786180">
            <w:pPr>
              <w:jc w:val="right"/>
              <w:textAlignment w:val="bottom"/>
            </w:pPr>
            <w:r>
              <w:rPr>
                <w:rFonts w:ascii="Times New Roman" w:eastAsia="宋体" w:hAnsi="Times New Roman"/>
                <w:color w:val="000000"/>
                <w:sz w:val="18"/>
                <w:szCs w:val="18"/>
              </w:rPr>
              <w:t>(2.2)</w:t>
            </w:r>
          </w:p>
        </w:tc>
        <w:tc>
          <w:tcPr>
            <w:tcW w:w="0" w:type="auto"/>
            <w:shd w:val="clear" w:color="auto" w:fill="FFFFFF"/>
            <w:tcMar>
              <w:top w:w="40" w:type="dxa"/>
              <w:left w:w="0" w:type="dxa"/>
              <w:bottom w:w="40" w:type="dxa"/>
              <w:right w:w="20" w:type="dxa"/>
            </w:tcMar>
            <w:vAlign w:val="bottom"/>
          </w:tcPr>
          <w:p w14:paraId="40CB03D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D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E0"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3E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E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E3" w14:textId="77777777" w:rsidR="00584FB3" w:rsidRDefault="00786180">
            <w:pPr>
              <w:jc w:val="right"/>
              <w:textAlignment w:val="bottom"/>
            </w:pPr>
            <w:r>
              <w:rPr>
                <w:rFonts w:ascii="Times New Roman" w:eastAsia="宋体" w:hAnsi="Times New Roman"/>
                <w:color w:val="000000"/>
                <w:sz w:val="18"/>
                <w:szCs w:val="18"/>
              </w:rPr>
              <w:t>(2.2)</w:t>
            </w:r>
          </w:p>
        </w:tc>
        <w:tc>
          <w:tcPr>
            <w:tcW w:w="0" w:type="auto"/>
            <w:shd w:val="clear" w:color="auto" w:fill="FFFFFF"/>
            <w:tcMar>
              <w:top w:w="40" w:type="dxa"/>
              <w:left w:w="0" w:type="dxa"/>
              <w:bottom w:w="40" w:type="dxa"/>
              <w:right w:w="20" w:type="dxa"/>
            </w:tcMar>
            <w:vAlign w:val="bottom"/>
          </w:tcPr>
          <w:p w14:paraId="40CB03E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E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E6"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3E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3E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3E9" w14:textId="77777777" w:rsidR="00584FB3" w:rsidRDefault="00786180">
            <w:pPr>
              <w:jc w:val="right"/>
              <w:textAlignment w:val="bottom"/>
            </w:pPr>
            <w:r>
              <w:rPr>
                <w:rFonts w:ascii="Times New Roman" w:eastAsia="宋体" w:hAnsi="Times New Roman"/>
                <w:color w:val="000000"/>
                <w:sz w:val="18"/>
                <w:szCs w:val="18"/>
              </w:rPr>
              <w:t>(2.2)</w:t>
            </w:r>
          </w:p>
        </w:tc>
        <w:tc>
          <w:tcPr>
            <w:tcW w:w="0" w:type="auto"/>
            <w:shd w:val="clear" w:color="auto" w:fill="FFFFFF"/>
            <w:tcMar>
              <w:top w:w="40" w:type="dxa"/>
              <w:left w:w="0" w:type="dxa"/>
              <w:bottom w:w="40" w:type="dxa"/>
              <w:right w:w="20" w:type="dxa"/>
            </w:tcMar>
            <w:vAlign w:val="bottom"/>
          </w:tcPr>
          <w:p w14:paraId="40CB03EA" w14:textId="77777777" w:rsidR="00584FB3" w:rsidRDefault="00584FB3">
            <w:pPr>
              <w:jc w:val="right"/>
              <w:rPr>
                <w:rFonts w:ascii="宋体"/>
              </w:rPr>
            </w:pPr>
          </w:p>
        </w:tc>
      </w:tr>
      <w:tr w:rsidR="00584FB3" w14:paraId="40CB0403" w14:textId="77777777">
        <w:trPr>
          <w:jc w:val="center"/>
        </w:trPr>
        <w:tc>
          <w:tcPr>
            <w:tcW w:w="0" w:type="auto"/>
            <w:gridSpan w:val="3"/>
            <w:shd w:val="clear" w:color="auto" w:fill="D7E4BC"/>
            <w:tcMar>
              <w:top w:w="40" w:type="dxa"/>
              <w:left w:w="20" w:type="dxa"/>
              <w:bottom w:w="40" w:type="dxa"/>
              <w:right w:w="20" w:type="dxa"/>
            </w:tcMar>
          </w:tcPr>
          <w:p w14:paraId="40CB03EC" w14:textId="77777777" w:rsidR="00584FB3" w:rsidRDefault="00786180">
            <w:pPr>
              <w:textAlignment w:val="top"/>
            </w:pPr>
            <w:r>
              <w:rPr>
                <w:rFonts w:ascii="Times New Roman" w:eastAsia="宋体" w:hAnsi="Times New Roman"/>
                <w:color w:val="000000"/>
                <w:sz w:val="18"/>
                <w:szCs w:val="18"/>
              </w:rPr>
              <w:t>Net earnings</w:t>
            </w:r>
          </w:p>
        </w:tc>
        <w:tc>
          <w:tcPr>
            <w:tcW w:w="0" w:type="auto"/>
            <w:gridSpan w:val="3"/>
            <w:shd w:val="clear" w:color="auto" w:fill="D7E4BC"/>
            <w:tcMar>
              <w:top w:w="40" w:type="dxa"/>
              <w:left w:w="20" w:type="dxa"/>
              <w:bottom w:w="40" w:type="dxa"/>
              <w:right w:w="20" w:type="dxa"/>
            </w:tcMar>
            <w:vAlign w:val="bottom"/>
          </w:tcPr>
          <w:p w14:paraId="40CB03ED"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top w:w="0" w:type="dxa"/>
              <w:left w:w="20" w:type="dxa"/>
              <w:bottom w:w="0" w:type="dxa"/>
              <w:right w:w="20" w:type="dxa"/>
            </w:tcMar>
          </w:tcPr>
          <w:p w14:paraId="40CB03E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EF"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3F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F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F2"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3F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F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F5" w14:textId="77777777" w:rsidR="00584FB3" w:rsidRDefault="00786180">
            <w:pPr>
              <w:jc w:val="right"/>
              <w:textAlignment w:val="bottom"/>
            </w:pPr>
            <w:r>
              <w:rPr>
                <w:rFonts w:ascii="Times New Roman" w:eastAsia="宋体" w:hAnsi="Times New Roman"/>
                <w:color w:val="000000"/>
                <w:sz w:val="18"/>
                <w:szCs w:val="18"/>
              </w:rPr>
              <w:t>622.2 </w:t>
            </w:r>
          </w:p>
        </w:tc>
        <w:tc>
          <w:tcPr>
            <w:tcW w:w="0" w:type="auto"/>
            <w:shd w:val="clear" w:color="auto" w:fill="D7E4BC"/>
            <w:tcMar>
              <w:top w:w="40" w:type="dxa"/>
              <w:left w:w="0" w:type="dxa"/>
              <w:bottom w:w="40" w:type="dxa"/>
              <w:right w:w="20" w:type="dxa"/>
            </w:tcMar>
            <w:vAlign w:val="bottom"/>
          </w:tcPr>
          <w:p w14:paraId="40CB03F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F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F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3F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F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FB" w14:textId="77777777" w:rsidR="00584FB3" w:rsidRDefault="00786180">
            <w:pPr>
              <w:jc w:val="right"/>
              <w:textAlignment w:val="bottom"/>
            </w:pPr>
            <w:r>
              <w:rPr>
                <w:rFonts w:ascii="Times New Roman" w:eastAsia="宋体" w:hAnsi="Times New Roman"/>
                <w:color w:val="000000"/>
                <w:sz w:val="18"/>
                <w:szCs w:val="18"/>
              </w:rPr>
              <w:t>622.2 </w:t>
            </w:r>
          </w:p>
        </w:tc>
        <w:tc>
          <w:tcPr>
            <w:tcW w:w="0" w:type="auto"/>
            <w:shd w:val="clear" w:color="auto" w:fill="D7E4BC"/>
            <w:tcMar>
              <w:top w:w="40" w:type="dxa"/>
              <w:left w:w="0" w:type="dxa"/>
              <w:bottom w:w="40" w:type="dxa"/>
              <w:right w:w="20" w:type="dxa"/>
            </w:tcMar>
            <w:vAlign w:val="bottom"/>
          </w:tcPr>
          <w:p w14:paraId="40CB03F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3F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3FE"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3F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0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01" w14:textId="77777777" w:rsidR="00584FB3" w:rsidRDefault="00786180">
            <w:pPr>
              <w:jc w:val="right"/>
              <w:textAlignment w:val="bottom"/>
            </w:pPr>
            <w:r>
              <w:rPr>
                <w:rFonts w:ascii="Times New Roman" w:eastAsia="宋体" w:hAnsi="Times New Roman"/>
                <w:color w:val="000000"/>
                <w:sz w:val="18"/>
                <w:szCs w:val="18"/>
              </w:rPr>
              <w:t>622.2 </w:t>
            </w:r>
          </w:p>
        </w:tc>
        <w:tc>
          <w:tcPr>
            <w:tcW w:w="0" w:type="auto"/>
            <w:shd w:val="clear" w:color="auto" w:fill="D7E4BC"/>
            <w:tcMar>
              <w:top w:w="40" w:type="dxa"/>
              <w:left w:w="0" w:type="dxa"/>
              <w:bottom w:w="40" w:type="dxa"/>
              <w:right w:w="20" w:type="dxa"/>
            </w:tcMar>
            <w:vAlign w:val="bottom"/>
          </w:tcPr>
          <w:p w14:paraId="40CB0402" w14:textId="77777777" w:rsidR="00584FB3" w:rsidRDefault="00584FB3">
            <w:pPr>
              <w:jc w:val="right"/>
              <w:rPr>
                <w:rFonts w:ascii="宋体"/>
              </w:rPr>
            </w:pPr>
          </w:p>
        </w:tc>
      </w:tr>
      <w:tr w:rsidR="00584FB3" w14:paraId="40CB041B" w14:textId="77777777">
        <w:trPr>
          <w:jc w:val="center"/>
        </w:trPr>
        <w:tc>
          <w:tcPr>
            <w:tcW w:w="0" w:type="auto"/>
            <w:gridSpan w:val="3"/>
            <w:shd w:val="clear" w:color="auto" w:fill="FFFFFF"/>
            <w:tcMar>
              <w:top w:w="40" w:type="dxa"/>
              <w:left w:w="20" w:type="dxa"/>
              <w:bottom w:w="40" w:type="dxa"/>
              <w:right w:w="20" w:type="dxa"/>
            </w:tcMar>
          </w:tcPr>
          <w:p w14:paraId="40CB0404" w14:textId="77777777" w:rsidR="00584FB3" w:rsidRDefault="00786180">
            <w:pPr>
              <w:textAlignment w:val="top"/>
            </w:pPr>
            <w:r>
              <w:rPr>
                <w:rFonts w:ascii="Times New Roman" w:eastAsia="宋体" w:hAnsi="Times New Roman"/>
                <w:color w:val="000000"/>
                <w:sz w:val="18"/>
                <w:szCs w:val="18"/>
              </w:rPr>
              <w:t>Other</w:t>
            </w:r>
            <w:r>
              <w:rPr>
                <w:rFonts w:ascii="Times New Roman" w:eastAsia="宋体" w:hAnsi="Times New Roman"/>
                <w:color w:val="000000"/>
                <w:sz w:val="18"/>
                <w:szCs w:val="18"/>
              </w:rPr>
              <w:t xml:space="preserve"> comprehensive income/(loss)</w:t>
            </w:r>
          </w:p>
        </w:tc>
        <w:tc>
          <w:tcPr>
            <w:tcW w:w="0" w:type="auto"/>
            <w:gridSpan w:val="3"/>
            <w:shd w:val="clear" w:color="auto" w:fill="FFFFFF"/>
            <w:tcMar>
              <w:top w:w="40" w:type="dxa"/>
              <w:left w:w="20" w:type="dxa"/>
              <w:bottom w:w="40" w:type="dxa"/>
              <w:right w:w="20" w:type="dxa"/>
            </w:tcMar>
            <w:vAlign w:val="bottom"/>
          </w:tcPr>
          <w:p w14:paraId="40CB0405"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40CB040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07"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0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0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0A"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0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0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0D"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0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0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10" w14:textId="77777777" w:rsidR="00584FB3" w:rsidRDefault="00786180">
            <w:pPr>
              <w:jc w:val="right"/>
              <w:textAlignment w:val="bottom"/>
            </w:pPr>
            <w:r>
              <w:rPr>
                <w:rFonts w:ascii="Times New Roman" w:eastAsia="宋体" w:hAnsi="Times New Roman"/>
                <w:color w:val="000000"/>
                <w:sz w:val="18"/>
                <w:szCs w:val="18"/>
              </w:rPr>
              <w:t>218.7 </w:t>
            </w:r>
          </w:p>
        </w:tc>
        <w:tc>
          <w:tcPr>
            <w:tcW w:w="0" w:type="auto"/>
            <w:shd w:val="clear" w:color="auto" w:fill="FFFFFF"/>
            <w:tcMar>
              <w:top w:w="40" w:type="dxa"/>
              <w:left w:w="0" w:type="dxa"/>
              <w:bottom w:w="40" w:type="dxa"/>
              <w:right w:w="20" w:type="dxa"/>
            </w:tcMar>
            <w:vAlign w:val="bottom"/>
          </w:tcPr>
          <w:p w14:paraId="40CB041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1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13" w14:textId="77777777" w:rsidR="00584FB3" w:rsidRDefault="00786180">
            <w:pPr>
              <w:jc w:val="right"/>
              <w:textAlignment w:val="bottom"/>
            </w:pPr>
            <w:r>
              <w:rPr>
                <w:rFonts w:ascii="Times New Roman" w:eastAsia="宋体" w:hAnsi="Times New Roman"/>
                <w:color w:val="000000"/>
                <w:sz w:val="18"/>
                <w:szCs w:val="18"/>
              </w:rPr>
              <w:t>218.7 </w:t>
            </w:r>
          </w:p>
        </w:tc>
        <w:tc>
          <w:tcPr>
            <w:tcW w:w="0" w:type="auto"/>
            <w:shd w:val="clear" w:color="auto" w:fill="FFFFFF"/>
            <w:tcMar>
              <w:top w:w="40" w:type="dxa"/>
              <w:left w:w="0" w:type="dxa"/>
              <w:bottom w:w="40" w:type="dxa"/>
              <w:right w:w="20" w:type="dxa"/>
            </w:tcMar>
            <w:vAlign w:val="bottom"/>
          </w:tcPr>
          <w:p w14:paraId="40CB041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1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16"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1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1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19" w14:textId="77777777" w:rsidR="00584FB3" w:rsidRDefault="00786180">
            <w:pPr>
              <w:jc w:val="right"/>
              <w:textAlignment w:val="bottom"/>
            </w:pPr>
            <w:r>
              <w:rPr>
                <w:rFonts w:ascii="Times New Roman" w:eastAsia="宋体" w:hAnsi="Times New Roman"/>
                <w:color w:val="000000"/>
                <w:sz w:val="18"/>
                <w:szCs w:val="18"/>
              </w:rPr>
              <w:t>218.7 </w:t>
            </w:r>
          </w:p>
        </w:tc>
        <w:tc>
          <w:tcPr>
            <w:tcW w:w="0" w:type="auto"/>
            <w:shd w:val="clear" w:color="auto" w:fill="FFFFFF"/>
            <w:tcMar>
              <w:top w:w="40" w:type="dxa"/>
              <w:left w:w="0" w:type="dxa"/>
              <w:bottom w:w="40" w:type="dxa"/>
              <w:right w:w="20" w:type="dxa"/>
            </w:tcMar>
            <w:vAlign w:val="bottom"/>
          </w:tcPr>
          <w:p w14:paraId="40CB041A" w14:textId="77777777" w:rsidR="00584FB3" w:rsidRDefault="00584FB3">
            <w:pPr>
              <w:jc w:val="right"/>
              <w:rPr>
                <w:rFonts w:ascii="宋体"/>
              </w:rPr>
            </w:pPr>
          </w:p>
        </w:tc>
      </w:tr>
      <w:tr w:rsidR="00584FB3" w14:paraId="40CB0433" w14:textId="77777777">
        <w:trPr>
          <w:jc w:val="center"/>
        </w:trPr>
        <w:tc>
          <w:tcPr>
            <w:tcW w:w="0" w:type="auto"/>
            <w:gridSpan w:val="3"/>
            <w:shd w:val="clear" w:color="auto" w:fill="D7E4BC"/>
            <w:tcMar>
              <w:top w:w="40" w:type="dxa"/>
              <w:left w:w="20" w:type="dxa"/>
              <w:bottom w:w="40" w:type="dxa"/>
              <w:right w:w="20" w:type="dxa"/>
            </w:tcMar>
          </w:tcPr>
          <w:p w14:paraId="40CB041C" w14:textId="77777777" w:rsidR="00584FB3" w:rsidRDefault="00786180">
            <w:pPr>
              <w:textAlignment w:val="top"/>
            </w:pPr>
            <w:r>
              <w:rPr>
                <w:rFonts w:ascii="Times New Roman" w:eastAsia="宋体" w:hAnsi="Times New Roman"/>
                <w:color w:val="000000"/>
                <w:sz w:val="18"/>
                <w:szCs w:val="18"/>
              </w:rPr>
              <w:t>Stock</w:t>
            </w:r>
            <w:r>
              <w:rPr>
                <w:rFonts w:ascii="Times New Roman" w:eastAsia="宋体" w:hAnsi="Times New Roman"/>
                <w:color w:val="000000"/>
                <w:sz w:val="18"/>
                <w:szCs w:val="18"/>
              </w:rPr>
              <w:t>-based compensation expense</w:t>
            </w:r>
          </w:p>
        </w:tc>
        <w:tc>
          <w:tcPr>
            <w:tcW w:w="0" w:type="auto"/>
            <w:gridSpan w:val="3"/>
            <w:shd w:val="clear" w:color="auto" w:fill="D7E4BC"/>
            <w:tcMar>
              <w:top w:w="40" w:type="dxa"/>
              <w:left w:w="20" w:type="dxa"/>
              <w:bottom w:w="40" w:type="dxa"/>
              <w:right w:w="20" w:type="dxa"/>
            </w:tcMar>
            <w:vAlign w:val="bottom"/>
          </w:tcPr>
          <w:p w14:paraId="40CB041D"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top w:w="0" w:type="dxa"/>
              <w:left w:w="20" w:type="dxa"/>
              <w:bottom w:w="0" w:type="dxa"/>
              <w:right w:w="20" w:type="dxa"/>
            </w:tcMar>
          </w:tcPr>
          <w:p w14:paraId="40CB041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1F"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2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2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22" w14:textId="77777777" w:rsidR="00584FB3" w:rsidRDefault="00786180">
            <w:pPr>
              <w:jc w:val="right"/>
              <w:textAlignment w:val="bottom"/>
            </w:pPr>
            <w:r>
              <w:rPr>
                <w:rFonts w:ascii="Times New Roman" w:eastAsia="宋体" w:hAnsi="Times New Roman"/>
                <w:color w:val="000000"/>
                <w:sz w:val="18"/>
                <w:szCs w:val="18"/>
              </w:rPr>
              <w:t>100.5 </w:t>
            </w:r>
          </w:p>
        </w:tc>
        <w:tc>
          <w:tcPr>
            <w:tcW w:w="0" w:type="auto"/>
            <w:shd w:val="clear" w:color="auto" w:fill="D7E4BC"/>
            <w:tcMar>
              <w:top w:w="40" w:type="dxa"/>
              <w:left w:w="0" w:type="dxa"/>
              <w:bottom w:w="40" w:type="dxa"/>
              <w:right w:w="20" w:type="dxa"/>
            </w:tcMar>
            <w:vAlign w:val="bottom"/>
          </w:tcPr>
          <w:p w14:paraId="40CB042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2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25"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2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2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2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2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2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2B" w14:textId="77777777" w:rsidR="00584FB3" w:rsidRDefault="00786180">
            <w:pPr>
              <w:jc w:val="right"/>
              <w:textAlignment w:val="bottom"/>
            </w:pPr>
            <w:r>
              <w:rPr>
                <w:rFonts w:ascii="Times New Roman" w:eastAsia="宋体" w:hAnsi="Times New Roman"/>
                <w:color w:val="000000"/>
                <w:sz w:val="18"/>
                <w:szCs w:val="18"/>
              </w:rPr>
              <w:t>100.5 </w:t>
            </w:r>
          </w:p>
        </w:tc>
        <w:tc>
          <w:tcPr>
            <w:tcW w:w="0" w:type="auto"/>
            <w:shd w:val="clear" w:color="auto" w:fill="D7E4BC"/>
            <w:tcMar>
              <w:top w:w="40" w:type="dxa"/>
              <w:left w:w="0" w:type="dxa"/>
              <w:bottom w:w="40" w:type="dxa"/>
              <w:right w:w="20" w:type="dxa"/>
            </w:tcMar>
            <w:vAlign w:val="bottom"/>
          </w:tcPr>
          <w:p w14:paraId="40CB042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2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2E"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2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3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31" w14:textId="77777777" w:rsidR="00584FB3" w:rsidRDefault="00786180">
            <w:pPr>
              <w:jc w:val="right"/>
              <w:textAlignment w:val="bottom"/>
            </w:pPr>
            <w:r>
              <w:rPr>
                <w:rFonts w:ascii="Times New Roman" w:eastAsia="宋体" w:hAnsi="Times New Roman"/>
                <w:color w:val="000000"/>
                <w:sz w:val="18"/>
                <w:szCs w:val="18"/>
              </w:rPr>
              <w:t>100.5 </w:t>
            </w:r>
          </w:p>
        </w:tc>
        <w:tc>
          <w:tcPr>
            <w:tcW w:w="0" w:type="auto"/>
            <w:shd w:val="clear" w:color="auto" w:fill="D7E4BC"/>
            <w:tcMar>
              <w:top w:w="40" w:type="dxa"/>
              <w:left w:w="0" w:type="dxa"/>
              <w:bottom w:w="40" w:type="dxa"/>
              <w:right w:w="20" w:type="dxa"/>
            </w:tcMar>
            <w:vAlign w:val="bottom"/>
          </w:tcPr>
          <w:p w14:paraId="40CB0432" w14:textId="77777777" w:rsidR="00584FB3" w:rsidRDefault="00584FB3">
            <w:pPr>
              <w:jc w:val="right"/>
              <w:rPr>
                <w:rFonts w:ascii="宋体"/>
              </w:rPr>
            </w:pPr>
          </w:p>
        </w:tc>
      </w:tr>
      <w:tr w:rsidR="00584FB3" w14:paraId="40CB044B" w14:textId="77777777">
        <w:trPr>
          <w:jc w:val="center"/>
        </w:trPr>
        <w:tc>
          <w:tcPr>
            <w:tcW w:w="0" w:type="auto"/>
            <w:gridSpan w:val="3"/>
            <w:shd w:val="clear" w:color="auto" w:fill="FFFFFF"/>
            <w:tcMar>
              <w:top w:w="40" w:type="dxa"/>
              <w:left w:w="20" w:type="dxa"/>
              <w:bottom w:w="40" w:type="dxa"/>
              <w:right w:w="20" w:type="dxa"/>
            </w:tcMar>
          </w:tcPr>
          <w:p w14:paraId="40CB0434" w14:textId="77777777" w:rsidR="00584FB3" w:rsidRDefault="00786180">
            <w:pPr>
              <w:textAlignment w:val="top"/>
            </w:pPr>
            <w:r>
              <w:rPr>
                <w:rFonts w:ascii="Times New Roman" w:eastAsia="宋体" w:hAnsi="Times New Roman"/>
                <w:color w:val="000000"/>
                <w:sz w:val="18"/>
                <w:szCs w:val="18"/>
              </w:rPr>
              <w:t>Exerc</w:t>
            </w:r>
            <w:r>
              <w:rPr>
                <w:rFonts w:ascii="Times New Roman" w:eastAsia="宋体" w:hAnsi="Times New Roman"/>
                <w:color w:val="000000"/>
                <w:sz w:val="18"/>
                <w:szCs w:val="18"/>
              </w:rPr>
              <w:t>ise of stock options/vesting of RSUs</w:t>
            </w:r>
          </w:p>
        </w:tc>
        <w:tc>
          <w:tcPr>
            <w:tcW w:w="0" w:type="auto"/>
            <w:gridSpan w:val="3"/>
            <w:shd w:val="clear" w:color="auto" w:fill="FFFFFF"/>
            <w:tcMar>
              <w:top w:w="40" w:type="dxa"/>
              <w:left w:w="20" w:type="dxa"/>
              <w:bottom w:w="40" w:type="dxa"/>
              <w:right w:w="20" w:type="dxa"/>
            </w:tcMar>
            <w:vAlign w:val="bottom"/>
          </w:tcPr>
          <w:p w14:paraId="40CB0435" w14:textId="77777777" w:rsidR="00584FB3" w:rsidRDefault="00786180">
            <w:pPr>
              <w:jc w:val="right"/>
              <w:textAlignment w:val="bottom"/>
            </w:pPr>
            <w:r>
              <w:rPr>
                <w:rFonts w:ascii="Times New Roman" w:eastAsia="宋体" w:hAnsi="Times New Roman"/>
                <w:color w:val="000000"/>
                <w:sz w:val="18"/>
                <w:szCs w:val="18"/>
              </w:rPr>
              <w:t>3.8</w:t>
            </w:r>
          </w:p>
        </w:tc>
        <w:tc>
          <w:tcPr>
            <w:tcW w:w="0" w:type="auto"/>
            <w:gridSpan w:val="3"/>
            <w:shd w:val="clear" w:color="auto" w:fill="FFFFFF"/>
            <w:tcMar>
              <w:top w:w="0" w:type="dxa"/>
              <w:left w:w="20" w:type="dxa"/>
              <w:bottom w:w="0" w:type="dxa"/>
              <w:right w:w="20" w:type="dxa"/>
            </w:tcMar>
          </w:tcPr>
          <w:p w14:paraId="40CB043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37"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3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3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3A" w14:textId="77777777" w:rsidR="00584FB3" w:rsidRDefault="00786180">
            <w:pPr>
              <w:jc w:val="right"/>
              <w:textAlignment w:val="bottom"/>
            </w:pPr>
            <w:r>
              <w:rPr>
                <w:rFonts w:ascii="Times New Roman" w:eastAsia="宋体" w:hAnsi="Times New Roman"/>
                <w:color w:val="000000"/>
                <w:sz w:val="18"/>
                <w:szCs w:val="18"/>
              </w:rPr>
              <w:t>4.0 </w:t>
            </w:r>
          </w:p>
        </w:tc>
        <w:tc>
          <w:tcPr>
            <w:tcW w:w="0" w:type="auto"/>
            <w:shd w:val="clear" w:color="auto" w:fill="FFFFFF"/>
            <w:tcMar>
              <w:top w:w="40" w:type="dxa"/>
              <w:left w:w="0" w:type="dxa"/>
              <w:bottom w:w="40" w:type="dxa"/>
              <w:right w:w="20" w:type="dxa"/>
            </w:tcMar>
            <w:vAlign w:val="bottom"/>
          </w:tcPr>
          <w:p w14:paraId="40CB043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3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3D"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3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3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40"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4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4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43" w14:textId="77777777" w:rsidR="00584FB3" w:rsidRDefault="00786180">
            <w:pPr>
              <w:jc w:val="right"/>
              <w:textAlignment w:val="bottom"/>
            </w:pPr>
            <w:r>
              <w:rPr>
                <w:rFonts w:ascii="Times New Roman" w:eastAsia="宋体" w:hAnsi="Times New Roman"/>
                <w:color w:val="000000"/>
                <w:sz w:val="18"/>
                <w:szCs w:val="18"/>
              </w:rPr>
              <w:t>4.0 </w:t>
            </w:r>
          </w:p>
        </w:tc>
        <w:tc>
          <w:tcPr>
            <w:tcW w:w="0" w:type="auto"/>
            <w:shd w:val="clear" w:color="auto" w:fill="FFFFFF"/>
            <w:tcMar>
              <w:top w:w="40" w:type="dxa"/>
              <w:left w:w="0" w:type="dxa"/>
              <w:bottom w:w="40" w:type="dxa"/>
              <w:right w:w="20" w:type="dxa"/>
            </w:tcMar>
            <w:vAlign w:val="bottom"/>
          </w:tcPr>
          <w:p w14:paraId="40CB044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4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46"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4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4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49" w14:textId="77777777" w:rsidR="00584FB3" w:rsidRDefault="00786180">
            <w:pPr>
              <w:jc w:val="right"/>
              <w:textAlignment w:val="bottom"/>
            </w:pPr>
            <w:r>
              <w:rPr>
                <w:rFonts w:ascii="Times New Roman" w:eastAsia="宋体" w:hAnsi="Times New Roman"/>
                <w:color w:val="000000"/>
                <w:sz w:val="18"/>
                <w:szCs w:val="18"/>
              </w:rPr>
              <w:t>4.0 </w:t>
            </w:r>
          </w:p>
        </w:tc>
        <w:tc>
          <w:tcPr>
            <w:tcW w:w="0" w:type="auto"/>
            <w:shd w:val="clear" w:color="auto" w:fill="FFFFFF"/>
            <w:tcMar>
              <w:top w:w="40" w:type="dxa"/>
              <w:left w:w="0" w:type="dxa"/>
              <w:bottom w:w="40" w:type="dxa"/>
              <w:right w:w="20" w:type="dxa"/>
            </w:tcMar>
            <w:vAlign w:val="bottom"/>
          </w:tcPr>
          <w:p w14:paraId="40CB044A" w14:textId="77777777" w:rsidR="00584FB3" w:rsidRDefault="00584FB3">
            <w:pPr>
              <w:jc w:val="right"/>
              <w:rPr>
                <w:rFonts w:ascii="宋体"/>
              </w:rPr>
            </w:pPr>
          </w:p>
        </w:tc>
      </w:tr>
      <w:tr w:rsidR="00584FB3" w14:paraId="40CB0463" w14:textId="77777777">
        <w:trPr>
          <w:jc w:val="center"/>
        </w:trPr>
        <w:tc>
          <w:tcPr>
            <w:tcW w:w="0" w:type="auto"/>
            <w:gridSpan w:val="3"/>
            <w:shd w:val="clear" w:color="auto" w:fill="D7E4BC"/>
            <w:tcMar>
              <w:top w:w="40" w:type="dxa"/>
              <w:left w:w="20" w:type="dxa"/>
              <w:bottom w:w="40" w:type="dxa"/>
              <w:right w:w="20" w:type="dxa"/>
            </w:tcMar>
          </w:tcPr>
          <w:p w14:paraId="40CB044C" w14:textId="77777777" w:rsidR="00584FB3" w:rsidRDefault="00786180">
            <w:pPr>
              <w:textAlignment w:val="top"/>
            </w:pPr>
            <w:r>
              <w:rPr>
                <w:rFonts w:ascii="Times New Roman" w:eastAsia="宋体" w:hAnsi="Times New Roman"/>
                <w:color w:val="000000"/>
                <w:sz w:val="18"/>
                <w:szCs w:val="18"/>
              </w:rPr>
              <w:t xml:space="preserve">Sale </w:t>
            </w:r>
            <w:r>
              <w:rPr>
                <w:rFonts w:ascii="Times New Roman" w:eastAsia="宋体" w:hAnsi="Times New Roman"/>
                <w:color w:val="000000"/>
                <w:sz w:val="18"/>
                <w:szCs w:val="18"/>
              </w:rPr>
              <w:t>of common stock</w:t>
            </w:r>
          </w:p>
        </w:tc>
        <w:tc>
          <w:tcPr>
            <w:tcW w:w="0" w:type="auto"/>
            <w:gridSpan w:val="3"/>
            <w:shd w:val="clear" w:color="auto" w:fill="D7E4BC"/>
            <w:tcMar>
              <w:top w:w="40" w:type="dxa"/>
              <w:left w:w="20" w:type="dxa"/>
              <w:bottom w:w="40" w:type="dxa"/>
              <w:right w:w="20" w:type="dxa"/>
            </w:tcMar>
            <w:vAlign w:val="bottom"/>
          </w:tcPr>
          <w:p w14:paraId="40CB044D" w14:textId="77777777" w:rsidR="00584FB3" w:rsidRDefault="00786180">
            <w:pPr>
              <w:jc w:val="right"/>
              <w:textAlignment w:val="bottom"/>
            </w:pPr>
            <w:r>
              <w:rPr>
                <w:rFonts w:ascii="Times New Roman" w:eastAsia="宋体" w:hAnsi="Times New Roman"/>
                <w:color w:val="000000"/>
                <w:sz w:val="18"/>
                <w:szCs w:val="18"/>
              </w:rPr>
              <w:t>0.1</w:t>
            </w:r>
          </w:p>
        </w:tc>
        <w:tc>
          <w:tcPr>
            <w:tcW w:w="0" w:type="auto"/>
            <w:gridSpan w:val="3"/>
            <w:shd w:val="clear" w:color="auto" w:fill="D7E4BC"/>
            <w:tcMar>
              <w:top w:w="0" w:type="dxa"/>
              <w:left w:w="20" w:type="dxa"/>
              <w:bottom w:w="0" w:type="dxa"/>
              <w:right w:w="20" w:type="dxa"/>
            </w:tcMar>
          </w:tcPr>
          <w:p w14:paraId="40CB044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4F"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5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5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52" w14:textId="77777777" w:rsidR="00584FB3" w:rsidRDefault="00786180">
            <w:pPr>
              <w:jc w:val="right"/>
              <w:textAlignment w:val="bottom"/>
            </w:pPr>
            <w:r>
              <w:rPr>
                <w:rFonts w:ascii="Times New Roman" w:eastAsia="宋体" w:hAnsi="Times New Roman"/>
                <w:color w:val="000000"/>
                <w:sz w:val="18"/>
                <w:szCs w:val="18"/>
              </w:rPr>
              <w:t>10.2 </w:t>
            </w:r>
          </w:p>
        </w:tc>
        <w:tc>
          <w:tcPr>
            <w:tcW w:w="0" w:type="auto"/>
            <w:shd w:val="clear" w:color="auto" w:fill="D7E4BC"/>
            <w:tcMar>
              <w:top w:w="40" w:type="dxa"/>
              <w:left w:w="0" w:type="dxa"/>
              <w:bottom w:w="40" w:type="dxa"/>
              <w:right w:w="20" w:type="dxa"/>
            </w:tcMar>
            <w:vAlign w:val="bottom"/>
          </w:tcPr>
          <w:p w14:paraId="40CB045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5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55"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5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5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5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5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5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5B" w14:textId="77777777" w:rsidR="00584FB3" w:rsidRDefault="00786180">
            <w:pPr>
              <w:jc w:val="right"/>
              <w:textAlignment w:val="bottom"/>
            </w:pPr>
            <w:r>
              <w:rPr>
                <w:rFonts w:ascii="Times New Roman" w:eastAsia="宋体" w:hAnsi="Times New Roman"/>
                <w:color w:val="000000"/>
                <w:sz w:val="18"/>
                <w:szCs w:val="18"/>
              </w:rPr>
              <w:t>10.2 </w:t>
            </w:r>
          </w:p>
        </w:tc>
        <w:tc>
          <w:tcPr>
            <w:tcW w:w="0" w:type="auto"/>
            <w:shd w:val="clear" w:color="auto" w:fill="D7E4BC"/>
            <w:tcMar>
              <w:top w:w="40" w:type="dxa"/>
              <w:left w:w="0" w:type="dxa"/>
              <w:bottom w:w="40" w:type="dxa"/>
              <w:right w:w="20" w:type="dxa"/>
            </w:tcMar>
            <w:vAlign w:val="bottom"/>
          </w:tcPr>
          <w:p w14:paraId="40CB045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5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5E"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45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6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461" w14:textId="77777777" w:rsidR="00584FB3" w:rsidRDefault="00786180">
            <w:pPr>
              <w:jc w:val="right"/>
              <w:textAlignment w:val="bottom"/>
            </w:pPr>
            <w:r>
              <w:rPr>
                <w:rFonts w:ascii="Times New Roman" w:eastAsia="宋体" w:hAnsi="Times New Roman"/>
                <w:color w:val="000000"/>
                <w:sz w:val="18"/>
                <w:szCs w:val="18"/>
              </w:rPr>
              <w:t>10.2 </w:t>
            </w:r>
          </w:p>
        </w:tc>
        <w:tc>
          <w:tcPr>
            <w:tcW w:w="0" w:type="auto"/>
            <w:shd w:val="clear" w:color="auto" w:fill="D7E4BC"/>
            <w:tcMar>
              <w:top w:w="40" w:type="dxa"/>
              <w:left w:w="0" w:type="dxa"/>
              <w:bottom w:w="40" w:type="dxa"/>
              <w:right w:w="20" w:type="dxa"/>
            </w:tcMar>
            <w:vAlign w:val="bottom"/>
          </w:tcPr>
          <w:p w14:paraId="40CB0462" w14:textId="77777777" w:rsidR="00584FB3" w:rsidRDefault="00584FB3">
            <w:pPr>
              <w:jc w:val="right"/>
              <w:rPr>
                <w:rFonts w:ascii="宋体"/>
              </w:rPr>
            </w:pPr>
          </w:p>
        </w:tc>
      </w:tr>
      <w:tr w:rsidR="00584FB3" w14:paraId="40CB0474" w14:textId="77777777">
        <w:trPr>
          <w:jc w:val="center"/>
          <w:hidden/>
        </w:trPr>
        <w:tc>
          <w:tcPr>
            <w:tcW w:w="0" w:type="auto"/>
            <w:gridSpan w:val="3"/>
            <w:shd w:val="clear" w:color="auto" w:fill="auto"/>
          </w:tcPr>
          <w:p w14:paraId="40CB0464" w14:textId="77777777" w:rsidR="00584FB3" w:rsidRDefault="00584FB3">
            <w:pPr>
              <w:rPr>
                <w:rFonts w:ascii="宋体"/>
                <w:vanish/>
              </w:rPr>
            </w:pPr>
          </w:p>
        </w:tc>
        <w:tc>
          <w:tcPr>
            <w:tcW w:w="0" w:type="auto"/>
            <w:gridSpan w:val="3"/>
            <w:shd w:val="clear" w:color="auto" w:fill="auto"/>
          </w:tcPr>
          <w:p w14:paraId="40CB0465" w14:textId="77777777" w:rsidR="00584FB3" w:rsidRDefault="00584FB3">
            <w:pPr>
              <w:rPr>
                <w:rFonts w:ascii="宋体"/>
                <w:vanish/>
              </w:rPr>
            </w:pPr>
          </w:p>
        </w:tc>
        <w:tc>
          <w:tcPr>
            <w:tcW w:w="0" w:type="auto"/>
            <w:gridSpan w:val="3"/>
            <w:shd w:val="clear" w:color="auto" w:fill="auto"/>
          </w:tcPr>
          <w:p w14:paraId="40CB0466" w14:textId="77777777" w:rsidR="00584FB3" w:rsidRDefault="00584FB3">
            <w:pPr>
              <w:rPr>
                <w:rFonts w:ascii="宋体"/>
                <w:vanish/>
              </w:rPr>
            </w:pPr>
          </w:p>
        </w:tc>
        <w:tc>
          <w:tcPr>
            <w:tcW w:w="0" w:type="auto"/>
            <w:gridSpan w:val="3"/>
            <w:shd w:val="clear" w:color="auto" w:fill="auto"/>
          </w:tcPr>
          <w:p w14:paraId="40CB0467" w14:textId="77777777" w:rsidR="00584FB3" w:rsidRDefault="00584FB3">
            <w:pPr>
              <w:rPr>
                <w:rFonts w:ascii="宋体"/>
                <w:vanish/>
              </w:rPr>
            </w:pPr>
          </w:p>
        </w:tc>
        <w:tc>
          <w:tcPr>
            <w:tcW w:w="0" w:type="auto"/>
            <w:gridSpan w:val="3"/>
            <w:shd w:val="clear" w:color="auto" w:fill="auto"/>
          </w:tcPr>
          <w:p w14:paraId="40CB0468" w14:textId="77777777" w:rsidR="00584FB3" w:rsidRDefault="00584FB3">
            <w:pPr>
              <w:rPr>
                <w:rFonts w:ascii="宋体"/>
                <w:vanish/>
              </w:rPr>
            </w:pPr>
          </w:p>
        </w:tc>
        <w:tc>
          <w:tcPr>
            <w:tcW w:w="0" w:type="auto"/>
            <w:gridSpan w:val="3"/>
            <w:shd w:val="clear" w:color="auto" w:fill="auto"/>
          </w:tcPr>
          <w:p w14:paraId="40CB0469" w14:textId="77777777" w:rsidR="00584FB3" w:rsidRDefault="00584FB3">
            <w:pPr>
              <w:rPr>
                <w:rFonts w:ascii="宋体"/>
                <w:vanish/>
              </w:rPr>
            </w:pPr>
          </w:p>
        </w:tc>
        <w:tc>
          <w:tcPr>
            <w:tcW w:w="0" w:type="auto"/>
            <w:gridSpan w:val="3"/>
            <w:shd w:val="clear" w:color="auto" w:fill="auto"/>
          </w:tcPr>
          <w:p w14:paraId="40CB046A" w14:textId="77777777" w:rsidR="00584FB3" w:rsidRDefault="00584FB3">
            <w:pPr>
              <w:rPr>
                <w:rFonts w:ascii="宋体"/>
                <w:vanish/>
              </w:rPr>
            </w:pPr>
          </w:p>
        </w:tc>
        <w:tc>
          <w:tcPr>
            <w:tcW w:w="0" w:type="auto"/>
            <w:gridSpan w:val="3"/>
            <w:shd w:val="clear" w:color="auto" w:fill="auto"/>
          </w:tcPr>
          <w:p w14:paraId="40CB046B" w14:textId="77777777" w:rsidR="00584FB3" w:rsidRDefault="00584FB3">
            <w:pPr>
              <w:rPr>
                <w:rFonts w:ascii="宋体"/>
                <w:vanish/>
              </w:rPr>
            </w:pPr>
          </w:p>
        </w:tc>
        <w:tc>
          <w:tcPr>
            <w:tcW w:w="0" w:type="auto"/>
            <w:gridSpan w:val="3"/>
            <w:shd w:val="clear" w:color="auto" w:fill="auto"/>
          </w:tcPr>
          <w:p w14:paraId="40CB046C" w14:textId="77777777" w:rsidR="00584FB3" w:rsidRDefault="00584FB3">
            <w:pPr>
              <w:rPr>
                <w:rFonts w:ascii="宋体"/>
                <w:vanish/>
              </w:rPr>
            </w:pPr>
          </w:p>
        </w:tc>
        <w:tc>
          <w:tcPr>
            <w:tcW w:w="0" w:type="auto"/>
            <w:gridSpan w:val="3"/>
            <w:shd w:val="clear" w:color="auto" w:fill="auto"/>
          </w:tcPr>
          <w:p w14:paraId="40CB046D" w14:textId="77777777" w:rsidR="00584FB3" w:rsidRDefault="00584FB3">
            <w:pPr>
              <w:rPr>
                <w:rFonts w:ascii="宋体"/>
                <w:vanish/>
              </w:rPr>
            </w:pPr>
          </w:p>
        </w:tc>
        <w:tc>
          <w:tcPr>
            <w:tcW w:w="0" w:type="auto"/>
            <w:gridSpan w:val="3"/>
            <w:shd w:val="clear" w:color="auto" w:fill="auto"/>
          </w:tcPr>
          <w:p w14:paraId="40CB046E" w14:textId="77777777" w:rsidR="00584FB3" w:rsidRDefault="00584FB3">
            <w:pPr>
              <w:rPr>
                <w:rFonts w:ascii="宋体"/>
                <w:vanish/>
              </w:rPr>
            </w:pPr>
          </w:p>
        </w:tc>
        <w:tc>
          <w:tcPr>
            <w:tcW w:w="0" w:type="auto"/>
            <w:gridSpan w:val="3"/>
            <w:shd w:val="clear" w:color="auto" w:fill="auto"/>
          </w:tcPr>
          <w:p w14:paraId="40CB046F" w14:textId="77777777" w:rsidR="00584FB3" w:rsidRDefault="00584FB3">
            <w:pPr>
              <w:rPr>
                <w:rFonts w:ascii="宋体"/>
                <w:vanish/>
              </w:rPr>
            </w:pPr>
          </w:p>
        </w:tc>
        <w:tc>
          <w:tcPr>
            <w:tcW w:w="0" w:type="auto"/>
            <w:gridSpan w:val="3"/>
            <w:shd w:val="clear" w:color="auto" w:fill="auto"/>
          </w:tcPr>
          <w:p w14:paraId="40CB0470" w14:textId="77777777" w:rsidR="00584FB3" w:rsidRDefault="00584FB3">
            <w:pPr>
              <w:rPr>
                <w:rFonts w:ascii="宋体"/>
                <w:vanish/>
              </w:rPr>
            </w:pPr>
          </w:p>
        </w:tc>
        <w:tc>
          <w:tcPr>
            <w:tcW w:w="0" w:type="auto"/>
            <w:gridSpan w:val="3"/>
            <w:shd w:val="clear" w:color="auto" w:fill="auto"/>
          </w:tcPr>
          <w:p w14:paraId="40CB0471" w14:textId="77777777" w:rsidR="00584FB3" w:rsidRDefault="00584FB3">
            <w:pPr>
              <w:rPr>
                <w:rFonts w:ascii="宋体"/>
                <w:vanish/>
              </w:rPr>
            </w:pPr>
          </w:p>
        </w:tc>
        <w:tc>
          <w:tcPr>
            <w:tcW w:w="0" w:type="auto"/>
            <w:gridSpan w:val="3"/>
            <w:shd w:val="clear" w:color="auto" w:fill="auto"/>
          </w:tcPr>
          <w:p w14:paraId="40CB0472" w14:textId="77777777" w:rsidR="00584FB3" w:rsidRDefault="00584FB3">
            <w:pPr>
              <w:rPr>
                <w:rFonts w:ascii="宋体"/>
                <w:vanish/>
              </w:rPr>
            </w:pPr>
          </w:p>
        </w:tc>
        <w:tc>
          <w:tcPr>
            <w:tcW w:w="0" w:type="auto"/>
            <w:gridSpan w:val="3"/>
            <w:shd w:val="clear" w:color="auto" w:fill="auto"/>
          </w:tcPr>
          <w:p w14:paraId="40CB0473" w14:textId="77777777" w:rsidR="00584FB3" w:rsidRDefault="00584FB3">
            <w:pPr>
              <w:rPr>
                <w:rFonts w:ascii="宋体"/>
                <w:vanish/>
              </w:rPr>
            </w:pPr>
          </w:p>
        </w:tc>
      </w:tr>
      <w:tr w:rsidR="00584FB3" w14:paraId="40CB048C" w14:textId="77777777">
        <w:trPr>
          <w:jc w:val="center"/>
        </w:trPr>
        <w:tc>
          <w:tcPr>
            <w:tcW w:w="0" w:type="auto"/>
            <w:gridSpan w:val="3"/>
            <w:shd w:val="clear" w:color="auto" w:fill="FFFFFF"/>
            <w:tcMar>
              <w:top w:w="40" w:type="dxa"/>
              <w:left w:w="20" w:type="dxa"/>
              <w:bottom w:w="40" w:type="dxa"/>
              <w:right w:w="20" w:type="dxa"/>
            </w:tcMar>
          </w:tcPr>
          <w:p w14:paraId="40CB0475" w14:textId="77777777" w:rsidR="00584FB3" w:rsidRDefault="00786180">
            <w:pPr>
              <w:textAlignment w:val="top"/>
            </w:pPr>
            <w:r>
              <w:rPr>
                <w:rFonts w:ascii="Times New Roman" w:eastAsia="宋体" w:hAnsi="Times New Roman"/>
                <w:color w:val="000000"/>
                <w:sz w:val="18"/>
                <w:szCs w:val="18"/>
              </w:rPr>
              <w:t>Cash dividends declared, $0.90 per share</w:t>
            </w:r>
          </w:p>
        </w:tc>
        <w:tc>
          <w:tcPr>
            <w:tcW w:w="0" w:type="auto"/>
            <w:gridSpan w:val="3"/>
            <w:shd w:val="clear" w:color="auto" w:fill="FFFFFF"/>
            <w:tcMar>
              <w:top w:w="40" w:type="dxa"/>
              <w:left w:w="20" w:type="dxa"/>
              <w:bottom w:w="40" w:type="dxa"/>
              <w:right w:w="20" w:type="dxa"/>
            </w:tcMar>
            <w:vAlign w:val="bottom"/>
          </w:tcPr>
          <w:p w14:paraId="40CB0476"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40CB047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7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7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7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7B"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7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7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7E" w14:textId="77777777" w:rsidR="00584FB3" w:rsidRDefault="00786180">
            <w:pPr>
              <w:jc w:val="right"/>
              <w:textAlignment w:val="bottom"/>
            </w:pPr>
            <w:r>
              <w:rPr>
                <w:rFonts w:ascii="Times New Roman" w:eastAsia="宋体" w:hAnsi="Times New Roman"/>
                <w:color w:val="000000"/>
                <w:sz w:val="18"/>
                <w:szCs w:val="18"/>
              </w:rPr>
              <w:t>(1,058.0)</w:t>
            </w:r>
          </w:p>
        </w:tc>
        <w:tc>
          <w:tcPr>
            <w:tcW w:w="0" w:type="auto"/>
            <w:shd w:val="clear" w:color="auto" w:fill="FFFFFF"/>
            <w:tcMar>
              <w:top w:w="40" w:type="dxa"/>
              <w:left w:w="0" w:type="dxa"/>
              <w:bottom w:w="40" w:type="dxa"/>
              <w:right w:w="20" w:type="dxa"/>
            </w:tcMar>
            <w:vAlign w:val="bottom"/>
          </w:tcPr>
          <w:p w14:paraId="40CB047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8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81"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8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8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84" w14:textId="77777777" w:rsidR="00584FB3" w:rsidRDefault="00786180">
            <w:pPr>
              <w:jc w:val="right"/>
              <w:textAlignment w:val="bottom"/>
            </w:pPr>
            <w:r>
              <w:rPr>
                <w:rFonts w:ascii="Times New Roman" w:eastAsia="宋体" w:hAnsi="Times New Roman"/>
                <w:color w:val="000000"/>
                <w:sz w:val="18"/>
                <w:szCs w:val="18"/>
              </w:rPr>
              <w:t>(1,058.0)</w:t>
            </w:r>
          </w:p>
        </w:tc>
        <w:tc>
          <w:tcPr>
            <w:tcW w:w="0" w:type="auto"/>
            <w:shd w:val="clear" w:color="auto" w:fill="FFFFFF"/>
            <w:tcMar>
              <w:top w:w="40" w:type="dxa"/>
              <w:left w:w="0" w:type="dxa"/>
              <w:bottom w:w="40" w:type="dxa"/>
              <w:right w:w="20" w:type="dxa"/>
            </w:tcMar>
            <w:vAlign w:val="bottom"/>
          </w:tcPr>
          <w:p w14:paraId="40CB048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8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87"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8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8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8A" w14:textId="77777777" w:rsidR="00584FB3" w:rsidRDefault="00786180">
            <w:pPr>
              <w:jc w:val="right"/>
              <w:textAlignment w:val="bottom"/>
            </w:pPr>
            <w:r>
              <w:rPr>
                <w:rFonts w:ascii="Times New Roman" w:eastAsia="宋体" w:hAnsi="Times New Roman"/>
                <w:color w:val="000000"/>
                <w:sz w:val="18"/>
                <w:szCs w:val="18"/>
              </w:rPr>
              <w:t>(1,058.0)</w:t>
            </w:r>
          </w:p>
        </w:tc>
        <w:tc>
          <w:tcPr>
            <w:tcW w:w="0" w:type="auto"/>
            <w:shd w:val="clear" w:color="auto" w:fill="FFFFFF"/>
            <w:tcMar>
              <w:top w:w="40" w:type="dxa"/>
              <w:left w:w="0" w:type="dxa"/>
              <w:bottom w:w="40" w:type="dxa"/>
              <w:right w:w="20" w:type="dxa"/>
            </w:tcMar>
            <w:vAlign w:val="bottom"/>
          </w:tcPr>
          <w:p w14:paraId="40CB048B" w14:textId="77777777" w:rsidR="00584FB3" w:rsidRDefault="00584FB3">
            <w:pPr>
              <w:jc w:val="right"/>
              <w:rPr>
                <w:rFonts w:ascii="宋体"/>
              </w:rPr>
            </w:pPr>
          </w:p>
        </w:tc>
      </w:tr>
      <w:tr w:rsidR="00584FB3" w14:paraId="40CB049D" w14:textId="77777777">
        <w:trPr>
          <w:jc w:val="center"/>
          <w:hidden/>
        </w:trPr>
        <w:tc>
          <w:tcPr>
            <w:tcW w:w="0" w:type="auto"/>
            <w:gridSpan w:val="3"/>
            <w:shd w:val="clear" w:color="auto" w:fill="auto"/>
          </w:tcPr>
          <w:p w14:paraId="40CB048D" w14:textId="77777777" w:rsidR="00584FB3" w:rsidRDefault="00584FB3">
            <w:pPr>
              <w:rPr>
                <w:rFonts w:ascii="宋体"/>
                <w:vanish/>
              </w:rPr>
            </w:pPr>
          </w:p>
        </w:tc>
        <w:tc>
          <w:tcPr>
            <w:tcW w:w="0" w:type="auto"/>
            <w:gridSpan w:val="3"/>
            <w:shd w:val="clear" w:color="auto" w:fill="auto"/>
          </w:tcPr>
          <w:p w14:paraId="40CB048E" w14:textId="77777777" w:rsidR="00584FB3" w:rsidRDefault="00584FB3">
            <w:pPr>
              <w:rPr>
                <w:rFonts w:ascii="宋体"/>
                <w:vanish/>
              </w:rPr>
            </w:pPr>
          </w:p>
        </w:tc>
        <w:tc>
          <w:tcPr>
            <w:tcW w:w="0" w:type="auto"/>
            <w:gridSpan w:val="3"/>
            <w:shd w:val="clear" w:color="auto" w:fill="auto"/>
          </w:tcPr>
          <w:p w14:paraId="40CB048F" w14:textId="77777777" w:rsidR="00584FB3" w:rsidRDefault="00584FB3">
            <w:pPr>
              <w:rPr>
                <w:rFonts w:ascii="宋体"/>
                <w:vanish/>
              </w:rPr>
            </w:pPr>
          </w:p>
        </w:tc>
        <w:tc>
          <w:tcPr>
            <w:tcW w:w="0" w:type="auto"/>
            <w:gridSpan w:val="3"/>
            <w:shd w:val="clear" w:color="auto" w:fill="auto"/>
          </w:tcPr>
          <w:p w14:paraId="40CB0490" w14:textId="77777777" w:rsidR="00584FB3" w:rsidRDefault="00584FB3">
            <w:pPr>
              <w:rPr>
                <w:rFonts w:ascii="宋体"/>
                <w:vanish/>
              </w:rPr>
            </w:pPr>
          </w:p>
        </w:tc>
        <w:tc>
          <w:tcPr>
            <w:tcW w:w="0" w:type="auto"/>
            <w:gridSpan w:val="3"/>
            <w:shd w:val="clear" w:color="auto" w:fill="auto"/>
          </w:tcPr>
          <w:p w14:paraId="40CB0491" w14:textId="77777777" w:rsidR="00584FB3" w:rsidRDefault="00584FB3">
            <w:pPr>
              <w:rPr>
                <w:rFonts w:ascii="宋体"/>
                <w:vanish/>
              </w:rPr>
            </w:pPr>
          </w:p>
        </w:tc>
        <w:tc>
          <w:tcPr>
            <w:tcW w:w="0" w:type="auto"/>
            <w:gridSpan w:val="3"/>
            <w:shd w:val="clear" w:color="auto" w:fill="auto"/>
          </w:tcPr>
          <w:p w14:paraId="40CB0492" w14:textId="77777777" w:rsidR="00584FB3" w:rsidRDefault="00584FB3">
            <w:pPr>
              <w:rPr>
                <w:rFonts w:ascii="宋体"/>
                <w:vanish/>
              </w:rPr>
            </w:pPr>
          </w:p>
        </w:tc>
        <w:tc>
          <w:tcPr>
            <w:tcW w:w="0" w:type="auto"/>
            <w:gridSpan w:val="3"/>
            <w:shd w:val="clear" w:color="auto" w:fill="auto"/>
          </w:tcPr>
          <w:p w14:paraId="40CB0493" w14:textId="77777777" w:rsidR="00584FB3" w:rsidRDefault="00584FB3">
            <w:pPr>
              <w:rPr>
                <w:rFonts w:ascii="宋体"/>
                <w:vanish/>
              </w:rPr>
            </w:pPr>
          </w:p>
        </w:tc>
        <w:tc>
          <w:tcPr>
            <w:tcW w:w="0" w:type="auto"/>
            <w:gridSpan w:val="3"/>
            <w:shd w:val="clear" w:color="auto" w:fill="auto"/>
          </w:tcPr>
          <w:p w14:paraId="40CB0494" w14:textId="77777777" w:rsidR="00584FB3" w:rsidRDefault="00584FB3">
            <w:pPr>
              <w:rPr>
                <w:rFonts w:ascii="宋体"/>
                <w:vanish/>
              </w:rPr>
            </w:pPr>
          </w:p>
        </w:tc>
        <w:tc>
          <w:tcPr>
            <w:tcW w:w="0" w:type="auto"/>
            <w:gridSpan w:val="3"/>
            <w:shd w:val="clear" w:color="auto" w:fill="auto"/>
          </w:tcPr>
          <w:p w14:paraId="40CB0495" w14:textId="77777777" w:rsidR="00584FB3" w:rsidRDefault="00584FB3">
            <w:pPr>
              <w:rPr>
                <w:rFonts w:ascii="宋体"/>
                <w:vanish/>
              </w:rPr>
            </w:pPr>
          </w:p>
        </w:tc>
        <w:tc>
          <w:tcPr>
            <w:tcW w:w="0" w:type="auto"/>
            <w:gridSpan w:val="3"/>
            <w:shd w:val="clear" w:color="auto" w:fill="auto"/>
          </w:tcPr>
          <w:p w14:paraId="40CB0496" w14:textId="77777777" w:rsidR="00584FB3" w:rsidRDefault="00584FB3">
            <w:pPr>
              <w:rPr>
                <w:rFonts w:ascii="宋体"/>
                <w:vanish/>
              </w:rPr>
            </w:pPr>
          </w:p>
        </w:tc>
        <w:tc>
          <w:tcPr>
            <w:tcW w:w="0" w:type="auto"/>
            <w:gridSpan w:val="3"/>
            <w:shd w:val="clear" w:color="auto" w:fill="auto"/>
          </w:tcPr>
          <w:p w14:paraId="40CB0497" w14:textId="77777777" w:rsidR="00584FB3" w:rsidRDefault="00584FB3">
            <w:pPr>
              <w:rPr>
                <w:rFonts w:ascii="宋体"/>
                <w:vanish/>
              </w:rPr>
            </w:pPr>
          </w:p>
        </w:tc>
        <w:tc>
          <w:tcPr>
            <w:tcW w:w="0" w:type="auto"/>
            <w:gridSpan w:val="3"/>
            <w:shd w:val="clear" w:color="auto" w:fill="auto"/>
          </w:tcPr>
          <w:p w14:paraId="40CB0498" w14:textId="77777777" w:rsidR="00584FB3" w:rsidRDefault="00584FB3">
            <w:pPr>
              <w:rPr>
                <w:rFonts w:ascii="宋体"/>
                <w:vanish/>
              </w:rPr>
            </w:pPr>
          </w:p>
        </w:tc>
        <w:tc>
          <w:tcPr>
            <w:tcW w:w="0" w:type="auto"/>
            <w:gridSpan w:val="3"/>
            <w:shd w:val="clear" w:color="auto" w:fill="auto"/>
          </w:tcPr>
          <w:p w14:paraId="40CB0499" w14:textId="77777777" w:rsidR="00584FB3" w:rsidRDefault="00584FB3">
            <w:pPr>
              <w:rPr>
                <w:rFonts w:ascii="宋体"/>
                <w:vanish/>
              </w:rPr>
            </w:pPr>
          </w:p>
        </w:tc>
        <w:tc>
          <w:tcPr>
            <w:tcW w:w="0" w:type="auto"/>
            <w:gridSpan w:val="3"/>
            <w:shd w:val="clear" w:color="auto" w:fill="auto"/>
          </w:tcPr>
          <w:p w14:paraId="40CB049A" w14:textId="77777777" w:rsidR="00584FB3" w:rsidRDefault="00584FB3">
            <w:pPr>
              <w:rPr>
                <w:rFonts w:ascii="宋体"/>
                <w:vanish/>
              </w:rPr>
            </w:pPr>
          </w:p>
        </w:tc>
        <w:tc>
          <w:tcPr>
            <w:tcW w:w="0" w:type="auto"/>
            <w:gridSpan w:val="3"/>
            <w:shd w:val="clear" w:color="auto" w:fill="auto"/>
          </w:tcPr>
          <w:p w14:paraId="40CB049B" w14:textId="77777777" w:rsidR="00584FB3" w:rsidRDefault="00584FB3">
            <w:pPr>
              <w:rPr>
                <w:rFonts w:ascii="宋体"/>
                <w:vanish/>
              </w:rPr>
            </w:pPr>
          </w:p>
        </w:tc>
        <w:tc>
          <w:tcPr>
            <w:tcW w:w="0" w:type="auto"/>
            <w:gridSpan w:val="3"/>
            <w:shd w:val="clear" w:color="auto" w:fill="auto"/>
          </w:tcPr>
          <w:p w14:paraId="40CB049C" w14:textId="77777777" w:rsidR="00584FB3" w:rsidRDefault="00584FB3">
            <w:pPr>
              <w:rPr>
                <w:rFonts w:ascii="宋体"/>
                <w:vanish/>
              </w:rPr>
            </w:pPr>
          </w:p>
        </w:tc>
      </w:tr>
      <w:tr w:rsidR="00786180" w14:paraId="40CB04BC" w14:textId="77777777">
        <w:trPr>
          <w:jc w:val="center"/>
        </w:trPr>
        <w:tc>
          <w:tcPr>
            <w:tcW w:w="0" w:type="auto"/>
            <w:gridSpan w:val="3"/>
            <w:shd w:val="clear" w:color="auto" w:fill="D7E4BC"/>
            <w:tcMar>
              <w:top w:w="40" w:type="dxa"/>
              <w:left w:w="20" w:type="dxa"/>
              <w:bottom w:w="40" w:type="dxa"/>
              <w:right w:w="20" w:type="dxa"/>
            </w:tcMar>
            <w:vAlign w:val="bottom"/>
          </w:tcPr>
          <w:p w14:paraId="40CB049E" w14:textId="77777777" w:rsidR="00584FB3" w:rsidRDefault="00786180">
            <w:pPr>
              <w:textAlignment w:val="bottom"/>
            </w:pPr>
            <w:r>
              <w:rPr>
                <w:rFonts w:ascii="Times New Roman" w:eastAsia="宋体" w:hAnsi="Times New Roman"/>
                <w:b/>
                <w:bCs/>
                <w:color w:val="000000"/>
                <w:sz w:val="18"/>
                <w:szCs w:val="18"/>
              </w:rPr>
              <w:t>Balance, December 27, 2020</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0CB049F" w14:textId="77777777" w:rsidR="00584FB3" w:rsidRDefault="00786180">
            <w:pPr>
              <w:jc w:val="right"/>
              <w:textAlignment w:val="bottom"/>
            </w:pPr>
            <w:r>
              <w:rPr>
                <w:rFonts w:ascii="Times New Roman" w:eastAsia="宋体" w:hAnsi="Times New Roman"/>
                <w:color w:val="000000"/>
                <w:sz w:val="18"/>
                <w:szCs w:val="18"/>
              </w:rPr>
              <w:t>1,177.2</w:t>
            </w:r>
          </w:p>
        </w:tc>
        <w:tc>
          <w:tcPr>
            <w:tcW w:w="0" w:type="auto"/>
            <w:gridSpan w:val="3"/>
            <w:shd w:val="clear" w:color="auto" w:fill="D7E4BC"/>
            <w:tcMar>
              <w:top w:w="0" w:type="dxa"/>
              <w:left w:w="20" w:type="dxa"/>
              <w:bottom w:w="0" w:type="dxa"/>
              <w:right w:w="20" w:type="dxa"/>
            </w:tcMar>
          </w:tcPr>
          <w:p w14:paraId="40CB04A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4A1"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4A2" w14:textId="77777777" w:rsidR="00584FB3" w:rsidRDefault="00786180">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4A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A4"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4A5"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4A6" w14:textId="77777777" w:rsidR="00584FB3" w:rsidRDefault="00786180">
            <w:pPr>
              <w:jc w:val="right"/>
              <w:textAlignment w:val="bottom"/>
            </w:pPr>
            <w:r>
              <w:rPr>
                <w:rFonts w:ascii="Times New Roman" w:eastAsia="宋体" w:hAnsi="Times New Roman"/>
                <w:color w:val="000000"/>
                <w:sz w:val="18"/>
                <w:szCs w:val="18"/>
              </w:rPr>
              <w:t>488.6 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4A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A8"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4A9"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4AA" w14:textId="77777777" w:rsidR="00584FB3" w:rsidRDefault="00786180">
            <w:pPr>
              <w:jc w:val="right"/>
              <w:textAlignment w:val="bottom"/>
            </w:pPr>
            <w:r>
              <w:rPr>
                <w:rFonts w:ascii="Times New Roman" w:eastAsia="宋体" w:hAnsi="Times New Roman"/>
                <w:color w:val="000000"/>
                <w:sz w:val="18"/>
                <w:szCs w:val="18"/>
              </w:rPr>
              <w:t>(8,253.6)</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4A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AC"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4AD"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4AE" w14:textId="77777777" w:rsidR="00584FB3" w:rsidRDefault="00786180">
            <w:pPr>
              <w:jc w:val="right"/>
              <w:textAlignment w:val="bottom"/>
            </w:pPr>
            <w:r>
              <w:rPr>
                <w:rFonts w:ascii="Times New Roman" w:eastAsia="宋体" w:hAnsi="Times New Roman"/>
                <w:color w:val="000000"/>
                <w:sz w:val="18"/>
                <w:szCs w:val="18"/>
              </w:rPr>
              <w:t>(145.9)</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4A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B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4B1"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4B2" w14:textId="77777777" w:rsidR="00584FB3" w:rsidRDefault="00786180">
            <w:pPr>
              <w:jc w:val="right"/>
              <w:textAlignment w:val="bottom"/>
            </w:pPr>
            <w:r>
              <w:rPr>
                <w:rFonts w:ascii="Times New Roman" w:eastAsia="宋体" w:hAnsi="Times New Roman"/>
                <w:color w:val="000000"/>
                <w:sz w:val="18"/>
                <w:szCs w:val="18"/>
              </w:rPr>
              <w:t>(7,909.7)</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4B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B4"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4B5"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4B6" w14:textId="77777777" w:rsidR="00584FB3" w:rsidRDefault="00786180">
            <w:pPr>
              <w:jc w:val="right"/>
              <w:textAlignment w:val="bottom"/>
            </w:pPr>
            <w:r>
              <w:rPr>
                <w:rFonts w:ascii="Times New Roman" w:eastAsia="宋体" w:hAnsi="Times New Roman"/>
                <w:color w:val="000000"/>
                <w:sz w:val="18"/>
                <w:szCs w:val="18"/>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4B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B8"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4B9"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4BA" w14:textId="77777777" w:rsidR="00584FB3" w:rsidRDefault="00786180">
            <w:pPr>
              <w:jc w:val="right"/>
              <w:textAlignment w:val="bottom"/>
            </w:pPr>
            <w:r>
              <w:rPr>
                <w:rFonts w:ascii="Times New Roman" w:eastAsia="宋体" w:hAnsi="Times New Roman"/>
                <w:color w:val="000000"/>
                <w:sz w:val="18"/>
                <w:szCs w:val="18"/>
              </w:rPr>
              <w:t>(7,904.0)</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4BB" w14:textId="77777777" w:rsidR="00584FB3" w:rsidRDefault="00584FB3">
            <w:pPr>
              <w:jc w:val="right"/>
              <w:rPr>
                <w:rFonts w:ascii="宋体"/>
              </w:rPr>
            </w:pPr>
          </w:p>
        </w:tc>
      </w:tr>
      <w:tr w:rsidR="00584FB3" w14:paraId="40CB04CD" w14:textId="77777777">
        <w:trPr>
          <w:trHeight w:val="300"/>
          <w:jc w:val="center"/>
        </w:trPr>
        <w:tc>
          <w:tcPr>
            <w:tcW w:w="0" w:type="auto"/>
            <w:gridSpan w:val="3"/>
            <w:shd w:val="clear" w:color="auto" w:fill="FFFFFF"/>
            <w:tcMar>
              <w:top w:w="0" w:type="dxa"/>
              <w:left w:w="20" w:type="dxa"/>
              <w:bottom w:w="0" w:type="dxa"/>
              <w:right w:w="20" w:type="dxa"/>
            </w:tcMar>
          </w:tcPr>
          <w:p w14:paraId="40CB04BD"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BE"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4BF"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C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4C1"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C2"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4C3"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C4"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4C5"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C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4C7"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C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4C9"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C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4CB" w14:textId="77777777" w:rsidR="00584FB3" w:rsidRDefault="00584FB3">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CB04CC" w14:textId="77777777" w:rsidR="00584FB3" w:rsidRDefault="00584FB3">
            <w:pPr>
              <w:rPr>
                <w:rFonts w:ascii="宋体"/>
              </w:rPr>
            </w:pPr>
          </w:p>
        </w:tc>
      </w:tr>
      <w:tr w:rsidR="00786180" w14:paraId="40CB04EC" w14:textId="77777777">
        <w:trPr>
          <w:jc w:val="center"/>
        </w:trPr>
        <w:tc>
          <w:tcPr>
            <w:tcW w:w="0" w:type="auto"/>
            <w:gridSpan w:val="3"/>
            <w:shd w:val="clear" w:color="auto" w:fill="D7E4BC"/>
            <w:tcMar>
              <w:top w:w="40" w:type="dxa"/>
              <w:left w:w="20" w:type="dxa"/>
              <w:bottom w:w="40" w:type="dxa"/>
              <w:right w:w="20" w:type="dxa"/>
            </w:tcMar>
            <w:vAlign w:val="bottom"/>
          </w:tcPr>
          <w:p w14:paraId="40CB04CE" w14:textId="77777777" w:rsidR="00584FB3" w:rsidRDefault="00786180">
            <w:pPr>
              <w:textAlignment w:val="bottom"/>
            </w:pPr>
            <w:r>
              <w:rPr>
                <w:rFonts w:ascii="Times New Roman" w:eastAsia="宋体" w:hAnsi="Times New Roman"/>
                <w:b/>
                <w:bCs/>
                <w:color w:val="000000"/>
                <w:sz w:val="18"/>
                <w:szCs w:val="18"/>
              </w:rPr>
              <w:t>Balance, September 29, 2019</w:t>
            </w:r>
          </w:p>
        </w:tc>
        <w:tc>
          <w:tcPr>
            <w:tcW w:w="0" w:type="auto"/>
            <w:gridSpan w:val="3"/>
            <w:shd w:val="clear" w:color="auto" w:fill="D7E4BC"/>
            <w:tcMar>
              <w:top w:w="40" w:type="dxa"/>
              <w:left w:w="20" w:type="dxa"/>
              <w:bottom w:w="40" w:type="dxa"/>
              <w:right w:w="20" w:type="dxa"/>
            </w:tcMar>
            <w:vAlign w:val="bottom"/>
          </w:tcPr>
          <w:p w14:paraId="40CB04CF" w14:textId="77777777" w:rsidR="00584FB3" w:rsidRDefault="00786180">
            <w:pPr>
              <w:jc w:val="right"/>
              <w:textAlignment w:val="bottom"/>
            </w:pPr>
            <w:r>
              <w:rPr>
                <w:rFonts w:ascii="Times New Roman" w:eastAsia="宋体" w:hAnsi="Times New Roman"/>
                <w:color w:val="000000"/>
                <w:sz w:val="18"/>
                <w:szCs w:val="18"/>
              </w:rPr>
              <w:t>1,184.6</w:t>
            </w:r>
          </w:p>
        </w:tc>
        <w:tc>
          <w:tcPr>
            <w:tcW w:w="0" w:type="auto"/>
            <w:gridSpan w:val="3"/>
            <w:shd w:val="clear" w:color="auto" w:fill="D7E4BC"/>
            <w:tcMar>
              <w:top w:w="0" w:type="dxa"/>
              <w:left w:w="20" w:type="dxa"/>
              <w:bottom w:w="0" w:type="dxa"/>
              <w:right w:w="20" w:type="dxa"/>
            </w:tcMar>
          </w:tcPr>
          <w:p w14:paraId="40CB04D0"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4D1" w14:textId="77777777" w:rsidR="00584FB3" w:rsidRDefault="00786180">
            <w:pPr>
              <w:textAlignment w:val="bottom"/>
            </w:pPr>
            <w:r>
              <w:rPr>
                <w:rFonts w:ascii="Times New Roman" w:eastAsia="宋体" w:hAnsi="Times New Roman"/>
                <w:color w:val="000000"/>
                <w:sz w:val="18"/>
                <w:szCs w:val="18"/>
              </w:rPr>
              <w:t>$</w:t>
            </w:r>
          </w:p>
        </w:tc>
        <w:tc>
          <w:tcPr>
            <w:tcW w:w="0" w:type="auto"/>
            <w:shd w:val="clear" w:color="auto" w:fill="D7E4BC"/>
            <w:tcMar>
              <w:top w:w="40" w:type="dxa"/>
              <w:left w:w="0" w:type="dxa"/>
              <w:bottom w:w="40" w:type="dxa"/>
              <w:right w:w="0" w:type="dxa"/>
            </w:tcMar>
            <w:vAlign w:val="bottom"/>
          </w:tcPr>
          <w:p w14:paraId="40CB04D2" w14:textId="77777777" w:rsidR="00584FB3" w:rsidRDefault="00786180">
            <w:pPr>
              <w:jc w:val="right"/>
              <w:textAlignment w:val="bottom"/>
            </w:pPr>
            <w:r>
              <w:rPr>
                <w:rFonts w:ascii="Times New Roman" w:eastAsia="宋体" w:hAnsi="Times New Roman"/>
                <w:color w:val="000000"/>
                <w:sz w:val="18"/>
                <w:szCs w:val="18"/>
              </w:rPr>
              <w:t>1.2 </w:t>
            </w:r>
          </w:p>
        </w:tc>
        <w:tc>
          <w:tcPr>
            <w:tcW w:w="0" w:type="auto"/>
            <w:shd w:val="clear" w:color="auto" w:fill="D7E4BC"/>
            <w:tcMar>
              <w:top w:w="40" w:type="dxa"/>
              <w:left w:w="0" w:type="dxa"/>
              <w:bottom w:w="40" w:type="dxa"/>
              <w:right w:w="20" w:type="dxa"/>
            </w:tcMar>
            <w:vAlign w:val="bottom"/>
          </w:tcPr>
          <w:p w14:paraId="40CB04D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D4"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4D5" w14:textId="77777777" w:rsidR="00584FB3" w:rsidRDefault="00786180">
            <w:pPr>
              <w:textAlignment w:val="bottom"/>
            </w:pPr>
            <w:r>
              <w:rPr>
                <w:rFonts w:ascii="Times New Roman" w:eastAsia="宋体" w:hAnsi="Times New Roman"/>
                <w:color w:val="000000"/>
                <w:sz w:val="18"/>
                <w:szCs w:val="18"/>
              </w:rPr>
              <w:t>$</w:t>
            </w:r>
          </w:p>
        </w:tc>
        <w:tc>
          <w:tcPr>
            <w:tcW w:w="0" w:type="auto"/>
            <w:shd w:val="clear" w:color="auto" w:fill="D7E4BC"/>
            <w:tcMar>
              <w:top w:w="40" w:type="dxa"/>
              <w:left w:w="0" w:type="dxa"/>
              <w:bottom w:w="40" w:type="dxa"/>
              <w:right w:w="0" w:type="dxa"/>
            </w:tcMar>
            <w:vAlign w:val="bottom"/>
          </w:tcPr>
          <w:p w14:paraId="40CB04D6" w14:textId="77777777" w:rsidR="00584FB3" w:rsidRDefault="00786180">
            <w:pPr>
              <w:jc w:val="right"/>
              <w:textAlignment w:val="bottom"/>
            </w:pPr>
            <w:r>
              <w:rPr>
                <w:rFonts w:ascii="Times New Roman" w:eastAsia="宋体" w:hAnsi="Times New Roman"/>
                <w:color w:val="000000"/>
                <w:sz w:val="18"/>
                <w:szCs w:val="18"/>
              </w:rPr>
              <w:t>41.1 </w:t>
            </w:r>
          </w:p>
        </w:tc>
        <w:tc>
          <w:tcPr>
            <w:tcW w:w="0" w:type="auto"/>
            <w:shd w:val="clear" w:color="auto" w:fill="D7E4BC"/>
            <w:tcMar>
              <w:top w:w="40" w:type="dxa"/>
              <w:left w:w="0" w:type="dxa"/>
              <w:bottom w:w="40" w:type="dxa"/>
              <w:right w:w="20" w:type="dxa"/>
            </w:tcMar>
            <w:vAlign w:val="bottom"/>
          </w:tcPr>
          <w:p w14:paraId="40CB04D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D8"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4D9" w14:textId="77777777" w:rsidR="00584FB3" w:rsidRDefault="00786180">
            <w:pPr>
              <w:textAlignment w:val="bottom"/>
            </w:pPr>
            <w:r>
              <w:rPr>
                <w:rFonts w:ascii="Times New Roman" w:eastAsia="宋体" w:hAnsi="Times New Roman"/>
                <w:color w:val="000000"/>
                <w:sz w:val="18"/>
                <w:szCs w:val="18"/>
              </w:rPr>
              <w:t>$</w:t>
            </w:r>
          </w:p>
        </w:tc>
        <w:tc>
          <w:tcPr>
            <w:tcW w:w="0" w:type="auto"/>
            <w:shd w:val="clear" w:color="auto" w:fill="D7E4BC"/>
            <w:tcMar>
              <w:top w:w="40" w:type="dxa"/>
              <w:left w:w="0" w:type="dxa"/>
              <w:bottom w:w="40" w:type="dxa"/>
              <w:right w:w="0" w:type="dxa"/>
            </w:tcMar>
            <w:vAlign w:val="bottom"/>
          </w:tcPr>
          <w:p w14:paraId="40CB04DA" w14:textId="77777777" w:rsidR="00584FB3" w:rsidRDefault="00786180">
            <w:pPr>
              <w:jc w:val="right"/>
              <w:textAlignment w:val="bottom"/>
            </w:pPr>
            <w:r>
              <w:rPr>
                <w:rFonts w:ascii="Times New Roman" w:eastAsia="宋体" w:hAnsi="Times New Roman"/>
                <w:color w:val="000000"/>
                <w:sz w:val="18"/>
                <w:szCs w:val="18"/>
              </w:rPr>
              <w:t>(5,771.2)</w:t>
            </w:r>
          </w:p>
        </w:tc>
        <w:tc>
          <w:tcPr>
            <w:tcW w:w="0" w:type="auto"/>
            <w:shd w:val="clear" w:color="auto" w:fill="D7E4BC"/>
            <w:tcMar>
              <w:top w:w="40" w:type="dxa"/>
              <w:left w:w="0" w:type="dxa"/>
              <w:bottom w:w="40" w:type="dxa"/>
              <w:right w:w="20" w:type="dxa"/>
            </w:tcMar>
            <w:vAlign w:val="bottom"/>
          </w:tcPr>
          <w:p w14:paraId="40CB04D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DC"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4DD" w14:textId="77777777" w:rsidR="00584FB3" w:rsidRDefault="00786180">
            <w:pPr>
              <w:textAlignment w:val="bottom"/>
            </w:pPr>
            <w:r>
              <w:rPr>
                <w:rFonts w:ascii="Times New Roman" w:eastAsia="宋体" w:hAnsi="Times New Roman"/>
                <w:color w:val="000000"/>
                <w:sz w:val="18"/>
                <w:szCs w:val="18"/>
              </w:rPr>
              <w:t>$</w:t>
            </w:r>
          </w:p>
        </w:tc>
        <w:tc>
          <w:tcPr>
            <w:tcW w:w="0" w:type="auto"/>
            <w:shd w:val="clear" w:color="auto" w:fill="D7E4BC"/>
            <w:tcMar>
              <w:top w:w="40" w:type="dxa"/>
              <w:left w:w="0" w:type="dxa"/>
              <w:bottom w:w="40" w:type="dxa"/>
              <w:right w:w="0" w:type="dxa"/>
            </w:tcMar>
            <w:vAlign w:val="bottom"/>
          </w:tcPr>
          <w:p w14:paraId="40CB04DE" w14:textId="77777777" w:rsidR="00584FB3" w:rsidRDefault="00786180">
            <w:pPr>
              <w:jc w:val="right"/>
              <w:textAlignment w:val="bottom"/>
            </w:pPr>
            <w:r>
              <w:rPr>
                <w:rFonts w:ascii="Times New Roman" w:eastAsia="宋体" w:hAnsi="Times New Roman"/>
                <w:color w:val="000000"/>
                <w:sz w:val="18"/>
                <w:szCs w:val="18"/>
              </w:rPr>
              <w:t>(503.3)</w:t>
            </w:r>
          </w:p>
        </w:tc>
        <w:tc>
          <w:tcPr>
            <w:tcW w:w="0" w:type="auto"/>
            <w:shd w:val="clear" w:color="auto" w:fill="D7E4BC"/>
            <w:tcMar>
              <w:top w:w="40" w:type="dxa"/>
              <w:left w:w="0" w:type="dxa"/>
              <w:bottom w:w="40" w:type="dxa"/>
              <w:right w:w="20" w:type="dxa"/>
            </w:tcMar>
            <w:vAlign w:val="bottom"/>
          </w:tcPr>
          <w:p w14:paraId="40CB04D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E0"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4E1" w14:textId="77777777" w:rsidR="00584FB3" w:rsidRDefault="00786180">
            <w:pPr>
              <w:textAlignment w:val="bottom"/>
            </w:pPr>
            <w:r>
              <w:rPr>
                <w:rFonts w:ascii="Times New Roman" w:eastAsia="宋体" w:hAnsi="Times New Roman"/>
                <w:color w:val="000000"/>
                <w:sz w:val="18"/>
                <w:szCs w:val="18"/>
              </w:rPr>
              <w:t>$</w:t>
            </w:r>
          </w:p>
        </w:tc>
        <w:tc>
          <w:tcPr>
            <w:tcW w:w="0" w:type="auto"/>
            <w:shd w:val="clear" w:color="auto" w:fill="D7E4BC"/>
            <w:tcMar>
              <w:top w:w="40" w:type="dxa"/>
              <w:left w:w="0" w:type="dxa"/>
              <w:bottom w:w="40" w:type="dxa"/>
              <w:right w:w="0" w:type="dxa"/>
            </w:tcMar>
            <w:vAlign w:val="bottom"/>
          </w:tcPr>
          <w:p w14:paraId="40CB04E2" w14:textId="77777777" w:rsidR="00584FB3" w:rsidRDefault="00786180">
            <w:pPr>
              <w:jc w:val="right"/>
              <w:textAlignment w:val="bottom"/>
            </w:pPr>
            <w:r>
              <w:rPr>
                <w:rFonts w:ascii="Times New Roman" w:eastAsia="宋体" w:hAnsi="Times New Roman"/>
                <w:color w:val="000000"/>
                <w:sz w:val="18"/>
                <w:szCs w:val="18"/>
              </w:rPr>
              <w:t>(6,232.2)</w:t>
            </w:r>
          </w:p>
        </w:tc>
        <w:tc>
          <w:tcPr>
            <w:tcW w:w="0" w:type="auto"/>
            <w:shd w:val="clear" w:color="auto" w:fill="D7E4BC"/>
            <w:tcMar>
              <w:top w:w="40" w:type="dxa"/>
              <w:left w:w="0" w:type="dxa"/>
              <w:bottom w:w="40" w:type="dxa"/>
              <w:right w:w="20" w:type="dxa"/>
            </w:tcMar>
            <w:vAlign w:val="bottom"/>
          </w:tcPr>
          <w:p w14:paraId="40CB04E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E4"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4E5" w14:textId="77777777" w:rsidR="00584FB3" w:rsidRDefault="00786180">
            <w:pPr>
              <w:textAlignment w:val="bottom"/>
            </w:pPr>
            <w:r>
              <w:rPr>
                <w:rFonts w:ascii="Times New Roman" w:eastAsia="宋体" w:hAnsi="Times New Roman"/>
                <w:color w:val="000000"/>
                <w:sz w:val="18"/>
                <w:szCs w:val="18"/>
              </w:rPr>
              <w:t>$</w:t>
            </w:r>
          </w:p>
        </w:tc>
        <w:tc>
          <w:tcPr>
            <w:tcW w:w="0" w:type="auto"/>
            <w:shd w:val="clear" w:color="auto" w:fill="D7E4BC"/>
            <w:tcMar>
              <w:top w:w="40" w:type="dxa"/>
              <w:left w:w="0" w:type="dxa"/>
              <w:bottom w:w="40" w:type="dxa"/>
              <w:right w:w="0" w:type="dxa"/>
            </w:tcMar>
            <w:vAlign w:val="bottom"/>
          </w:tcPr>
          <w:p w14:paraId="40CB04E6" w14:textId="77777777" w:rsidR="00584FB3" w:rsidRDefault="00786180">
            <w:pPr>
              <w:jc w:val="right"/>
              <w:textAlignment w:val="bottom"/>
            </w:pPr>
            <w:r>
              <w:rPr>
                <w:rFonts w:ascii="Times New Roman" w:eastAsia="宋体" w:hAnsi="Times New Roman"/>
                <w:color w:val="000000"/>
                <w:sz w:val="18"/>
                <w:szCs w:val="18"/>
              </w:rPr>
              <w:t>1.2 </w:t>
            </w:r>
          </w:p>
        </w:tc>
        <w:tc>
          <w:tcPr>
            <w:tcW w:w="0" w:type="auto"/>
            <w:shd w:val="clear" w:color="auto" w:fill="D7E4BC"/>
            <w:tcMar>
              <w:top w:w="40" w:type="dxa"/>
              <w:left w:w="0" w:type="dxa"/>
              <w:bottom w:w="40" w:type="dxa"/>
              <w:right w:w="20" w:type="dxa"/>
            </w:tcMar>
            <w:vAlign w:val="bottom"/>
          </w:tcPr>
          <w:p w14:paraId="40CB04E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4E8"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04E9" w14:textId="77777777" w:rsidR="00584FB3" w:rsidRDefault="00786180">
            <w:pPr>
              <w:textAlignment w:val="bottom"/>
            </w:pPr>
            <w:r>
              <w:rPr>
                <w:rFonts w:ascii="Times New Roman" w:eastAsia="宋体" w:hAnsi="Times New Roman"/>
                <w:color w:val="000000"/>
                <w:sz w:val="18"/>
                <w:szCs w:val="18"/>
              </w:rPr>
              <w:t>$</w:t>
            </w:r>
          </w:p>
        </w:tc>
        <w:tc>
          <w:tcPr>
            <w:tcW w:w="0" w:type="auto"/>
            <w:shd w:val="clear" w:color="auto" w:fill="D7E4BC"/>
            <w:tcMar>
              <w:top w:w="40" w:type="dxa"/>
              <w:left w:w="0" w:type="dxa"/>
              <w:bottom w:w="40" w:type="dxa"/>
              <w:right w:w="0" w:type="dxa"/>
            </w:tcMar>
            <w:vAlign w:val="bottom"/>
          </w:tcPr>
          <w:p w14:paraId="40CB04EA" w14:textId="77777777" w:rsidR="00584FB3" w:rsidRDefault="00786180">
            <w:pPr>
              <w:jc w:val="right"/>
              <w:textAlignment w:val="bottom"/>
            </w:pPr>
            <w:r>
              <w:rPr>
                <w:rFonts w:ascii="Times New Roman" w:eastAsia="宋体" w:hAnsi="Times New Roman"/>
                <w:color w:val="000000"/>
                <w:sz w:val="18"/>
                <w:szCs w:val="18"/>
              </w:rPr>
              <w:t>(6,231.0)</w:t>
            </w:r>
          </w:p>
        </w:tc>
        <w:tc>
          <w:tcPr>
            <w:tcW w:w="0" w:type="auto"/>
            <w:shd w:val="clear" w:color="auto" w:fill="D7E4BC"/>
            <w:tcMar>
              <w:top w:w="40" w:type="dxa"/>
              <w:left w:w="0" w:type="dxa"/>
              <w:bottom w:w="40" w:type="dxa"/>
              <w:right w:w="20" w:type="dxa"/>
            </w:tcMar>
            <w:vAlign w:val="bottom"/>
          </w:tcPr>
          <w:p w14:paraId="40CB04EB" w14:textId="77777777" w:rsidR="00584FB3" w:rsidRDefault="00584FB3">
            <w:pPr>
              <w:jc w:val="right"/>
              <w:rPr>
                <w:rFonts w:ascii="宋体"/>
              </w:rPr>
            </w:pPr>
          </w:p>
        </w:tc>
      </w:tr>
      <w:tr w:rsidR="00584FB3" w14:paraId="40CB0504" w14:textId="77777777">
        <w:trPr>
          <w:jc w:val="center"/>
        </w:trPr>
        <w:tc>
          <w:tcPr>
            <w:tcW w:w="0" w:type="auto"/>
            <w:gridSpan w:val="3"/>
            <w:shd w:val="clear" w:color="auto" w:fill="FFFFFF"/>
            <w:tcMar>
              <w:top w:w="40" w:type="dxa"/>
              <w:left w:w="20" w:type="dxa"/>
              <w:bottom w:w="40" w:type="dxa"/>
              <w:right w:w="20" w:type="dxa"/>
            </w:tcMar>
          </w:tcPr>
          <w:p w14:paraId="40CB04ED" w14:textId="77777777" w:rsidR="00584FB3" w:rsidRDefault="00786180">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40CB04EE"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40CB04E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F0"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F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F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F3"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4F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F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F6" w14:textId="77777777" w:rsidR="00584FB3" w:rsidRDefault="00786180">
            <w:pPr>
              <w:jc w:val="right"/>
              <w:textAlignment w:val="bottom"/>
            </w:pPr>
            <w:r>
              <w:rPr>
                <w:rFonts w:ascii="Times New Roman" w:eastAsia="宋体" w:hAnsi="Times New Roman"/>
                <w:color w:val="000000"/>
                <w:sz w:val="18"/>
                <w:szCs w:val="18"/>
              </w:rPr>
              <w:t>12.5 </w:t>
            </w:r>
          </w:p>
        </w:tc>
        <w:tc>
          <w:tcPr>
            <w:tcW w:w="0" w:type="auto"/>
            <w:shd w:val="clear" w:color="auto" w:fill="FFFFFF"/>
            <w:tcMar>
              <w:top w:w="40" w:type="dxa"/>
              <w:left w:w="0" w:type="dxa"/>
              <w:bottom w:w="40" w:type="dxa"/>
              <w:right w:w="20" w:type="dxa"/>
            </w:tcMar>
            <w:vAlign w:val="bottom"/>
          </w:tcPr>
          <w:p w14:paraId="40CB04F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F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F9" w14:textId="77777777" w:rsidR="00584FB3" w:rsidRDefault="00786180">
            <w:pPr>
              <w:jc w:val="right"/>
              <w:textAlignment w:val="bottom"/>
            </w:pPr>
            <w:r>
              <w:rPr>
                <w:rFonts w:ascii="Times New Roman" w:eastAsia="宋体" w:hAnsi="Times New Roman"/>
                <w:color w:val="000000"/>
                <w:sz w:val="18"/>
                <w:szCs w:val="18"/>
              </w:rPr>
              <w:t>4.8 </w:t>
            </w:r>
          </w:p>
        </w:tc>
        <w:tc>
          <w:tcPr>
            <w:tcW w:w="0" w:type="auto"/>
            <w:shd w:val="clear" w:color="auto" w:fill="FFFFFF"/>
            <w:tcMar>
              <w:top w:w="40" w:type="dxa"/>
              <w:left w:w="0" w:type="dxa"/>
              <w:bottom w:w="40" w:type="dxa"/>
              <w:right w:w="20" w:type="dxa"/>
            </w:tcMar>
            <w:vAlign w:val="bottom"/>
          </w:tcPr>
          <w:p w14:paraId="40CB04F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F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FC" w14:textId="77777777" w:rsidR="00584FB3" w:rsidRDefault="00786180">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left w:w="0" w:type="dxa"/>
              <w:bottom w:w="40" w:type="dxa"/>
              <w:right w:w="20" w:type="dxa"/>
            </w:tcMar>
            <w:vAlign w:val="bottom"/>
          </w:tcPr>
          <w:p w14:paraId="40CB04F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4F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4FF"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0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0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02" w14:textId="77777777" w:rsidR="00584FB3" w:rsidRDefault="00786180">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left w:w="0" w:type="dxa"/>
              <w:bottom w:w="40" w:type="dxa"/>
              <w:right w:w="20" w:type="dxa"/>
            </w:tcMar>
            <w:vAlign w:val="bottom"/>
          </w:tcPr>
          <w:p w14:paraId="40CB0503" w14:textId="77777777" w:rsidR="00584FB3" w:rsidRDefault="00584FB3">
            <w:pPr>
              <w:jc w:val="right"/>
              <w:rPr>
                <w:rFonts w:ascii="宋体"/>
              </w:rPr>
            </w:pPr>
          </w:p>
        </w:tc>
      </w:tr>
      <w:tr w:rsidR="00584FB3" w14:paraId="40CB051C" w14:textId="77777777">
        <w:trPr>
          <w:jc w:val="center"/>
        </w:trPr>
        <w:tc>
          <w:tcPr>
            <w:tcW w:w="0" w:type="auto"/>
            <w:gridSpan w:val="3"/>
            <w:shd w:val="clear" w:color="auto" w:fill="D7E4BC"/>
            <w:tcMar>
              <w:top w:w="40" w:type="dxa"/>
              <w:left w:w="20" w:type="dxa"/>
              <w:bottom w:w="40" w:type="dxa"/>
              <w:right w:w="20" w:type="dxa"/>
            </w:tcMar>
          </w:tcPr>
          <w:p w14:paraId="40CB0505" w14:textId="77777777" w:rsidR="00584FB3" w:rsidRDefault="00786180">
            <w:pPr>
              <w:textAlignment w:val="top"/>
            </w:pPr>
            <w:r>
              <w:rPr>
                <w:rFonts w:ascii="Times New Roman" w:eastAsia="宋体" w:hAnsi="Times New Roman"/>
                <w:color w:val="000000"/>
                <w:sz w:val="18"/>
                <w:szCs w:val="18"/>
              </w:rPr>
              <w:t>Net e</w:t>
            </w:r>
            <w:r>
              <w:rPr>
                <w:rFonts w:ascii="Times New Roman" w:eastAsia="宋体" w:hAnsi="Times New Roman"/>
                <w:color w:val="000000"/>
                <w:sz w:val="18"/>
                <w:szCs w:val="18"/>
              </w:rPr>
              <w:t>arnings/(loss)</w:t>
            </w:r>
          </w:p>
        </w:tc>
        <w:tc>
          <w:tcPr>
            <w:tcW w:w="0" w:type="auto"/>
            <w:gridSpan w:val="3"/>
            <w:shd w:val="clear" w:color="auto" w:fill="D7E4BC"/>
            <w:tcMar>
              <w:top w:w="40" w:type="dxa"/>
              <w:left w:w="20" w:type="dxa"/>
              <w:bottom w:w="40" w:type="dxa"/>
              <w:right w:w="20" w:type="dxa"/>
            </w:tcMar>
            <w:vAlign w:val="bottom"/>
          </w:tcPr>
          <w:p w14:paraId="40CB0506"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top w:w="0" w:type="dxa"/>
              <w:left w:w="20" w:type="dxa"/>
              <w:bottom w:w="0" w:type="dxa"/>
              <w:right w:w="20" w:type="dxa"/>
            </w:tcMar>
          </w:tcPr>
          <w:p w14:paraId="40CB050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0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0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0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0B"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0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0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0E" w14:textId="77777777" w:rsidR="00584FB3" w:rsidRDefault="00786180">
            <w:pPr>
              <w:jc w:val="right"/>
              <w:textAlignment w:val="bottom"/>
            </w:pPr>
            <w:r>
              <w:rPr>
                <w:rFonts w:ascii="Times New Roman" w:eastAsia="宋体" w:hAnsi="Times New Roman"/>
                <w:color w:val="000000"/>
                <w:sz w:val="18"/>
                <w:szCs w:val="18"/>
              </w:rPr>
              <w:t>885.7 </w:t>
            </w:r>
          </w:p>
        </w:tc>
        <w:tc>
          <w:tcPr>
            <w:tcW w:w="0" w:type="auto"/>
            <w:shd w:val="clear" w:color="auto" w:fill="D7E4BC"/>
            <w:tcMar>
              <w:top w:w="40" w:type="dxa"/>
              <w:left w:w="0" w:type="dxa"/>
              <w:bottom w:w="40" w:type="dxa"/>
              <w:right w:w="20" w:type="dxa"/>
            </w:tcMar>
            <w:vAlign w:val="bottom"/>
          </w:tcPr>
          <w:p w14:paraId="40CB050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1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11"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1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1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14" w14:textId="77777777" w:rsidR="00584FB3" w:rsidRDefault="00786180">
            <w:pPr>
              <w:jc w:val="right"/>
              <w:textAlignment w:val="bottom"/>
            </w:pPr>
            <w:r>
              <w:rPr>
                <w:rFonts w:ascii="Times New Roman" w:eastAsia="宋体" w:hAnsi="Times New Roman"/>
                <w:color w:val="000000"/>
                <w:sz w:val="18"/>
                <w:szCs w:val="18"/>
              </w:rPr>
              <w:t>885.7 </w:t>
            </w:r>
          </w:p>
        </w:tc>
        <w:tc>
          <w:tcPr>
            <w:tcW w:w="0" w:type="auto"/>
            <w:shd w:val="clear" w:color="auto" w:fill="D7E4BC"/>
            <w:tcMar>
              <w:top w:w="40" w:type="dxa"/>
              <w:left w:w="0" w:type="dxa"/>
              <w:bottom w:w="40" w:type="dxa"/>
              <w:right w:w="20" w:type="dxa"/>
            </w:tcMar>
            <w:vAlign w:val="bottom"/>
          </w:tcPr>
          <w:p w14:paraId="40CB051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1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17" w14:textId="77777777" w:rsidR="00584FB3" w:rsidRDefault="00786180">
            <w:pPr>
              <w:jc w:val="right"/>
              <w:textAlignment w:val="bottom"/>
            </w:pPr>
            <w:r>
              <w:rPr>
                <w:rFonts w:ascii="Times New Roman" w:eastAsia="宋体" w:hAnsi="Times New Roman"/>
                <w:color w:val="000000"/>
                <w:sz w:val="18"/>
                <w:szCs w:val="18"/>
              </w:rPr>
              <w:t>(0.4)</w:t>
            </w:r>
          </w:p>
        </w:tc>
        <w:tc>
          <w:tcPr>
            <w:tcW w:w="0" w:type="auto"/>
            <w:shd w:val="clear" w:color="auto" w:fill="D7E4BC"/>
            <w:tcMar>
              <w:top w:w="40" w:type="dxa"/>
              <w:left w:w="0" w:type="dxa"/>
              <w:bottom w:w="40" w:type="dxa"/>
              <w:right w:w="20" w:type="dxa"/>
            </w:tcMar>
            <w:vAlign w:val="bottom"/>
          </w:tcPr>
          <w:p w14:paraId="40CB051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1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1A" w14:textId="77777777" w:rsidR="00584FB3" w:rsidRDefault="00786180">
            <w:pPr>
              <w:jc w:val="right"/>
              <w:textAlignment w:val="bottom"/>
            </w:pPr>
            <w:r>
              <w:rPr>
                <w:rFonts w:ascii="Times New Roman" w:eastAsia="宋体" w:hAnsi="Times New Roman"/>
                <w:color w:val="000000"/>
                <w:sz w:val="18"/>
                <w:szCs w:val="18"/>
              </w:rPr>
              <w:t>885.3 </w:t>
            </w:r>
          </w:p>
        </w:tc>
        <w:tc>
          <w:tcPr>
            <w:tcW w:w="0" w:type="auto"/>
            <w:shd w:val="clear" w:color="auto" w:fill="D7E4BC"/>
            <w:tcMar>
              <w:top w:w="40" w:type="dxa"/>
              <w:left w:w="0" w:type="dxa"/>
              <w:bottom w:w="40" w:type="dxa"/>
              <w:right w:w="20" w:type="dxa"/>
            </w:tcMar>
            <w:vAlign w:val="bottom"/>
          </w:tcPr>
          <w:p w14:paraId="40CB051B" w14:textId="77777777" w:rsidR="00584FB3" w:rsidRDefault="00584FB3">
            <w:pPr>
              <w:jc w:val="right"/>
              <w:rPr>
                <w:rFonts w:ascii="宋体"/>
              </w:rPr>
            </w:pPr>
          </w:p>
        </w:tc>
      </w:tr>
      <w:tr w:rsidR="00584FB3" w14:paraId="40CB0534" w14:textId="77777777">
        <w:trPr>
          <w:jc w:val="center"/>
        </w:trPr>
        <w:tc>
          <w:tcPr>
            <w:tcW w:w="0" w:type="auto"/>
            <w:gridSpan w:val="3"/>
            <w:shd w:val="clear" w:color="auto" w:fill="FFFFFF"/>
            <w:tcMar>
              <w:top w:w="40" w:type="dxa"/>
              <w:left w:w="20" w:type="dxa"/>
              <w:bottom w:w="40" w:type="dxa"/>
              <w:right w:w="20" w:type="dxa"/>
            </w:tcMar>
          </w:tcPr>
          <w:p w14:paraId="40CB051D" w14:textId="77777777" w:rsidR="00584FB3" w:rsidRDefault="00786180">
            <w:pPr>
              <w:textAlignment w:val="top"/>
            </w:pPr>
            <w:r>
              <w:rPr>
                <w:rFonts w:ascii="Times New Roman" w:eastAsia="宋体" w:hAnsi="Times New Roman"/>
                <w:color w:val="000000"/>
                <w:sz w:val="18"/>
                <w:szCs w:val="18"/>
              </w:rPr>
              <w:t>Other</w:t>
            </w:r>
            <w:r>
              <w:rPr>
                <w:rFonts w:ascii="Times New Roman" w:eastAsia="宋体" w:hAnsi="Times New Roman"/>
                <w:color w:val="000000"/>
                <w:sz w:val="18"/>
                <w:szCs w:val="18"/>
              </w:rPr>
              <w:t xml:space="preserve"> comprehensive income/(loss)</w:t>
            </w:r>
          </w:p>
        </w:tc>
        <w:tc>
          <w:tcPr>
            <w:tcW w:w="0" w:type="auto"/>
            <w:gridSpan w:val="3"/>
            <w:shd w:val="clear" w:color="auto" w:fill="FFFFFF"/>
            <w:tcMar>
              <w:top w:w="40" w:type="dxa"/>
              <w:left w:w="20" w:type="dxa"/>
              <w:bottom w:w="40" w:type="dxa"/>
              <w:right w:w="20" w:type="dxa"/>
            </w:tcMar>
            <w:vAlign w:val="bottom"/>
          </w:tcPr>
          <w:p w14:paraId="40CB051E"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tcPr>
          <w:p w14:paraId="40CB051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20"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2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2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23"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2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2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26"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2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2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29" w14:textId="77777777" w:rsidR="00584FB3" w:rsidRDefault="00786180">
            <w:pPr>
              <w:jc w:val="right"/>
              <w:textAlignment w:val="bottom"/>
            </w:pPr>
            <w:r>
              <w:rPr>
                <w:rFonts w:ascii="Times New Roman" w:eastAsia="宋体" w:hAnsi="Times New Roman"/>
                <w:color w:val="000000"/>
                <w:sz w:val="18"/>
                <w:szCs w:val="18"/>
              </w:rPr>
              <w:t>111.1 </w:t>
            </w:r>
          </w:p>
        </w:tc>
        <w:tc>
          <w:tcPr>
            <w:tcW w:w="0" w:type="auto"/>
            <w:shd w:val="clear" w:color="auto" w:fill="FFFFFF"/>
            <w:tcMar>
              <w:top w:w="40" w:type="dxa"/>
              <w:left w:w="0" w:type="dxa"/>
              <w:bottom w:w="40" w:type="dxa"/>
              <w:right w:w="20" w:type="dxa"/>
            </w:tcMar>
            <w:vAlign w:val="bottom"/>
          </w:tcPr>
          <w:p w14:paraId="40CB052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2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2C" w14:textId="77777777" w:rsidR="00584FB3" w:rsidRDefault="00786180">
            <w:pPr>
              <w:jc w:val="right"/>
              <w:textAlignment w:val="bottom"/>
            </w:pPr>
            <w:r>
              <w:rPr>
                <w:rFonts w:ascii="Times New Roman" w:eastAsia="宋体" w:hAnsi="Times New Roman"/>
                <w:color w:val="000000"/>
                <w:sz w:val="18"/>
                <w:szCs w:val="18"/>
              </w:rPr>
              <w:t>111.1 </w:t>
            </w:r>
          </w:p>
        </w:tc>
        <w:tc>
          <w:tcPr>
            <w:tcW w:w="0" w:type="auto"/>
            <w:shd w:val="clear" w:color="auto" w:fill="FFFFFF"/>
            <w:tcMar>
              <w:top w:w="40" w:type="dxa"/>
              <w:left w:w="0" w:type="dxa"/>
              <w:bottom w:w="40" w:type="dxa"/>
              <w:right w:w="20" w:type="dxa"/>
            </w:tcMar>
            <w:vAlign w:val="bottom"/>
          </w:tcPr>
          <w:p w14:paraId="40CB052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2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2F"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3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3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32" w14:textId="77777777" w:rsidR="00584FB3" w:rsidRDefault="00786180">
            <w:pPr>
              <w:jc w:val="right"/>
              <w:textAlignment w:val="bottom"/>
            </w:pPr>
            <w:r>
              <w:rPr>
                <w:rFonts w:ascii="Times New Roman" w:eastAsia="宋体" w:hAnsi="Times New Roman"/>
                <w:color w:val="000000"/>
                <w:sz w:val="18"/>
                <w:szCs w:val="18"/>
              </w:rPr>
              <w:t>111.1 </w:t>
            </w:r>
          </w:p>
        </w:tc>
        <w:tc>
          <w:tcPr>
            <w:tcW w:w="0" w:type="auto"/>
            <w:shd w:val="clear" w:color="auto" w:fill="FFFFFF"/>
            <w:tcMar>
              <w:top w:w="40" w:type="dxa"/>
              <w:left w:w="0" w:type="dxa"/>
              <w:bottom w:w="40" w:type="dxa"/>
              <w:right w:w="20" w:type="dxa"/>
            </w:tcMar>
            <w:vAlign w:val="bottom"/>
          </w:tcPr>
          <w:p w14:paraId="40CB0533" w14:textId="77777777" w:rsidR="00584FB3" w:rsidRDefault="00584FB3">
            <w:pPr>
              <w:jc w:val="right"/>
              <w:rPr>
                <w:rFonts w:ascii="宋体"/>
              </w:rPr>
            </w:pPr>
          </w:p>
        </w:tc>
      </w:tr>
      <w:tr w:rsidR="00584FB3" w14:paraId="40CB054C" w14:textId="77777777">
        <w:trPr>
          <w:jc w:val="center"/>
        </w:trPr>
        <w:tc>
          <w:tcPr>
            <w:tcW w:w="0" w:type="auto"/>
            <w:gridSpan w:val="3"/>
            <w:shd w:val="clear" w:color="auto" w:fill="D7E4BC"/>
            <w:tcMar>
              <w:top w:w="40" w:type="dxa"/>
              <w:left w:w="20" w:type="dxa"/>
              <w:bottom w:w="40" w:type="dxa"/>
              <w:right w:w="20" w:type="dxa"/>
            </w:tcMar>
          </w:tcPr>
          <w:p w14:paraId="40CB0535" w14:textId="77777777" w:rsidR="00584FB3" w:rsidRDefault="00786180">
            <w:pPr>
              <w:textAlignment w:val="top"/>
            </w:pPr>
            <w:r>
              <w:rPr>
                <w:rFonts w:ascii="Times New Roman" w:eastAsia="宋体" w:hAnsi="Times New Roman"/>
                <w:color w:val="000000"/>
                <w:sz w:val="18"/>
                <w:szCs w:val="18"/>
              </w:rPr>
              <w:t>Stock</w:t>
            </w:r>
            <w:r>
              <w:rPr>
                <w:rFonts w:ascii="Times New Roman" w:eastAsia="宋体" w:hAnsi="Times New Roman"/>
                <w:color w:val="000000"/>
                <w:sz w:val="18"/>
                <w:szCs w:val="18"/>
              </w:rPr>
              <w:t>-based compensation expense</w:t>
            </w:r>
          </w:p>
        </w:tc>
        <w:tc>
          <w:tcPr>
            <w:tcW w:w="0" w:type="auto"/>
            <w:gridSpan w:val="3"/>
            <w:shd w:val="clear" w:color="auto" w:fill="D7E4BC"/>
            <w:tcMar>
              <w:top w:w="40" w:type="dxa"/>
              <w:left w:w="20" w:type="dxa"/>
              <w:bottom w:w="40" w:type="dxa"/>
              <w:right w:w="20" w:type="dxa"/>
            </w:tcMar>
            <w:vAlign w:val="bottom"/>
          </w:tcPr>
          <w:p w14:paraId="40CB0536"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top w:w="0" w:type="dxa"/>
              <w:left w:w="20" w:type="dxa"/>
              <w:bottom w:w="0" w:type="dxa"/>
              <w:right w:w="20" w:type="dxa"/>
            </w:tcMar>
          </w:tcPr>
          <w:p w14:paraId="40CB053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3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3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3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3B" w14:textId="77777777" w:rsidR="00584FB3" w:rsidRDefault="00786180">
            <w:pPr>
              <w:jc w:val="right"/>
              <w:textAlignment w:val="bottom"/>
            </w:pPr>
            <w:r>
              <w:rPr>
                <w:rFonts w:ascii="Times New Roman" w:eastAsia="宋体" w:hAnsi="Times New Roman"/>
                <w:color w:val="000000"/>
                <w:sz w:val="18"/>
                <w:szCs w:val="18"/>
              </w:rPr>
              <w:t>91.3 </w:t>
            </w:r>
          </w:p>
        </w:tc>
        <w:tc>
          <w:tcPr>
            <w:tcW w:w="0" w:type="auto"/>
            <w:shd w:val="clear" w:color="auto" w:fill="D7E4BC"/>
            <w:tcMar>
              <w:top w:w="40" w:type="dxa"/>
              <w:left w:w="0" w:type="dxa"/>
              <w:bottom w:w="40" w:type="dxa"/>
              <w:right w:w="20" w:type="dxa"/>
            </w:tcMar>
            <w:vAlign w:val="bottom"/>
          </w:tcPr>
          <w:p w14:paraId="40CB053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3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3E"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3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4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41"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4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4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44" w14:textId="77777777" w:rsidR="00584FB3" w:rsidRDefault="00786180">
            <w:pPr>
              <w:jc w:val="right"/>
              <w:textAlignment w:val="bottom"/>
            </w:pPr>
            <w:r>
              <w:rPr>
                <w:rFonts w:ascii="Times New Roman" w:eastAsia="宋体" w:hAnsi="Times New Roman"/>
                <w:color w:val="000000"/>
                <w:sz w:val="18"/>
                <w:szCs w:val="18"/>
              </w:rPr>
              <w:t>91.3 </w:t>
            </w:r>
          </w:p>
        </w:tc>
        <w:tc>
          <w:tcPr>
            <w:tcW w:w="0" w:type="auto"/>
            <w:shd w:val="clear" w:color="auto" w:fill="D7E4BC"/>
            <w:tcMar>
              <w:top w:w="40" w:type="dxa"/>
              <w:left w:w="0" w:type="dxa"/>
              <w:bottom w:w="40" w:type="dxa"/>
              <w:right w:w="20" w:type="dxa"/>
            </w:tcMar>
            <w:vAlign w:val="bottom"/>
          </w:tcPr>
          <w:p w14:paraId="40CB054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4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47"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4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4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4A" w14:textId="77777777" w:rsidR="00584FB3" w:rsidRDefault="00786180">
            <w:pPr>
              <w:jc w:val="right"/>
              <w:textAlignment w:val="bottom"/>
            </w:pPr>
            <w:r>
              <w:rPr>
                <w:rFonts w:ascii="Times New Roman" w:eastAsia="宋体" w:hAnsi="Times New Roman"/>
                <w:color w:val="000000"/>
                <w:sz w:val="18"/>
                <w:szCs w:val="18"/>
              </w:rPr>
              <w:t>91.3 </w:t>
            </w:r>
          </w:p>
        </w:tc>
        <w:tc>
          <w:tcPr>
            <w:tcW w:w="0" w:type="auto"/>
            <w:shd w:val="clear" w:color="auto" w:fill="D7E4BC"/>
            <w:tcMar>
              <w:top w:w="40" w:type="dxa"/>
              <w:left w:w="0" w:type="dxa"/>
              <w:bottom w:w="40" w:type="dxa"/>
              <w:right w:w="20" w:type="dxa"/>
            </w:tcMar>
            <w:vAlign w:val="bottom"/>
          </w:tcPr>
          <w:p w14:paraId="40CB054B" w14:textId="77777777" w:rsidR="00584FB3" w:rsidRDefault="00584FB3">
            <w:pPr>
              <w:jc w:val="right"/>
              <w:rPr>
                <w:rFonts w:ascii="宋体"/>
              </w:rPr>
            </w:pPr>
          </w:p>
        </w:tc>
      </w:tr>
      <w:tr w:rsidR="00584FB3" w14:paraId="40CB0564" w14:textId="77777777">
        <w:trPr>
          <w:jc w:val="center"/>
        </w:trPr>
        <w:tc>
          <w:tcPr>
            <w:tcW w:w="0" w:type="auto"/>
            <w:gridSpan w:val="3"/>
            <w:shd w:val="clear" w:color="auto" w:fill="FFFFFF"/>
            <w:tcMar>
              <w:top w:w="40" w:type="dxa"/>
              <w:left w:w="20" w:type="dxa"/>
              <w:bottom w:w="40" w:type="dxa"/>
              <w:right w:w="20" w:type="dxa"/>
            </w:tcMar>
          </w:tcPr>
          <w:p w14:paraId="40CB054D" w14:textId="77777777" w:rsidR="00584FB3" w:rsidRDefault="00786180">
            <w:pPr>
              <w:textAlignment w:val="top"/>
            </w:pPr>
            <w:r>
              <w:rPr>
                <w:rFonts w:ascii="Times New Roman" w:eastAsia="宋体" w:hAnsi="Times New Roman"/>
                <w:color w:val="000000"/>
                <w:sz w:val="18"/>
                <w:szCs w:val="18"/>
              </w:rPr>
              <w:t>Exerc</w:t>
            </w:r>
            <w:r>
              <w:rPr>
                <w:rFonts w:ascii="Times New Roman" w:eastAsia="宋体" w:hAnsi="Times New Roman"/>
                <w:color w:val="000000"/>
                <w:sz w:val="18"/>
                <w:szCs w:val="18"/>
              </w:rPr>
              <w:t>ise of stock options/vesting of RSUs</w:t>
            </w:r>
          </w:p>
        </w:tc>
        <w:tc>
          <w:tcPr>
            <w:tcW w:w="0" w:type="auto"/>
            <w:gridSpan w:val="3"/>
            <w:shd w:val="clear" w:color="auto" w:fill="FFFFFF"/>
            <w:tcMar>
              <w:top w:w="40" w:type="dxa"/>
              <w:left w:w="20" w:type="dxa"/>
              <w:bottom w:w="40" w:type="dxa"/>
              <w:right w:w="20" w:type="dxa"/>
            </w:tcMar>
            <w:vAlign w:val="bottom"/>
          </w:tcPr>
          <w:p w14:paraId="40CB054E" w14:textId="77777777" w:rsidR="00584FB3" w:rsidRDefault="00786180">
            <w:pPr>
              <w:jc w:val="right"/>
              <w:textAlignment w:val="bottom"/>
            </w:pPr>
            <w:r>
              <w:rPr>
                <w:rFonts w:ascii="Times New Roman" w:eastAsia="宋体" w:hAnsi="Times New Roman"/>
                <w:color w:val="000000"/>
                <w:sz w:val="18"/>
                <w:szCs w:val="18"/>
              </w:rPr>
              <w:t>2.8</w:t>
            </w:r>
          </w:p>
        </w:tc>
        <w:tc>
          <w:tcPr>
            <w:tcW w:w="0" w:type="auto"/>
            <w:gridSpan w:val="3"/>
            <w:shd w:val="clear" w:color="auto" w:fill="FFFFFF"/>
            <w:tcMar>
              <w:top w:w="0" w:type="dxa"/>
              <w:left w:w="20" w:type="dxa"/>
              <w:bottom w:w="0" w:type="dxa"/>
              <w:right w:w="20" w:type="dxa"/>
            </w:tcMar>
          </w:tcPr>
          <w:p w14:paraId="40CB054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50"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5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5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53" w14:textId="77777777" w:rsidR="00584FB3" w:rsidRDefault="00786180">
            <w:pPr>
              <w:jc w:val="right"/>
              <w:textAlignment w:val="bottom"/>
            </w:pPr>
            <w:r>
              <w:rPr>
                <w:rFonts w:ascii="Times New Roman" w:eastAsia="宋体" w:hAnsi="Times New Roman"/>
                <w:color w:val="000000"/>
                <w:sz w:val="18"/>
                <w:szCs w:val="18"/>
              </w:rPr>
              <w:t>(54.1)</w:t>
            </w:r>
          </w:p>
        </w:tc>
        <w:tc>
          <w:tcPr>
            <w:tcW w:w="0" w:type="auto"/>
            <w:shd w:val="clear" w:color="auto" w:fill="FFFFFF"/>
            <w:tcMar>
              <w:top w:w="40" w:type="dxa"/>
              <w:left w:w="0" w:type="dxa"/>
              <w:bottom w:w="40" w:type="dxa"/>
              <w:right w:w="20" w:type="dxa"/>
            </w:tcMar>
            <w:vAlign w:val="bottom"/>
          </w:tcPr>
          <w:p w14:paraId="40CB055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5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56"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5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5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59"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5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5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5C" w14:textId="77777777" w:rsidR="00584FB3" w:rsidRDefault="00786180">
            <w:pPr>
              <w:jc w:val="right"/>
              <w:textAlignment w:val="bottom"/>
            </w:pPr>
            <w:r>
              <w:rPr>
                <w:rFonts w:ascii="Times New Roman" w:eastAsia="宋体" w:hAnsi="Times New Roman"/>
                <w:color w:val="000000"/>
                <w:sz w:val="18"/>
                <w:szCs w:val="18"/>
              </w:rPr>
              <w:t>(54.1)</w:t>
            </w:r>
          </w:p>
        </w:tc>
        <w:tc>
          <w:tcPr>
            <w:tcW w:w="0" w:type="auto"/>
            <w:shd w:val="clear" w:color="auto" w:fill="FFFFFF"/>
            <w:tcMar>
              <w:top w:w="40" w:type="dxa"/>
              <w:left w:w="0" w:type="dxa"/>
              <w:bottom w:w="40" w:type="dxa"/>
              <w:right w:w="20" w:type="dxa"/>
            </w:tcMar>
            <w:vAlign w:val="bottom"/>
          </w:tcPr>
          <w:p w14:paraId="40CB055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5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5F"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6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6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62" w14:textId="77777777" w:rsidR="00584FB3" w:rsidRDefault="00786180">
            <w:pPr>
              <w:jc w:val="right"/>
              <w:textAlignment w:val="bottom"/>
            </w:pPr>
            <w:r>
              <w:rPr>
                <w:rFonts w:ascii="Times New Roman" w:eastAsia="宋体" w:hAnsi="Times New Roman"/>
                <w:color w:val="000000"/>
                <w:sz w:val="18"/>
                <w:szCs w:val="18"/>
              </w:rPr>
              <w:t>(54.1)</w:t>
            </w:r>
          </w:p>
        </w:tc>
        <w:tc>
          <w:tcPr>
            <w:tcW w:w="0" w:type="auto"/>
            <w:shd w:val="clear" w:color="auto" w:fill="FFFFFF"/>
            <w:tcMar>
              <w:top w:w="40" w:type="dxa"/>
              <w:left w:w="0" w:type="dxa"/>
              <w:bottom w:w="40" w:type="dxa"/>
              <w:right w:w="20" w:type="dxa"/>
            </w:tcMar>
            <w:vAlign w:val="bottom"/>
          </w:tcPr>
          <w:p w14:paraId="40CB0563" w14:textId="77777777" w:rsidR="00584FB3" w:rsidRDefault="00584FB3">
            <w:pPr>
              <w:jc w:val="right"/>
              <w:rPr>
                <w:rFonts w:ascii="宋体"/>
              </w:rPr>
            </w:pPr>
          </w:p>
        </w:tc>
      </w:tr>
      <w:tr w:rsidR="00584FB3" w14:paraId="40CB057C" w14:textId="77777777">
        <w:trPr>
          <w:jc w:val="center"/>
        </w:trPr>
        <w:tc>
          <w:tcPr>
            <w:tcW w:w="0" w:type="auto"/>
            <w:gridSpan w:val="3"/>
            <w:shd w:val="clear" w:color="auto" w:fill="D7E4BC"/>
            <w:tcMar>
              <w:top w:w="40" w:type="dxa"/>
              <w:left w:w="20" w:type="dxa"/>
              <w:bottom w:w="40" w:type="dxa"/>
              <w:right w:w="20" w:type="dxa"/>
            </w:tcMar>
          </w:tcPr>
          <w:p w14:paraId="40CB0565" w14:textId="77777777" w:rsidR="00584FB3" w:rsidRDefault="00786180">
            <w:pPr>
              <w:textAlignment w:val="top"/>
            </w:pPr>
            <w:r>
              <w:rPr>
                <w:rFonts w:ascii="Times New Roman" w:eastAsia="宋体" w:hAnsi="Times New Roman"/>
                <w:color w:val="000000"/>
                <w:sz w:val="18"/>
                <w:szCs w:val="18"/>
              </w:rPr>
              <w:t xml:space="preserve">Sale </w:t>
            </w:r>
            <w:r>
              <w:rPr>
                <w:rFonts w:ascii="Times New Roman" w:eastAsia="宋体" w:hAnsi="Times New Roman"/>
                <w:color w:val="000000"/>
                <w:sz w:val="18"/>
                <w:szCs w:val="18"/>
              </w:rPr>
              <w:t>of common stock</w:t>
            </w:r>
          </w:p>
        </w:tc>
        <w:tc>
          <w:tcPr>
            <w:tcW w:w="0" w:type="auto"/>
            <w:gridSpan w:val="3"/>
            <w:shd w:val="clear" w:color="auto" w:fill="D7E4BC"/>
            <w:tcMar>
              <w:top w:w="40" w:type="dxa"/>
              <w:left w:w="20" w:type="dxa"/>
              <w:bottom w:w="40" w:type="dxa"/>
              <w:right w:w="20" w:type="dxa"/>
            </w:tcMar>
            <w:vAlign w:val="bottom"/>
          </w:tcPr>
          <w:p w14:paraId="40CB0566" w14:textId="77777777" w:rsidR="00584FB3" w:rsidRDefault="00786180">
            <w:pPr>
              <w:jc w:val="right"/>
              <w:textAlignment w:val="bottom"/>
            </w:pPr>
            <w:r>
              <w:rPr>
                <w:rFonts w:ascii="Times New Roman" w:eastAsia="宋体" w:hAnsi="Times New Roman"/>
                <w:color w:val="000000"/>
                <w:sz w:val="18"/>
                <w:szCs w:val="18"/>
              </w:rPr>
              <w:t>0.1</w:t>
            </w:r>
          </w:p>
        </w:tc>
        <w:tc>
          <w:tcPr>
            <w:tcW w:w="0" w:type="auto"/>
            <w:gridSpan w:val="3"/>
            <w:shd w:val="clear" w:color="auto" w:fill="D7E4BC"/>
            <w:tcMar>
              <w:top w:w="0" w:type="dxa"/>
              <w:left w:w="20" w:type="dxa"/>
              <w:bottom w:w="0" w:type="dxa"/>
              <w:right w:w="20" w:type="dxa"/>
            </w:tcMar>
          </w:tcPr>
          <w:p w14:paraId="40CB056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6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6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6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6B" w14:textId="77777777" w:rsidR="00584FB3" w:rsidRDefault="00786180">
            <w:pPr>
              <w:jc w:val="right"/>
              <w:textAlignment w:val="bottom"/>
            </w:pPr>
            <w:r>
              <w:rPr>
                <w:rFonts w:ascii="Times New Roman" w:eastAsia="宋体" w:hAnsi="Times New Roman"/>
                <w:color w:val="000000"/>
                <w:sz w:val="18"/>
                <w:szCs w:val="18"/>
              </w:rPr>
              <w:t>8.9 </w:t>
            </w:r>
          </w:p>
        </w:tc>
        <w:tc>
          <w:tcPr>
            <w:tcW w:w="0" w:type="auto"/>
            <w:shd w:val="clear" w:color="auto" w:fill="D7E4BC"/>
            <w:tcMar>
              <w:top w:w="40" w:type="dxa"/>
              <w:left w:w="0" w:type="dxa"/>
              <w:bottom w:w="40" w:type="dxa"/>
              <w:right w:w="20" w:type="dxa"/>
            </w:tcMar>
            <w:vAlign w:val="bottom"/>
          </w:tcPr>
          <w:p w14:paraId="40CB056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6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6E"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6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7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71"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7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7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74" w14:textId="77777777" w:rsidR="00584FB3" w:rsidRDefault="00786180">
            <w:pPr>
              <w:jc w:val="right"/>
              <w:textAlignment w:val="bottom"/>
            </w:pPr>
            <w:r>
              <w:rPr>
                <w:rFonts w:ascii="Times New Roman" w:eastAsia="宋体" w:hAnsi="Times New Roman"/>
                <w:color w:val="000000"/>
                <w:sz w:val="18"/>
                <w:szCs w:val="18"/>
              </w:rPr>
              <w:t>8.9 </w:t>
            </w:r>
          </w:p>
        </w:tc>
        <w:tc>
          <w:tcPr>
            <w:tcW w:w="0" w:type="auto"/>
            <w:shd w:val="clear" w:color="auto" w:fill="D7E4BC"/>
            <w:tcMar>
              <w:top w:w="40" w:type="dxa"/>
              <w:left w:w="0" w:type="dxa"/>
              <w:bottom w:w="40" w:type="dxa"/>
              <w:right w:w="20" w:type="dxa"/>
            </w:tcMar>
            <w:vAlign w:val="bottom"/>
          </w:tcPr>
          <w:p w14:paraId="40CB057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7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77"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7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7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7A" w14:textId="77777777" w:rsidR="00584FB3" w:rsidRDefault="00786180">
            <w:pPr>
              <w:jc w:val="right"/>
              <w:textAlignment w:val="bottom"/>
            </w:pPr>
            <w:r>
              <w:rPr>
                <w:rFonts w:ascii="Times New Roman" w:eastAsia="宋体" w:hAnsi="Times New Roman"/>
                <w:color w:val="000000"/>
                <w:sz w:val="18"/>
                <w:szCs w:val="18"/>
              </w:rPr>
              <w:t>8.9 </w:t>
            </w:r>
          </w:p>
        </w:tc>
        <w:tc>
          <w:tcPr>
            <w:tcW w:w="0" w:type="auto"/>
            <w:shd w:val="clear" w:color="auto" w:fill="D7E4BC"/>
            <w:tcMar>
              <w:top w:w="40" w:type="dxa"/>
              <w:left w:w="0" w:type="dxa"/>
              <w:bottom w:w="40" w:type="dxa"/>
              <w:right w:w="20" w:type="dxa"/>
            </w:tcMar>
            <w:vAlign w:val="bottom"/>
          </w:tcPr>
          <w:p w14:paraId="40CB057B" w14:textId="77777777" w:rsidR="00584FB3" w:rsidRDefault="00584FB3">
            <w:pPr>
              <w:jc w:val="right"/>
              <w:rPr>
                <w:rFonts w:ascii="宋体"/>
              </w:rPr>
            </w:pPr>
          </w:p>
        </w:tc>
      </w:tr>
      <w:tr w:rsidR="00584FB3" w14:paraId="40CB0594" w14:textId="77777777">
        <w:trPr>
          <w:jc w:val="center"/>
        </w:trPr>
        <w:tc>
          <w:tcPr>
            <w:tcW w:w="0" w:type="auto"/>
            <w:gridSpan w:val="3"/>
            <w:shd w:val="clear" w:color="auto" w:fill="FFFFFF"/>
            <w:tcMar>
              <w:top w:w="40" w:type="dxa"/>
              <w:left w:w="20" w:type="dxa"/>
              <w:bottom w:w="40" w:type="dxa"/>
              <w:right w:w="20" w:type="dxa"/>
            </w:tcMar>
          </w:tcPr>
          <w:p w14:paraId="40CB057D" w14:textId="77777777" w:rsidR="00584FB3" w:rsidRDefault="00786180">
            <w:pPr>
              <w:textAlignment w:val="top"/>
            </w:pPr>
            <w:r>
              <w:rPr>
                <w:rFonts w:ascii="Times New Roman" w:eastAsia="宋体" w:hAnsi="Times New Roman"/>
                <w:color w:val="000000"/>
                <w:sz w:val="18"/>
                <w:szCs w:val="18"/>
              </w:rPr>
              <w:t>Repur</w:t>
            </w:r>
            <w:r>
              <w:rPr>
                <w:rFonts w:ascii="Times New Roman" w:eastAsia="宋体" w:hAnsi="Times New Roman"/>
                <w:color w:val="000000"/>
                <w:sz w:val="18"/>
                <w:szCs w:val="18"/>
              </w:rPr>
              <w:t>chase of common stock</w:t>
            </w:r>
          </w:p>
        </w:tc>
        <w:tc>
          <w:tcPr>
            <w:tcW w:w="0" w:type="auto"/>
            <w:gridSpan w:val="3"/>
            <w:shd w:val="clear" w:color="auto" w:fill="FFFFFF"/>
            <w:tcMar>
              <w:top w:w="40" w:type="dxa"/>
              <w:left w:w="20" w:type="dxa"/>
              <w:bottom w:w="40" w:type="dxa"/>
              <w:right w:w="20" w:type="dxa"/>
            </w:tcMar>
            <w:vAlign w:val="bottom"/>
          </w:tcPr>
          <w:p w14:paraId="40CB057E" w14:textId="77777777" w:rsidR="00584FB3" w:rsidRDefault="00786180">
            <w:pPr>
              <w:jc w:val="right"/>
              <w:textAlignment w:val="bottom"/>
            </w:pPr>
            <w:r>
              <w:rPr>
                <w:rFonts w:ascii="Times New Roman" w:eastAsia="宋体" w:hAnsi="Times New Roman"/>
                <w:color w:val="000000"/>
                <w:sz w:val="18"/>
                <w:szCs w:val="18"/>
              </w:rPr>
              <w:t>(13.0)</w:t>
            </w:r>
          </w:p>
        </w:tc>
        <w:tc>
          <w:tcPr>
            <w:tcW w:w="0" w:type="auto"/>
            <w:gridSpan w:val="3"/>
            <w:shd w:val="clear" w:color="auto" w:fill="FFFFFF"/>
            <w:tcMar>
              <w:top w:w="0" w:type="dxa"/>
              <w:left w:w="20" w:type="dxa"/>
              <w:bottom w:w="0" w:type="dxa"/>
              <w:right w:w="20" w:type="dxa"/>
            </w:tcMar>
          </w:tcPr>
          <w:p w14:paraId="40CB057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80"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8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8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83" w14:textId="77777777" w:rsidR="00584FB3" w:rsidRDefault="00786180">
            <w:pPr>
              <w:jc w:val="right"/>
              <w:textAlignment w:val="bottom"/>
            </w:pPr>
            <w:r>
              <w:rPr>
                <w:rFonts w:ascii="Times New Roman" w:eastAsia="宋体" w:hAnsi="Times New Roman"/>
                <w:color w:val="000000"/>
                <w:sz w:val="18"/>
                <w:szCs w:val="18"/>
              </w:rPr>
              <w:t>(46.1)</w:t>
            </w:r>
          </w:p>
        </w:tc>
        <w:tc>
          <w:tcPr>
            <w:tcW w:w="0" w:type="auto"/>
            <w:shd w:val="clear" w:color="auto" w:fill="FFFFFF"/>
            <w:tcMar>
              <w:top w:w="40" w:type="dxa"/>
              <w:left w:w="0" w:type="dxa"/>
              <w:bottom w:w="40" w:type="dxa"/>
              <w:right w:w="20" w:type="dxa"/>
            </w:tcMar>
            <w:vAlign w:val="bottom"/>
          </w:tcPr>
          <w:p w14:paraId="40CB058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8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86" w14:textId="77777777" w:rsidR="00584FB3" w:rsidRDefault="00786180">
            <w:pPr>
              <w:jc w:val="right"/>
              <w:textAlignment w:val="bottom"/>
            </w:pPr>
            <w:r>
              <w:rPr>
                <w:rFonts w:ascii="Times New Roman" w:eastAsia="宋体" w:hAnsi="Times New Roman"/>
                <w:color w:val="000000"/>
                <w:sz w:val="18"/>
                <w:szCs w:val="18"/>
              </w:rPr>
              <w:t>(1,061.8)</w:t>
            </w:r>
          </w:p>
        </w:tc>
        <w:tc>
          <w:tcPr>
            <w:tcW w:w="0" w:type="auto"/>
            <w:shd w:val="clear" w:color="auto" w:fill="FFFFFF"/>
            <w:tcMar>
              <w:top w:w="40" w:type="dxa"/>
              <w:left w:w="0" w:type="dxa"/>
              <w:bottom w:w="40" w:type="dxa"/>
              <w:right w:w="20" w:type="dxa"/>
            </w:tcMar>
            <w:vAlign w:val="bottom"/>
          </w:tcPr>
          <w:p w14:paraId="40CB058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8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89"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8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8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8C" w14:textId="77777777" w:rsidR="00584FB3" w:rsidRDefault="00786180">
            <w:pPr>
              <w:jc w:val="right"/>
              <w:textAlignment w:val="bottom"/>
            </w:pPr>
            <w:r>
              <w:rPr>
                <w:rFonts w:ascii="Times New Roman" w:eastAsia="宋体" w:hAnsi="Times New Roman"/>
                <w:color w:val="000000"/>
                <w:sz w:val="18"/>
                <w:szCs w:val="18"/>
              </w:rPr>
              <w:t>(1,107.9)</w:t>
            </w:r>
          </w:p>
        </w:tc>
        <w:tc>
          <w:tcPr>
            <w:tcW w:w="0" w:type="auto"/>
            <w:shd w:val="clear" w:color="auto" w:fill="FFFFFF"/>
            <w:tcMar>
              <w:top w:w="40" w:type="dxa"/>
              <w:left w:w="0" w:type="dxa"/>
              <w:bottom w:w="40" w:type="dxa"/>
              <w:right w:w="20" w:type="dxa"/>
            </w:tcMar>
            <w:vAlign w:val="bottom"/>
          </w:tcPr>
          <w:p w14:paraId="40CB058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8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8F"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0CB059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9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592" w14:textId="77777777" w:rsidR="00584FB3" w:rsidRDefault="00786180">
            <w:pPr>
              <w:jc w:val="right"/>
              <w:textAlignment w:val="bottom"/>
            </w:pPr>
            <w:r>
              <w:rPr>
                <w:rFonts w:ascii="Times New Roman" w:eastAsia="宋体" w:hAnsi="Times New Roman"/>
                <w:color w:val="000000"/>
                <w:sz w:val="18"/>
                <w:szCs w:val="18"/>
              </w:rPr>
              <w:t>(1,107.9)</w:t>
            </w:r>
          </w:p>
        </w:tc>
        <w:tc>
          <w:tcPr>
            <w:tcW w:w="0" w:type="auto"/>
            <w:shd w:val="clear" w:color="auto" w:fill="FFFFFF"/>
            <w:tcMar>
              <w:top w:w="40" w:type="dxa"/>
              <w:left w:w="0" w:type="dxa"/>
              <w:bottom w:w="40" w:type="dxa"/>
              <w:right w:w="20" w:type="dxa"/>
            </w:tcMar>
            <w:vAlign w:val="bottom"/>
          </w:tcPr>
          <w:p w14:paraId="40CB0593" w14:textId="77777777" w:rsidR="00584FB3" w:rsidRDefault="00584FB3">
            <w:pPr>
              <w:jc w:val="right"/>
              <w:rPr>
                <w:rFonts w:ascii="宋体"/>
              </w:rPr>
            </w:pPr>
          </w:p>
        </w:tc>
      </w:tr>
      <w:tr w:rsidR="00584FB3" w14:paraId="40CB05AC" w14:textId="77777777">
        <w:trPr>
          <w:jc w:val="center"/>
        </w:trPr>
        <w:tc>
          <w:tcPr>
            <w:tcW w:w="0" w:type="auto"/>
            <w:gridSpan w:val="3"/>
            <w:shd w:val="clear" w:color="auto" w:fill="D7E4BC"/>
            <w:tcMar>
              <w:top w:w="40" w:type="dxa"/>
              <w:left w:w="20" w:type="dxa"/>
              <w:bottom w:w="40" w:type="dxa"/>
              <w:right w:w="20" w:type="dxa"/>
            </w:tcMar>
          </w:tcPr>
          <w:p w14:paraId="40CB0595" w14:textId="77777777" w:rsidR="00584FB3" w:rsidRDefault="00786180">
            <w:pPr>
              <w:textAlignment w:val="top"/>
            </w:pPr>
            <w:r>
              <w:rPr>
                <w:rFonts w:ascii="Times New Roman" w:eastAsia="宋体" w:hAnsi="Times New Roman"/>
                <w:color w:val="000000"/>
                <w:sz w:val="18"/>
                <w:szCs w:val="18"/>
              </w:rPr>
              <w:t>Cash dividends declared, $0.41 per share</w:t>
            </w:r>
          </w:p>
        </w:tc>
        <w:tc>
          <w:tcPr>
            <w:tcW w:w="0" w:type="auto"/>
            <w:gridSpan w:val="3"/>
            <w:shd w:val="clear" w:color="auto" w:fill="D7E4BC"/>
            <w:tcMar>
              <w:top w:w="40" w:type="dxa"/>
              <w:left w:w="20" w:type="dxa"/>
              <w:bottom w:w="40" w:type="dxa"/>
              <w:right w:w="20" w:type="dxa"/>
            </w:tcMar>
            <w:vAlign w:val="bottom"/>
          </w:tcPr>
          <w:p w14:paraId="40CB0596" w14:textId="77777777" w:rsidR="00584FB3" w:rsidRDefault="00786180">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top w:w="0" w:type="dxa"/>
              <w:left w:w="20" w:type="dxa"/>
              <w:bottom w:w="0" w:type="dxa"/>
              <w:right w:w="20" w:type="dxa"/>
            </w:tcMar>
          </w:tcPr>
          <w:p w14:paraId="40CB059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98"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9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9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9B"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9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9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9E" w14:textId="77777777" w:rsidR="00584FB3" w:rsidRDefault="00786180">
            <w:pPr>
              <w:jc w:val="right"/>
              <w:textAlignment w:val="bottom"/>
            </w:pPr>
            <w:r>
              <w:rPr>
                <w:rFonts w:ascii="Times New Roman" w:eastAsia="宋体" w:hAnsi="Times New Roman"/>
                <w:color w:val="000000"/>
                <w:sz w:val="18"/>
                <w:szCs w:val="18"/>
              </w:rPr>
              <w:t>(480.0)</w:t>
            </w:r>
          </w:p>
        </w:tc>
        <w:tc>
          <w:tcPr>
            <w:tcW w:w="0" w:type="auto"/>
            <w:shd w:val="clear" w:color="auto" w:fill="D7E4BC"/>
            <w:tcMar>
              <w:top w:w="40" w:type="dxa"/>
              <w:left w:w="0" w:type="dxa"/>
              <w:bottom w:w="40" w:type="dxa"/>
              <w:right w:w="20" w:type="dxa"/>
            </w:tcMar>
            <w:vAlign w:val="bottom"/>
          </w:tcPr>
          <w:p w14:paraId="40CB059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A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A1"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A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A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A4" w14:textId="77777777" w:rsidR="00584FB3" w:rsidRDefault="00786180">
            <w:pPr>
              <w:jc w:val="right"/>
              <w:textAlignment w:val="bottom"/>
            </w:pPr>
            <w:r>
              <w:rPr>
                <w:rFonts w:ascii="Times New Roman" w:eastAsia="宋体" w:hAnsi="Times New Roman"/>
                <w:color w:val="000000"/>
                <w:sz w:val="18"/>
                <w:szCs w:val="18"/>
              </w:rPr>
              <w:t>(480.0)</w:t>
            </w:r>
          </w:p>
        </w:tc>
        <w:tc>
          <w:tcPr>
            <w:tcW w:w="0" w:type="auto"/>
            <w:shd w:val="clear" w:color="auto" w:fill="D7E4BC"/>
            <w:tcMar>
              <w:top w:w="40" w:type="dxa"/>
              <w:left w:w="0" w:type="dxa"/>
              <w:bottom w:w="40" w:type="dxa"/>
              <w:right w:w="20" w:type="dxa"/>
            </w:tcMar>
            <w:vAlign w:val="bottom"/>
          </w:tcPr>
          <w:p w14:paraId="40CB05A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A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A7" w14:textId="77777777" w:rsidR="00584FB3" w:rsidRDefault="00786180">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40CB05A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5A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5AA" w14:textId="77777777" w:rsidR="00584FB3" w:rsidRDefault="00786180">
            <w:pPr>
              <w:jc w:val="right"/>
              <w:textAlignment w:val="bottom"/>
            </w:pPr>
            <w:r>
              <w:rPr>
                <w:rFonts w:ascii="Times New Roman" w:eastAsia="宋体" w:hAnsi="Times New Roman"/>
                <w:color w:val="000000"/>
                <w:sz w:val="18"/>
                <w:szCs w:val="18"/>
              </w:rPr>
              <w:t>(480.0)</w:t>
            </w:r>
          </w:p>
        </w:tc>
        <w:tc>
          <w:tcPr>
            <w:tcW w:w="0" w:type="auto"/>
            <w:shd w:val="clear" w:color="auto" w:fill="D7E4BC"/>
            <w:tcMar>
              <w:top w:w="40" w:type="dxa"/>
              <w:left w:w="0" w:type="dxa"/>
              <w:bottom w:w="40" w:type="dxa"/>
              <w:right w:w="20" w:type="dxa"/>
            </w:tcMar>
            <w:vAlign w:val="bottom"/>
          </w:tcPr>
          <w:p w14:paraId="40CB05AB" w14:textId="77777777" w:rsidR="00584FB3" w:rsidRDefault="00584FB3">
            <w:pPr>
              <w:jc w:val="right"/>
              <w:rPr>
                <w:rFonts w:ascii="宋体"/>
              </w:rPr>
            </w:pPr>
          </w:p>
        </w:tc>
      </w:tr>
      <w:tr w:rsidR="00584FB3" w14:paraId="40CB05BD" w14:textId="77777777">
        <w:trPr>
          <w:jc w:val="center"/>
          <w:hidden/>
        </w:trPr>
        <w:tc>
          <w:tcPr>
            <w:tcW w:w="0" w:type="auto"/>
            <w:gridSpan w:val="3"/>
            <w:shd w:val="clear" w:color="auto" w:fill="auto"/>
          </w:tcPr>
          <w:p w14:paraId="40CB05AD" w14:textId="77777777" w:rsidR="00584FB3" w:rsidRDefault="00584FB3">
            <w:pPr>
              <w:rPr>
                <w:rFonts w:ascii="宋体"/>
                <w:vanish/>
              </w:rPr>
            </w:pPr>
          </w:p>
        </w:tc>
        <w:tc>
          <w:tcPr>
            <w:tcW w:w="0" w:type="auto"/>
            <w:gridSpan w:val="3"/>
            <w:shd w:val="clear" w:color="auto" w:fill="auto"/>
          </w:tcPr>
          <w:p w14:paraId="40CB05AE" w14:textId="77777777" w:rsidR="00584FB3" w:rsidRDefault="00584FB3">
            <w:pPr>
              <w:rPr>
                <w:rFonts w:ascii="宋体"/>
                <w:vanish/>
              </w:rPr>
            </w:pPr>
          </w:p>
        </w:tc>
        <w:tc>
          <w:tcPr>
            <w:tcW w:w="0" w:type="auto"/>
            <w:gridSpan w:val="3"/>
            <w:shd w:val="clear" w:color="auto" w:fill="auto"/>
          </w:tcPr>
          <w:p w14:paraId="40CB05AF" w14:textId="77777777" w:rsidR="00584FB3" w:rsidRDefault="00584FB3">
            <w:pPr>
              <w:rPr>
                <w:rFonts w:ascii="宋体"/>
                <w:vanish/>
              </w:rPr>
            </w:pPr>
          </w:p>
        </w:tc>
        <w:tc>
          <w:tcPr>
            <w:tcW w:w="0" w:type="auto"/>
            <w:gridSpan w:val="3"/>
            <w:shd w:val="clear" w:color="auto" w:fill="auto"/>
          </w:tcPr>
          <w:p w14:paraId="40CB05B0" w14:textId="77777777" w:rsidR="00584FB3" w:rsidRDefault="00584FB3">
            <w:pPr>
              <w:rPr>
                <w:rFonts w:ascii="宋体"/>
                <w:vanish/>
              </w:rPr>
            </w:pPr>
          </w:p>
        </w:tc>
        <w:tc>
          <w:tcPr>
            <w:tcW w:w="0" w:type="auto"/>
            <w:gridSpan w:val="3"/>
            <w:shd w:val="clear" w:color="auto" w:fill="auto"/>
          </w:tcPr>
          <w:p w14:paraId="40CB05B1" w14:textId="77777777" w:rsidR="00584FB3" w:rsidRDefault="00584FB3">
            <w:pPr>
              <w:rPr>
                <w:rFonts w:ascii="宋体"/>
                <w:vanish/>
              </w:rPr>
            </w:pPr>
          </w:p>
        </w:tc>
        <w:tc>
          <w:tcPr>
            <w:tcW w:w="0" w:type="auto"/>
            <w:gridSpan w:val="3"/>
            <w:shd w:val="clear" w:color="auto" w:fill="auto"/>
          </w:tcPr>
          <w:p w14:paraId="40CB05B2" w14:textId="77777777" w:rsidR="00584FB3" w:rsidRDefault="00584FB3">
            <w:pPr>
              <w:rPr>
                <w:rFonts w:ascii="宋体"/>
                <w:vanish/>
              </w:rPr>
            </w:pPr>
          </w:p>
        </w:tc>
        <w:tc>
          <w:tcPr>
            <w:tcW w:w="0" w:type="auto"/>
            <w:gridSpan w:val="3"/>
            <w:shd w:val="clear" w:color="auto" w:fill="auto"/>
          </w:tcPr>
          <w:p w14:paraId="40CB05B3" w14:textId="77777777" w:rsidR="00584FB3" w:rsidRDefault="00584FB3">
            <w:pPr>
              <w:rPr>
                <w:rFonts w:ascii="宋体"/>
                <w:vanish/>
              </w:rPr>
            </w:pPr>
          </w:p>
        </w:tc>
        <w:tc>
          <w:tcPr>
            <w:tcW w:w="0" w:type="auto"/>
            <w:gridSpan w:val="3"/>
            <w:shd w:val="clear" w:color="auto" w:fill="auto"/>
          </w:tcPr>
          <w:p w14:paraId="40CB05B4" w14:textId="77777777" w:rsidR="00584FB3" w:rsidRDefault="00584FB3">
            <w:pPr>
              <w:rPr>
                <w:rFonts w:ascii="宋体"/>
                <w:vanish/>
              </w:rPr>
            </w:pPr>
          </w:p>
        </w:tc>
        <w:tc>
          <w:tcPr>
            <w:tcW w:w="0" w:type="auto"/>
            <w:gridSpan w:val="3"/>
            <w:shd w:val="clear" w:color="auto" w:fill="auto"/>
          </w:tcPr>
          <w:p w14:paraId="40CB05B5" w14:textId="77777777" w:rsidR="00584FB3" w:rsidRDefault="00584FB3">
            <w:pPr>
              <w:rPr>
                <w:rFonts w:ascii="宋体"/>
                <w:vanish/>
              </w:rPr>
            </w:pPr>
          </w:p>
        </w:tc>
        <w:tc>
          <w:tcPr>
            <w:tcW w:w="0" w:type="auto"/>
            <w:gridSpan w:val="3"/>
            <w:shd w:val="clear" w:color="auto" w:fill="auto"/>
          </w:tcPr>
          <w:p w14:paraId="40CB05B6" w14:textId="77777777" w:rsidR="00584FB3" w:rsidRDefault="00584FB3">
            <w:pPr>
              <w:rPr>
                <w:rFonts w:ascii="宋体"/>
                <w:vanish/>
              </w:rPr>
            </w:pPr>
          </w:p>
        </w:tc>
        <w:tc>
          <w:tcPr>
            <w:tcW w:w="0" w:type="auto"/>
            <w:gridSpan w:val="3"/>
            <w:shd w:val="clear" w:color="auto" w:fill="auto"/>
          </w:tcPr>
          <w:p w14:paraId="40CB05B7" w14:textId="77777777" w:rsidR="00584FB3" w:rsidRDefault="00584FB3">
            <w:pPr>
              <w:rPr>
                <w:rFonts w:ascii="宋体"/>
                <w:vanish/>
              </w:rPr>
            </w:pPr>
          </w:p>
        </w:tc>
        <w:tc>
          <w:tcPr>
            <w:tcW w:w="0" w:type="auto"/>
            <w:gridSpan w:val="3"/>
            <w:shd w:val="clear" w:color="auto" w:fill="auto"/>
          </w:tcPr>
          <w:p w14:paraId="40CB05B8" w14:textId="77777777" w:rsidR="00584FB3" w:rsidRDefault="00584FB3">
            <w:pPr>
              <w:rPr>
                <w:rFonts w:ascii="宋体"/>
                <w:vanish/>
              </w:rPr>
            </w:pPr>
          </w:p>
        </w:tc>
        <w:tc>
          <w:tcPr>
            <w:tcW w:w="0" w:type="auto"/>
            <w:gridSpan w:val="3"/>
            <w:shd w:val="clear" w:color="auto" w:fill="auto"/>
          </w:tcPr>
          <w:p w14:paraId="40CB05B9" w14:textId="77777777" w:rsidR="00584FB3" w:rsidRDefault="00584FB3">
            <w:pPr>
              <w:rPr>
                <w:rFonts w:ascii="宋体"/>
                <w:vanish/>
              </w:rPr>
            </w:pPr>
          </w:p>
        </w:tc>
        <w:tc>
          <w:tcPr>
            <w:tcW w:w="0" w:type="auto"/>
            <w:gridSpan w:val="3"/>
            <w:shd w:val="clear" w:color="auto" w:fill="auto"/>
          </w:tcPr>
          <w:p w14:paraId="40CB05BA" w14:textId="77777777" w:rsidR="00584FB3" w:rsidRDefault="00584FB3">
            <w:pPr>
              <w:rPr>
                <w:rFonts w:ascii="宋体"/>
                <w:vanish/>
              </w:rPr>
            </w:pPr>
          </w:p>
        </w:tc>
        <w:tc>
          <w:tcPr>
            <w:tcW w:w="0" w:type="auto"/>
            <w:gridSpan w:val="3"/>
            <w:shd w:val="clear" w:color="auto" w:fill="auto"/>
          </w:tcPr>
          <w:p w14:paraId="40CB05BB" w14:textId="77777777" w:rsidR="00584FB3" w:rsidRDefault="00584FB3">
            <w:pPr>
              <w:rPr>
                <w:rFonts w:ascii="宋体"/>
                <w:vanish/>
              </w:rPr>
            </w:pPr>
          </w:p>
        </w:tc>
        <w:tc>
          <w:tcPr>
            <w:tcW w:w="0" w:type="auto"/>
            <w:gridSpan w:val="3"/>
            <w:shd w:val="clear" w:color="auto" w:fill="auto"/>
          </w:tcPr>
          <w:p w14:paraId="40CB05BC" w14:textId="77777777" w:rsidR="00584FB3" w:rsidRDefault="00584FB3">
            <w:pPr>
              <w:rPr>
                <w:rFonts w:ascii="宋体"/>
                <w:vanish/>
              </w:rPr>
            </w:pPr>
          </w:p>
        </w:tc>
      </w:tr>
      <w:tr w:rsidR="00786180" w14:paraId="40CB05DC" w14:textId="77777777">
        <w:trPr>
          <w:jc w:val="center"/>
        </w:trPr>
        <w:tc>
          <w:tcPr>
            <w:tcW w:w="0" w:type="auto"/>
            <w:gridSpan w:val="3"/>
            <w:shd w:val="clear" w:color="auto" w:fill="FFFFFF"/>
            <w:tcMar>
              <w:top w:w="40" w:type="dxa"/>
              <w:left w:w="20" w:type="dxa"/>
              <w:bottom w:w="40" w:type="dxa"/>
              <w:right w:w="20" w:type="dxa"/>
            </w:tcMar>
            <w:vAlign w:val="bottom"/>
          </w:tcPr>
          <w:p w14:paraId="40CB05BE" w14:textId="77777777" w:rsidR="00584FB3" w:rsidRDefault="00786180">
            <w:pPr>
              <w:textAlignment w:val="bottom"/>
            </w:pPr>
            <w:r>
              <w:rPr>
                <w:rFonts w:ascii="Times New Roman" w:eastAsia="宋体" w:hAnsi="Times New Roman"/>
                <w:b/>
                <w:bCs/>
                <w:color w:val="000000"/>
                <w:sz w:val="18"/>
                <w:szCs w:val="18"/>
              </w:rPr>
              <w:t>Balance, December 29, 2019</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40CB05BF" w14:textId="77777777" w:rsidR="00584FB3" w:rsidRDefault="00786180">
            <w:pPr>
              <w:jc w:val="right"/>
              <w:textAlignment w:val="bottom"/>
            </w:pPr>
            <w:r>
              <w:rPr>
                <w:rFonts w:ascii="Times New Roman" w:eastAsia="宋体" w:hAnsi="Times New Roman"/>
                <w:color w:val="000000"/>
                <w:sz w:val="18"/>
                <w:szCs w:val="18"/>
              </w:rPr>
              <w:t>1,174.5</w:t>
            </w:r>
          </w:p>
        </w:tc>
        <w:tc>
          <w:tcPr>
            <w:tcW w:w="0" w:type="auto"/>
            <w:gridSpan w:val="3"/>
            <w:shd w:val="clear" w:color="auto" w:fill="FFFFFF"/>
            <w:tcMar>
              <w:top w:w="0" w:type="dxa"/>
              <w:left w:w="20" w:type="dxa"/>
              <w:bottom w:w="0" w:type="dxa"/>
              <w:right w:w="20" w:type="dxa"/>
            </w:tcMar>
          </w:tcPr>
          <w:p w14:paraId="40CB05C0" w14:textId="77777777" w:rsidR="00584FB3" w:rsidRDefault="00584FB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40CB05C1"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40CB05C2" w14:textId="77777777" w:rsidR="00584FB3" w:rsidRDefault="00786180">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40CB05C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C4" w14:textId="77777777" w:rsidR="00584FB3" w:rsidRDefault="00584FB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40CB05C5"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40CB05C6" w14:textId="77777777" w:rsidR="00584FB3" w:rsidRDefault="00786180">
            <w:pPr>
              <w:jc w:val="right"/>
              <w:textAlignment w:val="bottom"/>
            </w:pPr>
            <w:r>
              <w:rPr>
                <w:rFonts w:ascii="Times New Roman" w:eastAsia="宋体" w:hAnsi="Times New Roman"/>
                <w:color w:val="000000"/>
                <w:sz w:val="18"/>
                <w:szCs w:val="18"/>
              </w:rPr>
              <w:t>41.1 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40CB05C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C8" w14:textId="77777777" w:rsidR="00584FB3" w:rsidRDefault="00584FB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40CB05C9"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40CB05CA" w14:textId="77777777" w:rsidR="00584FB3" w:rsidRDefault="00786180">
            <w:pPr>
              <w:jc w:val="right"/>
              <w:textAlignment w:val="bottom"/>
            </w:pPr>
            <w:r>
              <w:rPr>
                <w:rFonts w:ascii="Times New Roman" w:eastAsia="宋体" w:hAnsi="Times New Roman"/>
                <w:color w:val="000000"/>
                <w:sz w:val="18"/>
                <w:szCs w:val="18"/>
              </w:rPr>
              <w:t>(6,414.8)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40CB05C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CC" w14:textId="77777777" w:rsidR="00584FB3" w:rsidRDefault="00584FB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40CB05CD"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40CB05CE" w14:textId="77777777" w:rsidR="00584FB3" w:rsidRDefault="00786180">
            <w:pPr>
              <w:jc w:val="right"/>
              <w:textAlignment w:val="bottom"/>
            </w:pPr>
            <w:r>
              <w:rPr>
                <w:rFonts w:ascii="Times New Roman" w:eastAsia="宋体" w:hAnsi="Times New Roman"/>
                <w:color w:val="000000"/>
                <w:sz w:val="18"/>
                <w:szCs w:val="18"/>
              </w:rPr>
              <w:t>(387.4)</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40CB05C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D0" w14:textId="77777777" w:rsidR="00584FB3" w:rsidRDefault="00584FB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40CB05D1"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40CB05D2" w14:textId="77777777" w:rsidR="00584FB3" w:rsidRDefault="00786180">
            <w:pPr>
              <w:jc w:val="right"/>
              <w:textAlignment w:val="bottom"/>
            </w:pPr>
            <w:r>
              <w:rPr>
                <w:rFonts w:ascii="Times New Roman" w:eastAsia="宋体" w:hAnsi="Times New Roman"/>
                <w:color w:val="000000"/>
                <w:sz w:val="18"/>
                <w:szCs w:val="18"/>
              </w:rPr>
              <w:t>(6,759.9)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40CB05D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D4" w14:textId="77777777" w:rsidR="00584FB3" w:rsidRDefault="00584FB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40CB05D5"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40CB05D6" w14:textId="77777777" w:rsidR="00584FB3" w:rsidRDefault="00786180">
            <w:pPr>
              <w:jc w:val="right"/>
              <w:textAlignment w:val="bottom"/>
            </w:pPr>
            <w:r>
              <w:rPr>
                <w:rFonts w:ascii="Times New Roman" w:eastAsia="宋体" w:hAnsi="Times New Roman"/>
                <w:color w:val="000000"/>
                <w:sz w:val="18"/>
                <w:szCs w:val="18"/>
              </w:rPr>
              <w:t>0.8 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40CB05D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5D8" w14:textId="77777777" w:rsidR="00584FB3" w:rsidRDefault="00584FB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40CB05D9" w14:textId="77777777" w:rsidR="00584FB3" w:rsidRDefault="00786180">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40CB05DA" w14:textId="77777777" w:rsidR="00584FB3" w:rsidRDefault="00786180">
            <w:pPr>
              <w:jc w:val="right"/>
              <w:textAlignment w:val="bottom"/>
            </w:pPr>
            <w:r>
              <w:rPr>
                <w:rFonts w:ascii="Times New Roman" w:eastAsia="宋体" w:hAnsi="Times New Roman"/>
                <w:color w:val="000000"/>
                <w:sz w:val="18"/>
                <w:szCs w:val="18"/>
              </w:rPr>
              <w:t>(6,759.1)</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40CB05DB" w14:textId="77777777" w:rsidR="00584FB3" w:rsidRDefault="00584FB3">
            <w:pPr>
              <w:jc w:val="right"/>
              <w:rPr>
                <w:rFonts w:ascii="宋体"/>
              </w:rPr>
            </w:pPr>
          </w:p>
        </w:tc>
      </w:tr>
    </w:tbl>
    <w:p w14:paraId="40CB05DD" w14:textId="77777777" w:rsidR="00584FB3" w:rsidRDefault="00584FB3">
      <w:pPr>
        <w:jc w:val="center"/>
      </w:pPr>
    </w:p>
    <w:p w14:paraId="40CB05DE" w14:textId="77777777" w:rsidR="00584FB3" w:rsidRDefault="00786180">
      <w:pPr>
        <w:jc w:val="center"/>
      </w:pPr>
      <w:r>
        <w:rPr>
          <w:rFonts w:ascii="Times New Roman" w:eastAsia="宋体" w:hAnsi="Times New Roman"/>
          <w:i/>
          <w:iCs/>
          <w:color w:val="000000"/>
          <w:sz w:val="20"/>
          <w:szCs w:val="20"/>
        </w:rPr>
        <w:t>See Notes to Consolidated Financial Statements.</w:t>
      </w:r>
    </w:p>
    <w:p w14:paraId="40CB05DF" w14:textId="77777777" w:rsidR="00584FB3" w:rsidRDefault="00584FB3">
      <w:pPr>
        <w:jc w:val="center"/>
      </w:pPr>
    </w:p>
    <w:p w14:paraId="40CB05E0" w14:textId="77777777" w:rsidR="00584FB3" w:rsidRDefault="00584FB3">
      <w:pPr>
        <w:jc w:val="center"/>
      </w:pPr>
    </w:p>
    <w:p w14:paraId="40CB05E1" w14:textId="77777777" w:rsidR="00584FB3" w:rsidRDefault="00584FB3">
      <w:pPr>
        <w:jc w:val="center"/>
      </w:pPr>
    </w:p>
    <w:p w14:paraId="40CB05E2" w14:textId="77777777" w:rsidR="00584FB3" w:rsidRDefault="00584FB3">
      <w:pPr>
        <w:jc w:val="center"/>
      </w:pPr>
    </w:p>
    <w:p w14:paraId="40CB05E3" w14:textId="77777777" w:rsidR="00584FB3" w:rsidRDefault="00584FB3">
      <w:pPr>
        <w:jc w:val="center"/>
      </w:pPr>
    </w:p>
    <w:p w14:paraId="40CB05E4" w14:textId="77777777" w:rsidR="00584FB3" w:rsidRDefault="00786180">
      <w:pPr>
        <w:jc w:val="center"/>
      </w:pPr>
      <w:r>
        <w:rPr>
          <w:rFonts w:ascii="Times New Roman" w:eastAsia="宋体" w:hAnsi="Times New Roman"/>
          <w:color w:val="000000"/>
          <w:sz w:val="20"/>
          <w:szCs w:val="20"/>
        </w:rPr>
        <w:t>7</w:t>
      </w:r>
    </w:p>
    <w:p w14:paraId="40CB05E5" w14:textId="77777777" w:rsidR="00584FB3" w:rsidRDefault="00786180">
      <w:r>
        <w:pict w14:anchorId="40CB2A3C">
          <v:rect id="_x0000_i1031" style="width:415.3pt;height:1.5pt" o:hralign="center" o:hrstd="t" o:hr="t" fillcolor="#a0a0a0" stroked="f"/>
        </w:pict>
      </w:r>
    </w:p>
    <w:p w14:paraId="40CB05E6" w14:textId="77777777" w:rsidR="00584FB3" w:rsidRDefault="00786180">
      <w:hyperlink r:id="rId45" w:anchor="i11706e4b673c41db9f2dcbdb897203bb_7" w:history="1">
        <w:r>
          <w:rPr>
            <w:rStyle w:val="a5"/>
            <w:rFonts w:ascii="Times New Roman" w:eastAsia="宋体" w:hAnsi="Times New Roman"/>
            <w:sz w:val="20"/>
            <w:szCs w:val="20"/>
          </w:rPr>
          <w:t>Table of Contents</w:t>
        </w:r>
      </w:hyperlink>
    </w:p>
    <w:p w14:paraId="40CB05E7" w14:textId="77777777" w:rsidR="00584FB3" w:rsidRDefault="00786180">
      <w:pPr>
        <w:spacing w:before="280"/>
        <w:jc w:val="center"/>
      </w:pPr>
      <w:r>
        <w:rPr>
          <w:rFonts w:ascii="Times New Roman" w:eastAsia="宋体" w:hAnsi="Times New Roman"/>
          <w:b/>
          <w:bCs/>
          <w:color w:val="000000"/>
          <w:sz w:val="20"/>
          <w:szCs w:val="20"/>
        </w:rPr>
        <w:t>STARBUCKS CORPORATION</w:t>
      </w:r>
    </w:p>
    <w:p w14:paraId="40CB05E8" w14:textId="77777777" w:rsidR="00584FB3" w:rsidRDefault="00786180">
      <w:pPr>
        <w:jc w:val="center"/>
      </w:pPr>
      <w:r>
        <w:rPr>
          <w:rFonts w:ascii="Times New Roman" w:eastAsia="宋体" w:hAnsi="Times New Roman"/>
          <w:b/>
          <w:bCs/>
          <w:color w:val="000000"/>
          <w:sz w:val="20"/>
          <w:szCs w:val="20"/>
        </w:rPr>
        <w:t>INDEX FOR NOTES TO CONSOLIDATED FINANCIAL STATEMENTS</w:t>
      </w:r>
    </w:p>
    <w:p w14:paraId="40CB05E9" w14:textId="77777777" w:rsidR="00584FB3" w:rsidRDefault="00584FB3">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686"/>
        <w:gridCol w:w="36"/>
        <w:gridCol w:w="69"/>
        <w:gridCol w:w="6879"/>
        <w:gridCol w:w="37"/>
        <w:gridCol w:w="69"/>
        <w:gridCol w:w="430"/>
        <w:gridCol w:w="36"/>
      </w:tblGrid>
      <w:tr w:rsidR="00584FB3" w14:paraId="40CB05F3" w14:textId="77777777">
        <w:trPr>
          <w:jc w:val="center"/>
        </w:trPr>
        <w:tc>
          <w:tcPr>
            <w:tcW w:w="50" w:type="pct"/>
            <w:shd w:val="clear" w:color="auto" w:fill="auto"/>
          </w:tcPr>
          <w:p w14:paraId="40CB05EA" w14:textId="77777777" w:rsidR="00584FB3" w:rsidRDefault="00584FB3">
            <w:pPr>
              <w:rPr>
                <w:rFonts w:ascii="宋体"/>
              </w:rPr>
            </w:pPr>
          </w:p>
        </w:tc>
        <w:tc>
          <w:tcPr>
            <w:tcW w:w="421" w:type="pct"/>
            <w:shd w:val="clear" w:color="auto" w:fill="auto"/>
          </w:tcPr>
          <w:p w14:paraId="40CB05EB" w14:textId="77777777" w:rsidR="00584FB3" w:rsidRDefault="00584FB3">
            <w:pPr>
              <w:rPr>
                <w:rFonts w:ascii="宋体"/>
              </w:rPr>
            </w:pPr>
          </w:p>
        </w:tc>
        <w:tc>
          <w:tcPr>
            <w:tcW w:w="5" w:type="pct"/>
            <w:shd w:val="clear" w:color="auto" w:fill="auto"/>
          </w:tcPr>
          <w:p w14:paraId="40CB05EC" w14:textId="77777777" w:rsidR="00584FB3" w:rsidRDefault="00584FB3">
            <w:pPr>
              <w:rPr>
                <w:rFonts w:ascii="宋体"/>
              </w:rPr>
            </w:pPr>
          </w:p>
        </w:tc>
        <w:tc>
          <w:tcPr>
            <w:tcW w:w="50" w:type="pct"/>
            <w:shd w:val="clear" w:color="auto" w:fill="auto"/>
          </w:tcPr>
          <w:p w14:paraId="40CB05ED" w14:textId="77777777" w:rsidR="00584FB3" w:rsidRDefault="00584FB3">
            <w:pPr>
              <w:rPr>
                <w:rFonts w:ascii="宋体"/>
              </w:rPr>
            </w:pPr>
          </w:p>
        </w:tc>
        <w:tc>
          <w:tcPr>
            <w:tcW w:w="4145" w:type="pct"/>
            <w:shd w:val="clear" w:color="auto" w:fill="auto"/>
          </w:tcPr>
          <w:p w14:paraId="40CB05EE" w14:textId="77777777" w:rsidR="00584FB3" w:rsidRDefault="00584FB3">
            <w:pPr>
              <w:rPr>
                <w:rFonts w:ascii="宋体"/>
              </w:rPr>
            </w:pPr>
          </w:p>
        </w:tc>
        <w:tc>
          <w:tcPr>
            <w:tcW w:w="5" w:type="pct"/>
            <w:shd w:val="clear" w:color="auto" w:fill="auto"/>
          </w:tcPr>
          <w:p w14:paraId="40CB05EF" w14:textId="77777777" w:rsidR="00584FB3" w:rsidRDefault="00584FB3">
            <w:pPr>
              <w:rPr>
                <w:rFonts w:ascii="宋体"/>
              </w:rPr>
            </w:pPr>
          </w:p>
        </w:tc>
        <w:tc>
          <w:tcPr>
            <w:tcW w:w="50" w:type="pct"/>
            <w:shd w:val="clear" w:color="auto" w:fill="auto"/>
          </w:tcPr>
          <w:p w14:paraId="40CB05F0" w14:textId="77777777" w:rsidR="00584FB3" w:rsidRDefault="00584FB3">
            <w:pPr>
              <w:rPr>
                <w:rFonts w:ascii="宋体"/>
              </w:rPr>
            </w:pPr>
          </w:p>
        </w:tc>
        <w:tc>
          <w:tcPr>
            <w:tcW w:w="267" w:type="pct"/>
            <w:shd w:val="clear" w:color="auto" w:fill="auto"/>
          </w:tcPr>
          <w:p w14:paraId="40CB05F1" w14:textId="77777777" w:rsidR="00584FB3" w:rsidRDefault="00584FB3">
            <w:pPr>
              <w:rPr>
                <w:rFonts w:ascii="宋体"/>
              </w:rPr>
            </w:pPr>
          </w:p>
        </w:tc>
        <w:tc>
          <w:tcPr>
            <w:tcW w:w="5" w:type="pct"/>
            <w:shd w:val="clear" w:color="auto" w:fill="auto"/>
          </w:tcPr>
          <w:p w14:paraId="40CB05F2" w14:textId="77777777" w:rsidR="00584FB3" w:rsidRDefault="00584FB3">
            <w:pPr>
              <w:rPr>
                <w:rFonts w:ascii="宋体"/>
              </w:rPr>
            </w:pPr>
          </w:p>
        </w:tc>
      </w:tr>
      <w:tr w:rsidR="00584FB3" w14:paraId="40CB05F7" w14:textId="77777777">
        <w:trPr>
          <w:jc w:val="center"/>
        </w:trPr>
        <w:tc>
          <w:tcPr>
            <w:tcW w:w="0" w:type="auto"/>
            <w:gridSpan w:val="3"/>
            <w:shd w:val="clear" w:color="auto" w:fill="auto"/>
            <w:tcMar>
              <w:top w:w="40" w:type="dxa"/>
              <w:left w:w="20" w:type="dxa"/>
              <w:bottom w:w="40" w:type="dxa"/>
              <w:right w:w="20" w:type="dxa"/>
            </w:tcMar>
            <w:vAlign w:val="bottom"/>
          </w:tcPr>
          <w:p w14:paraId="40CB05F4" w14:textId="77777777" w:rsidR="00584FB3" w:rsidRDefault="00786180">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40CB05F5" w14:textId="77777777" w:rsidR="00584FB3" w:rsidRDefault="00786180">
            <w:pPr>
              <w:textAlignment w:val="bottom"/>
            </w:pPr>
            <w:hyperlink r:id="rId46" w:anchor="i11706e4b673c41db9f2dcbdb897203bb_37" w:history="1">
              <w:r>
                <w:rPr>
                  <w:rStyle w:val="a5"/>
                  <w:rFonts w:ascii="Times New Roman" w:eastAsia="宋体" w:hAnsi="Times New Roman"/>
                  <w:sz w:val="20"/>
                  <w:szCs w:val="20"/>
                </w:rPr>
                <w:t>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40CB05F6" w14:textId="77777777" w:rsidR="00584FB3" w:rsidRDefault="00786180">
            <w:pPr>
              <w:jc w:val="right"/>
              <w:textAlignment w:val="bottom"/>
            </w:pPr>
            <w:hyperlink r:id="rId47" w:anchor="i11706e4b673c41db9f2dcbdb897203bb_37" w:history="1">
              <w:r>
                <w:rPr>
                  <w:rStyle w:val="a5"/>
                  <w:rFonts w:ascii="Times New Roman" w:eastAsia="宋体" w:hAnsi="Times New Roman"/>
                  <w:sz w:val="20"/>
                  <w:szCs w:val="20"/>
                </w:rPr>
                <w:t>9</w:t>
              </w:r>
            </w:hyperlink>
          </w:p>
        </w:tc>
      </w:tr>
      <w:tr w:rsidR="00584FB3" w14:paraId="40CB05FB" w14:textId="77777777">
        <w:trPr>
          <w:jc w:val="center"/>
          <w:hidden/>
        </w:trPr>
        <w:tc>
          <w:tcPr>
            <w:tcW w:w="0" w:type="auto"/>
            <w:gridSpan w:val="3"/>
            <w:shd w:val="clear" w:color="auto" w:fill="auto"/>
          </w:tcPr>
          <w:p w14:paraId="40CB05F8" w14:textId="77777777" w:rsidR="00584FB3" w:rsidRDefault="00584FB3">
            <w:pPr>
              <w:rPr>
                <w:rFonts w:ascii="宋体"/>
                <w:vanish/>
              </w:rPr>
            </w:pPr>
          </w:p>
        </w:tc>
        <w:tc>
          <w:tcPr>
            <w:tcW w:w="0" w:type="auto"/>
            <w:gridSpan w:val="3"/>
            <w:shd w:val="clear" w:color="auto" w:fill="auto"/>
          </w:tcPr>
          <w:p w14:paraId="40CB05F9" w14:textId="77777777" w:rsidR="00584FB3" w:rsidRDefault="00584FB3">
            <w:pPr>
              <w:rPr>
                <w:rFonts w:ascii="宋体"/>
                <w:vanish/>
              </w:rPr>
            </w:pPr>
          </w:p>
        </w:tc>
        <w:tc>
          <w:tcPr>
            <w:tcW w:w="0" w:type="auto"/>
            <w:gridSpan w:val="3"/>
            <w:shd w:val="clear" w:color="auto" w:fill="auto"/>
          </w:tcPr>
          <w:p w14:paraId="40CB05FA" w14:textId="77777777" w:rsidR="00584FB3" w:rsidRDefault="00584FB3">
            <w:pPr>
              <w:rPr>
                <w:rFonts w:ascii="宋体"/>
                <w:vanish/>
              </w:rPr>
            </w:pPr>
          </w:p>
        </w:tc>
      </w:tr>
      <w:tr w:rsidR="00584FB3" w14:paraId="40CB05FF" w14:textId="77777777">
        <w:trPr>
          <w:jc w:val="center"/>
        </w:trPr>
        <w:tc>
          <w:tcPr>
            <w:tcW w:w="0" w:type="auto"/>
            <w:gridSpan w:val="3"/>
            <w:shd w:val="clear" w:color="auto" w:fill="auto"/>
            <w:tcMar>
              <w:top w:w="40" w:type="dxa"/>
              <w:left w:w="20" w:type="dxa"/>
              <w:bottom w:w="40" w:type="dxa"/>
              <w:right w:w="20" w:type="dxa"/>
            </w:tcMar>
            <w:vAlign w:val="bottom"/>
          </w:tcPr>
          <w:p w14:paraId="40CB05FC" w14:textId="77777777" w:rsidR="00584FB3" w:rsidRDefault="00786180">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40CB05FD" w14:textId="77777777" w:rsidR="00584FB3" w:rsidRDefault="00786180">
            <w:pPr>
              <w:textAlignment w:val="bottom"/>
            </w:pPr>
            <w:hyperlink r:id="rId48" w:anchor="i11706e4b673c41db9f2dcbdb897203bb_43"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40CB05FE" w14:textId="77777777" w:rsidR="00584FB3" w:rsidRDefault="00786180">
            <w:pPr>
              <w:jc w:val="right"/>
              <w:textAlignment w:val="bottom"/>
            </w:pPr>
            <w:hyperlink r:id="rId49" w:anchor="i11706e4b673c41db9f2dcbdb897203bb_43" w:history="1">
              <w:r>
                <w:rPr>
                  <w:rStyle w:val="a5"/>
                  <w:rFonts w:ascii="Times New Roman" w:eastAsia="宋体" w:hAnsi="Times New Roman"/>
                  <w:sz w:val="20"/>
                  <w:szCs w:val="20"/>
                </w:rPr>
                <w:t>10</w:t>
              </w:r>
            </w:hyperlink>
          </w:p>
        </w:tc>
      </w:tr>
      <w:tr w:rsidR="00584FB3" w14:paraId="40CB0603" w14:textId="77777777">
        <w:trPr>
          <w:jc w:val="center"/>
        </w:trPr>
        <w:tc>
          <w:tcPr>
            <w:tcW w:w="0" w:type="auto"/>
            <w:gridSpan w:val="3"/>
            <w:shd w:val="clear" w:color="auto" w:fill="auto"/>
            <w:tcMar>
              <w:top w:w="40" w:type="dxa"/>
              <w:left w:w="20" w:type="dxa"/>
              <w:bottom w:w="40" w:type="dxa"/>
              <w:right w:w="20" w:type="dxa"/>
            </w:tcMar>
            <w:vAlign w:val="bottom"/>
          </w:tcPr>
          <w:p w14:paraId="40CB0600" w14:textId="77777777" w:rsidR="00584FB3" w:rsidRDefault="00786180">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40CB0601" w14:textId="77777777" w:rsidR="00584FB3" w:rsidRDefault="00786180">
            <w:pPr>
              <w:textAlignment w:val="bottom"/>
            </w:pPr>
            <w:hyperlink r:id="rId50" w:anchor="i11706e4b673c41db9f2dcbdb897203bb_46" w:history="1">
              <w:r>
                <w:rPr>
                  <w:rStyle w:val="a5"/>
                  <w:rFonts w:ascii="Times New Roman" w:eastAsia="宋体" w:hAnsi="Times New Roman"/>
                  <w:sz w:val="20"/>
                  <w:szCs w:val="20"/>
                </w:rPr>
                <w:t>Fair Value Measurements</w:t>
              </w:r>
            </w:hyperlink>
            <w:hyperlink r:id="rId51" w:anchor="i11706e4b673c41db9f2dcbdb897203bb_43" w:history="1">
              <w:r>
                <w:rPr>
                  <w:rStyle w:val="a5"/>
                  <w:rFonts w:ascii="Times New Roman" w:eastAsia="宋体" w:hAnsi="Times New Roman"/>
                  <w:sz w:val="20"/>
                  <w:szCs w:val="20"/>
                </w:rPr>
                <w:t xml:space="preserve"> </w:t>
              </w:r>
            </w:hyperlink>
          </w:p>
        </w:tc>
        <w:tc>
          <w:tcPr>
            <w:tcW w:w="0" w:type="auto"/>
            <w:gridSpan w:val="3"/>
            <w:shd w:val="clear" w:color="auto" w:fill="auto"/>
            <w:tcMar>
              <w:top w:w="40" w:type="dxa"/>
              <w:left w:w="20" w:type="dxa"/>
              <w:bottom w:w="40" w:type="dxa"/>
              <w:right w:w="20" w:type="dxa"/>
            </w:tcMar>
            <w:vAlign w:val="bottom"/>
          </w:tcPr>
          <w:p w14:paraId="40CB0602" w14:textId="77777777" w:rsidR="00584FB3" w:rsidRDefault="00786180">
            <w:pPr>
              <w:jc w:val="right"/>
              <w:textAlignment w:val="bottom"/>
            </w:pPr>
            <w:hyperlink r:id="rId52" w:anchor="i11706e4b673c41db9f2dcbdb897203bb_46" w:history="1">
              <w:r>
                <w:rPr>
                  <w:rStyle w:val="a5"/>
                  <w:rFonts w:ascii="Times New Roman" w:eastAsia="宋体" w:hAnsi="Times New Roman"/>
                  <w:sz w:val="20"/>
                  <w:szCs w:val="20"/>
                </w:rPr>
                <w:t>14</w:t>
              </w:r>
            </w:hyperlink>
          </w:p>
        </w:tc>
      </w:tr>
      <w:tr w:rsidR="00584FB3" w14:paraId="40CB0607" w14:textId="77777777">
        <w:trPr>
          <w:jc w:val="center"/>
        </w:trPr>
        <w:tc>
          <w:tcPr>
            <w:tcW w:w="0" w:type="auto"/>
            <w:gridSpan w:val="3"/>
            <w:shd w:val="clear" w:color="auto" w:fill="auto"/>
            <w:tcMar>
              <w:top w:w="40" w:type="dxa"/>
              <w:left w:w="20" w:type="dxa"/>
              <w:bottom w:w="40" w:type="dxa"/>
              <w:right w:w="20" w:type="dxa"/>
            </w:tcMar>
            <w:vAlign w:val="bottom"/>
          </w:tcPr>
          <w:p w14:paraId="40CB0604" w14:textId="77777777" w:rsidR="00584FB3" w:rsidRDefault="00786180">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40CB0605" w14:textId="77777777" w:rsidR="00584FB3" w:rsidRDefault="00786180">
            <w:pPr>
              <w:textAlignment w:val="bottom"/>
            </w:pPr>
            <w:hyperlink r:id="rId53" w:anchor="i11706e4b673c41db9f2dcbdb897203bb_49"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40CB0606" w14:textId="77777777" w:rsidR="00584FB3" w:rsidRDefault="00786180">
            <w:pPr>
              <w:jc w:val="right"/>
              <w:textAlignment w:val="bottom"/>
            </w:pPr>
            <w:hyperlink r:id="rId54" w:anchor="i11706e4b673c41db9f2dcbdb897203bb_49" w:history="1">
              <w:r>
                <w:rPr>
                  <w:rStyle w:val="a5"/>
                  <w:rFonts w:ascii="Times New Roman" w:eastAsia="宋体" w:hAnsi="Times New Roman"/>
                  <w:sz w:val="20"/>
                  <w:szCs w:val="20"/>
                </w:rPr>
                <w:t>16</w:t>
              </w:r>
            </w:hyperlink>
          </w:p>
        </w:tc>
      </w:tr>
      <w:tr w:rsidR="00584FB3" w14:paraId="40CB060B" w14:textId="77777777">
        <w:trPr>
          <w:jc w:val="center"/>
        </w:trPr>
        <w:tc>
          <w:tcPr>
            <w:tcW w:w="0" w:type="auto"/>
            <w:gridSpan w:val="3"/>
            <w:shd w:val="clear" w:color="auto" w:fill="auto"/>
            <w:tcMar>
              <w:top w:w="40" w:type="dxa"/>
              <w:left w:w="20" w:type="dxa"/>
              <w:bottom w:w="40" w:type="dxa"/>
              <w:right w:w="20" w:type="dxa"/>
            </w:tcMar>
            <w:vAlign w:val="bottom"/>
          </w:tcPr>
          <w:p w14:paraId="40CB0608" w14:textId="77777777" w:rsidR="00584FB3" w:rsidRDefault="00786180">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40CB0609" w14:textId="77777777" w:rsidR="00584FB3" w:rsidRDefault="00786180">
            <w:pPr>
              <w:textAlignment w:val="bottom"/>
            </w:pPr>
            <w:hyperlink r:id="rId55" w:anchor="i11706e4b673c41db9f2dcbdb897203bb_52" w:history="1">
              <w:r>
                <w:rPr>
                  <w:rStyle w:val="a5"/>
                  <w:rFonts w:ascii="Times New Roman" w:eastAsia="宋体" w:hAnsi="Times New Roman"/>
                  <w:sz w:val="20"/>
                  <w:szCs w:val="20"/>
                </w:rPr>
                <w:t xml:space="preserve">Supplemental Balance Sheet and Statement of </w:t>
              </w:r>
              <w:r>
                <w:rPr>
                  <w:rStyle w:val="a5"/>
                  <w:rFonts w:ascii="Times New Roman" w:eastAsia="宋体" w:hAnsi="Times New Roman"/>
                  <w:sz w:val="20"/>
                  <w:szCs w:val="20"/>
                </w:rPr>
                <w:t>Earnings Information</w:t>
              </w:r>
            </w:hyperlink>
          </w:p>
        </w:tc>
        <w:tc>
          <w:tcPr>
            <w:tcW w:w="0" w:type="auto"/>
            <w:gridSpan w:val="3"/>
            <w:shd w:val="clear" w:color="auto" w:fill="auto"/>
            <w:tcMar>
              <w:top w:w="40" w:type="dxa"/>
              <w:left w:w="20" w:type="dxa"/>
              <w:bottom w:w="40" w:type="dxa"/>
              <w:right w:w="20" w:type="dxa"/>
            </w:tcMar>
            <w:vAlign w:val="bottom"/>
          </w:tcPr>
          <w:p w14:paraId="40CB060A" w14:textId="77777777" w:rsidR="00584FB3" w:rsidRDefault="00786180">
            <w:pPr>
              <w:jc w:val="right"/>
              <w:textAlignment w:val="bottom"/>
            </w:pPr>
            <w:hyperlink r:id="rId56" w:anchor="i11706e4b673c41db9f2dcbdb897203bb_52" w:history="1">
              <w:r>
                <w:rPr>
                  <w:rStyle w:val="a5"/>
                  <w:rFonts w:ascii="Times New Roman" w:eastAsia="宋体" w:hAnsi="Times New Roman"/>
                  <w:sz w:val="20"/>
                  <w:szCs w:val="20"/>
                </w:rPr>
                <w:t>16</w:t>
              </w:r>
            </w:hyperlink>
          </w:p>
        </w:tc>
      </w:tr>
      <w:tr w:rsidR="00584FB3" w14:paraId="40CB060F" w14:textId="77777777">
        <w:trPr>
          <w:jc w:val="center"/>
        </w:trPr>
        <w:tc>
          <w:tcPr>
            <w:tcW w:w="0" w:type="auto"/>
            <w:gridSpan w:val="3"/>
            <w:shd w:val="clear" w:color="auto" w:fill="auto"/>
            <w:tcMar>
              <w:top w:w="40" w:type="dxa"/>
              <w:left w:w="20" w:type="dxa"/>
              <w:bottom w:w="40" w:type="dxa"/>
              <w:right w:w="20" w:type="dxa"/>
            </w:tcMar>
            <w:vAlign w:val="bottom"/>
          </w:tcPr>
          <w:p w14:paraId="40CB060C" w14:textId="77777777" w:rsidR="00584FB3" w:rsidRDefault="00786180">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40CB060D" w14:textId="77777777" w:rsidR="00584FB3" w:rsidRDefault="00786180">
            <w:pPr>
              <w:textAlignment w:val="bottom"/>
            </w:pPr>
            <w:hyperlink r:id="rId57" w:anchor="i11706e4b673c41db9f2dcbdb897203bb_55"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40CB060E" w14:textId="77777777" w:rsidR="00584FB3" w:rsidRDefault="00786180">
            <w:pPr>
              <w:jc w:val="right"/>
              <w:textAlignment w:val="bottom"/>
            </w:pPr>
            <w:hyperlink r:id="rId58" w:anchor="i11706e4b673c41db9f2dcbdb897203bb_55" w:history="1">
              <w:r>
                <w:rPr>
                  <w:rStyle w:val="a5"/>
                  <w:rFonts w:ascii="Times New Roman" w:eastAsia="宋体" w:hAnsi="Times New Roman"/>
                  <w:sz w:val="20"/>
                  <w:szCs w:val="20"/>
                </w:rPr>
                <w:t>17</w:t>
              </w:r>
            </w:hyperlink>
          </w:p>
        </w:tc>
      </w:tr>
      <w:tr w:rsidR="00584FB3" w14:paraId="40CB0613" w14:textId="77777777">
        <w:trPr>
          <w:jc w:val="center"/>
        </w:trPr>
        <w:tc>
          <w:tcPr>
            <w:tcW w:w="0" w:type="auto"/>
            <w:gridSpan w:val="3"/>
            <w:shd w:val="clear" w:color="auto" w:fill="auto"/>
            <w:tcMar>
              <w:top w:w="40" w:type="dxa"/>
              <w:left w:w="20" w:type="dxa"/>
              <w:bottom w:w="40" w:type="dxa"/>
              <w:right w:w="20" w:type="dxa"/>
            </w:tcMar>
            <w:vAlign w:val="bottom"/>
          </w:tcPr>
          <w:p w14:paraId="40CB0610" w14:textId="77777777" w:rsidR="00584FB3" w:rsidRDefault="00786180">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40CB0611" w14:textId="77777777" w:rsidR="00584FB3" w:rsidRDefault="00786180">
            <w:pPr>
              <w:textAlignment w:val="bottom"/>
            </w:pPr>
            <w:hyperlink r:id="rId59" w:anchor="i11706e4b673c41db9f2dcbdb897203bb_58"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40CB0612" w14:textId="77777777" w:rsidR="00584FB3" w:rsidRDefault="00786180">
            <w:pPr>
              <w:jc w:val="right"/>
              <w:textAlignment w:val="bottom"/>
            </w:pPr>
            <w:hyperlink r:id="rId60" w:anchor="i11706e4b673c41db9f2dcbdb897203bb_58" w:history="1">
              <w:r>
                <w:rPr>
                  <w:rStyle w:val="a5"/>
                  <w:rFonts w:ascii="Times New Roman" w:eastAsia="宋体" w:hAnsi="Times New Roman"/>
                  <w:sz w:val="20"/>
                  <w:szCs w:val="20"/>
                </w:rPr>
                <w:t>18</w:t>
              </w:r>
            </w:hyperlink>
          </w:p>
        </w:tc>
      </w:tr>
      <w:tr w:rsidR="00584FB3" w14:paraId="40CB0617" w14:textId="77777777">
        <w:trPr>
          <w:jc w:val="center"/>
        </w:trPr>
        <w:tc>
          <w:tcPr>
            <w:tcW w:w="0" w:type="auto"/>
            <w:gridSpan w:val="3"/>
            <w:shd w:val="clear" w:color="auto" w:fill="auto"/>
            <w:tcMar>
              <w:top w:w="40" w:type="dxa"/>
              <w:left w:w="20" w:type="dxa"/>
              <w:bottom w:w="40" w:type="dxa"/>
              <w:right w:w="20" w:type="dxa"/>
            </w:tcMar>
            <w:vAlign w:val="bottom"/>
          </w:tcPr>
          <w:p w14:paraId="40CB0614" w14:textId="77777777" w:rsidR="00584FB3" w:rsidRDefault="00786180">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40CB0615" w14:textId="77777777" w:rsidR="00584FB3" w:rsidRDefault="00786180">
            <w:pPr>
              <w:textAlignment w:val="bottom"/>
            </w:pPr>
            <w:hyperlink r:id="rId61" w:anchor="i11706e4b673c41db9f2dcbdb897203bb_61"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40CB0616" w14:textId="77777777" w:rsidR="00584FB3" w:rsidRDefault="00786180">
            <w:pPr>
              <w:jc w:val="right"/>
              <w:textAlignment w:val="bottom"/>
            </w:pPr>
            <w:hyperlink r:id="rId62" w:anchor="i11706e4b673c41db9f2dcbdb897203bb_61" w:history="1">
              <w:r>
                <w:rPr>
                  <w:rStyle w:val="a5"/>
                  <w:rFonts w:ascii="Times New Roman" w:eastAsia="宋体" w:hAnsi="Times New Roman"/>
                  <w:sz w:val="20"/>
                  <w:szCs w:val="20"/>
                </w:rPr>
                <w:t>20</w:t>
              </w:r>
            </w:hyperlink>
          </w:p>
        </w:tc>
      </w:tr>
      <w:tr w:rsidR="00584FB3" w14:paraId="40CB061B" w14:textId="77777777">
        <w:trPr>
          <w:jc w:val="center"/>
        </w:trPr>
        <w:tc>
          <w:tcPr>
            <w:tcW w:w="0" w:type="auto"/>
            <w:gridSpan w:val="3"/>
            <w:shd w:val="clear" w:color="auto" w:fill="auto"/>
            <w:tcMar>
              <w:top w:w="40" w:type="dxa"/>
              <w:left w:w="20" w:type="dxa"/>
              <w:bottom w:w="40" w:type="dxa"/>
              <w:right w:w="20" w:type="dxa"/>
            </w:tcMar>
            <w:vAlign w:val="bottom"/>
          </w:tcPr>
          <w:p w14:paraId="40CB0618" w14:textId="77777777" w:rsidR="00584FB3" w:rsidRDefault="00786180">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40CB0619" w14:textId="77777777" w:rsidR="00584FB3" w:rsidRDefault="00786180">
            <w:pPr>
              <w:textAlignment w:val="bottom"/>
            </w:pPr>
            <w:hyperlink r:id="rId63" w:anchor="i11706e4b673c41db9f2dcbdb897203bb_64"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40CB061A" w14:textId="77777777" w:rsidR="00584FB3" w:rsidRDefault="00786180">
            <w:pPr>
              <w:jc w:val="right"/>
              <w:textAlignment w:val="bottom"/>
            </w:pPr>
            <w:hyperlink r:id="rId64" w:anchor="i11706e4b673c41db9f2dcbdb897203bb_64" w:history="1">
              <w:r>
                <w:rPr>
                  <w:rStyle w:val="a5"/>
                  <w:rFonts w:ascii="Times New Roman" w:eastAsia="宋体" w:hAnsi="Times New Roman"/>
                  <w:sz w:val="20"/>
                  <w:szCs w:val="20"/>
                </w:rPr>
                <w:t>21</w:t>
              </w:r>
            </w:hyperlink>
          </w:p>
        </w:tc>
      </w:tr>
      <w:tr w:rsidR="00584FB3" w14:paraId="40CB061F" w14:textId="77777777">
        <w:trPr>
          <w:jc w:val="center"/>
        </w:trPr>
        <w:tc>
          <w:tcPr>
            <w:tcW w:w="0" w:type="auto"/>
            <w:gridSpan w:val="3"/>
            <w:shd w:val="clear" w:color="auto" w:fill="auto"/>
            <w:tcMar>
              <w:top w:w="40" w:type="dxa"/>
              <w:left w:w="20" w:type="dxa"/>
              <w:bottom w:w="40" w:type="dxa"/>
              <w:right w:w="20" w:type="dxa"/>
            </w:tcMar>
            <w:vAlign w:val="bottom"/>
          </w:tcPr>
          <w:p w14:paraId="40CB061C" w14:textId="77777777" w:rsidR="00584FB3" w:rsidRDefault="00786180">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40CB061D" w14:textId="77777777" w:rsidR="00584FB3" w:rsidRDefault="00786180">
            <w:pPr>
              <w:textAlignment w:val="bottom"/>
            </w:pPr>
            <w:hyperlink r:id="rId65" w:anchor="i11706e4b673c41db9f2dcbdb897203bb_67"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40CB061E" w14:textId="77777777" w:rsidR="00584FB3" w:rsidRDefault="00786180">
            <w:pPr>
              <w:jc w:val="right"/>
              <w:textAlignment w:val="bottom"/>
            </w:pPr>
            <w:hyperlink r:id="rId66" w:anchor="i11706e4b673c41db9f2dcbdb897203bb_67" w:history="1">
              <w:r>
                <w:rPr>
                  <w:rStyle w:val="a5"/>
                  <w:rFonts w:ascii="Times New Roman" w:eastAsia="宋体" w:hAnsi="Times New Roman"/>
                  <w:sz w:val="20"/>
                  <w:szCs w:val="20"/>
                </w:rPr>
                <w:t>22</w:t>
              </w:r>
            </w:hyperlink>
          </w:p>
        </w:tc>
      </w:tr>
      <w:tr w:rsidR="00584FB3" w14:paraId="40CB0623" w14:textId="77777777">
        <w:trPr>
          <w:jc w:val="center"/>
        </w:trPr>
        <w:tc>
          <w:tcPr>
            <w:tcW w:w="0" w:type="auto"/>
            <w:gridSpan w:val="3"/>
            <w:shd w:val="clear" w:color="auto" w:fill="auto"/>
            <w:tcMar>
              <w:top w:w="40" w:type="dxa"/>
              <w:left w:w="20" w:type="dxa"/>
              <w:bottom w:w="40" w:type="dxa"/>
              <w:right w:w="20" w:type="dxa"/>
            </w:tcMar>
            <w:vAlign w:val="bottom"/>
          </w:tcPr>
          <w:p w14:paraId="40CB0620" w14:textId="77777777" w:rsidR="00584FB3" w:rsidRDefault="00786180">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40CB0621" w14:textId="77777777" w:rsidR="00584FB3" w:rsidRDefault="00786180">
            <w:pPr>
              <w:textAlignment w:val="bottom"/>
            </w:pPr>
            <w:hyperlink r:id="rId67" w:anchor="i11706e4b673c41db9f2dcbdb897203bb_70"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40CB0622" w14:textId="77777777" w:rsidR="00584FB3" w:rsidRDefault="00786180">
            <w:pPr>
              <w:jc w:val="right"/>
              <w:textAlignment w:val="bottom"/>
            </w:pPr>
            <w:hyperlink r:id="rId68" w:anchor="i11706e4b673c41db9f2dcbdb897203bb_70" w:history="1">
              <w:r>
                <w:rPr>
                  <w:rStyle w:val="a5"/>
                  <w:rFonts w:ascii="Times New Roman" w:eastAsia="宋体" w:hAnsi="Times New Roman"/>
                  <w:sz w:val="20"/>
                  <w:szCs w:val="20"/>
                </w:rPr>
                <w:t>23</w:t>
              </w:r>
            </w:hyperlink>
          </w:p>
        </w:tc>
      </w:tr>
      <w:tr w:rsidR="00584FB3" w14:paraId="40CB0627" w14:textId="77777777">
        <w:trPr>
          <w:jc w:val="center"/>
          <w:hidden/>
        </w:trPr>
        <w:tc>
          <w:tcPr>
            <w:tcW w:w="0" w:type="auto"/>
            <w:gridSpan w:val="3"/>
            <w:shd w:val="clear" w:color="auto" w:fill="auto"/>
          </w:tcPr>
          <w:p w14:paraId="40CB0624" w14:textId="77777777" w:rsidR="00584FB3" w:rsidRDefault="00584FB3">
            <w:pPr>
              <w:rPr>
                <w:rFonts w:ascii="宋体"/>
                <w:vanish/>
              </w:rPr>
            </w:pPr>
          </w:p>
        </w:tc>
        <w:tc>
          <w:tcPr>
            <w:tcW w:w="0" w:type="auto"/>
            <w:gridSpan w:val="3"/>
            <w:shd w:val="clear" w:color="auto" w:fill="auto"/>
          </w:tcPr>
          <w:p w14:paraId="40CB0625" w14:textId="77777777" w:rsidR="00584FB3" w:rsidRDefault="00584FB3">
            <w:pPr>
              <w:rPr>
                <w:rFonts w:ascii="宋体"/>
                <w:vanish/>
              </w:rPr>
            </w:pPr>
          </w:p>
        </w:tc>
        <w:tc>
          <w:tcPr>
            <w:tcW w:w="0" w:type="auto"/>
            <w:gridSpan w:val="3"/>
            <w:shd w:val="clear" w:color="auto" w:fill="auto"/>
          </w:tcPr>
          <w:p w14:paraId="40CB0626" w14:textId="77777777" w:rsidR="00584FB3" w:rsidRDefault="00584FB3">
            <w:pPr>
              <w:rPr>
                <w:rFonts w:ascii="宋体"/>
                <w:vanish/>
              </w:rPr>
            </w:pPr>
          </w:p>
        </w:tc>
      </w:tr>
      <w:tr w:rsidR="00584FB3" w14:paraId="40CB062B" w14:textId="77777777">
        <w:trPr>
          <w:jc w:val="center"/>
        </w:trPr>
        <w:tc>
          <w:tcPr>
            <w:tcW w:w="0" w:type="auto"/>
            <w:gridSpan w:val="3"/>
            <w:shd w:val="clear" w:color="auto" w:fill="auto"/>
            <w:tcMar>
              <w:top w:w="40" w:type="dxa"/>
              <w:left w:w="20" w:type="dxa"/>
              <w:bottom w:w="40" w:type="dxa"/>
              <w:right w:w="20" w:type="dxa"/>
            </w:tcMar>
            <w:vAlign w:val="bottom"/>
          </w:tcPr>
          <w:p w14:paraId="40CB0628" w14:textId="77777777" w:rsidR="00584FB3" w:rsidRDefault="00786180">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40CB0629" w14:textId="77777777" w:rsidR="00584FB3" w:rsidRDefault="00786180">
            <w:pPr>
              <w:textAlignment w:val="bottom"/>
            </w:pPr>
            <w:hyperlink r:id="rId69" w:anchor="i11706e4b673c41db9f2dcbdb897203bb_76" w:history="1">
              <w:r>
                <w:rPr>
                  <w:rStyle w:val="a5"/>
                  <w:rFonts w:ascii="Times New Roman" w:eastAsia="宋体" w:hAnsi="Times New Roman"/>
                  <w:sz w:val="20"/>
                  <w:szCs w:val="20"/>
                </w:rPr>
                <w:t>Earnings</w:t>
              </w:r>
            </w:hyperlink>
            <w:hyperlink r:id="rId70" w:anchor="i11706e4b673c41db9f2dcbdb897203bb_76" w:history="1">
              <w:r>
                <w:rPr>
                  <w:rStyle w:val="a5"/>
                  <w:rFonts w:ascii="Times New Roman" w:eastAsia="宋体" w:hAnsi="Times New Roman"/>
                  <w:sz w:val="20"/>
                  <w:szCs w:val="20"/>
                </w:rPr>
                <w:t xml:space="preserve"> per Share</w:t>
              </w:r>
            </w:hyperlink>
          </w:p>
        </w:tc>
        <w:tc>
          <w:tcPr>
            <w:tcW w:w="0" w:type="auto"/>
            <w:gridSpan w:val="3"/>
            <w:shd w:val="clear" w:color="auto" w:fill="auto"/>
            <w:tcMar>
              <w:top w:w="40" w:type="dxa"/>
              <w:left w:w="20" w:type="dxa"/>
              <w:bottom w:w="40" w:type="dxa"/>
              <w:right w:w="20" w:type="dxa"/>
            </w:tcMar>
            <w:vAlign w:val="bottom"/>
          </w:tcPr>
          <w:p w14:paraId="40CB062A" w14:textId="77777777" w:rsidR="00584FB3" w:rsidRDefault="00786180">
            <w:pPr>
              <w:jc w:val="right"/>
              <w:textAlignment w:val="bottom"/>
            </w:pPr>
            <w:hyperlink r:id="rId71" w:anchor="i11706e4b673c41db9f2dcbdb897203bb_76" w:history="1">
              <w:r>
                <w:rPr>
                  <w:rStyle w:val="a5"/>
                  <w:rFonts w:ascii="Times New Roman" w:eastAsia="宋体" w:hAnsi="Times New Roman"/>
                  <w:sz w:val="20"/>
                  <w:szCs w:val="20"/>
                </w:rPr>
                <w:t>23</w:t>
              </w:r>
            </w:hyperlink>
          </w:p>
        </w:tc>
      </w:tr>
      <w:tr w:rsidR="00584FB3" w14:paraId="40CB062F" w14:textId="77777777">
        <w:trPr>
          <w:jc w:val="center"/>
        </w:trPr>
        <w:tc>
          <w:tcPr>
            <w:tcW w:w="0" w:type="auto"/>
            <w:gridSpan w:val="3"/>
            <w:shd w:val="clear" w:color="auto" w:fill="auto"/>
            <w:tcMar>
              <w:top w:w="40" w:type="dxa"/>
              <w:left w:w="20" w:type="dxa"/>
              <w:bottom w:w="40" w:type="dxa"/>
              <w:right w:w="20" w:type="dxa"/>
            </w:tcMar>
            <w:vAlign w:val="bottom"/>
          </w:tcPr>
          <w:p w14:paraId="40CB062C" w14:textId="77777777" w:rsidR="00584FB3" w:rsidRDefault="00786180">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40CB062D" w14:textId="77777777" w:rsidR="00584FB3" w:rsidRDefault="00786180">
            <w:pPr>
              <w:textAlignment w:val="bottom"/>
            </w:pPr>
            <w:hyperlink r:id="rId72" w:anchor="i11706e4b673c41db9f2dcbdb897203bb_79"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40CB062E" w14:textId="77777777" w:rsidR="00584FB3" w:rsidRDefault="00786180">
            <w:pPr>
              <w:jc w:val="right"/>
              <w:textAlignment w:val="bottom"/>
            </w:pPr>
            <w:hyperlink r:id="rId73" w:anchor="i11706e4b673c41db9f2dcbdb897203bb_79" w:history="1">
              <w:r>
                <w:rPr>
                  <w:rStyle w:val="a5"/>
                  <w:rFonts w:ascii="Times New Roman" w:eastAsia="宋体" w:hAnsi="Times New Roman"/>
                  <w:sz w:val="20"/>
                  <w:szCs w:val="20"/>
                </w:rPr>
                <w:t>23</w:t>
              </w:r>
            </w:hyperlink>
          </w:p>
        </w:tc>
      </w:tr>
      <w:tr w:rsidR="00584FB3" w14:paraId="40CB0633" w14:textId="77777777">
        <w:trPr>
          <w:jc w:val="center"/>
        </w:trPr>
        <w:tc>
          <w:tcPr>
            <w:tcW w:w="0" w:type="auto"/>
            <w:gridSpan w:val="3"/>
            <w:shd w:val="clear" w:color="auto" w:fill="auto"/>
            <w:tcMar>
              <w:top w:w="40" w:type="dxa"/>
              <w:left w:w="20" w:type="dxa"/>
              <w:bottom w:w="40" w:type="dxa"/>
              <w:right w:w="20" w:type="dxa"/>
            </w:tcMar>
            <w:vAlign w:val="bottom"/>
          </w:tcPr>
          <w:p w14:paraId="40CB0630" w14:textId="77777777" w:rsidR="00584FB3" w:rsidRDefault="00786180">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40CB0631" w14:textId="77777777" w:rsidR="00584FB3" w:rsidRDefault="00786180">
            <w:pPr>
              <w:textAlignment w:val="bottom"/>
            </w:pPr>
            <w:hyperlink r:id="rId74" w:anchor="i11706e4b673c41db9f2dcbdb897203bb_82" w:history="1">
              <w:r>
                <w:rPr>
                  <w:rStyle w:val="a5"/>
                  <w:rFonts w:ascii="Times New Roman" w:eastAsia="宋体" w:hAnsi="Times New Roman"/>
                  <w:sz w:val="20"/>
                  <w:szCs w:val="20"/>
                </w:rPr>
                <w:t>Segment Rep</w:t>
              </w:r>
              <w:r>
                <w:rPr>
                  <w:rStyle w:val="a5"/>
                  <w:rFonts w:ascii="Times New Roman" w:eastAsia="宋体" w:hAnsi="Times New Roman"/>
                  <w:sz w:val="20"/>
                  <w:szCs w:val="20"/>
                </w:rPr>
                <w:t>orting</w:t>
              </w:r>
            </w:hyperlink>
          </w:p>
        </w:tc>
        <w:tc>
          <w:tcPr>
            <w:tcW w:w="0" w:type="auto"/>
            <w:gridSpan w:val="3"/>
            <w:shd w:val="clear" w:color="auto" w:fill="auto"/>
            <w:tcMar>
              <w:top w:w="40" w:type="dxa"/>
              <w:left w:w="20" w:type="dxa"/>
              <w:bottom w:w="40" w:type="dxa"/>
              <w:right w:w="20" w:type="dxa"/>
            </w:tcMar>
            <w:vAlign w:val="bottom"/>
          </w:tcPr>
          <w:p w14:paraId="40CB0632" w14:textId="77777777" w:rsidR="00584FB3" w:rsidRDefault="00786180">
            <w:pPr>
              <w:jc w:val="right"/>
              <w:textAlignment w:val="bottom"/>
            </w:pPr>
            <w:hyperlink r:id="rId75" w:anchor="i11706e4b673c41db9f2dcbdb897203bb_82" w:history="1">
              <w:r>
                <w:rPr>
                  <w:rStyle w:val="a5"/>
                  <w:rFonts w:ascii="Times New Roman" w:eastAsia="宋体" w:hAnsi="Times New Roman"/>
                  <w:sz w:val="20"/>
                  <w:szCs w:val="20"/>
                </w:rPr>
                <w:t>24</w:t>
              </w:r>
            </w:hyperlink>
          </w:p>
        </w:tc>
      </w:tr>
      <w:tr w:rsidR="00584FB3" w14:paraId="40CB0637" w14:textId="77777777">
        <w:trPr>
          <w:jc w:val="center"/>
          <w:hidden/>
        </w:trPr>
        <w:tc>
          <w:tcPr>
            <w:tcW w:w="0" w:type="auto"/>
            <w:gridSpan w:val="3"/>
            <w:shd w:val="clear" w:color="auto" w:fill="auto"/>
          </w:tcPr>
          <w:p w14:paraId="40CB0634" w14:textId="77777777" w:rsidR="00584FB3" w:rsidRDefault="00584FB3">
            <w:pPr>
              <w:rPr>
                <w:rFonts w:ascii="宋体"/>
                <w:vanish/>
              </w:rPr>
            </w:pPr>
          </w:p>
        </w:tc>
        <w:tc>
          <w:tcPr>
            <w:tcW w:w="0" w:type="auto"/>
            <w:gridSpan w:val="3"/>
            <w:shd w:val="clear" w:color="auto" w:fill="auto"/>
          </w:tcPr>
          <w:p w14:paraId="40CB0635" w14:textId="77777777" w:rsidR="00584FB3" w:rsidRDefault="00584FB3">
            <w:pPr>
              <w:rPr>
                <w:rFonts w:ascii="宋体"/>
                <w:vanish/>
              </w:rPr>
            </w:pPr>
          </w:p>
        </w:tc>
        <w:tc>
          <w:tcPr>
            <w:tcW w:w="0" w:type="auto"/>
            <w:gridSpan w:val="3"/>
            <w:shd w:val="clear" w:color="auto" w:fill="auto"/>
          </w:tcPr>
          <w:p w14:paraId="40CB0636" w14:textId="77777777" w:rsidR="00584FB3" w:rsidRDefault="00584FB3">
            <w:pPr>
              <w:rPr>
                <w:rFonts w:ascii="宋体"/>
                <w:vanish/>
              </w:rPr>
            </w:pPr>
          </w:p>
        </w:tc>
      </w:tr>
      <w:tr w:rsidR="00584FB3" w14:paraId="40CB063B" w14:textId="77777777">
        <w:trPr>
          <w:jc w:val="center"/>
          <w:hidden/>
        </w:trPr>
        <w:tc>
          <w:tcPr>
            <w:tcW w:w="0" w:type="auto"/>
            <w:gridSpan w:val="3"/>
            <w:shd w:val="clear" w:color="auto" w:fill="auto"/>
          </w:tcPr>
          <w:p w14:paraId="40CB0638" w14:textId="77777777" w:rsidR="00584FB3" w:rsidRDefault="00584FB3">
            <w:pPr>
              <w:rPr>
                <w:rFonts w:ascii="宋体"/>
                <w:vanish/>
              </w:rPr>
            </w:pPr>
          </w:p>
        </w:tc>
        <w:tc>
          <w:tcPr>
            <w:tcW w:w="0" w:type="auto"/>
            <w:gridSpan w:val="3"/>
            <w:shd w:val="clear" w:color="auto" w:fill="auto"/>
          </w:tcPr>
          <w:p w14:paraId="40CB0639" w14:textId="77777777" w:rsidR="00584FB3" w:rsidRDefault="00584FB3">
            <w:pPr>
              <w:rPr>
                <w:rFonts w:ascii="宋体"/>
                <w:vanish/>
              </w:rPr>
            </w:pPr>
          </w:p>
        </w:tc>
        <w:tc>
          <w:tcPr>
            <w:tcW w:w="0" w:type="auto"/>
            <w:gridSpan w:val="3"/>
            <w:shd w:val="clear" w:color="auto" w:fill="auto"/>
          </w:tcPr>
          <w:p w14:paraId="40CB063A" w14:textId="77777777" w:rsidR="00584FB3" w:rsidRDefault="00584FB3">
            <w:pPr>
              <w:rPr>
                <w:rFonts w:ascii="宋体"/>
                <w:vanish/>
              </w:rPr>
            </w:pPr>
          </w:p>
        </w:tc>
      </w:tr>
    </w:tbl>
    <w:p w14:paraId="40CB063C" w14:textId="77777777" w:rsidR="00584FB3" w:rsidRDefault="00584FB3"/>
    <w:p w14:paraId="40CB063D" w14:textId="77777777" w:rsidR="00584FB3" w:rsidRDefault="00786180">
      <w:pPr>
        <w:jc w:val="center"/>
      </w:pPr>
      <w:r>
        <w:rPr>
          <w:rFonts w:ascii="Times New Roman" w:eastAsia="宋体" w:hAnsi="Times New Roman"/>
          <w:color w:val="000000"/>
          <w:sz w:val="20"/>
          <w:szCs w:val="20"/>
        </w:rPr>
        <w:t>8</w:t>
      </w:r>
    </w:p>
    <w:p w14:paraId="40CB063E" w14:textId="77777777" w:rsidR="00584FB3" w:rsidRDefault="00786180">
      <w:r>
        <w:pict w14:anchorId="40CB2A3D">
          <v:rect id="_x0000_i1032" style="width:415.3pt;height:1.5pt" o:hralign="center" o:hrstd="t" o:hr="t" fillcolor="#a0a0a0" stroked="f"/>
        </w:pict>
      </w:r>
    </w:p>
    <w:p w14:paraId="40CB063F" w14:textId="77777777" w:rsidR="00584FB3" w:rsidRDefault="00786180">
      <w:hyperlink r:id="rId76" w:anchor="i11706e4b673c41db9f2dcbdb897203bb_7" w:history="1">
        <w:r>
          <w:rPr>
            <w:rStyle w:val="a5"/>
            <w:rFonts w:ascii="Times New Roman" w:eastAsia="宋体" w:hAnsi="Times New Roman"/>
            <w:sz w:val="20"/>
            <w:szCs w:val="20"/>
          </w:rPr>
          <w:t>Table of Contents</w:t>
        </w:r>
      </w:hyperlink>
    </w:p>
    <w:p w14:paraId="40CB0640" w14:textId="77777777" w:rsidR="00584FB3" w:rsidRDefault="00786180">
      <w:pPr>
        <w:jc w:val="center"/>
      </w:pPr>
      <w:r>
        <w:rPr>
          <w:rFonts w:ascii="Times New Roman" w:eastAsia="宋体" w:hAnsi="Times New Roman"/>
          <w:b/>
          <w:bCs/>
          <w:color w:val="000000"/>
          <w:sz w:val="20"/>
          <w:szCs w:val="20"/>
        </w:rPr>
        <w:t>STARBUCKS CORPORATION</w:t>
      </w:r>
    </w:p>
    <w:p w14:paraId="40CB0641" w14:textId="77777777" w:rsidR="00584FB3" w:rsidRDefault="00786180">
      <w:pPr>
        <w:jc w:val="center"/>
      </w:pPr>
      <w:r>
        <w:rPr>
          <w:rFonts w:ascii="Times New Roman" w:eastAsia="宋体" w:hAnsi="Times New Roman"/>
          <w:b/>
          <w:bCs/>
          <w:color w:val="000000"/>
          <w:sz w:val="20"/>
          <w:szCs w:val="20"/>
        </w:rPr>
        <w:t>NOTES TO CONSOLIDATED FINANCIAL STATEMENTS</w:t>
      </w:r>
    </w:p>
    <w:p w14:paraId="40CB0642" w14:textId="77777777" w:rsidR="00584FB3" w:rsidRDefault="00786180">
      <w:pPr>
        <w:jc w:val="center"/>
      </w:pPr>
      <w:r>
        <w:rPr>
          <w:rFonts w:ascii="Times New Roman" w:eastAsia="宋体" w:hAnsi="Times New Roman"/>
          <w:b/>
          <w:bCs/>
          <w:i/>
          <w:iCs/>
          <w:color w:val="000000"/>
          <w:sz w:val="20"/>
          <w:szCs w:val="20"/>
        </w:rPr>
        <w:t>(unaudited)</w:t>
      </w:r>
    </w:p>
    <w:p w14:paraId="40CB0643" w14:textId="77777777" w:rsidR="00584FB3" w:rsidRDefault="00786180">
      <w:pPr>
        <w:spacing w:before="120"/>
      </w:pPr>
      <w:r>
        <w:rPr>
          <w:rFonts w:ascii="Times New Roman" w:eastAsia="宋体" w:hAnsi="Times New Roman"/>
          <w:b/>
          <w:bCs/>
          <w:color w:val="000000"/>
          <w:sz w:val="20"/>
          <w:szCs w:val="20"/>
        </w:rPr>
        <w:t>Note 1: Summary of Significant Accounting Policies</w:t>
      </w:r>
    </w:p>
    <w:p w14:paraId="40CB0644" w14:textId="77777777" w:rsidR="00584FB3" w:rsidRDefault="00786180">
      <w:pPr>
        <w:spacing w:before="120"/>
      </w:pPr>
      <w:r>
        <w:rPr>
          <w:rFonts w:ascii="Times New Roman" w:eastAsia="宋体" w:hAnsi="Times New Roman"/>
          <w:i/>
          <w:iCs/>
          <w:color w:val="000000"/>
          <w:sz w:val="20"/>
          <w:szCs w:val="20"/>
        </w:rPr>
        <w:t xml:space="preserve">Financial Statement Preparation </w:t>
      </w:r>
    </w:p>
    <w:p w14:paraId="40CB0645" w14:textId="77777777" w:rsidR="00584FB3" w:rsidRDefault="00786180">
      <w:pPr>
        <w:spacing w:before="120"/>
      </w:pPr>
      <w:r>
        <w:rPr>
          <w:rFonts w:ascii="Times New Roman" w:eastAsia="宋体" w:hAnsi="Times New Roman"/>
          <w:color w:val="000000"/>
          <w:sz w:val="20"/>
          <w:szCs w:val="20"/>
        </w:rPr>
        <w:t xml:space="preserve">The unaudited consolidated financial statements as of December 27, 2020, and for the quarters ended December 27, 2020 and December 29, 2019, have been prepared </w:t>
      </w:r>
      <w:r>
        <w:rPr>
          <w:rFonts w:ascii="Times New Roman" w:eastAsia="宋体" w:hAnsi="Times New Roman"/>
          <w:color w:val="000000"/>
          <w:sz w:val="20"/>
          <w:szCs w:val="20"/>
        </w:rPr>
        <w:t xml:space="preserve">by Starbucks Corporation under the rules and regulations of the Securities and Exchange Commission (“SEC”). In the opinion of management, the financial information for the quarters ended December 27, 2020 and December 29, 2019 reflects all adjustments and </w:t>
      </w:r>
      <w:r>
        <w:rPr>
          <w:rFonts w:ascii="Times New Roman" w:eastAsia="宋体" w:hAnsi="Times New Roman"/>
          <w:color w:val="000000"/>
          <w:sz w:val="20"/>
          <w:szCs w:val="20"/>
        </w:rPr>
        <w:t>accruals, which are of a normal recurring nature, necessary for a fair presentation of the financial position, results of operations and cash flows for the interim periods. In this Quarterly Report on Form 10-Q (“10-Q”), Starbucks Corporation is referred t</w:t>
      </w:r>
      <w:r>
        <w:rPr>
          <w:rFonts w:ascii="Times New Roman" w:eastAsia="宋体" w:hAnsi="Times New Roman"/>
          <w:color w:val="000000"/>
          <w:sz w:val="20"/>
          <w:szCs w:val="20"/>
        </w:rPr>
        <w:t>o as “Starbucks,” the “Company,” “we,” “us” or “our.”</w:t>
      </w:r>
    </w:p>
    <w:p w14:paraId="40CB0646" w14:textId="77777777" w:rsidR="00584FB3" w:rsidRDefault="00786180">
      <w:pPr>
        <w:spacing w:before="120"/>
      </w:pPr>
      <w:r>
        <w:rPr>
          <w:rFonts w:ascii="Times New Roman" w:eastAsia="宋体" w:hAnsi="Times New Roman"/>
          <w:color w:val="000000"/>
          <w:sz w:val="20"/>
          <w:szCs w:val="20"/>
        </w:rPr>
        <w:t>The financial information as of September 27, 2020 is derived from our audited consolidated financial statements and notes for the fiscal year ended September 27, 2020 (“fiscal 2020”) included in Item 8</w:t>
      </w:r>
      <w:r>
        <w:rPr>
          <w:rFonts w:ascii="Times New Roman" w:eastAsia="宋体" w:hAnsi="Times New Roman"/>
          <w:color w:val="000000"/>
          <w:sz w:val="20"/>
          <w:szCs w:val="20"/>
        </w:rPr>
        <w:t xml:space="preserve"> in the Fiscal 2020 Annual Report on Form 10-K (“10-K”). The information included in this 10-Q should be read in conjunction with the footnotes and management’s discussion and analysis of the consolidated financial statements in the 10-K. </w:t>
      </w:r>
    </w:p>
    <w:p w14:paraId="40CB0647" w14:textId="77777777" w:rsidR="00584FB3" w:rsidRDefault="00786180">
      <w:pPr>
        <w:spacing w:before="120"/>
      </w:pPr>
      <w:r>
        <w:rPr>
          <w:rFonts w:ascii="Times New Roman" w:eastAsia="宋体" w:hAnsi="Times New Roman"/>
          <w:color w:val="000000"/>
          <w:sz w:val="20"/>
          <w:szCs w:val="20"/>
        </w:rPr>
        <w:t>The results of o</w:t>
      </w:r>
      <w:r>
        <w:rPr>
          <w:rFonts w:ascii="Times New Roman" w:eastAsia="宋体" w:hAnsi="Times New Roman"/>
          <w:color w:val="000000"/>
          <w:sz w:val="20"/>
          <w:szCs w:val="20"/>
        </w:rPr>
        <w:t xml:space="preserve">perations for the quarter ended December 27, 2020 are not necessarily indicative of the results of operations that may be achieved for the entire fiscal year ending October 3, 2021 (“fiscal 2021”). Additionally, our 2021 fiscal year will include 53 weeks, </w:t>
      </w:r>
      <w:r>
        <w:rPr>
          <w:rFonts w:ascii="Times New Roman" w:eastAsia="宋体" w:hAnsi="Times New Roman"/>
          <w:color w:val="000000"/>
          <w:sz w:val="20"/>
          <w:szCs w:val="20"/>
        </w:rPr>
        <w:t>with the 53rd week falling in the fourth fiscal quarter.</w:t>
      </w:r>
    </w:p>
    <w:p w14:paraId="40CB0648" w14:textId="77777777" w:rsidR="00584FB3" w:rsidRDefault="00786180">
      <w:pPr>
        <w:spacing w:before="120"/>
      </w:pPr>
      <w:r>
        <w:rPr>
          <w:rFonts w:ascii="Times New Roman" w:eastAsia="宋体" w:hAnsi="Times New Roman"/>
          <w:color w:val="000000"/>
          <w:sz w:val="20"/>
          <w:szCs w:val="20"/>
        </w:rPr>
        <w:t>The novel coronavirus, known as the global pandemic COVID-19, was first identified in December 2019 before spreading to markets where we have company-operated or licensed stores. We have since establ</w:t>
      </w:r>
      <w:r>
        <w:rPr>
          <w:rFonts w:ascii="Times New Roman" w:eastAsia="宋体" w:hAnsi="Times New Roman"/>
          <w:color w:val="000000"/>
          <w:sz w:val="20"/>
          <w:szCs w:val="20"/>
        </w:rPr>
        <w:t>ished the necessary protocols to operate safely, and our businesses continue to recover. As of the end of the first quarter of fiscal 2021, nearly all our company-operated and licensed stores have re-opened; however, many were operating at less than full c</w:t>
      </w:r>
      <w:r>
        <w:rPr>
          <w:rFonts w:ascii="Times New Roman" w:eastAsia="宋体" w:hAnsi="Times New Roman"/>
          <w:color w:val="000000"/>
          <w:sz w:val="20"/>
          <w:szCs w:val="20"/>
        </w:rPr>
        <w:t>apacity.</w:t>
      </w:r>
    </w:p>
    <w:p w14:paraId="40CB0649" w14:textId="77777777" w:rsidR="00584FB3" w:rsidRDefault="00786180">
      <w:pPr>
        <w:spacing w:before="120"/>
      </w:pPr>
      <w:r>
        <w:rPr>
          <w:rFonts w:ascii="Times New Roman" w:eastAsia="宋体" w:hAnsi="Times New Roman"/>
          <w:i/>
          <w:iCs/>
          <w:color w:val="000000"/>
          <w:sz w:val="20"/>
          <w:szCs w:val="20"/>
        </w:rPr>
        <w:t>Government Subsidies</w:t>
      </w:r>
    </w:p>
    <w:p w14:paraId="40CB064A" w14:textId="77777777" w:rsidR="00584FB3" w:rsidRDefault="00786180">
      <w:pPr>
        <w:spacing w:before="120"/>
      </w:pPr>
      <w:r>
        <w:rPr>
          <w:rFonts w:ascii="Times New Roman" w:eastAsia="宋体" w:hAnsi="Times New Roman"/>
          <w:color w:val="000000"/>
          <w:sz w:val="20"/>
          <w:szCs w:val="20"/>
        </w:rPr>
        <w:t xml:space="preserve">On March 27, 2020, the U.S. government enacted the Coronavirus Aid, Relief and Economic Security Act (“CARES Act”), which among other things, provides employer payroll tax credits for wages paid to employees who are unable to </w:t>
      </w:r>
      <w:r>
        <w:rPr>
          <w:rFonts w:ascii="Times New Roman" w:eastAsia="宋体" w:hAnsi="Times New Roman"/>
          <w:color w:val="000000"/>
          <w:sz w:val="20"/>
          <w:szCs w:val="20"/>
        </w:rPr>
        <w:t>work during the COVID-19 outbreak and options to defer payroll tax payments for a limited period. Based on our evaluation of the CARES Act, we qualify for certain employer payroll tax credits as well as the deferral of payroll tax payments in the future. A</w:t>
      </w:r>
      <w:r>
        <w:rPr>
          <w:rFonts w:ascii="Times New Roman" w:eastAsia="宋体" w:hAnsi="Times New Roman"/>
          <w:color w:val="000000"/>
          <w:sz w:val="20"/>
          <w:szCs w:val="20"/>
        </w:rPr>
        <w:t>dditionally, the Canadian government enacted the Canada Emergency Wage Subsidy (“CEWS”) to help employers offset a portion of their employee wages for a limited period. We elected to treat qualified government subsidies from the U.S., Canada and other gove</w:t>
      </w:r>
      <w:r>
        <w:rPr>
          <w:rFonts w:ascii="Times New Roman" w:eastAsia="宋体" w:hAnsi="Times New Roman"/>
          <w:color w:val="000000"/>
          <w:sz w:val="20"/>
          <w:szCs w:val="20"/>
        </w:rPr>
        <w:t>rnments as offsets to the related operating expenses. During the first quarter of fiscal 2021, qualified payroll credits reduced our store operating expenses by $19.8 million on our consolidated statement of earnings. After netting the qualified U.S. payro</w:t>
      </w:r>
      <w:r>
        <w:rPr>
          <w:rFonts w:ascii="Times New Roman" w:eastAsia="宋体" w:hAnsi="Times New Roman"/>
          <w:color w:val="000000"/>
          <w:sz w:val="20"/>
          <w:szCs w:val="20"/>
        </w:rPr>
        <w:t>ll tax credits against our payroll tax payable, a receivable of $149.3 million was included in prepaid expenses and other current assets as of December 27, 2020. During the first fiscal quarter of fiscal 2021, we deferred $76.5 million of qualified payroll</w:t>
      </w:r>
      <w:r>
        <w:rPr>
          <w:rFonts w:ascii="Times New Roman" w:eastAsia="宋体" w:hAnsi="Times New Roman"/>
          <w:color w:val="000000"/>
          <w:sz w:val="20"/>
          <w:szCs w:val="20"/>
        </w:rPr>
        <w:t xml:space="preserve"> tax payments, and as of December 27, 2020, deferred payroll tax payments of $227.5 million were included in other long-term liabilities on our consolidated balance sheets.</w:t>
      </w:r>
    </w:p>
    <w:p w14:paraId="40CB064B" w14:textId="77777777" w:rsidR="00584FB3" w:rsidRDefault="00786180">
      <w:pPr>
        <w:spacing w:before="120"/>
      </w:pPr>
      <w:r>
        <w:rPr>
          <w:rFonts w:ascii="Times New Roman" w:eastAsia="宋体" w:hAnsi="Times New Roman"/>
          <w:i/>
          <w:iCs/>
          <w:color w:val="000000"/>
          <w:sz w:val="20"/>
          <w:szCs w:val="20"/>
        </w:rPr>
        <w:t>Restructuring</w:t>
      </w:r>
    </w:p>
    <w:p w14:paraId="40CB064C" w14:textId="77777777" w:rsidR="00584FB3" w:rsidRDefault="00786180">
      <w:pPr>
        <w:spacing w:before="120"/>
      </w:pPr>
      <w:r>
        <w:rPr>
          <w:rFonts w:ascii="Times New Roman" w:eastAsia="宋体" w:hAnsi="Times New Roman"/>
          <w:color w:val="000000"/>
          <w:sz w:val="20"/>
          <w:szCs w:val="20"/>
        </w:rPr>
        <w:t xml:space="preserve">In fiscal 2020, we announced a plan to optimize our North </w:t>
      </w:r>
      <w:r>
        <w:rPr>
          <w:rFonts w:ascii="Times New Roman" w:eastAsia="宋体" w:hAnsi="Times New Roman"/>
          <w:color w:val="000000"/>
          <w:sz w:val="20"/>
          <w:szCs w:val="20"/>
        </w:rPr>
        <w:t>America store portfolio, primarily in dense metropolitan markets by blending store formats to better cater to changing customer tastes and preferences. As of December 27, 2020, we expect the total number of closures to be approximately 800 stores in the U.</w:t>
      </w:r>
      <w:r>
        <w:rPr>
          <w:rFonts w:ascii="Times New Roman" w:eastAsia="宋体" w:hAnsi="Times New Roman"/>
          <w:color w:val="000000"/>
          <w:sz w:val="20"/>
          <w:szCs w:val="20"/>
        </w:rPr>
        <w:t>S. and Canada. As of December 27, 2020, we have identified 713 stores for closure under our restructuring plans, and as a result we recorded approximately $72.2 million to restructuring and impairments on our consolidated statement of earnings. Of this tot</w:t>
      </w:r>
      <w:r>
        <w:rPr>
          <w:rFonts w:ascii="Times New Roman" w:eastAsia="宋体" w:hAnsi="Times New Roman"/>
          <w:color w:val="000000"/>
          <w:sz w:val="20"/>
          <w:szCs w:val="20"/>
        </w:rPr>
        <w:t>al, $42.6 million related to the impairment of store assets for which either a triggering event occurred and the assets were determined not to be recoverable or the store was permanently closed. An additional $29.6 million was associated with accelerated a</w:t>
      </w:r>
      <w:r>
        <w:rPr>
          <w:rFonts w:ascii="Times New Roman" w:eastAsia="宋体" w:hAnsi="Times New Roman"/>
          <w:color w:val="000000"/>
          <w:sz w:val="20"/>
          <w:szCs w:val="20"/>
        </w:rPr>
        <w:t>mortization of right-of-use (“ROU”) lease assets due to planned store closures prior to the end of contractual lease terms. For impaired store asset groups, we estimated the fair values using an income approach incorporating internal projections of revenue</w:t>
      </w:r>
      <w:r>
        <w:rPr>
          <w:rFonts w:ascii="Times New Roman" w:eastAsia="宋体" w:hAnsi="Times New Roman"/>
          <w:color w:val="000000"/>
          <w:sz w:val="20"/>
          <w:szCs w:val="20"/>
        </w:rPr>
        <w:t xml:space="preserve"> growth and operating expenses that are considered Level 3 fair value measurements, as well as applicable discount rates and market lease rates. The application of these projections and fair value measurements did not have a significant impact on our final</w:t>
      </w:r>
      <w:r>
        <w:rPr>
          <w:rFonts w:ascii="Times New Roman" w:eastAsia="宋体" w:hAnsi="Times New Roman"/>
          <w:color w:val="000000"/>
          <w:sz w:val="20"/>
          <w:szCs w:val="20"/>
        </w:rPr>
        <w:t xml:space="preserve"> impairment decisions given that we plan to fully exit the majority of these identified stores over the next 9 to 12 months.</w:t>
      </w:r>
    </w:p>
    <w:p w14:paraId="40CB064D" w14:textId="77777777" w:rsidR="00584FB3" w:rsidRDefault="00786180">
      <w:pPr>
        <w:spacing w:before="120"/>
      </w:pPr>
      <w:r>
        <w:rPr>
          <w:rFonts w:ascii="Times New Roman" w:eastAsia="宋体" w:hAnsi="Times New Roman"/>
          <w:color w:val="000000"/>
          <w:sz w:val="20"/>
          <w:szCs w:val="20"/>
        </w:rPr>
        <w:t>We expect total future restructuring costs, which are attributable to our Americas segment, to be approximately $100 million to $12</w:t>
      </w:r>
      <w:r>
        <w:rPr>
          <w:rFonts w:ascii="Times New Roman" w:eastAsia="宋体" w:hAnsi="Times New Roman"/>
          <w:color w:val="000000"/>
          <w:sz w:val="20"/>
          <w:szCs w:val="20"/>
        </w:rPr>
        <w:t>0 million. These restructuring costs include accelerated amortization or impairments of ROU assets due to planned store closures prior to the end of contractual lease terms ($90 million to $100 million), store impairment and disposal costs not previously r</w:t>
      </w:r>
      <w:r>
        <w:rPr>
          <w:rFonts w:ascii="Times New Roman" w:eastAsia="宋体" w:hAnsi="Times New Roman"/>
          <w:color w:val="000000"/>
          <w:sz w:val="20"/>
          <w:szCs w:val="20"/>
        </w:rPr>
        <w:t xml:space="preserve">ecorded as part of our ongoing store impairment process ($10 million to $15 million), with the remaining amount related to employee termination costs. As we have previously recorded impairment charges for stores that may be identified for </w:t>
      </w:r>
    </w:p>
    <w:p w14:paraId="40CB064E" w14:textId="77777777" w:rsidR="00584FB3" w:rsidRDefault="00786180">
      <w:pPr>
        <w:jc w:val="center"/>
      </w:pPr>
      <w:r>
        <w:rPr>
          <w:rFonts w:ascii="Times New Roman" w:eastAsia="宋体" w:hAnsi="Times New Roman"/>
          <w:color w:val="000000"/>
          <w:sz w:val="20"/>
          <w:szCs w:val="20"/>
        </w:rPr>
        <w:t>9</w:t>
      </w:r>
    </w:p>
    <w:p w14:paraId="40CB064F" w14:textId="77777777" w:rsidR="00584FB3" w:rsidRDefault="00786180">
      <w:r>
        <w:pict w14:anchorId="40CB2A3E">
          <v:rect id="_x0000_i1033" style="width:415.3pt;height:1.5pt" o:hralign="center" o:hrstd="t" o:hr="t" fillcolor="#a0a0a0" stroked="f"/>
        </w:pict>
      </w:r>
    </w:p>
    <w:p w14:paraId="40CB0650" w14:textId="77777777" w:rsidR="00584FB3" w:rsidRDefault="00786180">
      <w:hyperlink r:id="rId77" w:anchor="i11706e4b673c41db9f2dcbdb897203bb_7" w:history="1">
        <w:r>
          <w:rPr>
            <w:rStyle w:val="a5"/>
            <w:rFonts w:ascii="Times New Roman" w:eastAsia="宋体" w:hAnsi="Times New Roman"/>
            <w:sz w:val="20"/>
            <w:szCs w:val="20"/>
          </w:rPr>
          <w:t>Table of Contents</w:t>
        </w:r>
      </w:hyperlink>
    </w:p>
    <w:p w14:paraId="40CB0651" w14:textId="77777777" w:rsidR="00584FB3" w:rsidRDefault="00786180">
      <w:pPr>
        <w:spacing w:before="120"/>
      </w:pPr>
      <w:r>
        <w:rPr>
          <w:rFonts w:ascii="Times New Roman" w:eastAsia="宋体" w:hAnsi="Times New Roman"/>
          <w:color w:val="000000"/>
          <w:sz w:val="20"/>
          <w:szCs w:val="20"/>
        </w:rPr>
        <w:t>closure under our plans, and because store closure decisions are still subject to change, the fin</w:t>
      </w:r>
      <w:r>
        <w:rPr>
          <w:rFonts w:ascii="Times New Roman" w:eastAsia="宋体" w:hAnsi="Times New Roman"/>
          <w:color w:val="000000"/>
          <w:sz w:val="20"/>
          <w:szCs w:val="20"/>
        </w:rPr>
        <w:t>al costs associated with these store closures may vary from these estimates. These costs will depend on the asset carrying value and remaining lease term of the specific stores identified. Future restructuring costs are expected to be incurred primarily ov</w:t>
      </w:r>
      <w:r>
        <w:rPr>
          <w:rFonts w:ascii="Times New Roman" w:eastAsia="宋体" w:hAnsi="Times New Roman"/>
          <w:color w:val="000000"/>
          <w:sz w:val="20"/>
          <w:szCs w:val="20"/>
        </w:rPr>
        <w:t>er the next 9 to 12 months as stores are specifically identified for closure or, in the case of lease exit costs, either when a store ceases operations or when a reduced lease term is reasonably certain due to expected, early lease termination.</w:t>
      </w:r>
    </w:p>
    <w:p w14:paraId="40CB0652" w14:textId="77777777" w:rsidR="00584FB3" w:rsidRDefault="00786180">
      <w:pPr>
        <w:spacing w:before="120"/>
      </w:pPr>
      <w:r>
        <w:rPr>
          <w:rFonts w:ascii="Times New Roman" w:eastAsia="宋体" w:hAnsi="Times New Roman"/>
          <w:color w:val="000000"/>
          <w:sz w:val="20"/>
          <w:szCs w:val="20"/>
        </w:rPr>
        <w:t xml:space="preserve">As of </w:t>
      </w:r>
      <w:r>
        <w:rPr>
          <w:rFonts w:ascii="Times New Roman" w:eastAsia="宋体" w:hAnsi="Times New Roman"/>
          <w:color w:val="000000"/>
          <w:sz w:val="20"/>
          <w:szCs w:val="20"/>
        </w:rPr>
        <w:t xml:space="preserve">December 27, 2020, restructuring liabilities totaling $24.4 million were included in current and non-current operating lease liability for the remaining outstanding rent liabilities due to landlords. The associated expense was recognized in fiscal 2020 or </w:t>
      </w:r>
      <w:r>
        <w:rPr>
          <w:rFonts w:ascii="Times New Roman" w:eastAsia="宋体" w:hAnsi="Times New Roman"/>
          <w:color w:val="000000"/>
          <w:sz w:val="20"/>
          <w:szCs w:val="20"/>
        </w:rPr>
        <w:t>during the first quarter of fiscal 2021 for stores that were either closed or reasonably certain to close in fiscal 2021. Additionally, $14.9 million of accrued employee termination costs is included in accrued payroll and benefits. Cash payments were imma</w:t>
      </w:r>
      <w:r>
        <w:rPr>
          <w:rFonts w:ascii="Times New Roman" w:eastAsia="宋体" w:hAnsi="Times New Roman"/>
          <w:color w:val="000000"/>
          <w:sz w:val="20"/>
          <w:szCs w:val="20"/>
        </w:rPr>
        <w:t>terial for the first quarter of fiscal 2021.</w:t>
      </w:r>
    </w:p>
    <w:p w14:paraId="40CB0653" w14:textId="77777777" w:rsidR="00584FB3" w:rsidRDefault="00786180">
      <w:pPr>
        <w:spacing w:before="120"/>
      </w:pPr>
      <w:r>
        <w:rPr>
          <w:rFonts w:ascii="Times New Roman" w:eastAsia="宋体" w:hAnsi="Times New Roman"/>
          <w:i/>
          <w:iCs/>
          <w:color w:val="000000"/>
          <w:sz w:val="20"/>
          <w:szCs w:val="20"/>
        </w:rPr>
        <w:t>Recently Adopted Accounting Pronouncements</w:t>
      </w:r>
    </w:p>
    <w:p w14:paraId="40CB0654" w14:textId="77777777" w:rsidR="00584FB3" w:rsidRDefault="00786180">
      <w:pPr>
        <w:spacing w:before="120"/>
      </w:pPr>
      <w:r>
        <w:rPr>
          <w:rFonts w:ascii="Times New Roman" w:eastAsia="宋体" w:hAnsi="Times New Roman"/>
          <w:color w:val="000000"/>
          <w:sz w:val="20"/>
          <w:szCs w:val="20"/>
        </w:rPr>
        <w:t>In June 2016, the FASB issued guidance replacing the incurred loss impairment methodology with a new methodology that reflects current expected credit losses on financi</w:t>
      </w:r>
      <w:r>
        <w:rPr>
          <w:rFonts w:ascii="Times New Roman" w:eastAsia="宋体" w:hAnsi="Times New Roman"/>
          <w:color w:val="000000"/>
          <w:sz w:val="20"/>
          <w:szCs w:val="20"/>
        </w:rPr>
        <w:t>al assets, including receivables and available-for-sale securities. The new methodology requires entities to estimate and recognize expected credit losses each reporting period. The guidance was adopted during the first quarter of fiscal 2021 under the mod</w:t>
      </w:r>
      <w:r>
        <w:rPr>
          <w:rFonts w:ascii="Times New Roman" w:eastAsia="宋体" w:hAnsi="Times New Roman"/>
          <w:color w:val="000000"/>
          <w:sz w:val="20"/>
          <w:szCs w:val="20"/>
        </w:rPr>
        <w:t>ified retrospective approach which included a $2.2 million transition adjustment to opening shareholders' retained deficit on our consolidated statements of equity upon adoption.</w:t>
      </w:r>
    </w:p>
    <w:p w14:paraId="40CB0655" w14:textId="77777777" w:rsidR="00584FB3" w:rsidRDefault="00786180">
      <w:pPr>
        <w:spacing w:before="120"/>
      </w:pPr>
      <w:r>
        <w:rPr>
          <w:rFonts w:ascii="Times New Roman" w:eastAsia="宋体" w:hAnsi="Times New Roman"/>
          <w:i/>
          <w:iCs/>
          <w:color w:val="000000"/>
          <w:sz w:val="20"/>
          <w:szCs w:val="20"/>
        </w:rPr>
        <w:t>Recent Accounting Pronouncements Not Yet Adopted</w:t>
      </w:r>
    </w:p>
    <w:p w14:paraId="40CB0656" w14:textId="77777777" w:rsidR="00584FB3" w:rsidRDefault="00786180">
      <w:pPr>
        <w:spacing w:before="120"/>
      </w:pPr>
      <w:r>
        <w:rPr>
          <w:rFonts w:ascii="Times New Roman" w:eastAsia="宋体" w:hAnsi="Times New Roman"/>
          <w:color w:val="000000"/>
          <w:sz w:val="20"/>
          <w:szCs w:val="20"/>
        </w:rPr>
        <w:t>In March 2020, the FASB issu</w:t>
      </w:r>
      <w:r>
        <w:rPr>
          <w:rFonts w:ascii="Times New Roman" w:eastAsia="宋体" w:hAnsi="Times New Roman"/>
          <w:color w:val="000000"/>
          <w:sz w:val="20"/>
          <w:szCs w:val="20"/>
        </w:rPr>
        <w:t>ed guidance related to reference rate reform. The pronouncement provides temporary optional expedients and exceptions to the current guidance on contract modifications and hedge accounting to ease the financial reporting burden related to the expected mark</w:t>
      </w:r>
      <w:r>
        <w:rPr>
          <w:rFonts w:ascii="Times New Roman" w:eastAsia="宋体" w:hAnsi="Times New Roman"/>
          <w:color w:val="000000"/>
          <w:sz w:val="20"/>
          <w:szCs w:val="20"/>
        </w:rPr>
        <w:t>et transition from the London Interbank Offered Rate ("LIBOR") and other interbank offered rates to alternative reference rates. The guidance was effective upon issuance and generally can be applied to applicable contract modifications through December 31,</w:t>
      </w:r>
      <w:r>
        <w:rPr>
          <w:rFonts w:ascii="Times New Roman" w:eastAsia="宋体" w:hAnsi="Times New Roman"/>
          <w:color w:val="000000"/>
          <w:sz w:val="20"/>
          <w:szCs w:val="20"/>
        </w:rPr>
        <w:t xml:space="preserve"> 2022. We are currently evaluating the impact of the transition from LIBOR to alternative reference rates but do not expect a significant impact to our consolidated financial statements. </w:t>
      </w:r>
    </w:p>
    <w:p w14:paraId="40CB0657" w14:textId="77777777" w:rsidR="00584FB3" w:rsidRDefault="00786180">
      <w:pPr>
        <w:spacing w:before="120"/>
      </w:pPr>
      <w:r>
        <w:rPr>
          <w:rFonts w:ascii="Times New Roman" w:eastAsia="宋体" w:hAnsi="Times New Roman"/>
          <w:b/>
          <w:bCs/>
          <w:color w:val="000000"/>
          <w:sz w:val="20"/>
          <w:szCs w:val="20"/>
        </w:rPr>
        <w:t>Note 2: Derivative Financial Instruments</w:t>
      </w:r>
    </w:p>
    <w:p w14:paraId="40CB0658" w14:textId="77777777" w:rsidR="00584FB3" w:rsidRDefault="00786180">
      <w:pPr>
        <w:spacing w:before="120"/>
      </w:pPr>
      <w:r>
        <w:rPr>
          <w:rFonts w:ascii="Times New Roman" w:eastAsia="宋体" w:hAnsi="Times New Roman"/>
          <w:b/>
          <w:bCs/>
          <w:i/>
          <w:iCs/>
          <w:color w:val="000000"/>
          <w:sz w:val="20"/>
          <w:szCs w:val="20"/>
        </w:rPr>
        <w:t xml:space="preserve">Interest Rates </w:t>
      </w:r>
    </w:p>
    <w:p w14:paraId="40CB0659" w14:textId="77777777" w:rsidR="00584FB3" w:rsidRDefault="00786180">
      <w:pPr>
        <w:spacing w:before="120"/>
      </w:pPr>
      <w:r>
        <w:rPr>
          <w:rFonts w:ascii="Times New Roman" w:eastAsia="宋体" w:hAnsi="Times New Roman"/>
          <w:color w:val="000000"/>
          <w:sz w:val="20"/>
          <w:szCs w:val="20"/>
        </w:rPr>
        <w:t>From time t</w:t>
      </w:r>
      <w:r>
        <w:rPr>
          <w:rFonts w:ascii="Times New Roman" w:eastAsia="宋体" w:hAnsi="Times New Roman"/>
          <w:color w:val="000000"/>
          <w:sz w:val="20"/>
          <w:szCs w:val="20"/>
        </w:rPr>
        <w:t>o time, we enter into designated cash flow hedges to manage the variability in cash flows due to changes in benchmark interest rates. We enter into interest rate swap agreements and treasury locks, which are synthetic forward sales of U.S. treasury securit</w:t>
      </w:r>
      <w:r>
        <w:rPr>
          <w:rFonts w:ascii="Times New Roman" w:eastAsia="宋体" w:hAnsi="Times New Roman"/>
          <w:color w:val="000000"/>
          <w:sz w:val="20"/>
          <w:szCs w:val="20"/>
        </w:rPr>
        <w:t>ies settled in cash based upon the difference between an agreed-upon treasury rate and the prevailing treasury rate at settlement. These agreements are cash settled at the time of the pricing of the related debt. Each derivative agreement's gain or loss is</w:t>
      </w:r>
      <w:r>
        <w:rPr>
          <w:rFonts w:ascii="Times New Roman" w:eastAsia="宋体" w:hAnsi="Times New Roman"/>
          <w:color w:val="000000"/>
          <w:sz w:val="20"/>
          <w:szCs w:val="20"/>
        </w:rPr>
        <w:t xml:space="preserve"> recorded in AOCI and is subsequently reclassified to interest expense over the life of the related debt.</w:t>
      </w:r>
    </w:p>
    <w:p w14:paraId="40CB065A" w14:textId="77777777" w:rsidR="00584FB3" w:rsidRDefault="00786180">
      <w:pPr>
        <w:spacing w:before="120"/>
      </w:pPr>
      <w:r>
        <w:rPr>
          <w:rFonts w:ascii="Times New Roman" w:eastAsia="宋体" w:hAnsi="Times New Roman"/>
          <w:color w:val="000000"/>
          <w:sz w:val="20"/>
          <w:szCs w:val="20"/>
        </w:rPr>
        <w:t>To hedge the exposure to changes in the fair value of our fixed-rate debt, we enter into interest rate swap agreements, which are designated as fair v</w:t>
      </w:r>
      <w:r>
        <w:rPr>
          <w:rFonts w:ascii="Times New Roman" w:eastAsia="宋体" w:hAnsi="Times New Roman"/>
          <w:color w:val="000000"/>
          <w:sz w:val="20"/>
          <w:szCs w:val="20"/>
        </w:rPr>
        <w:t>alue hedges. The changes in fair values of these derivative instruments and the offsetting changes in fair values of the underlying hedged debt due to changes in the relevant benchmark interest rates are recorded in interest expense. Refer to </w:t>
      </w:r>
      <w:hyperlink r:id="rId78" w:anchor="i11706e4b673c41db9f2dcbdb897203bb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Debt, for additional information on our long-term debt.</w:t>
      </w:r>
    </w:p>
    <w:p w14:paraId="40CB065B" w14:textId="77777777" w:rsidR="00584FB3" w:rsidRDefault="00786180">
      <w:pPr>
        <w:spacing w:before="120"/>
      </w:pPr>
      <w:r>
        <w:rPr>
          <w:rFonts w:ascii="Times New Roman" w:eastAsia="宋体" w:hAnsi="Times New Roman"/>
          <w:b/>
          <w:bCs/>
          <w:i/>
          <w:iCs/>
          <w:color w:val="000000"/>
          <w:sz w:val="20"/>
          <w:szCs w:val="20"/>
        </w:rPr>
        <w:t xml:space="preserve">Foreign Currency </w:t>
      </w:r>
    </w:p>
    <w:p w14:paraId="40CB065C" w14:textId="77777777" w:rsidR="00584FB3" w:rsidRDefault="00786180">
      <w:pPr>
        <w:spacing w:before="120"/>
      </w:pPr>
      <w:r>
        <w:rPr>
          <w:rFonts w:ascii="Times New Roman" w:eastAsia="宋体" w:hAnsi="Times New Roman"/>
          <w:color w:val="000000"/>
          <w:sz w:val="20"/>
          <w:szCs w:val="20"/>
        </w:rPr>
        <w:t>To reduce cash flow volatility fr</w:t>
      </w:r>
      <w:r>
        <w:rPr>
          <w:rFonts w:ascii="Times New Roman" w:eastAsia="宋体" w:hAnsi="Times New Roman"/>
          <w:color w:val="000000"/>
          <w:sz w:val="20"/>
          <w:szCs w:val="20"/>
        </w:rPr>
        <w:t xml:space="preserve">om foreign currency fluctuations, we enter into forward and swap contracts to hedge portions of cash flows of anticipated intercompany royalty payments, inventory purchases, and intercompany borrowing and lending activities. The resulting gains and losses </w:t>
      </w:r>
      <w:r>
        <w:rPr>
          <w:rFonts w:ascii="Times New Roman" w:eastAsia="宋体" w:hAnsi="Times New Roman"/>
          <w:color w:val="000000"/>
          <w:sz w:val="20"/>
          <w:szCs w:val="20"/>
        </w:rPr>
        <w:t>from these derivatives are recorded in AOCI and subsequently reclassified to revenue, product and distribution costs, or interest income and other, net, respectively, when the hedged exposures affect net earnings.</w:t>
      </w:r>
    </w:p>
    <w:p w14:paraId="40CB065D" w14:textId="77777777" w:rsidR="00584FB3" w:rsidRDefault="00786180">
      <w:pPr>
        <w:spacing w:before="120"/>
      </w:pPr>
      <w:r>
        <w:rPr>
          <w:rFonts w:ascii="Times New Roman" w:eastAsia="宋体" w:hAnsi="Times New Roman"/>
          <w:color w:val="000000"/>
          <w:sz w:val="20"/>
          <w:szCs w:val="20"/>
        </w:rPr>
        <w:t>From time to time, we may enter into finan</w:t>
      </w:r>
      <w:r>
        <w:rPr>
          <w:rFonts w:ascii="Times New Roman" w:eastAsia="宋体" w:hAnsi="Times New Roman"/>
          <w:color w:val="000000"/>
          <w:sz w:val="20"/>
          <w:szCs w:val="20"/>
        </w:rPr>
        <w:t>cial instruments, including, but not limited to, forward and swap contracts or foreign currency-denominated debt, to hedge the currency exposure of our net investments in certain international operations. The resulting gains and losses from these derivativ</w:t>
      </w:r>
      <w:r>
        <w:rPr>
          <w:rFonts w:ascii="Times New Roman" w:eastAsia="宋体" w:hAnsi="Times New Roman"/>
          <w:color w:val="000000"/>
          <w:sz w:val="20"/>
          <w:szCs w:val="20"/>
        </w:rPr>
        <w:t>es are recorded in AOCI and are subsequently reclassified to net earnings when the hedged net investment is either sold or substantially liquidated.</w:t>
      </w:r>
    </w:p>
    <w:p w14:paraId="40CB065E" w14:textId="77777777" w:rsidR="00584FB3" w:rsidRDefault="00786180">
      <w:pPr>
        <w:spacing w:before="120"/>
      </w:pPr>
      <w:r>
        <w:rPr>
          <w:rFonts w:ascii="Times New Roman" w:eastAsia="宋体" w:hAnsi="Times New Roman"/>
          <w:color w:val="000000"/>
          <w:sz w:val="20"/>
          <w:szCs w:val="20"/>
        </w:rPr>
        <w:t xml:space="preserve">Foreign currency forward and swap contracts not designated as hedging instruments are used to mitigate the </w:t>
      </w:r>
      <w:r>
        <w:rPr>
          <w:rFonts w:ascii="Times New Roman" w:eastAsia="宋体" w:hAnsi="Times New Roman"/>
          <w:color w:val="000000"/>
          <w:sz w:val="20"/>
          <w:szCs w:val="20"/>
        </w:rPr>
        <w:t>foreign exchange risk of certain other balance sheet items. Gains and losses from these derivatives are largely offset by the financial impact of translating foreign currency-denominated payables and receivables; these gains and losses are recorded in inte</w:t>
      </w:r>
      <w:r>
        <w:rPr>
          <w:rFonts w:ascii="Times New Roman" w:eastAsia="宋体" w:hAnsi="Times New Roman"/>
          <w:color w:val="000000"/>
          <w:sz w:val="20"/>
          <w:szCs w:val="20"/>
        </w:rPr>
        <w:t>rest income and other, net.</w:t>
      </w:r>
    </w:p>
    <w:p w14:paraId="40CB065F" w14:textId="77777777" w:rsidR="00584FB3" w:rsidRDefault="00786180">
      <w:pPr>
        <w:jc w:val="center"/>
      </w:pPr>
      <w:r>
        <w:rPr>
          <w:rFonts w:ascii="Times New Roman" w:eastAsia="宋体" w:hAnsi="Times New Roman"/>
          <w:color w:val="000000"/>
          <w:sz w:val="20"/>
          <w:szCs w:val="20"/>
        </w:rPr>
        <w:t>10</w:t>
      </w:r>
    </w:p>
    <w:p w14:paraId="40CB0660" w14:textId="77777777" w:rsidR="00584FB3" w:rsidRDefault="00786180">
      <w:r>
        <w:pict w14:anchorId="40CB2A3F">
          <v:rect id="_x0000_i1034" style="width:415.3pt;height:1.5pt" o:hralign="center" o:hrstd="t" o:hr="t" fillcolor="#a0a0a0" stroked="f"/>
        </w:pict>
      </w:r>
    </w:p>
    <w:p w14:paraId="40CB0661" w14:textId="77777777" w:rsidR="00584FB3" w:rsidRDefault="00786180">
      <w:hyperlink r:id="rId79" w:anchor="i11706e4b673c41db9f2dcbdb897203bb_7" w:history="1">
        <w:r>
          <w:rPr>
            <w:rStyle w:val="a5"/>
            <w:rFonts w:ascii="Times New Roman" w:eastAsia="宋体" w:hAnsi="Times New Roman"/>
            <w:sz w:val="20"/>
            <w:szCs w:val="20"/>
          </w:rPr>
          <w:t>Table of Contents</w:t>
        </w:r>
      </w:hyperlink>
    </w:p>
    <w:p w14:paraId="40CB0662" w14:textId="77777777" w:rsidR="00584FB3" w:rsidRDefault="00786180">
      <w:pPr>
        <w:spacing w:before="120"/>
      </w:pPr>
      <w:r>
        <w:rPr>
          <w:rFonts w:ascii="Times New Roman" w:eastAsia="宋体" w:hAnsi="Times New Roman"/>
          <w:b/>
          <w:bCs/>
          <w:i/>
          <w:iCs/>
          <w:color w:val="000000"/>
          <w:sz w:val="20"/>
          <w:szCs w:val="20"/>
        </w:rPr>
        <w:t>Commodities</w:t>
      </w:r>
    </w:p>
    <w:p w14:paraId="40CB0663" w14:textId="77777777" w:rsidR="00584FB3" w:rsidRDefault="00786180">
      <w:pPr>
        <w:spacing w:before="120"/>
      </w:pPr>
      <w:r>
        <w:rPr>
          <w:rFonts w:ascii="Times New Roman" w:eastAsia="宋体" w:hAnsi="Times New Roman"/>
          <w:color w:val="000000"/>
          <w:sz w:val="20"/>
          <w:szCs w:val="20"/>
        </w:rPr>
        <w:t xml:space="preserve">Depending on market conditions, we may enter into coffee forward contracts, futures contracts and collars to hedge anticipated cash flows under our price-to-be-fixed green coffee contracts, which are described further in </w:t>
      </w:r>
      <w:hyperlink r:id="rId80" w:anchor="i11706e4b673c41db9f2dcbdb897203bb_49" w:history="1">
        <w:r>
          <w:rPr>
            <w:rStyle w:val="a5"/>
            <w:rFonts w:ascii="Times New Roman" w:eastAsia="宋体" w:hAnsi="Times New Roman"/>
            <w:sz w:val="20"/>
            <w:szCs w:val="20"/>
          </w:rPr>
          <w:t>Note 4</w:t>
        </w:r>
      </w:hyperlink>
      <w:hyperlink r:id="rId81" w:anchor="i11706e4b673c41db9f2dcbdb897203bb_49" w:history="1">
        <w:r>
          <w:rPr>
            <w:rStyle w:val="a5"/>
            <w:rFonts w:ascii="Times New Roman" w:eastAsia="宋体" w:hAnsi="Times New Roman"/>
            <w:sz w:val="20"/>
            <w:szCs w:val="20"/>
          </w:rPr>
          <w:t>,</w:t>
        </w:r>
      </w:hyperlink>
      <w:r>
        <w:rPr>
          <w:rFonts w:ascii="Times New Roman" w:eastAsia="宋体" w:hAnsi="Times New Roman"/>
          <w:color w:val="000000"/>
          <w:sz w:val="20"/>
          <w:szCs w:val="20"/>
        </w:rPr>
        <w:t xml:space="preserve"> Inventories, or our longer-dated forecasted coffee demand where underlying fixed price and price-to-be-fixed contracts are not yet available. The resulting gains and losses are recorded in AOCI and are subsequently reclassified to </w:t>
      </w:r>
      <w:r>
        <w:rPr>
          <w:rFonts w:ascii="Times New Roman" w:eastAsia="宋体" w:hAnsi="Times New Roman"/>
          <w:color w:val="000000"/>
          <w:sz w:val="20"/>
          <w:szCs w:val="20"/>
        </w:rPr>
        <w:t>product and distribution costs when the hedged exposure affects net earnings.</w:t>
      </w:r>
    </w:p>
    <w:p w14:paraId="40CB0664" w14:textId="77777777" w:rsidR="00584FB3" w:rsidRDefault="00786180">
      <w:pPr>
        <w:spacing w:before="120"/>
      </w:pPr>
      <w:r>
        <w:rPr>
          <w:rFonts w:ascii="Times New Roman" w:eastAsia="宋体" w:hAnsi="Times New Roman"/>
          <w:color w:val="000000"/>
          <w:sz w:val="20"/>
          <w:szCs w:val="20"/>
        </w:rPr>
        <w:t>Depending on market conditions, we may also enter into dairy forward contracts and futures contracts to hedge a portion of anticipated cash flows under our dairy purchase contrac</w:t>
      </w:r>
      <w:r>
        <w:rPr>
          <w:rFonts w:ascii="Times New Roman" w:eastAsia="宋体" w:hAnsi="Times New Roman"/>
          <w:color w:val="000000"/>
          <w:sz w:val="20"/>
          <w:szCs w:val="20"/>
        </w:rPr>
        <w:t>ts and our forecasted dairy demand. The resulting gains or losses are recorded in AOCI and are subsequently reclassified to product and distribution costs when the hedged exposure affects net earnings.</w:t>
      </w:r>
    </w:p>
    <w:p w14:paraId="40CB0665" w14:textId="77777777" w:rsidR="00584FB3" w:rsidRDefault="00786180">
      <w:pPr>
        <w:spacing w:before="120"/>
      </w:pPr>
      <w:r>
        <w:rPr>
          <w:rFonts w:ascii="Times New Roman" w:eastAsia="宋体" w:hAnsi="Times New Roman"/>
          <w:color w:val="000000"/>
          <w:sz w:val="20"/>
          <w:szCs w:val="20"/>
        </w:rPr>
        <w:t>Cash flow hedges related to anticipated transactions a</w:t>
      </w:r>
      <w:r>
        <w:rPr>
          <w:rFonts w:ascii="Times New Roman" w:eastAsia="宋体" w:hAnsi="Times New Roman"/>
          <w:color w:val="000000"/>
          <w:sz w:val="20"/>
          <w:szCs w:val="20"/>
        </w:rPr>
        <w:t>re designated and documented at the inception of each hedge. Cash flows from hedging transactions are classified in the same categories as the cash flows from the respective hedged items. For de-designated cash flow hedges in which the underlying transacti</w:t>
      </w:r>
      <w:r>
        <w:rPr>
          <w:rFonts w:ascii="Times New Roman" w:eastAsia="宋体" w:hAnsi="Times New Roman"/>
          <w:color w:val="000000"/>
          <w:sz w:val="20"/>
          <w:szCs w:val="20"/>
        </w:rPr>
        <w:t>ons are no longer probable of occurring, the related accumulated derivative gains or losses are recognized in interest income and other, net on our consolidated statements of earnings. There was no such significant cash flow hedge dedesignations in the per</w:t>
      </w:r>
      <w:r>
        <w:rPr>
          <w:rFonts w:ascii="Times New Roman" w:eastAsia="宋体" w:hAnsi="Times New Roman"/>
          <w:color w:val="000000"/>
          <w:sz w:val="20"/>
          <w:szCs w:val="20"/>
        </w:rPr>
        <w:t>iods presented.</w:t>
      </w:r>
    </w:p>
    <w:p w14:paraId="40CB0666" w14:textId="77777777" w:rsidR="00584FB3" w:rsidRDefault="00786180">
      <w:pPr>
        <w:spacing w:before="120"/>
      </w:pPr>
      <w:r>
        <w:rPr>
          <w:rFonts w:ascii="Times New Roman" w:eastAsia="宋体" w:hAnsi="Times New Roman"/>
          <w:color w:val="000000"/>
          <w:sz w:val="20"/>
          <w:szCs w:val="20"/>
        </w:rPr>
        <w:t>To mitigate the price uncertainty of a portion of our future purchases, including diesel fuel and other commodities, we enter into swap contracts, futures and collars that are not designated as hedging instruments. The resulting gains and l</w:t>
      </w:r>
      <w:r>
        <w:rPr>
          <w:rFonts w:ascii="Times New Roman" w:eastAsia="宋体" w:hAnsi="Times New Roman"/>
          <w:color w:val="000000"/>
          <w:sz w:val="20"/>
          <w:szCs w:val="20"/>
        </w:rPr>
        <w:t>osses are recorded in interest income and other, net to help offset price fluctuations on our beverage, food, packaging and transportation costs, which are included in product and distribution costs on our consolidated statements of earnings.</w:t>
      </w:r>
    </w:p>
    <w:p w14:paraId="40CB0667" w14:textId="77777777" w:rsidR="00584FB3" w:rsidRDefault="00786180">
      <w:pPr>
        <w:spacing w:before="120"/>
      </w:pPr>
      <w:r>
        <w:rPr>
          <w:rFonts w:ascii="Times New Roman" w:eastAsia="宋体" w:hAnsi="Times New Roman"/>
          <w:color w:val="000000"/>
          <w:sz w:val="20"/>
          <w:szCs w:val="20"/>
        </w:rPr>
        <w:t xml:space="preserve">Gains and </w:t>
      </w:r>
      <w:r>
        <w:rPr>
          <w:rFonts w:ascii="Times New Roman" w:eastAsia="宋体" w:hAnsi="Times New Roman"/>
          <w:color w:val="000000"/>
          <w:sz w:val="20"/>
          <w:szCs w:val="20"/>
        </w:rPr>
        <w:t>losses on derivative contracts and foreign currency-denominated debt designated as hedging instruments included in AOCI and expected to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3"/>
        <w:gridCol w:w="2591"/>
        <w:gridCol w:w="37"/>
        <w:gridCol w:w="121"/>
        <w:gridCol w:w="1200"/>
        <w:gridCol w:w="36"/>
        <w:gridCol w:w="36"/>
        <w:gridCol w:w="36"/>
        <w:gridCol w:w="36"/>
        <w:gridCol w:w="120"/>
        <w:gridCol w:w="1200"/>
        <w:gridCol w:w="36"/>
        <w:gridCol w:w="36"/>
        <w:gridCol w:w="36"/>
        <w:gridCol w:w="36"/>
        <w:gridCol w:w="121"/>
        <w:gridCol w:w="1200"/>
        <w:gridCol w:w="36"/>
        <w:gridCol w:w="36"/>
        <w:gridCol w:w="36"/>
        <w:gridCol w:w="36"/>
        <w:gridCol w:w="64"/>
        <w:gridCol w:w="1159"/>
        <w:gridCol w:w="36"/>
      </w:tblGrid>
      <w:tr w:rsidR="00584FB3" w14:paraId="40CB0680" w14:textId="77777777">
        <w:tc>
          <w:tcPr>
            <w:tcW w:w="50" w:type="pct"/>
            <w:shd w:val="clear" w:color="auto" w:fill="auto"/>
          </w:tcPr>
          <w:p w14:paraId="40CB0668" w14:textId="77777777" w:rsidR="00584FB3" w:rsidRDefault="00584FB3">
            <w:pPr>
              <w:rPr>
                <w:rFonts w:ascii="宋体"/>
              </w:rPr>
            </w:pPr>
          </w:p>
        </w:tc>
        <w:tc>
          <w:tcPr>
            <w:tcW w:w="1606" w:type="pct"/>
            <w:shd w:val="clear" w:color="auto" w:fill="auto"/>
          </w:tcPr>
          <w:p w14:paraId="40CB0669" w14:textId="77777777" w:rsidR="00584FB3" w:rsidRDefault="00584FB3">
            <w:pPr>
              <w:rPr>
                <w:rFonts w:ascii="宋体"/>
              </w:rPr>
            </w:pPr>
          </w:p>
        </w:tc>
        <w:tc>
          <w:tcPr>
            <w:tcW w:w="5" w:type="pct"/>
            <w:shd w:val="clear" w:color="auto" w:fill="auto"/>
          </w:tcPr>
          <w:p w14:paraId="40CB066A" w14:textId="77777777" w:rsidR="00584FB3" w:rsidRDefault="00584FB3">
            <w:pPr>
              <w:rPr>
                <w:rFonts w:ascii="宋体"/>
              </w:rPr>
            </w:pPr>
          </w:p>
        </w:tc>
        <w:tc>
          <w:tcPr>
            <w:tcW w:w="50" w:type="pct"/>
            <w:shd w:val="clear" w:color="auto" w:fill="auto"/>
          </w:tcPr>
          <w:p w14:paraId="40CB066B" w14:textId="77777777" w:rsidR="00584FB3" w:rsidRDefault="00584FB3">
            <w:pPr>
              <w:rPr>
                <w:rFonts w:ascii="宋体"/>
              </w:rPr>
            </w:pPr>
          </w:p>
        </w:tc>
        <w:tc>
          <w:tcPr>
            <w:tcW w:w="757" w:type="pct"/>
            <w:shd w:val="clear" w:color="auto" w:fill="auto"/>
          </w:tcPr>
          <w:p w14:paraId="40CB066C" w14:textId="77777777" w:rsidR="00584FB3" w:rsidRDefault="00584FB3">
            <w:pPr>
              <w:rPr>
                <w:rFonts w:ascii="宋体"/>
              </w:rPr>
            </w:pPr>
          </w:p>
        </w:tc>
        <w:tc>
          <w:tcPr>
            <w:tcW w:w="5" w:type="pct"/>
            <w:shd w:val="clear" w:color="auto" w:fill="auto"/>
          </w:tcPr>
          <w:p w14:paraId="40CB066D" w14:textId="77777777" w:rsidR="00584FB3" w:rsidRDefault="00584FB3">
            <w:pPr>
              <w:rPr>
                <w:rFonts w:ascii="宋体"/>
              </w:rPr>
            </w:pPr>
          </w:p>
        </w:tc>
        <w:tc>
          <w:tcPr>
            <w:tcW w:w="5" w:type="pct"/>
            <w:shd w:val="clear" w:color="auto" w:fill="auto"/>
          </w:tcPr>
          <w:p w14:paraId="40CB066E" w14:textId="77777777" w:rsidR="00584FB3" w:rsidRDefault="00584FB3">
            <w:pPr>
              <w:rPr>
                <w:rFonts w:ascii="宋体"/>
              </w:rPr>
            </w:pPr>
          </w:p>
        </w:tc>
        <w:tc>
          <w:tcPr>
            <w:tcW w:w="19" w:type="pct"/>
            <w:shd w:val="clear" w:color="auto" w:fill="auto"/>
          </w:tcPr>
          <w:p w14:paraId="40CB066F" w14:textId="77777777" w:rsidR="00584FB3" w:rsidRDefault="00584FB3">
            <w:pPr>
              <w:rPr>
                <w:rFonts w:ascii="宋体"/>
              </w:rPr>
            </w:pPr>
          </w:p>
        </w:tc>
        <w:tc>
          <w:tcPr>
            <w:tcW w:w="5" w:type="pct"/>
            <w:shd w:val="clear" w:color="auto" w:fill="auto"/>
          </w:tcPr>
          <w:p w14:paraId="40CB0670" w14:textId="77777777" w:rsidR="00584FB3" w:rsidRDefault="00584FB3">
            <w:pPr>
              <w:rPr>
                <w:rFonts w:ascii="宋体"/>
              </w:rPr>
            </w:pPr>
          </w:p>
        </w:tc>
        <w:tc>
          <w:tcPr>
            <w:tcW w:w="50" w:type="pct"/>
            <w:shd w:val="clear" w:color="auto" w:fill="auto"/>
          </w:tcPr>
          <w:p w14:paraId="40CB0671" w14:textId="77777777" w:rsidR="00584FB3" w:rsidRDefault="00584FB3">
            <w:pPr>
              <w:rPr>
                <w:rFonts w:ascii="宋体"/>
              </w:rPr>
            </w:pPr>
          </w:p>
        </w:tc>
        <w:tc>
          <w:tcPr>
            <w:tcW w:w="757" w:type="pct"/>
            <w:shd w:val="clear" w:color="auto" w:fill="auto"/>
          </w:tcPr>
          <w:p w14:paraId="40CB0672" w14:textId="77777777" w:rsidR="00584FB3" w:rsidRDefault="00584FB3">
            <w:pPr>
              <w:rPr>
                <w:rFonts w:ascii="宋体"/>
              </w:rPr>
            </w:pPr>
          </w:p>
        </w:tc>
        <w:tc>
          <w:tcPr>
            <w:tcW w:w="5" w:type="pct"/>
            <w:shd w:val="clear" w:color="auto" w:fill="auto"/>
          </w:tcPr>
          <w:p w14:paraId="40CB0673" w14:textId="77777777" w:rsidR="00584FB3" w:rsidRDefault="00584FB3">
            <w:pPr>
              <w:rPr>
                <w:rFonts w:ascii="宋体"/>
              </w:rPr>
            </w:pPr>
          </w:p>
        </w:tc>
        <w:tc>
          <w:tcPr>
            <w:tcW w:w="5" w:type="pct"/>
            <w:shd w:val="clear" w:color="auto" w:fill="auto"/>
          </w:tcPr>
          <w:p w14:paraId="40CB0674" w14:textId="77777777" w:rsidR="00584FB3" w:rsidRDefault="00584FB3">
            <w:pPr>
              <w:rPr>
                <w:rFonts w:ascii="宋体"/>
              </w:rPr>
            </w:pPr>
          </w:p>
        </w:tc>
        <w:tc>
          <w:tcPr>
            <w:tcW w:w="19" w:type="pct"/>
            <w:shd w:val="clear" w:color="auto" w:fill="auto"/>
          </w:tcPr>
          <w:p w14:paraId="40CB0675" w14:textId="77777777" w:rsidR="00584FB3" w:rsidRDefault="00584FB3">
            <w:pPr>
              <w:rPr>
                <w:rFonts w:ascii="宋体"/>
              </w:rPr>
            </w:pPr>
          </w:p>
        </w:tc>
        <w:tc>
          <w:tcPr>
            <w:tcW w:w="5" w:type="pct"/>
            <w:shd w:val="clear" w:color="auto" w:fill="auto"/>
          </w:tcPr>
          <w:p w14:paraId="40CB0676" w14:textId="77777777" w:rsidR="00584FB3" w:rsidRDefault="00584FB3">
            <w:pPr>
              <w:rPr>
                <w:rFonts w:ascii="宋体"/>
              </w:rPr>
            </w:pPr>
          </w:p>
        </w:tc>
        <w:tc>
          <w:tcPr>
            <w:tcW w:w="50" w:type="pct"/>
            <w:shd w:val="clear" w:color="auto" w:fill="auto"/>
          </w:tcPr>
          <w:p w14:paraId="40CB0677" w14:textId="77777777" w:rsidR="00584FB3" w:rsidRDefault="00584FB3">
            <w:pPr>
              <w:rPr>
                <w:rFonts w:ascii="宋体"/>
              </w:rPr>
            </w:pPr>
          </w:p>
        </w:tc>
        <w:tc>
          <w:tcPr>
            <w:tcW w:w="757" w:type="pct"/>
            <w:shd w:val="clear" w:color="auto" w:fill="auto"/>
          </w:tcPr>
          <w:p w14:paraId="40CB0678" w14:textId="77777777" w:rsidR="00584FB3" w:rsidRDefault="00584FB3">
            <w:pPr>
              <w:rPr>
                <w:rFonts w:ascii="宋体"/>
              </w:rPr>
            </w:pPr>
          </w:p>
        </w:tc>
        <w:tc>
          <w:tcPr>
            <w:tcW w:w="5" w:type="pct"/>
            <w:shd w:val="clear" w:color="auto" w:fill="auto"/>
          </w:tcPr>
          <w:p w14:paraId="40CB0679" w14:textId="77777777" w:rsidR="00584FB3" w:rsidRDefault="00584FB3">
            <w:pPr>
              <w:rPr>
                <w:rFonts w:ascii="宋体"/>
              </w:rPr>
            </w:pPr>
          </w:p>
        </w:tc>
        <w:tc>
          <w:tcPr>
            <w:tcW w:w="5" w:type="pct"/>
            <w:shd w:val="clear" w:color="auto" w:fill="auto"/>
          </w:tcPr>
          <w:p w14:paraId="40CB067A" w14:textId="77777777" w:rsidR="00584FB3" w:rsidRDefault="00584FB3">
            <w:pPr>
              <w:rPr>
                <w:rFonts w:ascii="宋体"/>
              </w:rPr>
            </w:pPr>
          </w:p>
        </w:tc>
        <w:tc>
          <w:tcPr>
            <w:tcW w:w="19" w:type="pct"/>
            <w:shd w:val="clear" w:color="auto" w:fill="auto"/>
          </w:tcPr>
          <w:p w14:paraId="40CB067B" w14:textId="77777777" w:rsidR="00584FB3" w:rsidRDefault="00584FB3">
            <w:pPr>
              <w:rPr>
                <w:rFonts w:ascii="宋体"/>
              </w:rPr>
            </w:pPr>
          </w:p>
        </w:tc>
        <w:tc>
          <w:tcPr>
            <w:tcW w:w="5" w:type="pct"/>
            <w:shd w:val="clear" w:color="auto" w:fill="auto"/>
          </w:tcPr>
          <w:p w14:paraId="40CB067C" w14:textId="77777777" w:rsidR="00584FB3" w:rsidRDefault="00584FB3">
            <w:pPr>
              <w:rPr>
                <w:rFonts w:ascii="宋体"/>
              </w:rPr>
            </w:pPr>
          </w:p>
        </w:tc>
        <w:tc>
          <w:tcPr>
            <w:tcW w:w="50" w:type="pct"/>
            <w:shd w:val="clear" w:color="auto" w:fill="auto"/>
          </w:tcPr>
          <w:p w14:paraId="40CB067D" w14:textId="77777777" w:rsidR="00584FB3" w:rsidRDefault="00584FB3">
            <w:pPr>
              <w:rPr>
                <w:rFonts w:ascii="宋体"/>
              </w:rPr>
            </w:pPr>
          </w:p>
        </w:tc>
        <w:tc>
          <w:tcPr>
            <w:tcW w:w="757" w:type="pct"/>
            <w:shd w:val="clear" w:color="auto" w:fill="auto"/>
          </w:tcPr>
          <w:p w14:paraId="40CB067E" w14:textId="77777777" w:rsidR="00584FB3" w:rsidRDefault="00584FB3">
            <w:pPr>
              <w:rPr>
                <w:rFonts w:ascii="宋体"/>
              </w:rPr>
            </w:pPr>
          </w:p>
        </w:tc>
        <w:tc>
          <w:tcPr>
            <w:tcW w:w="5" w:type="pct"/>
            <w:shd w:val="clear" w:color="auto" w:fill="auto"/>
          </w:tcPr>
          <w:p w14:paraId="40CB067F" w14:textId="77777777" w:rsidR="00584FB3" w:rsidRDefault="00584FB3">
            <w:pPr>
              <w:rPr>
                <w:rFonts w:ascii="宋体"/>
              </w:rPr>
            </w:pPr>
          </w:p>
        </w:tc>
      </w:tr>
      <w:tr w:rsidR="00584FB3" w14:paraId="40CB0689" w14:textId="77777777">
        <w:trPr>
          <w:trHeight w:val="640"/>
        </w:trPr>
        <w:tc>
          <w:tcPr>
            <w:tcW w:w="0" w:type="auto"/>
            <w:gridSpan w:val="3"/>
            <w:shd w:val="clear" w:color="auto" w:fill="auto"/>
            <w:tcMar>
              <w:top w:w="0" w:type="dxa"/>
              <w:left w:w="20" w:type="dxa"/>
              <w:bottom w:w="0" w:type="dxa"/>
              <w:right w:w="20" w:type="dxa"/>
            </w:tcMar>
          </w:tcPr>
          <w:p w14:paraId="40CB0681"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682" w14:textId="77777777" w:rsidR="00584FB3" w:rsidRDefault="00786180">
            <w:pPr>
              <w:jc w:val="center"/>
              <w:textAlignment w:val="bottom"/>
            </w:pPr>
            <w:r>
              <w:rPr>
                <w:rFonts w:ascii="Times New Roman" w:eastAsia="宋体" w:hAnsi="Times New Roman"/>
                <w:b/>
                <w:bCs/>
                <w:color w:val="FFFFFF"/>
                <w:sz w:val="16"/>
                <w:szCs w:val="16"/>
              </w:rPr>
              <w:t xml:space="preserve">Net Gains/(Losses) </w:t>
            </w:r>
          </w:p>
          <w:p w14:paraId="40CB0683" w14:textId="77777777" w:rsidR="00584FB3" w:rsidRDefault="00786180">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tcPr>
          <w:p w14:paraId="40CB0684"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685" w14:textId="77777777" w:rsidR="00584FB3" w:rsidRDefault="00786180">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tcPr>
          <w:p w14:paraId="40CB0686"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687" w14:textId="77777777" w:rsidR="00584FB3" w:rsidRDefault="00786180">
            <w:pPr>
              <w:jc w:val="center"/>
              <w:textAlignment w:val="bottom"/>
            </w:pPr>
            <w:r>
              <w:rPr>
                <w:rFonts w:ascii="Times New Roman" w:eastAsia="宋体" w:hAnsi="Times New Roman"/>
                <w:b/>
                <w:bCs/>
                <w:color w:val="FFFFFF"/>
                <w:sz w:val="16"/>
                <w:szCs w:val="16"/>
              </w:rPr>
              <w:t>Outstanding Contract/Debt Remaining Maturity</w:t>
            </w:r>
          </w:p>
          <w:p w14:paraId="40CB0688" w14:textId="77777777" w:rsidR="00584FB3" w:rsidRDefault="00786180">
            <w:pPr>
              <w:jc w:val="center"/>
              <w:textAlignment w:val="bottom"/>
            </w:pPr>
            <w:r>
              <w:rPr>
                <w:rFonts w:ascii="Times New Roman" w:eastAsia="宋体" w:hAnsi="Times New Roman"/>
                <w:b/>
                <w:bCs/>
                <w:color w:val="FFFFFF"/>
                <w:sz w:val="16"/>
                <w:szCs w:val="16"/>
              </w:rPr>
              <w:t>(Months)</w:t>
            </w:r>
          </w:p>
        </w:tc>
      </w:tr>
      <w:tr w:rsidR="00584FB3" w14:paraId="40CB0692" w14:textId="77777777">
        <w:trPr>
          <w:trHeight w:val="300"/>
        </w:trPr>
        <w:tc>
          <w:tcPr>
            <w:tcW w:w="0" w:type="auto"/>
            <w:gridSpan w:val="3"/>
            <w:shd w:val="clear" w:color="auto" w:fill="auto"/>
            <w:tcMar>
              <w:top w:w="0" w:type="dxa"/>
              <w:left w:w="20" w:type="dxa"/>
              <w:bottom w:w="0" w:type="dxa"/>
              <w:right w:w="20" w:type="dxa"/>
            </w:tcMar>
          </w:tcPr>
          <w:p w14:paraId="40CB068A"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68B"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68C"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68D" w14:textId="77777777" w:rsidR="00584FB3" w:rsidRDefault="00786180">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40CB068E"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68F"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0690"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691" w14:textId="77777777" w:rsidR="00584FB3" w:rsidRDefault="00584FB3">
            <w:pPr>
              <w:rPr>
                <w:rFonts w:ascii="宋体"/>
              </w:rPr>
            </w:pPr>
          </w:p>
        </w:tc>
      </w:tr>
      <w:tr w:rsidR="00584FB3" w14:paraId="40CB069B" w14:textId="77777777">
        <w:tc>
          <w:tcPr>
            <w:tcW w:w="0" w:type="auto"/>
            <w:gridSpan w:val="3"/>
            <w:shd w:val="clear" w:color="auto" w:fill="D7E4BC"/>
            <w:tcMar>
              <w:top w:w="40" w:type="dxa"/>
              <w:left w:w="20" w:type="dxa"/>
              <w:bottom w:w="40" w:type="dxa"/>
              <w:right w:w="20" w:type="dxa"/>
            </w:tcMar>
          </w:tcPr>
          <w:p w14:paraId="40CB0693" w14:textId="77777777" w:rsidR="00584FB3" w:rsidRDefault="00786180">
            <w:pPr>
              <w:textAlignment w:val="top"/>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D7E4BC"/>
            <w:tcMar>
              <w:top w:w="0" w:type="dxa"/>
              <w:left w:w="20" w:type="dxa"/>
              <w:bottom w:w="0" w:type="dxa"/>
              <w:right w:w="20" w:type="dxa"/>
            </w:tcMar>
          </w:tcPr>
          <w:p w14:paraId="40CB069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95"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69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97"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69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99"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69A" w14:textId="77777777" w:rsidR="00584FB3" w:rsidRDefault="00584FB3">
            <w:pPr>
              <w:rPr>
                <w:rFonts w:ascii="宋体"/>
              </w:rPr>
            </w:pPr>
          </w:p>
        </w:tc>
      </w:tr>
      <w:tr w:rsidR="00584FB3" w14:paraId="40CB06AA" w14:textId="77777777">
        <w:tc>
          <w:tcPr>
            <w:tcW w:w="0" w:type="auto"/>
            <w:gridSpan w:val="3"/>
            <w:shd w:val="clear" w:color="auto" w:fill="FFFFFF"/>
            <w:tcMar>
              <w:top w:w="40" w:type="dxa"/>
              <w:left w:w="155" w:type="dxa"/>
              <w:bottom w:w="40" w:type="dxa"/>
              <w:right w:w="20" w:type="dxa"/>
            </w:tcMar>
          </w:tcPr>
          <w:p w14:paraId="40CB069C" w14:textId="77777777" w:rsidR="00584FB3" w:rsidRDefault="00786180">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40CB069D"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69E" w14:textId="77777777" w:rsidR="00584FB3" w:rsidRDefault="00786180">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left w:w="0" w:type="dxa"/>
              <w:bottom w:w="40" w:type="dxa"/>
              <w:right w:w="20" w:type="dxa"/>
            </w:tcMar>
            <w:vAlign w:val="bottom"/>
          </w:tcPr>
          <w:p w14:paraId="40CB069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A0"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6A1"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6A2" w14:textId="77777777" w:rsidR="00584FB3" w:rsidRDefault="00786180">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40CB06A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A4"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6A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6A6" w14:textId="77777777" w:rsidR="00584FB3" w:rsidRDefault="0078618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40CB06A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A8"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6A9" w14:textId="77777777" w:rsidR="00584FB3" w:rsidRDefault="00786180">
            <w:pPr>
              <w:jc w:val="center"/>
              <w:textAlignment w:val="bottom"/>
            </w:pPr>
            <w:r>
              <w:rPr>
                <w:rFonts w:ascii="Times New Roman" w:eastAsia="宋体" w:hAnsi="Times New Roman"/>
                <w:color w:val="000000"/>
                <w:sz w:val="20"/>
                <w:szCs w:val="20"/>
              </w:rPr>
              <w:t>12</w:t>
            </w:r>
          </w:p>
        </w:tc>
      </w:tr>
      <w:tr w:rsidR="00584FB3" w14:paraId="40CB06B6" w14:textId="77777777">
        <w:tc>
          <w:tcPr>
            <w:tcW w:w="0" w:type="auto"/>
            <w:gridSpan w:val="3"/>
            <w:shd w:val="clear" w:color="auto" w:fill="D7E4BC"/>
            <w:tcMar>
              <w:top w:w="40" w:type="dxa"/>
              <w:left w:w="155" w:type="dxa"/>
              <w:bottom w:w="40" w:type="dxa"/>
              <w:right w:w="20" w:type="dxa"/>
            </w:tcMar>
          </w:tcPr>
          <w:p w14:paraId="40CB06AB" w14:textId="77777777" w:rsidR="00584FB3" w:rsidRDefault="00786180">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40CB06AC" w14:textId="77777777" w:rsidR="00584FB3" w:rsidRDefault="00786180">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left w:w="0" w:type="dxa"/>
              <w:bottom w:w="40" w:type="dxa"/>
              <w:right w:w="20" w:type="dxa"/>
            </w:tcMar>
            <w:vAlign w:val="bottom"/>
          </w:tcPr>
          <w:p w14:paraId="40CB06A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A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6AF" w14:textId="77777777" w:rsidR="00584FB3" w:rsidRDefault="00786180">
            <w:pPr>
              <w:jc w:val="right"/>
              <w:textAlignment w:val="center"/>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center"/>
          </w:tcPr>
          <w:p w14:paraId="40CB06B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B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6B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6B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B4"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06B5" w14:textId="77777777" w:rsidR="00584FB3" w:rsidRDefault="00786180">
            <w:pPr>
              <w:jc w:val="center"/>
              <w:textAlignment w:val="bottom"/>
            </w:pPr>
            <w:r>
              <w:rPr>
                <w:rFonts w:ascii="Times New Roman" w:eastAsia="宋体" w:hAnsi="Times New Roman"/>
                <w:color w:val="000000"/>
                <w:sz w:val="20"/>
                <w:szCs w:val="20"/>
              </w:rPr>
              <w:t>47</w:t>
            </w:r>
          </w:p>
        </w:tc>
      </w:tr>
      <w:tr w:rsidR="00584FB3" w14:paraId="40CB06C2" w14:textId="77777777">
        <w:tc>
          <w:tcPr>
            <w:tcW w:w="0" w:type="auto"/>
            <w:gridSpan w:val="3"/>
            <w:shd w:val="clear" w:color="auto" w:fill="FFFFFF"/>
            <w:tcMar>
              <w:top w:w="40" w:type="dxa"/>
              <w:left w:w="140" w:type="dxa"/>
              <w:bottom w:w="40" w:type="dxa"/>
              <w:right w:w="20" w:type="dxa"/>
            </w:tcMar>
          </w:tcPr>
          <w:p w14:paraId="40CB06B7" w14:textId="77777777" w:rsidR="00584FB3" w:rsidRDefault="00786180">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40CB06B8" w14:textId="77777777" w:rsidR="00584FB3" w:rsidRDefault="00786180">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40CB06B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B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6BB" w14:textId="77777777" w:rsidR="00584FB3" w:rsidRDefault="00786180">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40CB06B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B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6BE" w14:textId="77777777" w:rsidR="00584FB3" w:rsidRDefault="00786180">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40CB06B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C0"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6C1" w14:textId="77777777" w:rsidR="00584FB3" w:rsidRDefault="00786180">
            <w:pPr>
              <w:jc w:val="center"/>
              <w:textAlignment w:val="bottom"/>
            </w:pPr>
            <w:r>
              <w:rPr>
                <w:rFonts w:ascii="Times New Roman" w:eastAsia="宋体" w:hAnsi="Times New Roman"/>
                <w:color w:val="000000"/>
                <w:sz w:val="20"/>
                <w:szCs w:val="20"/>
              </w:rPr>
              <w:t>8</w:t>
            </w:r>
          </w:p>
        </w:tc>
      </w:tr>
      <w:tr w:rsidR="00584FB3" w14:paraId="40CB06CE" w14:textId="77777777">
        <w:tc>
          <w:tcPr>
            <w:tcW w:w="0" w:type="auto"/>
            <w:gridSpan w:val="3"/>
            <w:shd w:val="clear" w:color="auto" w:fill="D7E4BC"/>
            <w:tcMar>
              <w:top w:w="40" w:type="dxa"/>
              <w:left w:w="155" w:type="dxa"/>
              <w:bottom w:w="40" w:type="dxa"/>
              <w:right w:w="20" w:type="dxa"/>
            </w:tcMar>
          </w:tcPr>
          <w:p w14:paraId="40CB06C3" w14:textId="77777777" w:rsidR="00584FB3" w:rsidRDefault="00786180">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40CB06C4" w14:textId="77777777" w:rsidR="00584FB3" w:rsidRDefault="00786180">
            <w:pPr>
              <w:jc w:val="right"/>
              <w:textAlignment w:val="bottom"/>
            </w:pPr>
            <w:r>
              <w:rPr>
                <w:rFonts w:ascii="Times New Roman" w:eastAsia="宋体" w:hAnsi="Times New Roman"/>
                <w:color w:val="000000"/>
                <w:sz w:val="20"/>
                <w:szCs w:val="20"/>
              </w:rPr>
              <w:t>(15.4)</w:t>
            </w:r>
          </w:p>
        </w:tc>
        <w:tc>
          <w:tcPr>
            <w:tcW w:w="0" w:type="auto"/>
            <w:shd w:val="clear" w:color="auto" w:fill="D7E4BC"/>
            <w:tcMar>
              <w:top w:w="40" w:type="dxa"/>
              <w:left w:w="0" w:type="dxa"/>
              <w:bottom w:w="40" w:type="dxa"/>
              <w:right w:w="20" w:type="dxa"/>
            </w:tcMar>
            <w:vAlign w:val="bottom"/>
          </w:tcPr>
          <w:p w14:paraId="40CB06C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C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6C7" w14:textId="77777777" w:rsidR="00584FB3" w:rsidRDefault="00786180">
            <w:pPr>
              <w:jc w:val="right"/>
              <w:textAlignment w:val="center"/>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center"/>
          </w:tcPr>
          <w:p w14:paraId="40CB06C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C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6CA" w14:textId="77777777" w:rsidR="00584FB3" w:rsidRDefault="00786180">
            <w:pPr>
              <w:jc w:val="right"/>
              <w:textAlignment w:val="bottom"/>
            </w:pPr>
            <w:r>
              <w:rPr>
                <w:rFonts w:ascii="Times New Roman" w:eastAsia="宋体" w:hAnsi="Times New Roman"/>
                <w:color w:val="000000"/>
                <w:sz w:val="20"/>
                <w:szCs w:val="20"/>
              </w:rPr>
              <w:t>(6.4)</w:t>
            </w:r>
          </w:p>
        </w:tc>
        <w:tc>
          <w:tcPr>
            <w:tcW w:w="0" w:type="auto"/>
            <w:shd w:val="clear" w:color="auto" w:fill="D7E4BC"/>
            <w:tcMar>
              <w:top w:w="40" w:type="dxa"/>
              <w:left w:w="0" w:type="dxa"/>
              <w:bottom w:w="40" w:type="dxa"/>
              <w:right w:w="20" w:type="dxa"/>
            </w:tcMar>
            <w:vAlign w:val="bottom"/>
          </w:tcPr>
          <w:p w14:paraId="40CB06C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CC"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06CD" w14:textId="77777777" w:rsidR="00584FB3" w:rsidRDefault="00786180">
            <w:pPr>
              <w:jc w:val="center"/>
              <w:textAlignment w:val="bottom"/>
            </w:pPr>
            <w:r>
              <w:rPr>
                <w:rFonts w:ascii="Times New Roman" w:eastAsia="宋体" w:hAnsi="Times New Roman"/>
                <w:color w:val="000000"/>
                <w:sz w:val="20"/>
                <w:szCs w:val="20"/>
              </w:rPr>
              <w:t>33</w:t>
            </w:r>
          </w:p>
        </w:tc>
      </w:tr>
      <w:tr w:rsidR="00584FB3" w14:paraId="40CB06DA" w14:textId="77777777">
        <w:tc>
          <w:tcPr>
            <w:tcW w:w="0" w:type="auto"/>
            <w:gridSpan w:val="3"/>
            <w:shd w:val="clear" w:color="auto" w:fill="FFFFFF"/>
            <w:tcMar>
              <w:top w:w="40" w:type="dxa"/>
              <w:left w:w="155" w:type="dxa"/>
              <w:bottom w:w="40" w:type="dxa"/>
              <w:right w:w="20" w:type="dxa"/>
            </w:tcMar>
          </w:tcPr>
          <w:p w14:paraId="40CB06CF" w14:textId="77777777" w:rsidR="00584FB3" w:rsidRDefault="00786180">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40CB06D0" w14:textId="77777777" w:rsidR="00584FB3" w:rsidRDefault="00786180">
            <w:pPr>
              <w:jc w:val="right"/>
              <w:textAlignment w:val="bottom"/>
            </w:pPr>
            <w:r>
              <w:rPr>
                <w:rFonts w:ascii="Times New Roman" w:eastAsia="宋体" w:hAnsi="Times New Roman"/>
                <w:color w:val="000000"/>
                <w:sz w:val="20"/>
                <w:szCs w:val="20"/>
              </w:rPr>
              <w:t>(73.5)</w:t>
            </w:r>
          </w:p>
        </w:tc>
        <w:tc>
          <w:tcPr>
            <w:tcW w:w="0" w:type="auto"/>
            <w:shd w:val="clear" w:color="auto" w:fill="FFFFFF"/>
            <w:tcMar>
              <w:top w:w="40" w:type="dxa"/>
              <w:left w:w="0" w:type="dxa"/>
              <w:bottom w:w="40" w:type="dxa"/>
              <w:right w:w="20" w:type="dxa"/>
            </w:tcMar>
            <w:vAlign w:val="bottom"/>
          </w:tcPr>
          <w:p w14:paraId="40CB06D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D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center"/>
          </w:tcPr>
          <w:p w14:paraId="40CB06D3" w14:textId="77777777" w:rsidR="00584FB3" w:rsidRDefault="00786180">
            <w:pPr>
              <w:jc w:val="right"/>
              <w:textAlignment w:val="center"/>
            </w:pPr>
            <w:r>
              <w:rPr>
                <w:rFonts w:ascii="Times New Roman" w:eastAsia="宋体" w:hAnsi="Times New Roman"/>
                <w:color w:val="000000"/>
                <w:sz w:val="20"/>
                <w:szCs w:val="20"/>
              </w:rPr>
              <w:t>(90.6)</w:t>
            </w:r>
          </w:p>
        </w:tc>
        <w:tc>
          <w:tcPr>
            <w:tcW w:w="0" w:type="auto"/>
            <w:shd w:val="clear" w:color="auto" w:fill="FFFFFF"/>
            <w:tcMar>
              <w:top w:w="40" w:type="dxa"/>
              <w:left w:w="0" w:type="dxa"/>
              <w:bottom w:w="40" w:type="dxa"/>
              <w:right w:w="20" w:type="dxa"/>
            </w:tcMar>
            <w:vAlign w:val="center"/>
          </w:tcPr>
          <w:p w14:paraId="40CB06D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D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6D6" w14:textId="77777777" w:rsidR="00584FB3" w:rsidRDefault="00786180">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40CB06D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D8"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6D9" w14:textId="77777777" w:rsidR="00584FB3" w:rsidRDefault="00786180">
            <w:pPr>
              <w:jc w:val="center"/>
              <w:textAlignment w:val="bottom"/>
            </w:pPr>
            <w:r>
              <w:rPr>
                <w:rFonts w:ascii="Times New Roman" w:eastAsia="宋体" w:hAnsi="Times New Roman"/>
                <w:color w:val="000000"/>
                <w:sz w:val="20"/>
                <w:szCs w:val="20"/>
              </w:rPr>
              <w:t>142</w:t>
            </w:r>
          </w:p>
        </w:tc>
      </w:tr>
      <w:tr w:rsidR="00584FB3" w14:paraId="40CB06E3" w14:textId="77777777">
        <w:tc>
          <w:tcPr>
            <w:tcW w:w="0" w:type="auto"/>
            <w:gridSpan w:val="3"/>
            <w:shd w:val="clear" w:color="auto" w:fill="D7E4BC"/>
            <w:tcMar>
              <w:top w:w="40" w:type="dxa"/>
              <w:left w:w="20" w:type="dxa"/>
              <w:bottom w:w="40" w:type="dxa"/>
              <w:right w:w="20" w:type="dxa"/>
            </w:tcMar>
          </w:tcPr>
          <w:p w14:paraId="40CB06DB" w14:textId="77777777" w:rsidR="00584FB3" w:rsidRDefault="00786180">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tcPr>
          <w:p w14:paraId="40CB06D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D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D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D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E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E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6E2" w14:textId="77777777" w:rsidR="00584FB3" w:rsidRDefault="00584FB3">
            <w:pPr>
              <w:rPr>
                <w:rFonts w:ascii="宋体"/>
              </w:rPr>
            </w:pPr>
          </w:p>
        </w:tc>
      </w:tr>
      <w:tr w:rsidR="00584FB3" w14:paraId="40CB06EF" w14:textId="77777777">
        <w:tc>
          <w:tcPr>
            <w:tcW w:w="0" w:type="auto"/>
            <w:gridSpan w:val="3"/>
            <w:shd w:val="clear" w:color="auto" w:fill="FFFFFF"/>
            <w:tcMar>
              <w:top w:w="40" w:type="dxa"/>
              <w:left w:w="155" w:type="dxa"/>
              <w:bottom w:w="40" w:type="dxa"/>
              <w:right w:w="20" w:type="dxa"/>
            </w:tcMar>
          </w:tcPr>
          <w:p w14:paraId="40CB06E4" w14:textId="77777777" w:rsidR="00584FB3" w:rsidRDefault="00786180">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40CB06E5" w14:textId="77777777" w:rsidR="00584FB3" w:rsidRDefault="00786180">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40CB06E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E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6E8" w14:textId="77777777" w:rsidR="00584FB3" w:rsidRDefault="00786180">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40CB06E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E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6E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6E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ED"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6EE" w14:textId="77777777" w:rsidR="00584FB3" w:rsidRDefault="00786180">
            <w:pPr>
              <w:jc w:val="center"/>
              <w:textAlignment w:val="bottom"/>
            </w:pPr>
            <w:r>
              <w:rPr>
                <w:rFonts w:ascii="Times New Roman" w:eastAsia="宋体" w:hAnsi="Times New Roman"/>
                <w:color w:val="000000"/>
                <w:sz w:val="20"/>
                <w:szCs w:val="20"/>
              </w:rPr>
              <w:t>105</w:t>
            </w:r>
          </w:p>
        </w:tc>
      </w:tr>
      <w:tr w:rsidR="00584FB3" w14:paraId="40CB06FB" w14:textId="77777777">
        <w:tc>
          <w:tcPr>
            <w:tcW w:w="0" w:type="auto"/>
            <w:gridSpan w:val="3"/>
            <w:shd w:val="clear" w:color="auto" w:fill="D7E4BC"/>
            <w:tcMar>
              <w:top w:w="40" w:type="dxa"/>
              <w:left w:w="155" w:type="dxa"/>
              <w:bottom w:w="40" w:type="dxa"/>
              <w:right w:w="20" w:type="dxa"/>
            </w:tcMar>
          </w:tcPr>
          <w:p w14:paraId="40CB06F0" w14:textId="77777777" w:rsidR="00584FB3" w:rsidRDefault="00786180">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40CB06F1" w14:textId="77777777" w:rsidR="00584FB3" w:rsidRDefault="00786180">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40CB06F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F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6F4" w14:textId="77777777" w:rsidR="00584FB3" w:rsidRDefault="00786180">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40CB06F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F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6F7"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6F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6F9"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06FA" w14:textId="77777777" w:rsidR="00584FB3" w:rsidRDefault="00786180">
            <w:pPr>
              <w:jc w:val="center"/>
              <w:textAlignment w:val="bottom"/>
            </w:pPr>
            <w:r>
              <w:rPr>
                <w:rFonts w:ascii="Times New Roman" w:eastAsia="宋体" w:hAnsi="Times New Roman"/>
                <w:color w:val="000000"/>
                <w:sz w:val="20"/>
                <w:szCs w:val="20"/>
              </w:rPr>
              <w:t>0</w:t>
            </w:r>
          </w:p>
        </w:tc>
      </w:tr>
      <w:tr w:rsidR="00584FB3" w14:paraId="40CB0707" w14:textId="77777777">
        <w:tc>
          <w:tcPr>
            <w:tcW w:w="0" w:type="auto"/>
            <w:gridSpan w:val="3"/>
            <w:shd w:val="clear" w:color="auto" w:fill="FFFFFF"/>
            <w:tcMar>
              <w:top w:w="40" w:type="dxa"/>
              <w:left w:w="155" w:type="dxa"/>
              <w:bottom w:w="40" w:type="dxa"/>
              <w:right w:w="20" w:type="dxa"/>
            </w:tcMar>
          </w:tcPr>
          <w:p w14:paraId="40CB06FC" w14:textId="77777777" w:rsidR="00584FB3" w:rsidRDefault="00786180">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40CB06FD" w14:textId="77777777" w:rsidR="00584FB3" w:rsidRDefault="00786180">
            <w:pPr>
              <w:jc w:val="right"/>
              <w:textAlignment w:val="bottom"/>
            </w:pPr>
            <w:r>
              <w:rPr>
                <w:rFonts w:ascii="Times New Roman" w:eastAsia="宋体" w:hAnsi="Times New Roman"/>
                <w:color w:val="000000"/>
                <w:sz w:val="20"/>
                <w:szCs w:val="20"/>
              </w:rPr>
              <w:t>(47.4)</w:t>
            </w:r>
          </w:p>
        </w:tc>
        <w:tc>
          <w:tcPr>
            <w:tcW w:w="0" w:type="auto"/>
            <w:shd w:val="clear" w:color="auto" w:fill="FFFFFF"/>
            <w:tcMar>
              <w:top w:w="40" w:type="dxa"/>
              <w:left w:w="0" w:type="dxa"/>
              <w:bottom w:w="40" w:type="dxa"/>
              <w:right w:w="20" w:type="dxa"/>
            </w:tcMar>
            <w:vAlign w:val="bottom"/>
          </w:tcPr>
          <w:p w14:paraId="40CB06F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6F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00" w14:textId="77777777" w:rsidR="00584FB3" w:rsidRDefault="00786180">
            <w:pPr>
              <w:jc w:val="right"/>
              <w:textAlignment w:val="bottom"/>
            </w:pPr>
            <w:r>
              <w:rPr>
                <w:rFonts w:ascii="Times New Roman" w:eastAsia="宋体" w:hAnsi="Times New Roman"/>
                <w:color w:val="000000"/>
                <w:sz w:val="20"/>
                <w:szCs w:val="20"/>
              </w:rPr>
              <w:t>(37.1)</w:t>
            </w:r>
          </w:p>
        </w:tc>
        <w:tc>
          <w:tcPr>
            <w:tcW w:w="0" w:type="auto"/>
            <w:shd w:val="clear" w:color="auto" w:fill="FFFFFF"/>
            <w:tcMar>
              <w:top w:w="40" w:type="dxa"/>
              <w:left w:w="0" w:type="dxa"/>
              <w:bottom w:w="40" w:type="dxa"/>
              <w:right w:w="20" w:type="dxa"/>
            </w:tcMar>
            <w:vAlign w:val="bottom"/>
          </w:tcPr>
          <w:p w14:paraId="40CB070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0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03"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70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05"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706" w14:textId="77777777" w:rsidR="00584FB3" w:rsidRDefault="00786180">
            <w:pPr>
              <w:jc w:val="center"/>
              <w:textAlignment w:val="bottom"/>
            </w:pPr>
            <w:r>
              <w:rPr>
                <w:rFonts w:ascii="Times New Roman" w:eastAsia="宋体" w:hAnsi="Times New Roman"/>
                <w:color w:val="000000"/>
                <w:sz w:val="20"/>
                <w:szCs w:val="20"/>
              </w:rPr>
              <w:t>39</w:t>
            </w:r>
          </w:p>
        </w:tc>
      </w:tr>
    </w:tbl>
    <w:p w14:paraId="40CB0708" w14:textId="77777777" w:rsidR="00584FB3" w:rsidRDefault="00584FB3">
      <w:pPr>
        <w:spacing w:before="120"/>
      </w:pPr>
    </w:p>
    <w:p w14:paraId="40CB0709" w14:textId="77777777" w:rsidR="00584FB3" w:rsidRDefault="00786180">
      <w:pPr>
        <w:jc w:val="center"/>
      </w:pPr>
      <w:r>
        <w:rPr>
          <w:rFonts w:ascii="Times New Roman" w:eastAsia="宋体" w:hAnsi="Times New Roman"/>
          <w:color w:val="000000"/>
          <w:sz w:val="20"/>
          <w:szCs w:val="20"/>
        </w:rPr>
        <w:t>11</w:t>
      </w:r>
    </w:p>
    <w:p w14:paraId="40CB070A" w14:textId="77777777" w:rsidR="00584FB3" w:rsidRDefault="00786180">
      <w:r>
        <w:pict w14:anchorId="40CB2A40">
          <v:rect id="_x0000_i1035" style="width:415.3pt;height:1.5pt" o:hralign="center" o:hrstd="t" o:hr="t" fillcolor="#a0a0a0" stroked="f"/>
        </w:pict>
      </w:r>
    </w:p>
    <w:p w14:paraId="40CB070B" w14:textId="77777777" w:rsidR="00584FB3" w:rsidRDefault="00786180">
      <w:hyperlink r:id="rId82" w:anchor="i11706e4b673c41db9f2dcbdb897203bb_7" w:history="1">
        <w:r>
          <w:rPr>
            <w:rStyle w:val="a5"/>
            <w:rFonts w:ascii="Times New Roman" w:eastAsia="宋体" w:hAnsi="Times New Roman"/>
            <w:sz w:val="20"/>
            <w:szCs w:val="20"/>
          </w:rPr>
          <w:t>Table of Contents</w:t>
        </w:r>
      </w:hyperlink>
    </w:p>
    <w:p w14:paraId="40CB070C" w14:textId="77777777" w:rsidR="00584FB3" w:rsidRDefault="00786180">
      <w:pPr>
        <w:spacing w:before="120"/>
      </w:pPr>
      <w:r>
        <w:rPr>
          <w:rFonts w:ascii="Times New Roman" w:eastAsia="宋体" w:hAnsi="Times New Roman"/>
          <w:color w:val="000000"/>
          <w:sz w:val="20"/>
          <w:szCs w:val="20"/>
        </w:rPr>
        <w:t>Pre-tax gains and losses on derivative contracts and foreign currency-</w:t>
      </w:r>
      <w:r>
        <w:rPr>
          <w:rFonts w:ascii="Times New Roman" w:eastAsia="宋体" w:hAnsi="Times New Roman"/>
          <w:color w:val="000000"/>
          <w:sz w:val="20"/>
          <w:szCs w:val="20"/>
        </w:rPr>
        <w:t>denominated long-term debt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2113"/>
        <w:gridCol w:w="37"/>
        <w:gridCol w:w="36"/>
        <w:gridCol w:w="36"/>
        <w:gridCol w:w="36"/>
        <w:gridCol w:w="175"/>
        <w:gridCol w:w="175"/>
        <w:gridCol w:w="175"/>
        <w:gridCol w:w="175"/>
        <w:gridCol w:w="175"/>
        <w:gridCol w:w="175"/>
        <w:gridCol w:w="120"/>
        <w:gridCol w:w="554"/>
        <w:gridCol w:w="36"/>
        <w:gridCol w:w="36"/>
        <w:gridCol w:w="36"/>
        <w:gridCol w:w="36"/>
        <w:gridCol w:w="120"/>
        <w:gridCol w:w="555"/>
        <w:gridCol w:w="36"/>
        <w:gridCol w:w="36"/>
        <w:gridCol w:w="36"/>
        <w:gridCol w:w="36"/>
        <w:gridCol w:w="120"/>
        <w:gridCol w:w="555"/>
        <w:gridCol w:w="36"/>
        <w:gridCol w:w="36"/>
        <w:gridCol w:w="36"/>
        <w:gridCol w:w="36"/>
        <w:gridCol w:w="121"/>
        <w:gridCol w:w="656"/>
        <w:gridCol w:w="36"/>
        <w:gridCol w:w="63"/>
        <w:gridCol w:w="235"/>
        <w:gridCol w:w="62"/>
        <w:gridCol w:w="42"/>
        <w:gridCol w:w="1278"/>
        <w:gridCol w:w="36"/>
      </w:tblGrid>
      <w:tr w:rsidR="00584FB3" w14:paraId="40CB072E" w14:textId="77777777">
        <w:tc>
          <w:tcPr>
            <w:tcW w:w="50" w:type="pct"/>
            <w:shd w:val="clear" w:color="auto" w:fill="auto"/>
          </w:tcPr>
          <w:p w14:paraId="40CB070D" w14:textId="77777777" w:rsidR="00584FB3" w:rsidRDefault="00584FB3">
            <w:pPr>
              <w:rPr>
                <w:rFonts w:ascii="宋体"/>
              </w:rPr>
            </w:pPr>
          </w:p>
        </w:tc>
        <w:tc>
          <w:tcPr>
            <w:tcW w:w="1604" w:type="pct"/>
            <w:shd w:val="clear" w:color="auto" w:fill="auto"/>
          </w:tcPr>
          <w:p w14:paraId="40CB070E" w14:textId="77777777" w:rsidR="00584FB3" w:rsidRDefault="00584FB3">
            <w:pPr>
              <w:rPr>
                <w:rFonts w:ascii="宋体"/>
              </w:rPr>
            </w:pPr>
          </w:p>
        </w:tc>
        <w:tc>
          <w:tcPr>
            <w:tcW w:w="5" w:type="pct"/>
            <w:shd w:val="clear" w:color="auto" w:fill="auto"/>
          </w:tcPr>
          <w:p w14:paraId="40CB070F" w14:textId="77777777" w:rsidR="00584FB3" w:rsidRDefault="00584FB3">
            <w:pPr>
              <w:rPr>
                <w:rFonts w:ascii="宋体"/>
              </w:rPr>
            </w:pPr>
          </w:p>
        </w:tc>
        <w:tc>
          <w:tcPr>
            <w:tcW w:w="0" w:type="auto"/>
            <w:gridSpan w:val="3"/>
            <w:shd w:val="clear" w:color="auto" w:fill="auto"/>
          </w:tcPr>
          <w:p w14:paraId="40CB0710" w14:textId="77777777" w:rsidR="00584FB3" w:rsidRDefault="00584FB3">
            <w:pPr>
              <w:rPr>
                <w:rFonts w:ascii="宋体"/>
                <w:vanish/>
              </w:rPr>
            </w:pPr>
          </w:p>
        </w:tc>
        <w:tc>
          <w:tcPr>
            <w:tcW w:w="0" w:type="auto"/>
            <w:gridSpan w:val="3"/>
            <w:shd w:val="clear" w:color="auto" w:fill="auto"/>
          </w:tcPr>
          <w:p w14:paraId="40CB0711" w14:textId="77777777" w:rsidR="00584FB3" w:rsidRDefault="00584FB3">
            <w:pPr>
              <w:rPr>
                <w:rFonts w:ascii="宋体"/>
                <w:vanish/>
              </w:rPr>
            </w:pPr>
          </w:p>
        </w:tc>
        <w:tc>
          <w:tcPr>
            <w:tcW w:w="0" w:type="auto"/>
            <w:gridSpan w:val="3"/>
            <w:shd w:val="clear" w:color="auto" w:fill="auto"/>
          </w:tcPr>
          <w:p w14:paraId="40CB0712" w14:textId="77777777" w:rsidR="00584FB3" w:rsidRDefault="00584FB3">
            <w:pPr>
              <w:rPr>
                <w:rFonts w:ascii="宋体"/>
                <w:vanish/>
              </w:rPr>
            </w:pPr>
          </w:p>
        </w:tc>
        <w:tc>
          <w:tcPr>
            <w:tcW w:w="50" w:type="pct"/>
            <w:shd w:val="clear" w:color="auto" w:fill="auto"/>
          </w:tcPr>
          <w:p w14:paraId="40CB0713" w14:textId="77777777" w:rsidR="00584FB3" w:rsidRDefault="00584FB3">
            <w:pPr>
              <w:rPr>
                <w:rFonts w:ascii="宋体"/>
              </w:rPr>
            </w:pPr>
          </w:p>
        </w:tc>
        <w:tc>
          <w:tcPr>
            <w:tcW w:w="463" w:type="pct"/>
            <w:shd w:val="clear" w:color="auto" w:fill="auto"/>
          </w:tcPr>
          <w:p w14:paraId="40CB0714" w14:textId="77777777" w:rsidR="00584FB3" w:rsidRDefault="00584FB3">
            <w:pPr>
              <w:rPr>
                <w:rFonts w:ascii="宋体"/>
              </w:rPr>
            </w:pPr>
          </w:p>
        </w:tc>
        <w:tc>
          <w:tcPr>
            <w:tcW w:w="5" w:type="pct"/>
            <w:shd w:val="clear" w:color="auto" w:fill="auto"/>
          </w:tcPr>
          <w:p w14:paraId="40CB0715" w14:textId="77777777" w:rsidR="00584FB3" w:rsidRDefault="00584FB3">
            <w:pPr>
              <w:rPr>
                <w:rFonts w:ascii="宋体"/>
              </w:rPr>
            </w:pPr>
          </w:p>
        </w:tc>
        <w:tc>
          <w:tcPr>
            <w:tcW w:w="5" w:type="pct"/>
            <w:shd w:val="clear" w:color="auto" w:fill="auto"/>
          </w:tcPr>
          <w:p w14:paraId="40CB0716" w14:textId="77777777" w:rsidR="00584FB3" w:rsidRDefault="00584FB3">
            <w:pPr>
              <w:rPr>
                <w:rFonts w:ascii="宋体"/>
              </w:rPr>
            </w:pPr>
          </w:p>
        </w:tc>
        <w:tc>
          <w:tcPr>
            <w:tcW w:w="19" w:type="pct"/>
            <w:shd w:val="clear" w:color="auto" w:fill="auto"/>
          </w:tcPr>
          <w:p w14:paraId="40CB0717" w14:textId="77777777" w:rsidR="00584FB3" w:rsidRDefault="00584FB3">
            <w:pPr>
              <w:rPr>
                <w:rFonts w:ascii="宋体"/>
              </w:rPr>
            </w:pPr>
          </w:p>
        </w:tc>
        <w:tc>
          <w:tcPr>
            <w:tcW w:w="5" w:type="pct"/>
            <w:shd w:val="clear" w:color="auto" w:fill="auto"/>
          </w:tcPr>
          <w:p w14:paraId="40CB0718" w14:textId="77777777" w:rsidR="00584FB3" w:rsidRDefault="00584FB3">
            <w:pPr>
              <w:rPr>
                <w:rFonts w:ascii="宋体"/>
              </w:rPr>
            </w:pPr>
          </w:p>
        </w:tc>
        <w:tc>
          <w:tcPr>
            <w:tcW w:w="50" w:type="pct"/>
            <w:shd w:val="clear" w:color="auto" w:fill="auto"/>
          </w:tcPr>
          <w:p w14:paraId="40CB0719" w14:textId="77777777" w:rsidR="00584FB3" w:rsidRDefault="00584FB3">
            <w:pPr>
              <w:rPr>
                <w:rFonts w:ascii="宋体"/>
              </w:rPr>
            </w:pPr>
          </w:p>
        </w:tc>
        <w:tc>
          <w:tcPr>
            <w:tcW w:w="463" w:type="pct"/>
            <w:shd w:val="clear" w:color="auto" w:fill="auto"/>
          </w:tcPr>
          <w:p w14:paraId="40CB071A" w14:textId="77777777" w:rsidR="00584FB3" w:rsidRDefault="00584FB3">
            <w:pPr>
              <w:rPr>
                <w:rFonts w:ascii="宋体"/>
              </w:rPr>
            </w:pPr>
          </w:p>
        </w:tc>
        <w:tc>
          <w:tcPr>
            <w:tcW w:w="5" w:type="pct"/>
            <w:shd w:val="clear" w:color="auto" w:fill="auto"/>
          </w:tcPr>
          <w:p w14:paraId="40CB071B" w14:textId="77777777" w:rsidR="00584FB3" w:rsidRDefault="00584FB3">
            <w:pPr>
              <w:rPr>
                <w:rFonts w:ascii="宋体"/>
              </w:rPr>
            </w:pPr>
          </w:p>
        </w:tc>
        <w:tc>
          <w:tcPr>
            <w:tcW w:w="5" w:type="pct"/>
            <w:shd w:val="clear" w:color="auto" w:fill="auto"/>
          </w:tcPr>
          <w:p w14:paraId="40CB071C" w14:textId="77777777" w:rsidR="00584FB3" w:rsidRDefault="00584FB3">
            <w:pPr>
              <w:rPr>
                <w:rFonts w:ascii="宋体"/>
              </w:rPr>
            </w:pPr>
          </w:p>
        </w:tc>
        <w:tc>
          <w:tcPr>
            <w:tcW w:w="19" w:type="pct"/>
            <w:shd w:val="clear" w:color="auto" w:fill="auto"/>
          </w:tcPr>
          <w:p w14:paraId="40CB071D" w14:textId="77777777" w:rsidR="00584FB3" w:rsidRDefault="00584FB3">
            <w:pPr>
              <w:rPr>
                <w:rFonts w:ascii="宋体"/>
              </w:rPr>
            </w:pPr>
          </w:p>
        </w:tc>
        <w:tc>
          <w:tcPr>
            <w:tcW w:w="5" w:type="pct"/>
            <w:shd w:val="clear" w:color="auto" w:fill="auto"/>
          </w:tcPr>
          <w:p w14:paraId="40CB071E" w14:textId="77777777" w:rsidR="00584FB3" w:rsidRDefault="00584FB3">
            <w:pPr>
              <w:rPr>
                <w:rFonts w:ascii="宋体"/>
              </w:rPr>
            </w:pPr>
          </w:p>
        </w:tc>
        <w:tc>
          <w:tcPr>
            <w:tcW w:w="50" w:type="pct"/>
            <w:shd w:val="clear" w:color="auto" w:fill="auto"/>
          </w:tcPr>
          <w:p w14:paraId="40CB071F" w14:textId="77777777" w:rsidR="00584FB3" w:rsidRDefault="00584FB3">
            <w:pPr>
              <w:rPr>
                <w:rFonts w:ascii="宋体"/>
              </w:rPr>
            </w:pPr>
          </w:p>
        </w:tc>
        <w:tc>
          <w:tcPr>
            <w:tcW w:w="463" w:type="pct"/>
            <w:shd w:val="clear" w:color="auto" w:fill="auto"/>
          </w:tcPr>
          <w:p w14:paraId="40CB0720" w14:textId="77777777" w:rsidR="00584FB3" w:rsidRDefault="00584FB3">
            <w:pPr>
              <w:rPr>
                <w:rFonts w:ascii="宋体"/>
              </w:rPr>
            </w:pPr>
          </w:p>
        </w:tc>
        <w:tc>
          <w:tcPr>
            <w:tcW w:w="5" w:type="pct"/>
            <w:shd w:val="clear" w:color="auto" w:fill="auto"/>
          </w:tcPr>
          <w:p w14:paraId="40CB0721" w14:textId="77777777" w:rsidR="00584FB3" w:rsidRDefault="00584FB3">
            <w:pPr>
              <w:rPr>
                <w:rFonts w:ascii="宋体"/>
              </w:rPr>
            </w:pPr>
          </w:p>
        </w:tc>
        <w:tc>
          <w:tcPr>
            <w:tcW w:w="5" w:type="pct"/>
            <w:shd w:val="clear" w:color="auto" w:fill="auto"/>
          </w:tcPr>
          <w:p w14:paraId="40CB0722" w14:textId="77777777" w:rsidR="00584FB3" w:rsidRDefault="00584FB3">
            <w:pPr>
              <w:rPr>
                <w:rFonts w:ascii="宋体"/>
              </w:rPr>
            </w:pPr>
          </w:p>
        </w:tc>
        <w:tc>
          <w:tcPr>
            <w:tcW w:w="19" w:type="pct"/>
            <w:shd w:val="clear" w:color="auto" w:fill="auto"/>
          </w:tcPr>
          <w:p w14:paraId="40CB0723" w14:textId="77777777" w:rsidR="00584FB3" w:rsidRDefault="00584FB3">
            <w:pPr>
              <w:rPr>
                <w:rFonts w:ascii="宋体"/>
              </w:rPr>
            </w:pPr>
          </w:p>
        </w:tc>
        <w:tc>
          <w:tcPr>
            <w:tcW w:w="5" w:type="pct"/>
            <w:shd w:val="clear" w:color="auto" w:fill="auto"/>
          </w:tcPr>
          <w:p w14:paraId="40CB0724" w14:textId="77777777" w:rsidR="00584FB3" w:rsidRDefault="00584FB3">
            <w:pPr>
              <w:rPr>
                <w:rFonts w:ascii="宋体"/>
              </w:rPr>
            </w:pPr>
          </w:p>
        </w:tc>
        <w:tc>
          <w:tcPr>
            <w:tcW w:w="50" w:type="pct"/>
            <w:shd w:val="clear" w:color="auto" w:fill="auto"/>
          </w:tcPr>
          <w:p w14:paraId="40CB0725" w14:textId="77777777" w:rsidR="00584FB3" w:rsidRDefault="00584FB3">
            <w:pPr>
              <w:rPr>
                <w:rFonts w:ascii="宋体"/>
              </w:rPr>
            </w:pPr>
          </w:p>
        </w:tc>
        <w:tc>
          <w:tcPr>
            <w:tcW w:w="463" w:type="pct"/>
            <w:shd w:val="clear" w:color="auto" w:fill="auto"/>
          </w:tcPr>
          <w:p w14:paraId="40CB0726" w14:textId="77777777" w:rsidR="00584FB3" w:rsidRDefault="00584FB3">
            <w:pPr>
              <w:rPr>
                <w:rFonts w:ascii="宋体"/>
              </w:rPr>
            </w:pPr>
          </w:p>
        </w:tc>
        <w:tc>
          <w:tcPr>
            <w:tcW w:w="5" w:type="pct"/>
            <w:shd w:val="clear" w:color="auto" w:fill="auto"/>
          </w:tcPr>
          <w:p w14:paraId="40CB0727" w14:textId="77777777" w:rsidR="00584FB3" w:rsidRDefault="00584FB3">
            <w:pPr>
              <w:rPr>
                <w:rFonts w:ascii="宋体"/>
              </w:rPr>
            </w:pPr>
          </w:p>
        </w:tc>
        <w:tc>
          <w:tcPr>
            <w:tcW w:w="5" w:type="pct"/>
            <w:shd w:val="clear" w:color="auto" w:fill="auto"/>
          </w:tcPr>
          <w:p w14:paraId="40CB0728" w14:textId="77777777" w:rsidR="00584FB3" w:rsidRDefault="00584FB3">
            <w:pPr>
              <w:rPr>
                <w:rFonts w:ascii="宋体"/>
              </w:rPr>
            </w:pPr>
          </w:p>
        </w:tc>
        <w:tc>
          <w:tcPr>
            <w:tcW w:w="19" w:type="pct"/>
            <w:shd w:val="clear" w:color="auto" w:fill="auto"/>
          </w:tcPr>
          <w:p w14:paraId="40CB0729" w14:textId="77777777" w:rsidR="00584FB3" w:rsidRDefault="00584FB3">
            <w:pPr>
              <w:rPr>
                <w:rFonts w:ascii="宋体"/>
              </w:rPr>
            </w:pPr>
          </w:p>
        </w:tc>
        <w:tc>
          <w:tcPr>
            <w:tcW w:w="5" w:type="pct"/>
            <w:shd w:val="clear" w:color="auto" w:fill="auto"/>
          </w:tcPr>
          <w:p w14:paraId="40CB072A" w14:textId="77777777" w:rsidR="00584FB3" w:rsidRDefault="00584FB3">
            <w:pPr>
              <w:rPr>
                <w:rFonts w:ascii="宋体"/>
              </w:rPr>
            </w:pPr>
          </w:p>
        </w:tc>
        <w:tc>
          <w:tcPr>
            <w:tcW w:w="50" w:type="pct"/>
            <w:shd w:val="clear" w:color="auto" w:fill="auto"/>
          </w:tcPr>
          <w:p w14:paraId="40CB072B" w14:textId="77777777" w:rsidR="00584FB3" w:rsidRDefault="00584FB3">
            <w:pPr>
              <w:rPr>
                <w:rFonts w:ascii="宋体"/>
              </w:rPr>
            </w:pPr>
          </w:p>
        </w:tc>
        <w:tc>
          <w:tcPr>
            <w:tcW w:w="1092" w:type="pct"/>
            <w:shd w:val="clear" w:color="auto" w:fill="auto"/>
          </w:tcPr>
          <w:p w14:paraId="40CB072C" w14:textId="77777777" w:rsidR="00584FB3" w:rsidRDefault="00584FB3">
            <w:pPr>
              <w:rPr>
                <w:rFonts w:ascii="宋体"/>
              </w:rPr>
            </w:pPr>
          </w:p>
        </w:tc>
        <w:tc>
          <w:tcPr>
            <w:tcW w:w="5" w:type="pct"/>
            <w:shd w:val="clear" w:color="auto" w:fill="auto"/>
          </w:tcPr>
          <w:p w14:paraId="40CB072D" w14:textId="77777777" w:rsidR="00584FB3" w:rsidRDefault="00584FB3">
            <w:pPr>
              <w:rPr>
                <w:rFonts w:ascii="宋体"/>
              </w:rPr>
            </w:pPr>
          </w:p>
        </w:tc>
      </w:tr>
      <w:tr w:rsidR="00584FB3" w14:paraId="40CB073A" w14:textId="77777777">
        <w:tc>
          <w:tcPr>
            <w:tcW w:w="0" w:type="auto"/>
            <w:gridSpan w:val="3"/>
            <w:shd w:val="clear" w:color="auto" w:fill="auto"/>
            <w:tcMar>
              <w:top w:w="0" w:type="dxa"/>
              <w:left w:w="20" w:type="dxa"/>
              <w:bottom w:w="0" w:type="dxa"/>
              <w:right w:w="20" w:type="dxa"/>
            </w:tcMar>
          </w:tcPr>
          <w:p w14:paraId="40CB072F" w14:textId="77777777" w:rsidR="00584FB3" w:rsidRDefault="00584FB3">
            <w:pPr>
              <w:rPr>
                <w:rFonts w:ascii="宋体"/>
              </w:rPr>
            </w:pPr>
          </w:p>
        </w:tc>
        <w:tc>
          <w:tcPr>
            <w:tcW w:w="0" w:type="auto"/>
            <w:gridSpan w:val="3"/>
            <w:shd w:val="clear" w:color="auto" w:fill="auto"/>
          </w:tcPr>
          <w:p w14:paraId="40CB0730" w14:textId="77777777" w:rsidR="00584FB3" w:rsidRDefault="00584FB3">
            <w:pPr>
              <w:rPr>
                <w:rFonts w:ascii="宋体"/>
                <w:vanish/>
              </w:rPr>
            </w:pPr>
          </w:p>
        </w:tc>
        <w:tc>
          <w:tcPr>
            <w:tcW w:w="0" w:type="auto"/>
            <w:gridSpan w:val="21"/>
            <w:shd w:val="clear" w:color="auto" w:fill="00704A"/>
            <w:tcMar>
              <w:top w:w="40" w:type="dxa"/>
              <w:left w:w="20" w:type="dxa"/>
              <w:bottom w:w="40" w:type="dxa"/>
              <w:right w:w="20" w:type="dxa"/>
            </w:tcMar>
            <w:vAlign w:val="bottom"/>
          </w:tcPr>
          <w:p w14:paraId="40CB0731"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tcPr>
          <w:p w14:paraId="40CB0732"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0733" w14:textId="77777777" w:rsidR="00584FB3" w:rsidRDefault="00584FB3">
            <w:pPr>
              <w:rPr>
                <w:rFonts w:ascii="宋体"/>
              </w:rPr>
            </w:pPr>
          </w:p>
        </w:tc>
        <w:tc>
          <w:tcPr>
            <w:tcW w:w="0" w:type="auto"/>
            <w:shd w:val="clear" w:color="auto" w:fill="auto"/>
          </w:tcPr>
          <w:p w14:paraId="40CB0734" w14:textId="77777777" w:rsidR="00584FB3" w:rsidRDefault="00584FB3">
            <w:pPr>
              <w:rPr>
                <w:rFonts w:ascii="宋体"/>
              </w:rPr>
            </w:pPr>
          </w:p>
        </w:tc>
        <w:tc>
          <w:tcPr>
            <w:tcW w:w="0" w:type="auto"/>
            <w:shd w:val="clear" w:color="auto" w:fill="auto"/>
          </w:tcPr>
          <w:p w14:paraId="40CB0735" w14:textId="77777777" w:rsidR="00584FB3" w:rsidRDefault="00584FB3">
            <w:pPr>
              <w:rPr>
                <w:rFonts w:ascii="宋体"/>
              </w:rPr>
            </w:pPr>
          </w:p>
        </w:tc>
        <w:tc>
          <w:tcPr>
            <w:tcW w:w="0" w:type="auto"/>
            <w:shd w:val="clear" w:color="auto" w:fill="auto"/>
          </w:tcPr>
          <w:p w14:paraId="40CB0736" w14:textId="77777777" w:rsidR="00584FB3" w:rsidRDefault="00584FB3">
            <w:pPr>
              <w:rPr>
                <w:rFonts w:ascii="宋体"/>
              </w:rPr>
            </w:pPr>
          </w:p>
        </w:tc>
        <w:tc>
          <w:tcPr>
            <w:tcW w:w="0" w:type="auto"/>
            <w:shd w:val="clear" w:color="auto" w:fill="auto"/>
          </w:tcPr>
          <w:p w14:paraId="40CB0737" w14:textId="77777777" w:rsidR="00584FB3" w:rsidRDefault="00584FB3">
            <w:pPr>
              <w:rPr>
                <w:rFonts w:ascii="宋体"/>
              </w:rPr>
            </w:pPr>
          </w:p>
        </w:tc>
        <w:tc>
          <w:tcPr>
            <w:tcW w:w="0" w:type="auto"/>
            <w:shd w:val="clear" w:color="auto" w:fill="auto"/>
          </w:tcPr>
          <w:p w14:paraId="40CB0738" w14:textId="77777777" w:rsidR="00584FB3" w:rsidRDefault="00584FB3">
            <w:pPr>
              <w:rPr>
                <w:rFonts w:ascii="宋体"/>
              </w:rPr>
            </w:pPr>
          </w:p>
        </w:tc>
        <w:tc>
          <w:tcPr>
            <w:tcW w:w="0" w:type="auto"/>
            <w:shd w:val="clear" w:color="auto" w:fill="auto"/>
          </w:tcPr>
          <w:p w14:paraId="40CB0739" w14:textId="77777777" w:rsidR="00584FB3" w:rsidRDefault="00584FB3">
            <w:pPr>
              <w:rPr>
                <w:rFonts w:ascii="宋体"/>
              </w:rPr>
            </w:pPr>
          </w:p>
        </w:tc>
      </w:tr>
      <w:tr w:rsidR="00584FB3" w14:paraId="40CB074B" w14:textId="77777777">
        <w:trPr>
          <w:trHeight w:val="520"/>
        </w:trPr>
        <w:tc>
          <w:tcPr>
            <w:tcW w:w="0" w:type="auto"/>
            <w:gridSpan w:val="3"/>
            <w:shd w:val="clear" w:color="auto" w:fill="auto"/>
            <w:tcMar>
              <w:top w:w="0" w:type="dxa"/>
              <w:left w:w="20" w:type="dxa"/>
              <w:bottom w:w="0" w:type="dxa"/>
              <w:right w:w="20" w:type="dxa"/>
            </w:tcMar>
          </w:tcPr>
          <w:p w14:paraId="40CB073B" w14:textId="77777777" w:rsidR="00584FB3" w:rsidRDefault="00584FB3">
            <w:pPr>
              <w:rPr>
                <w:rFonts w:ascii="宋体"/>
              </w:rPr>
            </w:pPr>
          </w:p>
        </w:tc>
        <w:tc>
          <w:tcPr>
            <w:tcW w:w="0" w:type="auto"/>
            <w:gridSpan w:val="3"/>
            <w:shd w:val="clear" w:color="auto" w:fill="auto"/>
          </w:tcPr>
          <w:p w14:paraId="40CB073C" w14:textId="77777777" w:rsidR="00584FB3" w:rsidRDefault="00584FB3">
            <w:pPr>
              <w:rPr>
                <w:rFonts w:ascii="宋体"/>
                <w:vanish/>
              </w:rPr>
            </w:pPr>
          </w:p>
        </w:tc>
        <w:tc>
          <w:tcPr>
            <w:tcW w:w="0" w:type="auto"/>
            <w:gridSpan w:val="9"/>
            <w:shd w:val="clear" w:color="auto" w:fill="00704A"/>
            <w:tcMar>
              <w:top w:w="40" w:type="dxa"/>
              <w:left w:w="20" w:type="dxa"/>
              <w:bottom w:w="40" w:type="dxa"/>
              <w:right w:w="20" w:type="dxa"/>
            </w:tcMar>
            <w:vAlign w:val="bottom"/>
          </w:tcPr>
          <w:p w14:paraId="40CB073D" w14:textId="77777777" w:rsidR="00584FB3" w:rsidRDefault="00786180">
            <w:pPr>
              <w:jc w:val="center"/>
              <w:textAlignment w:val="bottom"/>
            </w:pPr>
            <w:r>
              <w:rPr>
                <w:rFonts w:ascii="Times New Roman" w:eastAsia="宋体" w:hAnsi="Times New Roman"/>
                <w:b/>
                <w:bCs/>
                <w:color w:val="FFFFFF"/>
                <w:sz w:val="16"/>
                <w:szCs w:val="16"/>
              </w:rPr>
              <w:t xml:space="preserve">Gains/(Losses) </w:t>
            </w:r>
          </w:p>
          <w:p w14:paraId="40CB073E" w14:textId="77777777" w:rsidR="00584FB3" w:rsidRDefault="00786180">
            <w:pPr>
              <w:jc w:val="center"/>
              <w:textAlignment w:val="bottom"/>
            </w:pPr>
            <w:r>
              <w:rPr>
                <w:rFonts w:ascii="Times New Roman" w:eastAsia="宋体" w:hAnsi="Times New Roman"/>
                <w:b/>
                <w:bCs/>
                <w:color w:val="FFFFFF"/>
                <w:sz w:val="16"/>
                <w:szCs w:val="16"/>
              </w:rPr>
              <w:t>Recognized in</w:t>
            </w:r>
          </w:p>
          <w:p w14:paraId="40CB073F" w14:textId="77777777" w:rsidR="00584FB3" w:rsidRDefault="00786180">
            <w:pPr>
              <w:jc w:val="center"/>
              <w:textAlignment w:val="bottom"/>
            </w:pPr>
            <w:r>
              <w:rPr>
                <w:rFonts w:ascii="Times New Roman" w:eastAsia="宋体" w:hAnsi="Times New Roman"/>
                <w:b/>
                <w:bCs/>
                <w:color w:val="FFFFFF"/>
                <w:sz w:val="16"/>
                <w:szCs w:val="16"/>
              </w:rPr>
              <w:t>OCI Before Reclassifications</w:t>
            </w:r>
          </w:p>
        </w:tc>
        <w:tc>
          <w:tcPr>
            <w:tcW w:w="0" w:type="auto"/>
            <w:gridSpan w:val="3"/>
            <w:shd w:val="clear" w:color="auto" w:fill="auto"/>
            <w:tcMar>
              <w:top w:w="0" w:type="dxa"/>
              <w:left w:w="20" w:type="dxa"/>
              <w:bottom w:w="0" w:type="dxa"/>
              <w:right w:w="20" w:type="dxa"/>
            </w:tcMar>
          </w:tcPr>
          <w:p w14:paraId="40CB0740"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741" w14:textId="77777777" w:rsidR="00584FB3" w:rsidRDefault="00786180">
            <w:pPr>
              <w:jc w:val="center"/>
              <w:textAlignment w:val="bottom"/>
            </w:pPr>
            <w:r>
              <w:rPr>
                <w:rFonts w:ascii="Times New Roman" w:eastAsia="宋体" w:hAnsi="Times New Roman"/>
                <w:b/>
                <w:bCs/>
                <w:color w:val="FFFFFF"/>
                <w:sz w:val="16"/>
                <w:szCs w:val="16"/>
              </w:rPr>
              <w:t xml:space="preserve">Gains/(Losses) Reclassified from </w:t>
            </w:r>
          </w:p>
          <w:p w14:paraId="40CB0742" w14:textId="77777777" w:rsidR="00584FB3" w:rsidRDefault="00786180">
            <w:pP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FFFFFF"/>
            <w:tcMar>
              <w:top w:w="0" w:type="dxa"/>
              <w:left w:w="20" w:type="dxa"/>
              <w:bottom w:w="0" w:type="dxa"/>
              <w:right w:w="20" w:type="dxa"/>
            </w:tcMar>
          </w:tcPr>
          <w:p w14:paraId="40CB0743"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0744" w14:textId="77777777" w:rsidR="00584FB3" w:rsidRDefault="00786180">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tcPr>
          <w:p w14:paraId="40CB0745" w14:textId="77777777" w:rsidR="00584FB3" w:rsidRDefault="00584FB3">
            <w:pPr>
              <w:rPr>
                <w:rFonts w:ascii="宋体"/>
              </w:rPr>
            </w:pPr>
          </w:p>
        </w:tc>
        <w:tc>
          <w:tcPr>
            <w:tcW w:w="0" w:type="auto"/>
            <w:shd w:val="clear" w:color="auto" w:fill="auto"/>
          </w:tcPr>
          <w:p w14:paraId="40CB0746" w14:textId="77777777" w:rsidR="00584FB3" w:rsidRDefault="00584FB3">
            <w:pPr>
              <w:rPr>
                <w:rFonts w:ascii="宋体"/>
              </w:rPr>
            </w:pPr>
          </w:p>
        </w:tc>
        <w:tc>
          <w:tcPr>
            <w:tcW w:w="0" w:type="auto"/>
            <w:shd w:val="clear" w:color="auto" w:fill="auto"/>
          </w:tcPr>
          <w:p w14:paraId="40CB0747" w14:textId="77777777" w:rsidR="00584FB3" w:rsidRDefault="00584FB3">
            <w:pPr>
              <w:rPr>
                <w:rFonts w:ascii="宋体"/>
              </w:rPr>
            </w:pPr>
          </w:p>
        </w:tc>
        <w:tc>
          <w:tcPr>
            <w:tcW w:w="0" w:type="auto"/>
            <w:shd w:val="clear" w:color="auto" w:fill="auto"/>
          </w:tcPr>
          <w:p w14:paraId="40CB0748" w14:textId="77777777" w:rsidR="00584FB3" w:rsidRDefault="00584FB3">
            <w:pPr>
              <w:rPr>
                <w:rFonts w:ascii="宋体"/>
              </w:rPr>
            </w:pPr>
          </w:p>
        </w:tc>
        <w:tc>
          <w:tcPr>
            <w:tcW w:w="0" w:type="auto"/>
            <w:shd w:val="clear" w:color="auto" w:fill="auto"/>
          </w:tcPr>
          <w:p w14:paraId="40CB0749" w14:textId="77777777" w:rsidR="00584FB3" w:rsidRDefault="00584FB3">
            <w:pPr>
              <w:rPr>
                <w:rFonts w:ascii="宋体"/>
              </w:rPr>
            </w:pPr>
          </w:p>
        </w:tc>
        <w:tc>
          <w:tcPr>
            <w:tcW w:w="0" w:type="auto"/>
            <w:shd w:val="clear" w:color="auto" w:fill="auto"/>
          </w:tcPr>
          <w:p w14:paraId="40CB074A" w14:textId="77777777" w:rsidR="00584FB3" w:rsidRDefault="00584FB3">
            <w:pPr>
              <w:rPr>
                <w:rFonts w:ascii="宋体"/>
              </w:rPr>
            </w:pPr>
          </w:p>
        </w:tc>
      </w:tr>
      <w:tr w:rsidR="00584FB3" w14:paraId="40CB0759" w14:textId="77777777">
        <w:trPr>
          <w:trHeight w:val="300"/>
        </w:trPr>
        <w:tc>
          <w:tcPr>
            <w:tcW w:w="0" w:type="auto"/>
            <w:gridSpan w:val="3"/>
            <w:shd w:val="clear" w:color="auto" w:fill="auto"/>
            <w:tcMar>
              <w:top w:w="0" w:type="dxa"/>
              <w:left w:w="20" w:type="dxa"/>
              <w:bottom w:w="0" w:type="dxa"/>
              <w:right w:w="20" w:type="dxa"/>
            </w:tcMar>
          </w:tcPr>
          <w:p w14:paraId="40CB074C" w14:textId="77777777" w:rsidR="00584FB3" w:rsidRDefault="00584FB3">
            <w:pPr>
              <w:rPr>
                <w:rFonts w:ascii="宋体"/>
              </w:rPr>
            </w:pPr>
          </w:p>
        </w:tc>
        <w:tc>
          <w:tcPr>
            <w:tcW w:w="0" w:type="auto"/>
            <w:gridSpan w:val="3"/>
            <w:shd w:val="clear" w:color="auto" w:fill="auto"/>
          </w:tcPr>
          <w:p w14:paraId="40CB074D" w14:textId="77777777" w:rsidR="00584FB3" w:rsidRDefault="00584FB3">
            <w:pPr>
              <w:rPr>
                <w:rFonts w:ascii="宋体"/>
                <w:vanish/>
              </w:rPr>
            </w:pPr>
          </w:p>
        </w:tc>
        <w:tc>
          <w:tcPr>
            <w:tcW w:w="0" w:type="auto"/>
            <w:gridSpan w:val="3"/>
            <w:shd w:val="clear" w:color="auto" w:fill="auto"/>
          </w:tcPr>
          <w:p w14:paraId="40CB074E" w14:textId="77777777" w:rsidR="00584FB3" w:rsidRDefault="00584FB3">
            <w:pPr>
              <w:rPr>
                <w:rFonts w:ascii="宋体"/>
                <w:vanish/>
              </w:rPr>
            </w:pPr>
          </w:p>
        </w:tc>
        <w:tc>
          <w:tcPr>
            <w:tcW w:w="0" w:type="auto"/>
            <w:gridSpan w:val="3"/>
            <w:shd w:val="clear" w:color="auto" w:fill="auto"/>
          </w:tcPr>
          <w:p w14:paraId="40CB074F" w14:textId="77777777" w:rsidR="00584FB3" w:rsidRDefault="00584FB3">
            <w:pPr>
              <w:rPr>
                <w:rFonts w:ascii="宋体"/>
                <w:vanish/>
              </w:rPr>
            </w:pPr>
          </w:p>
        </w:tc>
        <w:tc>
          <w:tcPr>
            <w:tcW w:w="0" w:type="auto"/>
            <w:gridSpan w:val="3"/>
            <w:shd w:val="clear" w:color="auto" w:fill="00704A"/>
            <w:tcMar>
              <w:top w:w="40" w:type="dxa"/>
              <w:left w:w="20" w:type="dxa"/>
              <w:bottom w:w="40" w:type="dxa"/>
              <w:right w:w="20" w:type="dxa"/>
            </w:tcMar>
            <w:vAlign w:val="bottom"/>
          </w:tcPr>
          <w:p w14:paraId="40CB0750"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75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752"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tcMar>
              <w:top w:w="0" w:type="dxa"/>
              <w:left w:w="20" w:type="dxa"/>
              <w:bottom w:w="0" w:type="dxa"/>
              <w:right w:w="20" w:type="dxa"/>
            </w:tcMar>
          </w:tcPr>
          <w:p w14:paraId="40CB075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754"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755"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0756" w14:textId="77777777" w:rsidR="00584FB3" w:rsidRDefault="00584FB3">
            <w:pPr>
              <w:jc w:val="center"/>
              <w:rPr>
                <w:rFonts w:ascii="宋体"/>
              </w:rPr>
            </w:pPr>
          </w:p>
        </w:tc>
        <w:tc>
          <w:tcPr>
            <w:tcW w:w="0" w:type="auto"/>
            <w:gridSpan w:val="3"/>
            <w:shd w:val="clear" w:color="auto" w:fill="00704A"/>
            <w:tcMar>
              <w:top w:w="40" w:type="dxa"/>
              <w:left w:w="20" w:type="dxa"/>
              <w:bottom w:w="40" w:type="dxa"/>
              <w:right w:w="20" w:type="dxa"/>
            </w:tcMar>
            <w:vAlign w:val="bottom"/>
          </w:tcPr>
          <w:p w14:paraId="40CB0757"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FFFFFF"/>
            <w:tcMar>
              <w:top w:w="0" w:type="dxa"/>
              <w:left w:w="20" w:type="dxa"/>
              <w:bottom w:w="0" w:type="dxa"/>
              <w:right w:w="20" w:type="dxa"/>
            </w:tcMar>
          </w:tcPr>
          <w:p w14:paraId="40CB0758" w14:textId="77777777" w:rsidR="00584FB3" w:rsidRDefault="00584FB3">
            <w:pPr>
              <w:rPr>
                <w:rFonts w:ascii="宋体"/>
              </w:rPr>
            </w:pPr>
          </w:p>
        </w:tc>
      </w:tr>
      <w:tr w:rsidR="00584FB3" w14:paraId="40CB0767" w14:textId="77777777">
        <w:tc>
          <w:tcPr>
            <w:tcW w:w="0" w:type="auto"/>
            <w:gridSpan w:val="3"/>
            <w:shd w:val="clear" w:color="auto" w:fill="D7E4BC"/>
            <w:tcMar>
              <w:top w:w="40" w:type="dxa"/>
              <w:left w:w="20" w:type="dxa"/>
              <w:bottom w:w="40" w:type="dxa"/>
              <w:right w:w="20" w:type="dxa"/>
            </w:tcMar>
          </w:tcPr>
          <w:p w14:paraId="40CB075A" w14:textId="77777777" w:rsidR="00584FB3" w:rsidRDefault="00786180">
            <w:pPr>
              <w:textAlignment w:val="top"/>
            </w:pPr>
            <w:r>
              <w:rPr>
                <w:rFonts w:ascii="Times New Roman" w:eastAsia="宋体" w:hAnsi="Times New Roman"/>
                <w:color w:val="000000"/>
                <w:sz w:val="20"/>
                <w:szCs w:val="20"/>
              </w:rPr>
              <w:t>Cash Flow Hedges:</w:t>
            </w:r>
          </w:p>
        </w:tc>
        <w:tc>
          <w:tcPr>
            <w:tcW w:w="0" w:type="auto"/>
            <w:gridSpan w:val="3"/>
            <w:shd w:val="clear" w:color="auto" w:fill="auto"/>
          </w:tcPr>
          <w:p w14:paraId="40CB075B" w14:textId="77777777" w:rsidR="00584FB3" w:rsidRDefault="00584FB3">
            <w:pPr>
              <w:rPr>
                <w:rFonts w:ascii="宋体"/>
                <w:vanish/>
              </w:rPr>
            </w:pPr>
          </w:p>
        </w:tc>
        <w:tc>
          <w:tcPr>
            <w:tcW w:w="0" w:type="auto"/>
            <w:gridSpan w:val="3"/>
            <w:shd w:val="clear" w:color="auto" w:fill="auto"/>
          </w:tcPr>
          <w:p w14:paraId="40CB075C" w14:textId="77777777" w:rsidR="00584FB3" w:rsidRDefault="00584FB3">
            <w:pPr>
              <w:rPr>
                <w:rFonts w:ascii="宋体"/>
                <w:vanish/>
              </w:rPr>
            </w:pPr>
          </w:p>
        </w:tc>
        <w:tc>
          <w:tcPr>
            <w:tcW w:w="0" w:type="auto"/>
            <w:gridSpan w:val="3"/>
            <w:shd w:val="clear" w:color="auto" w:fill="auto"/>
          </w:tcPr>
          <w:p w14:paraId="40CB075D" w14:textId="77777777" w:rsidR="00584FB3" w:rsidRDefault="00584FB3">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75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75F"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76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761"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76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763"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76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765"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766" w14:textId="77777777" w:rsidR="00584FB3" w:rsidRDefault="00584FB3">
            <w:pPr>
              <w:rPr>
                <w:rFonts w:ascii="宋体"/>
              </w:rPr>
            </w:pPr>
          </w:p>
        </w:tc>
      </w:tr>
      <w:tr w:rsidR="00584FB3" w14:paraId="40CB077D" w14:textId="77777777">
        <w:tc>
          <w:tcPr>
            <w:tcW w:w="0" w:type="auto"/>
            <w:gridSpan w:val="3"/>
            <w:shd w:val="clear" w:color="auto" w:fill="FFFFFF"/>
            <w:tcMar>
              <w:top w:w="40" w:type="dxa"/>
              <w:left w:w="155" w:type="dxa"/>
              <w:bottom w:w="40" w:type="dxa"/>
              <w:right w:w="20" w:type="dxa"/>
            </w:tcMar>
          </w:tcPr>
          <w:p w14:paraId="40CB0768" w14:textId="77777777" w:rsidR="00584FB3" w:rsidRDefault="00786180">
            <w:pPr>
              <w:textAlignment w:val="top"/>
            </w:pPr>
            <w:r>
              <w:rPr>
                <w:rFonts w:ascii="Times New Roman" w:eastAsia="宋体" w:hAnsi="Times New Roman"/>
                <w:color w:val="000000"/>
                <w:sz w:val="20"/>
                <w:szCs w:val="20"/>
              </w:rPr>
              <w:t>Coffee</w:t>
            </w:r>
          </w:p>
        </w:tc>
        <w:tc>
          <w:tcPr>
            <w:tcW w:w="0" w:type="auto"/>
            <w:gridSpan w:val="3"/>
            <w:shd w:val="clear" w:color="auto" w:fill="auto"/>
          </w:tcPr>
          <w:p w14:paraId="40CB0769" w14:textId="77777777" w:rsidR="00584FB3" w:rsidRDefault="00584FB3">
            <w:pPr>
              <w:rPr>
                <w:rFonts w:ascii="宋体"/>
                <w:vanish/>
              </w:rPr>
            </w:pPr>
          </w:p>
        </w:tc>
        <w:tc>
          <w:tcPr>
            <w:tcW w:w="0" w:type="auto"/>
            <w:gridSpan w:val="3"/>
            <w:shd w:val="clear" w:color="auto" w:fill="auto"/>
          </w:tcPr>
          <w:p w14:paraId="40CB076A" w14:textId="77777777" w:rsidR="00584FB3" w:rsidRDefault="00584FB3">
            <w:pPr>
              <w:rPr>
                <w:rFonts w:ascii="宋体"/>
                <w:vanish/>
              </w:rPr>
            </w:pPr>
          </w:p>
        </w:tc>
        <w:tc>
          <w:tcPr>
            <w:tcW w:w="0" w:type="auto"/>
            <w:gridSpan w:val="3"/>
            <w:shd w:val="clear" w:color="auto" w:fill="auto"/>
          </w:tcPr>
          <w:p w14:paraId="40CB076B" w14:textId="77777777" w:rsidR="00584FB3" w:rsidRDefault="00584FB3">
            <w:pPr>
              <w:rPr>
                <w:rFonts w:ascii="宋体"/>
                <w:vanish/>
              </w:rPr>
            </w:pPr>
          </w:p>
        </w:tc>
        <w:tc>
          <w:tcPr>
            <w:tcW w:w="0" w:type="auto"/>
            <w:shd w:val="clear" w:color="auto" w:fill="FFFFFF"/>
            <w:tcMar>
              <w:top w:w="40" w:type="dxa"/>
              <w:left w:w="20" w:type="dxa"/>
              <w:bottom w:w="40" w:type="dxa"/>
              <w:right w:w="0" w:type="dxa"/>
            </w:tcMar>
            <w:vAlign w:val="bottom"/>
          </w:tcPr>
          <w:p w14:paraId="40CB076C"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76D" w14:textId="77777777" w:rsidR="00584FB3" w:rsidRDefault="00786180">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40CB076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6F"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770"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771" w14:textId="77777777" w:rsidR="00584FB3" w:rsidRDefault="00786180">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40CB077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73"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774"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775" w14:textId="77777777" w:rsidR="00584FB3" w:rsidRDefault="00786180">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40CB077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77"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77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779"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77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7B"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77C" w14:textId="77777777" w:rsidR="00584FB3" w:rsidRDefault="00786180">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r>
      <w:tr w:rsidR="00584FB3" w14:paraId="40CB078F" w14:textId="77777777">
        <w:trPr>
          <w:trHeight w:val="300"/>
        </w:trPr>
        <w:tc>
          <w:tcPr>
            <w:tcW w:w="0" w:type="auto"/>
            <w:gridSpan w:val="3"/>
            <w:vMerge w:val="restart"/>
            <w:shd w:val="clear" w:color="auto" w:fill="D7E4BC"/>
            <w:tcMar>
              <w:top w:w="40" w:type="dxa"/>
              <w:left w:w="155" w:type="dxa"/>
              <w:bottom w:w="40" w:type="dxa"/>
              <w:right w:w="20" w:type="dxa"/>
            </w:tcMar>
          </w:tcPr>
          <w:p w14:paraId="40CB077E" w14:textId="77777777" w:rsidR="00584FB3" w:rsidRDefault="00786180">
            <w:pPr>
              <w:textAlignment w:val="top"/>
            </w:pPr>
            <w:r>
              <w:rPr>
                <w:rFonts w:ascii="Times New Roman" w:eastAsia="宋体" w:hAnsi="Times New Roman"/>
                <w:color w:val="000000"/>
                <w:sz w:val="20"/>
                <w:szCs w:val="20"/>
              </w:rPr>
              <w:t>Cross-currency swaps</w:t>
            </w:r>
          </w:p>
        </w:tc>
        <w:tc>
          <w:tcPr>
            <w:tcW w:w="0" w:type="auto"/>
            <w:gridSpan w:val="3"/>
            <w:shd w:val="clear" w:color="auto" w:fill="auto"/>
          </w:tcPr>
          <w:p w14:paraId="40CB077F" w14:textId="77777777" w:rsidR="00584FB3" w:rsidRDefault="00584FB3">
            <w:pPr>
              <w:rPr>
                <w:rFonts w:ascii="宋体"/>
                <w:vanish/>
              </w:rPr>
            </w:pPr>
          </w:p>
        </w:tc>
        <w:tc>
          <w:tcPr>
            <w:tcW w:w="0" w:type="auto"/>
            <w:gridSpan w:val="3"/>
            <w:shd w:val="clear" w:color="auto" w:fill="auto"/>
          </w:tcPr>
          <w:p w14:paraId="40CB0780" w14:textId="77777777" w:rsidR="00584FB3" w:rsidRDefault="00584FB3">
            <w:pPr>
              <w:rPr>
                <w:rFonts w:ascii="宋体"/>
                <w:vanish/>
              </w:rPr>
            </w:pPr>
          </w:p>
        </w:tc>
        <w:tc>
          <w:tcPr>
            <w:tcW w:w="0" w:type="auto"/>
            <w:gridSpan w:val="3"/>
            <w:shd w:val="clear" w:color="auto" w:fill="auto"/>
          </w:tcPr>
          <w:p w14:paraId="40CB0781" w14:textId="77777777" w:rsidR="00584FB3" w:rsidRDefault="00584FB3">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40CB0782" w14:textId="77777777" w:rsidR="00584FB3" w:rsidRDefault="00786180">
            <w:pPr>
              <w:jc w:val="right"/>
              <w:textAlignment w:val="center"/>
            </w:pPr>
            <w:r>
              <w:rPr>
                <w:rFonts w:ascii="Times New Roman" w:eastAsia="宋体" w:hAnsi="Times New Roman"/>
                <w:color w:val="000000"/>
                <w:sz w:val="20"/>
                <w:szCs w:val="20"/>
              </w:rPr>
              <w:t>(3.4)</w:t>
            </w:r>
          </w:p>
        </w:tc>
        <w:tc>
          <w:tcPr>
            <w:tcW w:w="0" w:type="auto"/>
            <w:vMerge w:val="restart"/>
            <w:shd w:val="clear" w:color="auto" w:fill="D7E4BC"/>
            <w:tcMar>
              <w:top w:w="40" w:type="dxa"/>
              <w:left w:w="0" w:type="dxa"/>
              <w:bottom w:w="40" w:type="dxa"/>
              <w:right w:w="20" w:type="dxa"/>
            </w:tcMar>
            <w:vAlign w:val="center"/>
          </w:tcPr>
          <w:p w14:paraId="40CB078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84" w14:textId="77777777" w:rsidR="00584FB3" w:rsidRDefault="00584FB3">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40CB0785" w14:textId="77777777" w:rsidR="00584FB3" w:rsidRDefault="00786180">
            <w:pPr>
              <w:jc w:val="right"/>
              <w:textAlignment w:val="center"/>
            </w:pPr>
            <w:r>
              <w:rPr>
                <w:rFonts w:ascii="Times New Roman" w:eastAsia="宋体" w:hAnsi="Times New Roman"/>
                <w:color w:val="000000"/>
                <w:sz w:val="20"/>
                <w:szCs w:val="20"/>
              </w:rPr>
              <w:t>6.2 </w:t>
            </w:r>
          </w:p>
        </w:tc>
        <w:tc>
          <w:tcPr>
            <w:tcW w:w="0" w:type="auto"/>
            <w:vMerge w:val="restart"/>
            <w:shd w:val="clear" w:color="auto" w:fill="D7E4BC"/>
            <w:tcMar>
              <w:top w:w="40" w:type="dxa"/>
              <w:left w:w="0" w:type="dxa"/>
              <w:bottom w:w="40" w:type="dxa"/>
              <w:right w:w="20" w:type="dxa"/>
            </w:tcMar>
            <w:vAlign w:val="center"/>
          </w:tcPr>
          <w:p w14:paraId="40CB078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8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88" w14:textId="77777777" w:rsidR="00584FB3" w:rsidRDefault="00786180">
            <w:pPr>
              <w:jc w:val="right"/>
              <w:textAlignment w:val="center"/>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center"/>
          </w:tcPr>
          <w:p w14:paraId="40CB078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8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8B" w14:textId="77777777" w:rsidR="00584FB3" w:rsidRDefault="00786180">
            <w:pPr>
              <w:jc w:val="right"/>
              <w:textAlignment w:val="center"/>
            </w:pPr>
            <w:r>
              <w:rPr>
                <w:rFonts w:ascii="Times New Roman" w:eastAsia="宋体" w:hAnsi="Times New Roman"/>
                <w:color w:val="000000"/>
                <w:sz w:val="20"/>
                <w:szCs w:val="20"/>
              </w:rPr>
              <w:t>(0.2)</w:t>
            </w:r>
          </w:p>
        </w:tc>
        <w:tc>
          <w:tcPr>
            <w:tcW w:w="0" w:type="auto"/>
            <w:shd w:val="clear" w:color="auto" w:fill="D7E4BC"/>
            <w:tcMar>
              <w:top w:w="40" w:type="dxa"/>
              <w:left w:w="0" w:type="dxa"/>
              <w:bottom w:w="40" w:type="dxa"/>
              <w:right w:w="20" w:type="dxa"/>
            </w:tcMar>
            <w:vAlign w:val="center"/>
          </w:tcPr>
          <w:p w14:paraId="40CB078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8D"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078E" w14:textId="77777777" w:rsidR="00584FB3" w:rsidRDefault="00786180">
            <w:pPr>
              <w:textAlignment w:val="bottom"/>
            </w:pPr>
            <w:r>
              <w:rPr>
                <w:rFonts w:ascii="Times New Roman" w:eastAsia="宋体" w:hAnsi="Times New Roman"/>
                <w:color w:val="000000"/>
                <w:sz w:val="20"/>
                <w:szCs w:val="20"/>
              </w:rPr>
              <w:t xml:space="preserve">Interest </w:t>
            </w:r>
            <w:r>
              <w:rPr>
                <w:rFonts w:ascii="Times New Roman" w:eastAsia="宋体" w:hAnsi="Times New Roman"/>
                <w:color w:val="000000"/>
                <w:sz w:val="20"/>
                <w:szCs w:val="20"/>
              </w:rPr>
              <w:t>expense</w:t>
            </w:r>
          </w:p>
        </w:tc>
      </w:tr>
      <w:tr w:rsidR="00584FB3" w14:paraId="40CB07A1" w14:textId="77777777">
        <w:trPr>
          <w:trHeight w:val="300"/>
        </w:trPr>
        <w:tc>
          <w:tcPr>
            <w:tcW w:w="0" w:type="auto"/>
            <w:gridSpan w:val="3"/>
            <w:vMerge/>
            <w:shd w:val="clear" w:color="auto" w:fill="D7E4BC"/>
            <w:tcMar>
              <w:top w:w="40" w:type="dxa"/>
              <w:left w:w="155" w:type="dxa"/>
              <w:bottom w:w="40" w:type="dxa"/>
              <w:right w:w="20" w:type="dxa"/>
            </w:tcMar>
          </w:tcPr>
          <w:p w14:paraId="40CB0790" w14:textId="77777777" w:rsidR="00584FB3" w:rsidRDefault="00584FB3">
            <w:pPr>
              <w:rPr>
                <w:rFonts w:ascii="宋体"/>
              </w:rPr>
            </w:pPr>
          </w:p>
        </w:tc>
        <w:tc>
          <w:tcPr>
            <w:tcW w:w="0" w:type="auto"/>
            <w:gridSpan w:val="3"/>
            <w:shd w:val="clear" w:color="auto" w:fill="auto"/>
          </w:tcPr>
          <w:p w14:paraId="40CB0791" w14:textId="77777777" w:rsidR="00584FB3" w:rsidRDefault="00584FB3">
            <w:pPr>
              <w:rPr>
                <w:rFonts w:ascii="宋体"/>
                <w:vanish/>
              </w:rPr>
            </w:pPr>
          </w:p>
        </w:tc>
        <w:tc>
          <w:tcPr>
            <w:tcW w:w="0" w:type="auto"/>
            <w:gridSpan w:val="3"/>
            <w:shd w:val="clear" w:color="auto" w:fill="auto"/>
          </w:tcPr>
          <w:p w14:paraId="40CB0792" w14:textId="77777777" w:rsidR="00584FB3" w:rsidRDefault="00584FB3">
            <w:pPr>
              <w:rPr>
                <w:rFonts w:ascii="宋体"/>
                <w:vanish/>
              </w:rPr>
            </w:pPr>
          </w:p>
        </w:tc>
        <w:tc>
          <w:tcPr>
            <w:tcW w:w="0" w:type="auto"/>
            <w:gridSpan w:val="3"/>
            <w:shd w:val="clear" w:color="auto" w:fill="auto"/>
          </w:tcPr>
          <w:p w14:paraId="40CB0793" w14:textId="77777777" w:rsidR="00584FB3" w:rsidRDefault="00584FB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40CB0794" w14:textId="77777777" w:rsidR="00584FB3" w:rsidRDefault="00584FB3">
            <w:pPr>
              <w:jc w:val="right"/>
              <w:rPr>
                <w:rFonts w:ascii="宋体"/>
              </w:rPr>
            </w:pPr>
          </w:p>
        </w:tc>
        <w:tc>
          <w:tcPr>
            <w:tcW w:w="0" w:type="auto"/>
            <w:vMerge/>
            <w:shd w:val="clear" w:color="auto" w:fill="D7E4BC"/>
            <w:tcMar>
              <w:top w:w="40" w:type="dxa"/>
              <w:left w:w="0" w:type="dxa"/>
              <w:bottom w:w="40" w:type="dxa"/>
              <w:right w:w="20" w:type="dxa"/>
            </w:tcMar>
            <w:vAlign w:val="center"/>
          </w:tcPr>
          <w:p w14:paraId="40CB079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96" w14:textId="77777777" w:rsidR="00584FB3" w:rsidRDefault="00584FB3">
            <w:pPr>
              <w:rPr>
                <w:rFonts w:ascii="宋体"/>
              </w:rPr>
            </w:pPr>
          </w:p>
        </w:tc>
        <w:tc>
          <w:tcPr>
            <w:tcW w:w="0" w:type="auto"/>
            <w:gridSpan w:val="2"/>
            <w:vMerge/>
            <w:shd w:val="clear" w:color="auto" w:fill="D7E4BC"/>
            <w:tcMar>
              <w:top w:w="40" w:type="dxa"/>
              <w:left w:w="20" w:type="dxa"/>
              <w:bottom w:w="40" w:type="dxa"/>
              <w:right w:w="0" w:type="dxa"/>
            </w:tcMar>
            <w:vAlign w:val="center"/>
          </w:tcPr>
          <w:p w14:paraId="40CB0797" w14:textId="77777777" w:rsidR="00584FB3" w:rsidRDefault="00584FB3">
            <w:pPr>
              <w:jc w:val="right"/>
              <w:rPr>
                <w:rFonts w:ascii="宋体"/>
              </w:rPr>
            </w:pPr>
          </w:p>
        </w:tc>
        <w:tc>
          <w:tcPr>
            <w:tcW w:w="0" w:type="auto"/>
            <w:vMerge/>
            <w:shd w:val="clear" w:color="auto" w:fill="D7E4BC"/>
            <w:tcMar>
              <w:top w:w="40" w:type="dxa"/>
              <w:left w:w="0" w:type="dxa"/>
              <w:bottom w:w="40" w:type="dxa"/>
              <w:right w:w="20" w:type="dxa"/>
            </w:tcMar>
            <w:vAlign w:val="center"/>
          </w:tcPr>
          <w:p w14:paraId="40CB079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9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9A" w14:textId="77777777" w:rsidR="00584FB3" w:rsidRDefault="00786180">
            <w:pPr>
              <w:jc w:val="right"/>
              <w:textAlignment w:val="center"/>
            </w:pPr>
            <w:r>
              <w:rPr>
                <w:rFonts w:ascii="Times New Roman" w:eastAsia="宋体" w:hAnsi="Times New Roman"/>
                <w:color w:val="000000"/>
                <w:sz w:val="20"/>
                <w:szCs w:val="20"/>
              </w:rPr>
              <w:t>(4.8)</w:t>
            </w:r>
          </w:p>
        </w:tc>
        <w:tc>
          <w:tcPr>
            <w:tcW w:w="0" w:type="auto"/>
            <w:shd w:val="clear" w:color="auto" w:fill="D7E4BC"/>
            <w:tcMar>
              <w:top w:w="40" w:type="dxa"/>
              <w:left w:w="0" w:type="dxa"/>
              <w:bottom w:w="40" w:type="dxa"/>
              <w:right w:w="20" w:type="dxa"/>
            </w:tcMar>
            <w:vAlign w:val="center"/>
          </w:tcPr>
          <w:p w14:paraId="40CB079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9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9D" w14:textId="77777777" w:rsidR="00584FB3" w:rsidRDefault="00786180">
            <w:pPr>
              <w:jc w:val="right"/>
              <w:textAlignment w:val="center"/>
            </w:pPr>
            <w:r>
              <w:rPr>
                <w:rFonts w:ascii="Times New Roman" w:eastAsia="宋体" w:hAnsi="Times New Roman"/>
                <w:color w:val="000000"/>
                <w:sz w:val="20"/>
                <w:szCs w:val="20"/>
              </w:rPr>
              <w:t>5.6 </w:t>
            </w:r>
          </w:p>
        </w:tc>
        <w:tc>
          <w:tcPr>
            <w:tcW w:w="0" w:type="auto"/>
            <w:shd w:val="clear" w:color="auto" w:fill="D7E4BC"/>
            <w:tcMar>
              <w:top w:w="40" w:type="dxa"/>
              <w:left w:w="0" w:type="dxa"/>
              <w:bottom w:w="40" w:type="dxa"/>
              <w:right w:w="20" w:type="dxa"/>
            </w:tcMar>
            <w:vAlign w:val="center"/>
          </w:tcPr>
          <w:p w14:paraId="40CB079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9F"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07A0" w14:textId="77777777" w:rsidR="00584FB3" w:rsidRDefault="00786180">
            <w:pPr>
              <w:textAlignment w:val="bottom"/>
            </w:pPr>
            <w:r>
              <w:rPr>
                <w:rFonts w:ascii="Times New Roman" w:eastAsia="宋体" w:hAnsi="Times New Roman"/>
                <w:color w:val="000000"/>
                <w:sz w:val="20"/>
                <w:szCs w:val="20"/>
              </w:rPr>
              <w:t>Interest income and other, net</w:t>
            </w:r>
          </w:p>
        </w:tc>
      </w:tr>
      <w:tr w:rsidR="00584FB3" w14:paraId="40CB07B3" w14:textId="77777777">
        <w:tc>
          <w:tcPr>
            <w:tcW w:w="0" w:type="auto"/>
            <w:gridSpan w:val="3"/>
            <w:shd w:val="clear" w:color="auto" w:fill="FFFFFF"/>
            <w:tcMar>
              <w:top w:w="40" w:type="dxa"/>
              <w:left w:w="155" w:type="dxa"/>
              <w:bottom w:w="40" w:type="dxa"/>
              <w:right w:w="20" w:type="dxa"/>
            </w:tcMar>
          </w:tcPr>
          <w:p w14:paraId="40CB07A2" w14:textId="77777777" w:rsidR="00584FB3" w:rsidRDefault="00786180">
            <w:pPr>
              <w:textAlignment w:val="top"/>
            </w:pPr>
            <w:r>
              <w:rPr>
                <w:rFonts w:ascii="Times New Roman" w:eastAsia="宋体" w:hAnsi="Times New Roman"/>
                <w:color w:val="000000"/>
                <w:sz w:val="20"/>
                <w:szCs w:val="20"/>
              </w:rPr>
              <w:t>Dairy</w:t>
            </w:r>
          </w:p>
        </w:tc>
        <w:tc>
          <w:tcPr>
            <w:tcW w:w="0" w:type="auto"/>
            <w:gridSpan w:val="3"/>
            <w:shd w:val="clear" w:color="auto" w:fill="auto"/>
          </w:tcPr>
          <w:p w14:paraId="40CB07A3" w14:textId="77777777" w:rsidR="00584FB3" w:rsidRDefault="00584FB3">
            <w:pPr>
              <w:rPr>
                <w:rFonts w:ascii="宋体"/>
                <w:vanish/>
              </w:rPr>
            </w:pPr>
          </w:p>
        </w:tc>
        <w:tc>
          <w:tcPr>
            <w:tcW w:w="0" w:type="auto"/>
            <w:gridSpan w:val="3"/>
            <w:shd w:val="clear" w:color="auto" w:fill="auto"/>
          </w:tcPr>
          <w:p w14:paraId="40CB07A4" w14:textId="77777777" w:rsidR="00584FB3" w:rsidRDefault="00584FB3">
            <w:pPr>
              <w:rPr>
                <w:rFonts w:ascii="宋体"/>
                <w:vanish/>
              </w:rPr>
            </w:pPr>
          </w:p>
        </w:tc>
        <w:tc>
          <w:tcPr>
            <w:tcW w:w="0" w:type="auto"/>
            <w:gridSpan w:val="3"/>
            <w:shd w:val="clear" w:color="auto" w:fill="auto"/>
          </w:tcPr>
          <w:p w14:paraId="40CB07A5" w14:textId="77777777" w:rsidR="00584FB3" w:rsidRDefault="00584FB3">
            <w:pPr>
              <w:rPr>
                <w:rFonts w:ascii="宋体"/>
                <w:vanish/>
              </w:rPr>
            </w:pPr>
          </w:p>
        </w:tc>
        <w:tc>
          <w:tcPr>
            <w:tcW w:w="0" w:type="auto"/>
            <w:gridSpan w:val="2"/>
            <w:shd w:val="clear" w:color="auto" w:fill="FFFFFF"/>
            <w:tcMar>
              <w:top w:w="40" w:type="dxa"/>
              <w:left w:w="20" w:type="dxa"/>
              <w:bottom w:w="40" w:type="dxa"/>
              <w:right w:w="0" w:type="dxa"/>
            </w:tcMar>
            <w:vAlign w:val="bottom"/>
          </w:tcPr>
          <w:p w14:paraId="40CB07A6" w14:textId="77777777" w:rsidR="00584FB3" w:rsidRDefault="0078618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40CB07A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A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A9" w14:textId="77777777" w:rsidR="00584FB3" w:rsidRDefault="00786180">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40CB07A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A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AC" w14:textId="77777777" w:rsidR="00584FB3" w:rsidRDefault="00786180">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40CB07A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A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A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7B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B1"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7B2" w14:textId="77777777" w:rsidR="00584FB3" w:rsidRDefault="00786180">
            <w:pPr>
              <w:textAlignment w:val="bottom"/>
            </w:pPr>
            <w:r>
              <w:rPr>
                <w:rFonts w:ascii="Times New Roman" w:eastAsia="宋体" w:hAnsi="Times New Roman"/>
                <w:color w:val="000000"/>
                <w:sz w:val="20"/>
                <w:szCs w:val="20"/>
              </w:rPr>
              <w:t>Product and distribution costs</w:t>
            </w:r>
          </w:p>
        </w:tc>
      </w:tr>
      <w:tr w:rsidR="00584FB3" w14:paraId="40CB07C5" w14:textId="77777777">
        <w:trPr>
          <w:trHeight w:val="300"/>
        </w:trPr>
        <w:tc>
          <w:tcPr>
            <w:tcW w:w="0" w:type="auto"/>
            <w:gridSpan w:val="3"/>
            <w:vMerge w:val="restart"/>
            <w:shd w:val="clear" w:color="auto" w:fill="D7E4BC"/>
            <w:tcMar>
              <w:top w:w="40" w:type="dxa"/>
              <w:left w:w="155" w:type="dxa"/>
              <w:bottom w:w="40" w:type="dxa"/>
              <w:right w:w="20" w:type="dxa"/>
            </w:tcMar>
          </w:tcPr>
          <w:p w14:paraId="40CB07B4" w14:textId="77777777" w:rsidR="00584FB3" w:rsidRDefault="00786180">
            <w:pPr>
              <w:textAlignment w:val="top"/>
            </w:pPr>
            <w:r>
              <w:rPr>
                <w:rFonts w:ascii="Times New Roman" w:eastAsia="宋体" w:hAnsi="Times New Roman"/>
                <w:color w:val="000000"/>
                <w:sz w:val="20"/>
                <w:szCs w:val="20"/>
              </w:rPr>
              <w:t>Foreign currency - other</w:t>
            </w:r>
          </w:p>
        </w:tc>
        <w:tc>
          <w:tcPr>
            <w:tcW w:w="0" w:type="auto"/>
            <w:gridSpan w:val="3"/>
            <w:shd w:val="clear" w:color="auto" w:fill="auto"/>
          </w:tcPr>
          <w:p w14:paraId="40CB07B5" w14:textId="77777777" w:rsidR="00584FB3" w:rsidRDefault="00584FB3">
            <w:pPr>
              <w:rPr>
                <w:rFonts w:ascii="宋体"/>
                <w:vanish/>
              </w:rPr>
            </w:pPr>
          </w:p>
        </w:tc>
        <w:tc>
          <w:tcPr>
            <w:tcW w:w="0" w:type="auto"/>
            <w:gridSpan w:val="3"/>
            <w:shd w:val="clear" w:color="auto" w:fill="auto"/>
          </w:tcPr>
          <w:p w14:paraId="40CB07B6" w14:textId="77777777" w:rsidR="00584FB3" w:rsidRDefault="00584FB3">
            <w:pPr>
              <w:rPr>
                <w:rFonts w:ascii="宋体"/>
                <w:vanish/>
              </w:rPr>
            </w:pPr>
          </w:p>
        </w:tc>
        <w:tc>
          <w:tcPr>
            <w:tcW w:w="0" w:type="auto"/>
            <w:gridSpan w:val="3"/>
            <w:shd w:val="clear" w:color="auto" w:fill="auto"/>
          </w:tcPr>
          <w:p w14:paraId="40CB07B7" w14:textId="77777777" w:rsidR="00584FB3" w:rsidRDefault="00584FB3">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40CB07B8" w14:textId="77777777" w:rsidR="00584FB3" w:rsidRDefault="00786180">
            <w:pPr>
              <w:jc w:val="right"/>
              <w:textAlignment w:val="center"/>
            </w:pPr>
            <w:r>
              <w:rPr>
                <w:rFonts w:ascii="Times New Roman" w:eastAsia="宋体" w:hAnsi="Times New Roman"/>
                <w:color w:val="000000"/>
                <w:sz w:val="20"/>
                <w:szCs w:val="20"/>
              </w:rPr>
              <w:t>(25.9)</w:t>
            </w:r>
          </w:p>
        </w:tc>
        <w:tc>
          <w:tcPr>
            <w:tcW w:w="0" w:type="auto"/>
            <w:vMerge w:val="restart"/>
            <w:shd w:val="clear" w:color="auto" w:fill="D7E4BC"/>
            <w:tcMar>
              <w:top w:w="40" w:type="dxa"/>
              <w:left w:w="0" w:type="dxa"/>
              <w:bottom w:w="40" w:type="dxa"/>
              <w:right w:w="20" w:type="dxa"/>
            </w:tcMar>
            <w:vAlign w:val="center"/>
          </w:tcPr>
          <w:p w14:paraId="40CB07B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BA" w14:textId="77777777" w:rsidR="00584FB3" w:rsidRDefault="00584FB3">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40CB07BB" w14:textId="77777777" w:rsidR="00584FB3" w:rsidRDefault="00786180">
            <w:pPr>
              <w:jc w:val="right"/>
              <w:textAlignment w:val="center"/>
            </w:pPr>
            <w:r>
              <w:rPr>
                <w:rFonts w:ascii="Times New Roman" w:eastAsia="宋体" w:hAnsi="Times New Roman"/>
                <w:color w:val="000000"/>
                <w:sz w:val="20"/>
                <w:szCs w:val="20"/>
              </w:rPr>
              <w:t>(4.7)</w:t>
            </w:r>
          </w:p>
        </w:tc>
        <w:tc>
          <w:tcPr>
            <w:tcW w:w="0" w:type="auto"/>
            <w:vMerge w:val="restart"/>
            <w:shd w:val="clear" w:color="auto" w:fill="D7E4BC"/>
            <w:tcMar>
              <w:top w:w="40" w:type="dxa"/>
              <w:left w:w="0" w:type="dxa"/>
              <w:bottom w:w="40" w:type="dxa"/>
              <w:right w:w="20" w:type="dxa"/>
            </w:tcMar>
            <w:vAlign w:val="center"/>
          </w:tcPr>
          <w:p w14:paraId="40CB07B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B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BE" w14:textId="77777777" w:rsidR="00584FB3" w:rsidRDefault="00786180">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40CB07B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C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C1" w14:textId="77777777" w:rsidR="00584FB3" w:rsidRDefault="00786180">
            <w:pPr>
              <w:jc w:val="right"/>
              <w:textAlignment w:val="center"/>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center"/>
          </w:tcPr>
          <w:p w14:paraId="40CB07C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C3"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07C4" w14:textId="77777777" w:rsidR="00584FB3" w:rsidRDefault="00786180">
            <w:pPr>
              <w:textAlignment w:val="bottom"/>
            </w:pPr>
            <w:r>
              <w:rPr>
                <w:rFonts w:ascii="Times New Roman" w:eastAsia="宋体" w:hAnsi="Times New Roman"/>
                <w:color w:val="000000"/>
                <w:sz w:val="20"/>
                <w:szCs w:val="20"/>
              </w:rPr>
              <w:t>Licensed stores revenues</w:t>
            </w:r>
          </w:p>
        </w:tc>
      </w:tr>
      <w:tr w:rsidR="00584FB3" w14:paraId="40CB07D7" w14:textId="77777777">
        <w:trPr>
          <w:trHeight w:val="300"/>
        </w:trPr>
        <w:tc>
          <w:tcPr>
            <w:tcW w:w="0" w:type="auto"/>
            <w:gridSpan w:val="3"/>
            <w:vMerge/>
            <w:shd w:val="clear" w:color="auto" w:fill="D7E4BC"/>
            <w:tcMar>
              <w:top w:w="40" w:type="dxa"/>
              <w:left w:w="155" w:type="dxa"/>
              <w:bottom w:w="40" w:type="dxa"/>
              <w:right w:w="20" w:type="dxa"/>
            </w:tcMar>
          </w:tcPr>
          <w:p w14:paraId="40CB07C6" w14:textId="77777777" w:rsidR="00584FB3" w:rsidRDefault="00584FB3">
            <w:pPr>
              <w:rPr>
                <w:rFonts w:ascii="宋体"/>
              </w:rPr>
            </w:pPr>
          </w:p>
        </w:tc>
        <w:tc>
          <w:tcPr>
            <w:tcW w:w="0" w:type="auto"/>
            <w:gridSpan w:val="3"/>
            <w:shd w:val="clear" w:color="auto" w:fill="auto"/>
          </w:tcPr>
          <w:p w14:paraId="40CB07C7" w14:textId="77777777" w:rsidR="00584FB3" w:rsidRDefault="00584FB3">
            <w:pPr>
              <w:rPr>
                <w:rFonts w:ascii="宋体"/>
                <w:vanish/>
              </w:rPr>
            </w:pPr>
          </w:p>
        </w:tc>
        <w:tc>
          <w:tcPr>
            <w:tcW w:w="0" w:type="auto"/>
            <w:gridSpan w:val="3"/>
            <w:shd w:val="clear" w:color="auto" w:fill="auto"/>
          </w:tcPr>
          <w:p w14:paraId="40CB07C8" w14:textId="77777777" w:rsidR="00584FB3" w:rsidRDefault="00584FB3">
            <w:pPr>
              <w:rPr>
                <w:rFonts w:ascii="宋体"/>
                <w:vanish/>
              </w:rPr>
            </w:pPr>
          </w:p>
        </w:tc>
        <w:tc>
          <w:tcPr>
            <w:tcW w:w="0" w:type="auto"/>
            <w:gridSpan w:val="3"/>
            <w:shd w:val="clear" w:color="auto" w:fill="auto"/>
          </w:tcPr>
          <w:p w14:paraId="40CB07C9" w14:textId="77777777" w:rsidR="00584FB3" w:rsidRDefault="00584FB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40CB07CA" w14:textId="77777777" w:rsidR="00584FB3" w:rsidRDefault="00584FB3">
            <w:pPr>
              <w:jc w:val="right"/>
              <w:rPr>
                <w:rFonts w:ascii="宋体"/>
              </w:rPr>
            </w:pPr>
          </w:p>
        </w:tc>
        <w:tc>
          <w:tcPr>
            <w:tcW w:w="0" w:type="auto"/>
            <w:vMerge/>
            <w:shd w:val="clear" w:color="auto" w:fill="D7E4BC"/>
            <w:tcMar>
              <w:top w:w="40" w:type="dxa"/>
              <w:left w:w="0" w:type="dxa"/>
              <w:bottom w:w="40" w:type="dxa"/>
              <w:right w:w="20" w:type="dxa"/>
            </w:tcMar>
            <w:vAlign w:val="center"/>
          </w:tcPr>
          <w:p w14:paraId="40CB07C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CC" w14:textId="77777777" w:rsidR="00584FB3" w:rsidRDefault="00584FB3">
            <w:pPr>
              <w:rPr>
                <w:rFonts w:ascii="宋体"/>
              </w:rPr>
            </w:pPr>
          </w:p>
        </w:tc>
        <w:tc>
          <w:tcPr>
            <w:tcW w:w="0" w:type="auto"/>
            <w:gridSpan w:val="2"/>
            <w:vMerge/>
            <w:shd w:val="clear" w:color="auto" w:fill="D7E4BC"/>
            <w:tcMar>
              <w:top w:w="40" w:type="dxa"/>
              <w:left w:w="20" w:type="dxa"/>
              <w:bottom w:w="40" w:type="dxa"/>
              <w:right w:w="0" w:type="dxa"/>
            </w:tcMar>
            <w:vAlign w:val="center"/>
          </w:tcPr>
          <w:p w14:paraId="40CB07CD" w14:textId="77777777" w:rsidR="00584FB3" w:rsidRDefault="00584FB3">
            <w:pPr>
              <w:jc w:val="right"/>
              <w:rPr>
                <w:rFonts w:ascii="宋体"/>
              </w:rPr>
            </w:pPr>
          </w:p>
        </w:tc>
        <w:tc>
          <w:tcPr>
            <w:tcW w:w="0" w:type="auto"/>
            <w:vMerge/>
            <w:shd w:val="clear" w:color="auto" w:fill="D7E4BC"/>
            <w:tcMar>
              <w:top w:w="40" w:type="dxa"/>
              <w:left w:w="0" w:type="dxa"/>
              <w:bottom w:w="40" w:type="dxa"/>
              <w:right w:w="20" w:type="dxa"/>
            </w:tcMar>
            <w:vAlign w:val="center"/>
          </w:tcPr>
          <w:p w14:paraId="40CB07C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C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D0" w14:textId="77777777" w:rsidR="00584FB3" w:rsidRDefault="00786180">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40CB07D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D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07D3" w14:textId="77777777" w:rsidR="00584FB3" w:rsidRDefault="00786180">
            <w:pPr>
              <w:jc w:val="right"/>
              <w:textAlignment w:val="center"/>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center"/>
          </w:tcPr>
          <w:p w14:paraId="40CB07D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7D5"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07D6" w14:textId="77777777" w:rsidR="00584FB3" w:rsidRDefault="00786180">
            <w:pPr>
              <w:textAlignment w:val="bottom"/>
            </w:pPr>
            <w:r>
              <w:rPr>
                <w:rFonts w:ascii="Times New Roman" w:eastAsia="宋体" w:hAnsi="Times New Roman"/>
                <w:color w:val="000000"/>
                <w:sz w:val="20"/>
                <w:szCs w:val="20"/>
              </w:rPr>
              <w:t>Product and distribution costs</w:t>
            </w:r>
          </w:p>
        </w:tc>
      </w:tr>
      <w:tr w:rsidR="00584FB3" w14:paraId="40CB07E7" w14:textId="77777777">
        <w:tc>
          <w:tcPr>
            <w:tcW w:w="0" w:type="auto"/>
            <w:gridSpan w:val="3"/>
            <w:vMerge/>
            <w:shd w:val="clear" w:color="auto" w:fill="D7E4BC"/>
            <w:tcMar>
              <w:top w:w="40" w:type="dxa"/>
              <w:left w:w="155" w:type="dxa"/>
              <w:bottom w:w="40" w:type="dxa"/>
              <w:right w:w="20" w:type="dxa"/>
            </w:tcMar>
          </w:tcPr>
          <w:p w14:paraId="40CB07D8" w14:textId="77777777" w:rsidR="00584FB3" w:rsidRDefault="00584FB3">
            <w:pPr>
              <w:rPr>
                <w:rFonts w:ascii="宋体"/>
              </w:rPr>
            </w:pPr>
          </w:p>
        </w:tc>
        <w:tc>
          <w:tcPr>
            <w:tcW w:w="0" w:type="auto"/>
            <w:gridSpan w:val="3"/>
            <w:shd w:val="clear" w:color="auto" w:fill="auto"/>
          </w:tcPr>
          <w:p w14:paraId="40CB07D9" w14:textId="77777777" w:rsidR="00584FB3" w:rsidRDefault="00584FB3">
            <w:pPr>
              <w:rPr>
                <w:rFonts w:ascii="宋体"/>
                <w:vanish/>
              </w:rPr>
            </w:pPr>
          </w:p>
        </w:tc>
        <w:tc>
          <w:tcPr>
            <w:tcW w:w="0" w:type="auto"/>
            <w:gridSpan w:val="3"/>
            <w:shd w:val="clear" w:color="auto" w:fill="auto"/>
          </w:tcPr>
          <w:p w14:paraId="40CB07DA" w14:textId="77777777" w:rsidR="00584FB3" w:rsidRDefault="00584FB3">
            <w:pPr>
              <w:rPr>
                <w:rFonts w:ascii="宋体"/>
                <w:vanish/>
              </w:rPr>
            </w:pPr>
          </w:p>
        </w:tc>
        <w:tc>
          <w:tcPr>
            <w:tcW w:w="0" w:type="auto"/>
            <w:gridSpan w:val="3"/>
            <w:shd w:val="clear" w:color="auto" w:fill="auto"/>
          </w:tcPr>
          <w:p w14:paraId="40CB07DB" w14:textId="77777777" w:rsidR="00584FB3" w:rsidRDefault="00584FB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40CB07DC" w14:textId="77777777" w:rsidR="00584FB3" w:rsidRDefault="00584FB3">
            <w:pPr>
              <w:jc w:val="right"/>
              <w:rPr>
                <w:rFonts w:ascii="宋体"/>
              </w:rPr>
            </w:pPr>
          </w:p>
        </w:tc>
        <w:tc>
          <w:tcPr>
            <w:tcW w:w="0" w:type="auto"/>
            <w:vMerge/>
            <w:shd w:val="clear" w:color="auto" w:fill="D7E4BC"/>
            <w:tcMar>
              <w:top w:w="40" w:type="dxa"/>
              <w:left w:w="0" w:type="dxa"/>
              <w:bottom w:w="40" w:type="dxa"/>
              <w:right w:w="20" w:type="dxa"/>
            </w:tcMar>
            <w:vAlign w:val="center"/>
          </w:tcPr>
          <w:p w14:paraId="40CB07DD" w14:textId="77777777" w:rsidR="00584FB3" w:rsidRDefault="00584FB3">
            <w:pPr>
              <w:jc w:val="right"/>
              <w:rPr>
                <w:rFonts w:ascii="宋体"/>
              </w:rPr>
            </w:pPr>
          </w:p>
        </w:tc>
        <w:tc>
          <w:tcPr>
            <w:tcW w:w="0" w:type="auto"/>
            <w:gridSpan w:val="3"/>
            <w:shd w:val="clear" w:color="auto" w:fill="auto"/>
          </w:tcPr>
          <w:p w14:paraId="40CB07DE" w14:textId="77777777" w:rsidR="00584FB3" w:rsidRDefault="00584FB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40CB07DF" w14:textId="77777777" w:rsidR="00584FB3" w:rsidRDefault="00584FB3">
            <w:pPr>
              <w:jc w:val="right"/>
              <w:rPr>
                <w:rFonts w:ascii="宋体"/>
              </w:rPr>
            </w:pPr>
          </w:p>
        </w:tc>
        <w:tc>
          <w:tcPr>
            <w:tcW w:w="0" w:type="auto"/>
            <w:vMerge/>
            <w:shd w:val="clear" w:color="auto" w:fill="D7E4BC"/>
            <w:tcMar>
              <w:top w:w="40" w:type="dxa"/>
              <w:left w:w="0" w:type="dxa"/>
              <w:bottom w:w="40" w:type="dxa"/>
              <w:right w:w="20" w:type="dxa"/>
            </w:tcMar>
            <w:vAlign w:val="center"/>
          </w:tcPr>
          <w:p w14:paraId="40CB07E0" w14:textId="77777777" w:rsidR="00584FB3" w:rsidRDefault="00584FB3">
            <w:pPr>
              <w:jc w:val="right"/>
              <w:rPr>
                <w:rFonts w:ascii="宋体"/>
              </w:rPr>
            </w:pPr>
          </w:p>
        </w:tc>
        <w:tc>
          <w:tcPr>
            <w:tcW w:w="0" w:type="auto"/>
            <w:gridSpan w:val="3"/>
            <w:shd w:val="clear" w:color="auto" w:fill="auto"/>
          </w:tcPr>
          <w:p w14:paraId="40CB07E1" w14:textId="77777777" w:rsidR="00584FB3" w:rsidRDefault="00584FB3">
            <w:pPr>
              <w:rPr>
                <w:rFonts w:ascii="宋体"/>
                <w:vanish/>
              </w:rPr>
            </w:pPr>
          </w:p>
        </w:tc>
        <w:tc>
          <w:tcPr>
            <w:tcW w:w="0" w:type="auto"/>
            <w:gridSpan w:val="3"/>
            <w:shd w:val="clear" w:color="auto" w:fill="auto"/>
          </w:tcPr>
          <w:p w14:paraId="40CB07E2" w14:textId="77777777" w:rsidR="00584FB3" w:rsidRDefault="00584FB3">
            <w:pPr>
              <w:rPr>
                <w:rFonts w:ascii="宋体"/>
                <w:vanish/>
              </w:rPr>
            </w:pPr>
          </w:p>
        </w:tc>
        <w:tc>
          <w:tcPr>
            <w:tcW w:w="0" w:type="auto"/>
            <w:gridSpan w:val="3"/>
            <w:shd w:val="clear" w:color="auto" w:fill="auto"/>
          </w:tcPr>
          <w:p w14:paraId="40CB07E3" w14:textId="77777777" w:rsidR="00584FB3" w:rsidRDefault="00584FB3">
            <w:pPr>
              <w:rPr>
                <w:rFonts w:ascii="宋体"/>
                <w:vanish/>
              </w:rPr>
            </w:pPr>
          </w:p>
        </w:tc>
        <w:tc>
          <w:tcPr>
            <w:tcW w:w="0" w:type="auto"/>
            <w:gridSpan w:val="3"/>
            <w:shd w:val="clear" w:color="auto" w:fill="auto"/>
          </w:tcPr>
          <w:p w14:paraId="40CB07E4" w14:textId="77777777" w:rsidR="00584FB3" w:rsidRDefault="00584FB3">
            <w:pPr>
              <w:rPr>
                <w:rFonts w:ascii="宋体"/>
                <w:vanish/>
              </w:rPr>
            </w:pPr>
          </w:p>
        </w:tc>
        <w:tc>
          <w:tcPr>
            <w:tcW w:w="0" w:type="auto"/>
            <w:gridSpan w:val="3"/>
            <w:shd w:val="clear" w:color="auto" w:fill="auto"/>
          </w:tcPr>
          <w:p w14:paraId="40CB07E5" w14:textId="77777777" w:rsidR="00584FB3" w:rsidRDefault="00584FB3">
            <w:pPr>
              <w:rPr>
                <w:rFonts w:ascii="宋体"/>
                <w:vanish/>
              </w:rPr>
            </w:pPr>
          </w:p>
        </w:tc>
        <w:tc>
          <w:tcPr>
            <w:tcW w:w="0" w:type="auto"/>
            <w:gridSpan w:val="3"/>
            <w:shd w:val="clear" w:color="auto" w:fill="auto"/>
          </w:tcPr>
          <w:p w14:paraId="40CB07E6" w14:textId="77777777" w:rsidR="00584FB3" w:rsidRDefault="00584FB3">
            <w:pPr>
              <w:rPr>
                <w:rFonts w:ascii="宋体"/>
                <w:vanish/>
              </w:rPr>
            </w:pPr>
          </w:p>
        </w:tc>
      </w:tr>
      <w:tr w:rsidR="00584FB3" w14:paraId="40CB07F9" w14:textId="77777777">
        <w:tc>
          <w:tcPr>
            <w:tcW w:w="0" w:type="auto"/>
            <w:gridSpan w:val="3"/>
            <w:shd w:val="clear" w:color="auto" w:fill="FFFFFF"/>
            <w:tcMar>
              <w:top w:w="40" w:type="dxa"/>
              <w:left w:w="155" w:type="dxa"/>
              <w:bottom w:w="40" w:type="dxa"/>
              <w:right w:w="20" w:type="dxa"/>
            </w:tcMar>
          </w:tcPr>
          <w:p w14:paraId="40CB07E8" w14:textId="77777777" w:rsidR="00584FB3" w:rsidRDefault="00786180">
            <w:pPr>
              <w:textAlignment w:val="top"/>
            </w:pPr>
            <w:r>
              <w:rPr>
                <w:rFonts w:ascii="Times New Roman" w:eastAsia="宋体" w:hAnsi="Times New Roman"/>
                <w:color w:val="000000"/>
                <w:sz w:val="20"/>
                <w:szCs w:val="20"/>
              </w:rPr>
              <w:t>Interest rates</w:t>
            </w:r>
          </w:p>
        </w:tc>
        <w:tc>
          <w:tcPr>
            <w:tcW w:w="0" w:type="auto"/>
            <w:gridSpan w:val="3"/>
            <w:shd w:val="clear" w:color="auto" w:fill="auto"/>
          </w:tcPr>
          <w:p w14:paraId="40CB07E9" w14:textId="77777777" w:rsidR="00584FB3" w:rsidRDefault="00584FB3">
            <w:pPr>
              <w:rPr>
                <w:rFonts w:ascii="宋体"/>
                <w:vanish/>
              </w:rPr>
            </w:pPr>
          </w:p>
        </w:tc>
        <w:tc>
          <w:tcPr>
            <w:tcW w:w="0" w:type="auto"/>
            <w:gridSpan w:val="3"/>
            <w:shd w:val="clear" w:color="auto" w:fill="auto"/>
          </w:tcPr>
          <w:p w14:paraId="40CB07EA" w14:textId="77777777" w:rsidR="00584FB3" w:rsidRDefault="00584FB3">
            <w:pPr>
              <w:rPr>
                <w:rFonts w:ascii="宋体"/>
                <w:vanish/>
              </w:rPr>
            </w:pPr>
          </w:p>
        </w:tc>
        <w:tc>
          <w:tcPr>
            <w:tcW w:w="0" w:type="auto"/>
            <w:gridSpan w:val="3"/>
            <w:shd w:val="clear" w:color="auto" w:fill="auto"/>
          </w:tcPr>
          <w:p w14:paraId="40CB07EB" w14:textId="77777777" w:rsidR="00584FB3" w:rsidRDefault="00584FB3">
            <w:pPr>
              <w:rPr>
                <w:rFonts w:ascii="宋体"/>
                <w:vanish/>
              </w:rPr>
            </w:pPr>
          </w:p>
        </w:tc>
        <w:tc>
          <w:tcPr>
            <w:tcW w:w="0" w:type="auto"/>
            <w:gridSpan w:val="2"/>
            <w:shd w:val="clear" w:color="auto" w:fill="FFFFFF"/>
            <w:tcMar>
              <w:top w:w="40" w:type="dxa"/>
              <w:left w:w="20" w:type="dxa"/>
              <w:bottom w:w="40" w:type="dxa"/>
              <w:right w:w="0" w:type="dxa"/>
            </w:tcMar>
            <w:vAlign w:val="bottom"/>
          </w:tcPr>
          <w:p w14:paraId="40CB07EC" w14:textId="77777777" w:rsidR="00584FB3" w:rsidRDefault="00786180">
            <w:pPr>
              <w:jc w:val="right"/>
              <w:textAlignment w:val="bottom"/>
            </w:pPr>
            <w:r>
              <w:rPr>
                <w:rFonts w:ascii="Times New Roman" w:eastAsia="宋体" w:hAnsi="Times New Roman"/>
                <w:color w:val="000000"/>
                <w:sz w:val="20"/>
                <w:szCs w:val="20"/>
              </w:rPr>
              <w:t>22.5 </w:t>
            </w:r>
          </w:p>
        </w:tc>
        <w:tc>
          <w:tcPr>
            <w:tcW w:w="0" w:type="auto"/>
            <w:shd w:val="clear" w:color="auto" w:fill="FFFFFF"/>
            <w:tcMar>
              <w:top w:w="40" w:type="dxa"/>
              <w:left w:w="0" w:type="dxa"/>
              <w:bottom w:w="40" w:type="dxa"/>
              <w:right w:w="20" w:type="dxa"/>
            </w:tcMar>
            <w:vAlign w:val="bottom"/>
          </w:tcPr>
          <w:p w14:paraId="40CB07E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E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EF" w14:textId="77777777" w:rsidR="00584FB3" w:rsidRDefault="00786180">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left w:w="0" w:type="dxa"/>
              <w:bottom w:w="40" w:type="dxa"/>
              <w:right w:w="20" w:type="dxa"/>
            </w:tcMar>
            <w:vAlign w:val="bottom"/>
          </w:tcPr>
          <w:p w14:paraId="40CB07F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F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F2" w14:textId="77777777" w:rsidR="00584FB3" w:rsidRDefault="00786180">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40CB07F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F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7F5" w14:textId="77777777" w:rsidR="00584FB3" w:rsidRDefault="00786180">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40CB07F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7F7"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7F8" w14:textId="77777777" w:rsidR="00584FB3" w:rsidRDefault="00786180">
            <w:pPr>
              <w:textAlignment w:val="bottom"/>
            </w:pPr>
            <w:r>
              <w:rPr>
                <w:rFonts w:ascii="Times New Roman" w:eastAsia="宋体" w:hAnsi="Times New Roman"/>
                <w:color w:val="000000"/>
                <w:sz w:val="20"/>
                <w:szCs w:val="20"/>
              </w:rPr>
              <w:t>Interest expense</w:t>
            </w:r>
          </w:p>
        </w:tc>
      </w:tr>
      <w:tr w:rsidR="00584FB3" w14:paraId="40CB0807" w14:textId="77777777">
        <w:tc>
          <w:tcPr>
            <w:tcW w:w="0" w:type="auto"/>
            <w:gridSpan w:val="3"/>
            <w:shd w:val="clear" w:color="auto" w:fill="D7E4BC"/>
            <w:tcMar>
              <w:top w:w="40" w:type="dxa"/>
              <w:left w:w="20" w:type="dxa"/>
              <w:bottom w:w="40" w:type="dxa"/>
              <w:right w:w="20" w:type="dxa"/>
            </w:tcMar>
          </w:tcPr>
          <w:p w14:paraId="40CB07FA" w14:textId="77777777" w:rsidR="00584FB3" w:rsidRDefault="00786180">
            <w:pPr>
              <w:textAlignment w:val="top"/>
            </w:pPr>
            <w:r>
              <w:rPr>
                <w:rFonts w:ascii="Times New Roman" w:eastAsia="宋体" w:hAnsi="Times New Roman"/>
                <w:color w:val="000000"/>
                <w:sz w:val="20"/>
                <w:szCs w:val="20"/>
              </w:rPr>
              <w:t>Net Investment Hedges:</w:t>
            </w:r>
          </w:p>
        </w:tc>
        <w:tc>
          <w:tcPr>
            <w:tcW w:w="0" w:type="auto"/>
            <w:gridSpan w:val="3"/>
            <w:shd w:val="clear" w:color="auto" w:fill="auto"/>
          </w:tcPr>
          <w:p w14:paraId="40CB07FB" w14:textId="77777777" w:rsidR="00584FB3" w:rsidRDefault="00584FB3">
            <w:pPr>
              <w:rPr>
                <w:rFonts w:ascii="宋体"/>
                <w:vanish/>
              </w:rPr>
            </w:pPr>
          </w:p>
        </w:tc>
        <w:tc>
          <w:tcPr>
            <w:tcW w:w="0" w:type="auto"/>
            <w:gridSpan w:val="3"/>
            <w:shd w:val="clear" w:color="auto" w:fill="auto"/>
          </w:tcPr>
          <w:p w14:paraId="40CB07FC" w14:textId="77777777" w:rsidR="00584FB3" w:rsidRDefault="00584FB3">
            <w:pPr>
              <w:rPr>
                <w:rFonts w:ascii="宋体"/>
                <w:vanish/>
              </w:rPr>
            </w:pPr>
          </w:p>
        </w:tc>
        <w:tc>
          <w:tcPr>
            <w:tcW w:w="0" w:type="auto"/>
            <w:gridSpan w:val="3"/>
            <w:shd w:val="clear" w:color="auto" w:fill="auto"/>
          </w:tcPr>
          <w:p w14:paraId="40CB07FD" w14:textId="77777777" w:rsidR="00584FB3" w:rsidRDefault="00584FB3">
            <w:pPr>
              <w:rPr>
                <w:rFonts w:ascii="宋体"/>
                <w:vanish/>
              </w:rPr>
            </w:pPr>
          </w:p>
        </w:tc>
        <w:tc>
          <w:tcPr>
            <w:tcW w:w="0" w:type="auto"/>
            <w:gridSpan w:val="3"/>
            <w:shd w:val="clear" w:color="auto" w:fill="D7E4BC"/>
            <w:tcMar>
              <w:top w:w="0" w:type="dxa"/>
              <w:left w:w="20" w:type="dxa"/>
              <w:bottom w:w="0" w:type="dxa"/>
              <w:right w:w="20" w:type="dxa"/>
            </w:tcMar>
          </w:tcPr>
          <w:p w14:paraId="40CB07F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7F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0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0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0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0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0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0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06" w14:textId="77777777" w:rsidR="00584FB3" w:rsidRDefault="00584FB3">
            <w:pPr>
              <w:rPr>
                <w:rFonts w:ascii="宋体"/>
              </w:rPr>
            </w:pPr>
          </w:p>
        </w:tc>
      </w:tr>
      <w:tr w:rsidR="00584FB3" w14:paraId="40CB0819" w14:textId="77777777">
        <w:tc>
          <w:tcPr>
            <w:tcW w:w="0" w:type="auto"/>
            <w:gridSpan w:val="3"/>
            <w:shd w:val="clear" w:color="auto" w:fill="auto"/>
            <w:tcMar>
              <w:top w:w="40" w:type="dxa"/>
              <w:left w:w="155" w:type="dxa"/>
              <w:bottom w:w="40" w:type="dxa"/>
              <w:right w:w="20" w:type="dxa"/>
            </w:tcMar>
          </w:tcPr>
          <w:p w14:paraId="40CB0808" w14:textId="77777777" w:rsidR="00584FB3" w:rsidRDefault="00786180">
            <w:pPr>
              <w:textAlignment w:val="top"/>
            </w:pPr>
            <w:r>
              <w:rPr>
                <w:rFonts w:ascii="Times New Roman" w:eastAsia="宋体" w:hAnsi="Times New Roman"/>
                <w:color w:val="000000"/>
                <w:sz w:val="20"/>
                <w:szCs w:val="20"/>
              </w:rPr>
              <w:t xml:space="preserve">Cross-currency swaps </w:t>
            </w:r>
          </w:p>
        </w:tc>
        <w:tc>
          <w:tcPr>
            <w:tcW w:w="0" w:type="auto"/>
            <w:gridSpan w:val="3"/>
            <w:shd w:val="clear" w:color="auto" w:fill="auto"/>
          </w:tcPr>
          <w:p w14:paraId="40CB0809" w14:textId="77777777" w:rsidR="00584FB3" w:rsidRDefault="00584FB3">
            <w:pPr>
              <w:rPr>
                <w:rFonts w:ascii="宋体"/>
                <w:vanish/>
              </w:rPr>
            </w:pPr>
          </w:p>
        </w:tc>
        <w:tc>
          <w:tcPr>
            <w:tcW w:w="0" w:type="auto"/>
            <w:gridSpan w:val="3"/>
            <w:shd w:val="clear" w:color="auto" w:fill="auto"/>
          </w:tcPr>
          <w:p w14:paraId="40CB080A" w14:textId="77777777" w:rsidR="00584FB3" w:rsidRDefault="00584FB3">
            <w:pPr>
              <w:rPr>
                <w:rFonts w:ascii="宋体"/>
                <w:vanish/>
              </w:rPr>
            </w:pPr>
          </w:p>
        </w:tc>
        <w:tc>
          <w:tcPr>
            <w:tcW w:w="0" w:type="auto"/>
            <w:gridSpan w:val="3"/>
            <w:shd w:val="clear" w:color="auto" w:fill="auto"/>
          </w:tcPr>
          <w:p w14:paraId="40CB080B" w14:textId="77777777" w:rsidR="00584FB3" w:rsidRDefault="00584FB3">
            <w:pPr>
              <w:rPr>
                <w:rFonts w:ascii="宋体"/>
                <w:vanish/>
              </w:rPr>
            </w:pPr>
          </w:p>
        </w:tc>
        <w:tc>
          <w:tcPr>
            <w:tcW w:w="0" w:type="auto"/>
            <w:gridSpan w:val="2"/>
            <w:shd w:val="clear" w:color="auto" w:fill="auto"/>
            <w:tcMar>
              <w:top w:w="40" w:type="dxa"/>
              <w:left w:w="20" w:type="dxa"/>
              <w:bottom w:w="40" w:type="dxa"/>
              <w:right w:w="0" w:type="dxa"/>
            </w:tcMar>
            <w:vAlign w:val="bottom"/>
          </w:tcPr>
          <w:p w14:paraId="40CB080C" w14:textId="77777777" w:rsidR="00584FB3" w:rsidRDefault="00786180">
            <w:pPr>
              <w:jc w:val="right"/>
              <w:textAlignment w:val="bottom"/>
            </w:pPr>
            <w:r>
              <w:rPr>
                <w:rFonts w:ascii="Times New Roman" w:eastAsia="宋体" w:hAnsi="Times New Roman"/>
                <w:color w:val="000000"/>
                <w:sz w:val="20"/>
                <w:szCs w:val="20"/>
              </w:rPr>
              <w:t>(16.5)</w:t>
            </w:r>
          </w:p>
        </w:tc>
        <w:tc>
          <w:tcPr>
            <w:tcW w:w="0" w:type="auto"/>
            <w:shd w:val="clear" w:color="auto" w:fill="auto"/>
            <w:tcMar>
              <w:top w:w="40" w:type="dxa"/>
              <w:left w:w="0" w:type="dxa"/>
              <w:bottom w:w="40" w:type="dxa"/>
              <w:right w:w="20" w:type="dxa"/>
            </w:tcMar>
            <w:vAlign w:val="bottom"/>
          </w:tcPr>
          <w:p w14:paraId="40CB080D" w14:textId="77777777" w:rsidR="00584FB3" w:rsidRDefault="00584FB3">
            <w:pPr>
              <w:jc w:val="right"/>
              <w:rPr>
                <w:rFonts w:ascii="宋体"/>
              </w:rPr>
            </w:pPr>
          </w:p>
        </w:tc>
        <w:tc>
          <w:tcPr>
            <w:tcW w:w="0" w:type="auto"/>
            <w:gridSpan w:val="3"/>
            <w:shd w:val="clear" w:color="auto" w:fill="auto"/>
            <w:tcMar>
              <w:top w:w="0" w:type="dxa"/>
              <w:left w:w="20" w:type="dxa"/>
              <w:bottom w:w="0" w:type="dxa"/>
              <w:right w:w="20" w:type="dxa"/>
            </w:tcMar>
          </w:tcPr>
          <w:p w14:paraId="40CB080E" w14:textId="77777777" w:rsidR="00584FB3" w:rsidRDefault="00584FB3">
            <w:pPr>
              <w:rPr>
                <w:rFonts w:ascii="宋体"/>
              </w:rPr>
            </w:pPr>
          </w:p>
        </w:tc>
        <w:tc>
          <w:tcPr>
            <w:tcW w:w="0" w:type="auto"/>
            <w:gridSpan w:val="2"/>
            <w:shd w:val="clear" w:color="auto" w:fill="auto"/>
            <w:tcMar>
              <w:top w:w="40" w:type="dxa"/>
              <w:left w:w="20" w:type="dxa"/>
              <w:bottom w:w="40" w:type="dxa"/>
              <w:right w:w="0" w:type="dxa"/>
            </w:tcMar>
            <w:vAlign w:val="bottom"/>
          </w:tcPr>
          <w:p w14:paraId="40CB080F" w14:textId="77777777" w:rsidR="00584FB3" w:rsidRDefault="00786180">
            <w:pPr>
              <w:jc w:val="right"/>
              <w:textAlignment w:val="bottom"/>
            </w:pPr>
            <w:r>
              <w:rPr>
                <w:rFonts w:ascii="Times New Roman" w:eastAsia="宋体" w:hAnsi="Times New Roman"/>
                <w:color w:val="000000"/>
                <w:sz w:val="20"/>
                <w:szCs w:val="20"/>
              </w:rPr>
              <w:t>10.7 </w:t>
            </w:r>
          </w:p>
        </w:tc>
        <w:tc>
          <w:tcPr>
            <w:tcW w:w="0" w:type="auto"/>
            <w:shd w:val="clear" w:color="auto" w:fill="auto"/>
            <w:tcMar>
              <w:top w:w="40" w:type="dxa"/>
              <w:left w:w="0" w:type="dxa"/>
              <w:bottom w:w="40" w:type="dxa"/>
              <w:right w:w="20" w:type="dxa"/>
            </w:tcMar>
            <w:vAlign w:val="bottom"/>
          </w:tcPr>
          <w:p w14:paraId="40CB0810" w14:textId="77777777" w:rsidR="00584FB3" w:rsidRDefault="00584FB3">
            <w:pPr>
              <w:jc w:val="right"/>
              <w:rPr>
                <w:rFonts w:ascii="宋体"/>
              </w:rPr>
            </w:pPr>
          </w:p>
        </w:tc>
        <w:tc>
          <w:tcPr>
            <w:tcW w:w="0" w:type="auto"/>
            <w:gridSpan w:val="3"/>
            <w:shd w:val="clear" w:color="auto" w:fill="auto"/>
            <w:tcMar>
              <w:top w:w="0" w:type="dxa"/>
              <w:left w:w="20" w:type="dxa"/>
              <w:bottom w:w="0" w:type="dxa"/>
              <w:right w:w="20" w:type="dxa"/>
            </w:tcMar>
          </w:tcPr>
          <w:p w14:paraId="40CB0811" w14:textId="77777777" w:rsidR="00584FB3" w:rsidRDefault="00584FB3">
            <w:pPr>
              <w:rPr>
                <w:rFonts w:ascii="宋体"/>
              </w:rPr>
            </w:pPr>
          </w:p>
        </w:tc>
        <w:tc>
          <w:tcPr>
            <w:tcW w:w="0" w:type="auto"/>
            <w:gridSpan w:val="2"/>
            <w:shd w:val="clear" w:color="auto" w:fill="auto"/>
            <w:tcMar>
              <w:top w:w="40" w:type="dxa"/>
              <w:left w:w="20" w:type="dxa"/>
              <w:bottom w:w="40" w:type="dxa"/>
              <w:right w:w="0" w:type="dxa"/>
            </w:tcMar>
            <w:vAlign w:val="bottom"/>
          </w:tcPr>
          <w:p w14:paraId="40CB0812" w14:textId="77777777" w:rsidR="00584FB3" w:rsidRDefault="00786180">
            <w:pPr>
              <w:jc w:val="right"/>
              <w:textAlignment w:val="bottom"/>
            </w:pPr>
            <w:r>
              <w:rPr>
                <w:rFonts w:ascii="Times New Roman" w:eastAsia="宋体" w:hAnsi="Times New Roman"/>
                <w:color w:val="000000"/>
                <w:sz w:val="20"/>
                <w:szCs w:val="20"/>
              </w:rPr>
              <w:t>3.2 </w:t>
            </w:r>
          </w:p>
        </w:tc>
        <w:tc>
          <w:tcPr>
            <w:tcW w:w="0" w:type="auto"/>
            <w:shd w:val="clear" w:color="auto" w:fill="auto"/>
            <w:tcMar>
              <w:top w:w="40" w:type="dxa"/>
              <w:left w:w="0" w:type="dxa"/>
              <w:bottom w:w="40" w:type="dxa"/>
              <w:right w:w="20" w:type="dxa"/>
            </w:tcMar>
            <w:vAlign w:val="bottom"/>
          </w:tcPr>
          <w:p w14:paraId="40CB0813" w14:textId="77777777" w:rsidR="00584FB3" w:rsidRDefault="00584FB3">
            <w:pPr>
              <w:jc w:val="right"/>
              <w:rPr>
                <w:rFonts w:ascii="宋体"/>
              </w:rPr>
            </w:pPr>
          </w:p>
        </w:tc>
        <w:tc>
          <w:tcPr>
            <w:tcW w:w="0" w:type="auto"/>
            <w:gridSpan w:val="3"/>
            <w:shd w:val="clear" w:color="auto" w:fill="auto"/>
            <w:tcMar>
              <w:top w:w="0" w:type="dxa"/>
              <w:left w:w="20" w:type="dxa"/>
              <w:bottom w:w="0" w:type="dxa"/>
              <w:right w:w="20" w:type="dxa"/>
            </w:tcMar>
          </w:tcPr>
          <w:p w14:paraId="40CB0814" w14:textId="77777777" w:rsidR="00584FB3" w:rsidRDefault="00584FB3">
            <w:pPr>
              <w:rPr>
                <w:rFonts w:ascii="宋体"/>
              </w:rPr>
            </w:pPr>
          </w:p>
        </w:tc>
        <w:tc>
          <w:tcPr>
            <w:tcW w:w="0" w:type="auto"/>
            <w:gridSpan w:val="2"/>
            <w:shd w:val="clear" w:color="auto" w:fill="auto"/>
            <w:tcMar>
              <w:top w:w="40" w:type="dxa"/>
              <w:left w:w="20" w:type="dxa"/>
              <w:bottom w:w="40" w:type="dxa"/>
              <w:right w:w="0" w:type="dxa"/>
            </w:tcMar>
            <w:vAlign w:val="bottom"/>
          </w:tcPr>
          <w:p w14:paraId="40CB0815" w14:textId="77777777" w:rsidR="00584FB3" w:rsidRDefault="00786180">
            <w:pPr>
              <w:jc w:val="right"/>
              <w:textAlignment w:val="bottom"/>
            </w:pPr>
            <w:r>
              <w:rPr>
                <w:rFonts w:ascii="Times New Roman" w:eastAsia="宋体" w:hAnsi="Times New Roman"/>
                <w:color w:val="000000"/>
                <w:sz w:val="20"/>
                <w:szCs w:val="20"/>
              </w:rPr>
              <w:t>3.3 </w:t>
            </w:r>
          </w:p>
        </w:tc>
        <w:tc>
          <w:tcPr>
            <w:tcW w:w="0" w:type="auto"/>
            <w:shd w:val="clear" w:color="auto" w:fill="auto"/>
            <w:tcMar>
              <w:top w:w="40" w:type="dxa"/>
              <w:left w:w="0" w:type="dxa"/>
              <w:bottom w:w="40" w:type="dxa"/>
              <w:right w:w="20" w:type="dxa"/>
            </w:tcMar>
            <w:vAlign w:val="bottom"/>
          </w:tcPr>
          <w:p w14:paraId="40CB0816" w14:textId="77777777" w:rsidR="00584FB3" w:rsidRDefault="00584FB3">
            <w:pPr>
              <w:jc w:val="right"/>
              <w:rPr>
                <w:rFonts w:ascii="宋体"/>
              </w:rPr>
            </w:pPr>
          </w:p>
        </w:tc>
        <w:tc>
          <w:tcPr>
            <w:tcW w:w="0" w:type="auto"/>
            <w:gridSpan w:val="3"/>
            <w:shd w:val="clear" w:color="auto" w:fill="auto"/>
            <w:tcMar>
              <w:top w:w="0" w:type="dxa"/>
              <w:left w:w="20" w:type="dxa"/>
              <w:bottom w:w="0" w:type="dxa"/>
              <w:right w:w="20" w:type="dxa"/>
            </w:tcMar>
          </w:tcPr>
          <w:p w14:paraId="40CB0817"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B0818" w14:textId="77777777" w:rsidR="00584FB3" w:rsidRDefault="00786180">
            <w:pPr>
              <w:textAlignment w:val="bottom"/>
            </w:pPr>
            <w:r>
              <w:rPr>
                <w:rFonts w:ascii="Times New Roman" w:eastAsia="宋体" w:hAnsi="Times New Roman"/>
                <w:color w:val="000000"/>
                <w:sz w:val="20"/>
                <w:szCs w:val="20"/>
              </w:rPr>
              <w:t xml:space="preserve">Interest expense </w:t>
            </w:r>
          </w:p>
        </w:tc>
      </w:tr>
      <w:tr w:rsidR="00584FB3" w14:paraId="40CB0827" w14:textId="77777777">
        <w:trPr>
          <w:hidden/>
        </w:trPr>
        <w:tc>
          <w:tcPr>
            <w:tcW w:w="0" w:type="auto"/>
            <w:gridSpan w:val="3"/>
            <w:shd w:val="clear" w:color="auto" w:fill="auto"/>
          </w:tcPr>
          <w:p w14:paraId="40CB081A" w14:textId="77777777" w:rsidR="00584FB3" w:rsidRDefault="00584FB3">
            <w:pPr>
              <w:rPr>
                <w:rFonts w:ascii="宋体"/>
                <w:vanish/>
              </w:rPr>
            </w:pPr>
          </w:p>
        </w:tc>
        <w:tc>
          <w:tcPr>
            <w:tcW w:w="0" w:type="auto"/>
            <w:gridSpan w:val="3"/>
            <w:shd w:val="clear" w:color="auto" w:fill="auto"/>
          </w:tcPr>
          <w:p w14:paraId="40CB081B" w14:textId="77777777" w:rsidR="00584FB3" w:rsidRDefault="00584FB3">
            <w:pPr>
              <w:rPr>
                <w:rFonts w:ascii="宋体"/>
                <w:vanish/>
              </w:rPr>
            </w:pPr>
          </w:p>
        </w:tc>
        <w:tc>
          <w:tcPr>
            <w:tcW w:w="0" w:type="auto"/>
            <w:gridSpan w:val="3"/>
            <w:shd w:val="clear" w:color="auto" w:fill="auto"/>
          </w:tcPr>
          <w:p w14:paraId="40CB081C" w14:textId="77777777" w:rsidR="00584FB3" w:rsidRDefault="00584FB3">
            <w:pPr>
              <w:rPr>
                <w:rFonts w:ascii="宋体"/>
                <w:vanish/>
              </w:rPr>
            </w:pPr>
          </w:p>
        </w:tc>
        <w:tc>
          <w:tcPr>
            <w:tcW w:w="0" w:type="auto"/>
            <w:gridSpan w:val="3"/>
            <w:shd w:val="clear" w:color="auto" w:fill="auto"/>
          </w:tcPr>
          <w:p w14:paraId="40CB081D" w14:textId="77777777" w:rsidR="00584FB3" w:rsidRDefault="00584FB3">
            <w:pPr>
              <w:rPr>
                <w:rFonts w:ascii="宋体"/>
                <w:vanish/>
              </w:rPr>
            </w:pPr>
          </w:p>
        </w:tc>
        <w:tc>
          <w:tcPr>
            <w:tcW w:w="0" w:type="auto"/>
            <w:gridSpan w:val="3"/>
            <w:shd w:val="clear" w:color="auto" w:fill="auto"/>
          </w:tcPr>
          <w:p w14:paraId="40CB081E" w14:textId="77777777" w:rsidR="00584FB3" w:rsidRDefault="00584FB3">
            <w:pPr>
              <w:rPr>
                <w:rFonts w:ascii="宋体"/>
                <w:vanish/>
              </w:rPr>
            </w:pPr>
          </w:p>
        </w:tc>
        <w:tc>
          <w:tcPr>
            <w:tcW w:w="0" w:type="auto"/>
            <w:gridSpan w:val="3"/>
            <w:shd w:val="clear" w:color="auto" w:fill="auto"/>
          </w:tcPr>
          <w:p w14:paraId="40CB081F" w14:textId="77777777" w:rsidR="00584FB3" w:rsidRDefault="00584FB3">
            <w:pPr>
              <w:rPr>
                <w:rFonts w:ascii="宋体"/>
                <w:vanish/>
              </w:rPr>
            </w:pPr>
          </w:p>
        </w:tc>
        <w:tc>
          <w:tcPr>
            <w:tcW w:w="0" w:type="auto"/>
            <w:gridSpan w:val="3"/>
            <w:shd w:val="clear" w:color="auto" w:fill="auto"/>
          </w:tcPr>
          <w:p w14:paraId="40CB0820" w14:textId="77777777" w:rsidR="00584FB3" w:rsidRDefault="00584FB3">
            <w:pPr>
              <w:rPr>
                <w:rFonts w:ascii="宋体"/>
                <w:vanish/>
              </w:rPr>
            </w:pPr>
          </w:p>
        </w:tc>
        <w:tc>
          <w:tcPr>
            <w:tcW w:w="0" w:type="auto"/>
            <w:gridSpan w:val="3"/>
            <w:shd w:val="clear" w:color="auto" w:fill="auto"/>
          </w:tcPr>
          <w:p w14:paraId="40CB0821" w14:textId="77777777" w:rsidR="00584FB3" w:rsidRDefault="00584FB3">
            <w:pPr>
              <w:rPr>
                <w:rFonts w:ascii="宋体"/>
                <w:vanish/>
              </w:rPr>
            </w:pPr>
          </w:p>
        </w:tc>
        <w:tc>
          <w:tcPr>
            <w:tcW w:w="0" w:type="auto"/>
            <w:gridSpan w:val="3"/>
            <w:shd w:val="clear" w:color="auto" w:fill="auto"/>
          </w:tcPr>
          <w:p w14:paraId="40CB0822" w14:textId="77777777" w:rsidR="00584FB3" w:rsidRDefault="00584FB3">
            <w:pPr>
              <w:rPr>
                <w:rFonts w:ascii="宋体"/>
                <w:vanish/>
              </w:rPr>
            </w:pPr>
          </w:p>
        </w:tc>
        <w:tc>
          <w:tcPr>
            <w:tcW w:w="0" w:type="auto"/>
            <w:gridSpan w:val="3"/>
            <w:shd w:val="clear" w:color="auto" w:fill="auto"/>
          </w:tcPr>
          <w:p w14:paraId="40CB0823" w14:textId="77777777" w:rsidR="00584FB3" w:rsidRDefault="00584FB3">
            <w:pPr>
              <w:rPr>
                <w:rFonts w:ascii="宋体"/>
                <w:vanish/>
              </w:rPr>
            </w:pPr>
          </w:p>
        </w:tc>
        <w:tc>
          <w:tcPr>
            <w:tcW w:w="0" w:type="auto"/>
            <w:gridSpan w:val="3"/>
            <w:shd w:val="clear" w:color="auto" w:fill="auto"/>
          </w:tcPr>
          <w:p w14:paraId="40CB0824" w14:textId="77777777" w:rsidR="00584FB3" w:rsidRDefault="00584FB3">
            <w:pPr>
              <w:rPr>
                <w:rFonts w:ascii="宋体"/>
                <w:vanish/>
              </w:rPr>
            </w:pPr>
          </w:p>
        </w:tc>
        <w:tc>
          <w:tcPr>
            <w:tcW w:w="0" w:type="auto"/>
            <w:gridSpan w:val="3"/>
            <w:shd w:val="clear" w:color="auto" w:fill="auto"/>
          </w:tcPr>
          <w:p w14:paraId="40CB0825" w14:textId="77777777" w:rsidR="00584FB3" w:rsidRDefault="00584FB3">
            <w:pPr>
              <w:rPr>
                <w:rFonts w:ascii="宋体"/>
                <w:vanish/>
              </w:rPr>
            </w:pPr>
          </w:p>
        </w:tc>
        <w:tc>
          <w:tcPr>
            <w:tcW w:w="0" w:type="auto"/>
            <w:gridSpan w:val="3"/>
            <w:shd w:val="clear" w:color="auto" w:fill="auto"/>
          </w:tcPr>
          <w:p w14:paraId="40CB0826" w14:textId="77777777" w:rsidR="00584FB3" w:rsidRDefault="00584FB3">
            <w:pPr>
              <w:rPr>
                <w:rFonts w:ascii="宋体"/>
                <w:vanish/>
              </w:rPr>
            </w:pPr>
          </w:p>
        </w:tc>
      </w:tr>
      <w:tr w:rsidR="00584FB3" w14:paraId="40CB0839" w14:textId="77777777">
        <w:tc>
          <w:tcPr>
            <w:tcW w:w="0" w:type="auto"/>
            <w:gridSpan w:val="3"/>
            <w:shd w:val="clear" w:color="auto" w:fill="D7E4BC"/>
            <w:tcMar>
              <w:top w:w="40" w:type="dxa"/>
              <w:left w:w="155" w:type="dxa"/>
              <w:bottom w:w="40" w:type="dxa"/>
              <w:right w:w="20" w:type="dxa"/>
            </w:tcMar>
          </w:tcPr>
          <w:p w14:paraId="40CB0828" w14:textId="77777777" w:rsidR="00584FB3" w:rsidRDefault="00786180">
            <w:pPr>
              <w:textAlignment w:val="top"/>
            </w:pPr>
            <w:r>
              <w:rPr>
                <w:rFonts w:ascii="Times New Roman" w:eastAsia="宋体" w:hAnsi="Times New Roman"/>
                <w:color w:val="000000"/>
                <w:sz w:val="20"/>
                <w:szCs w:val="20"/>
              </w:rPr>
              <w:t>Foreign currency debt</w:t>
            </w:r>
          </w:p>
        </w:tc>
        <w:tc>
          <w:tcPr>
            <w:tcW w:w="0" w:type="auto"/>
            <w:gridSpan w:val="3"/>
            <w:shd w:val="clear" w:color="auto" w:fill="auto"/>
          </w:tcPr>
          <w:p w14:paraId="40CB0829" w14:textId="77777777" w:rsidR="00584FB3" w:rsidRDefault="00584FB3">
            <w:pPr>
              <w:rPr>
                <w:rFonts w:ascii="宋体"/>
                <w:vanish/>
              </w:rPr>
            </w:pPr>
          </w:p>
        </w:tc>
        <w:tc>
          <w:tcPr>
            <w:tcW w:w="0" w:type="auto"/>
            <w:gridSpan w:val="3"/>
            <w:shd w:val="clear" w:color="auto" w:fill="auto"/>
          </w:tcPr>
          <w:p w14:paraId="40CB082A" w14:textId="77777777" w:rsidR="00584FB3" w:rsidRDefault="00584FB3">
            <w:pPr>
              <w:rPr>
                <w:rFonts w:ascii="宋体"/>
                <w:vanish/>
              </w:rPr>
            </w:pPr>
          </w:p>
        </w:tc>
        <w:tc>
          <w:tcPr>
            <w:tcW w:w="0" w:type="auto"/>
            <w:gridSpan w:val="3"/>
            <w:shd w:val="clear" w:color="auto" w:fill="auto"/>
          </w:tcPr>
          <w:p w14:paraId="40CB082B" w14:textId="77777777" w:rsidR="00584FB3" w:rsidRDefault="00584FB3">
            <w:pPr>
              <w:rPr>
                <w:rFonts w:ascii="宋体"/>
                <w:vanish/>
              </w:rPr>
            </w:pPr>
          </w:p>
        </w:tc>
        <w:tc>
          <w:tcPr>
            <w:tcW w:w="0" w:type="auto"/>
            <w:gridSpan w:val="2"/>
            <w:shd w:val="clear" w:color="auto" w:fill="D7E4BC"/>
            <w:tcMar>
              <w:top w:w="40" w:type="dxa"/>
              <w:left w:w="20" w:type="dxa"/>
              <w:bottom w:w="40" w:type="dxa"/>
              <w:right w:w="0" w:type="dxa"/>
            </w:tcMar>
            <w:vAlign w:val="bottom"/>
          </w:tcPr>
          <w:p w14:paraId="40CB082C" w14:textId="77777777" w:rsidR="00584FB3" w:rsidRDefault="00786180">
            <w:pPr>
              <w:jc w:val="right"/>
              <w:textAlignment w:val="bottom"/>
            </w:pPr>
            <w:r>
              <w:rPr>
                <w:rFonts w:ascii="Times New Roman" w:eastAsia="宋体" w:hAnsi="Times New Roman"/>
                <w:color w:val="000000"/>
                <w:sz w:val="20"/>
                <w:szCs w:val="20"/>
              </w:rPr>
              <w:t>(13.7)</w:t>
            </w:r>
          </w:p>
        </w:tc>
        <w:tc>
          <w:tcPr>
            <w:tcW w:w="0" w:type="auto"/>
            <w:shd w:val="clear" w:color="auto" w:fill="D7E4BC"/>
            <w:tcMar>
              <w:top w:w="40" w:type="dxa"/>
              <w:left w:w="0" w:type="dxa"/>
              <w:bottom w:w="40" w:type="dxa"/>
              <w:right w:w="20" w:type="dxa"/>
            </w:tcMar>
            <w:vAlign w:val="bottom"/>
          </w:tcPr>
          <w:p w14:paraId="40CB082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82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82F" w14:textId="77777777" w:rsidR="00584FB3" w:rsidRDefault="00786180">
            <w:pPr>
              <w:jc w:val="right"/>
              <w:textAlignment w:val="bottom"/>
            </w:pPr>
            <w:r>
              <w:rPr>
                <w:rFonts w:ascii="Times New Roman" w:eastAsia="宋体" w:hAnsi="Times New Roman"/>
                <w:color w:val="000000"/>
                <w:sz w:val="20"/>
                <w:szCs w:val="20"/>
              </w:rPr>
              <w:t>13.0 </w:t>
            </w:r>
          </w:p>
        </w:tc>
        <w:tc>
          <w:tcPr>
            <w:tcW w:w="0" w:type="auto"/>
            <w:shd w:val="clear" w:color="auto" w:fill="D7E4BC"/>
            <w:tcMar>
              <w:top w:w="40" w:type="dxa"/>
              <w:left w:w="0" w:type="dxa"/>
              <w:bottom w:w="40" w:type="dxa"/>
              <w:right w:w="20" w:type="dxa"/>
            </w:tcMar>
            <w:vAlign w:val="bottom"/>
          </w:tcPr>
          <w:p w14:paraId="40CB083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83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83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83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83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83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83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83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838" w14:textId="77777777" w:rsidR="00584FB3" w:rsidRDefault="00584FB3">
            <w:pPr>
              <w:rPr>
                <w:rFonts w:ascii="宋体"/>
              </w:rPr>
            </w:pPr>
          </w:p>
        </w:tc>
      </w:tr>
      <w:tr w:rsidR="00584FB3" w14:paraId="40CB085F" w14:textId="77777777">
        <w:trPr>
          <w:hidden/>
        </w:trPr>
        <w:tc>
          <w:tcPr>
            <w:tcW w:w="0" w:type="auto"/>
            <w:gridSpan w:val="3"/>
            <w:shd w:val="clear" w:color="auto" w:fill="auto"/>
          </w:tcPr>
          <w:p w14:paraId="40CB083A" w14:textId="77777777" w:rsidR="00584FB3" w:rsidRDefault="00584FB3">
            <w:pPr>
              <w:rPr>
                <w:rFonts w:ascii="宋体"/>
                <w:vanish/>
              </w:rPr>
            </w:pPr>
          </w:p>
        </w:tc>
        <w:tc>
          <w:tcPr>
            <w:tcW w:w="0" w:type="auto"/>
            <w:shd w:val="clear" w:color="auto" w:fill="auto"/>
          </w:tcPr>
          <w:p w14:paraId="40CB083B" w14:textId="77777777" w:rsidR="00584FB3" w:rsidRDefault="00584FB3">
            <w:pPr>
              <w:rPr>
                <w:rFonts w:ascii="宋体"/>
              </w:rPr>
            </w:pPr>
          </w:p>
        </w:tc>
        <w:tc>
          <w:tcPr>
            <w:tcW w:w="0" w:type="auto"/>
            <w:shd w:val="clear" w:color="auto" w:fill="auto"/>
          </w:tcPr>
          <w:p w14:paraId="40CB083C" w14:textId="77777777" w:rsidR="00584FB3" w:rsidRDefault="00584FB3">
            <w:pPr>
              <w:rPr>
                <w:rFonts w:ascii="宋体"/>
              </w:rPr>
            </w:pPr>
          </w:p>
        </w:tc>
        <w:tc>
          <w:tcPr>
            <w:tcW w:w="0" w:type="auto"/>
            <w:shd w:val="clear" w:color="auto" w:fill="auto"/>
          </w:tcPr>
          <w:p w14:paraId="40CB083D" w14:textId="77777777" w:rsidR="00584FB3" w:rsidRDefault="00584FB3">
            <w:pPr>
              <w:rPr>
                <w:rFonts w:ascii="宋体"/>
              </w:rPr>
            </w:pPr>
          </w:p>
        </w:tc>
        <w:tc>
          <w:tcPr>
            <w:tcW w:w="0" w:type="auto"/>
            <w:shd w:val="clear" w:color="auto" w:fill="auto"/>
          </w:tcPr>
          <w:p w14:paraId="40CB083E" w14:textId="77777777" w:rsidR="00584FB3" w:rsidRDefault="00584FB3">
            <w:pPr>
              <w:rPr>
                <w:rFonts w:ascii="宋体"/>
              </w:rPr>
            </w:pPr>
          </w:p>
        </w:tc>
        <w:tc>
          <w:tcPr>
            <w:tcW w:w="0" w:type="auto"/>
            <w:shd w:val="clear" w:color="auto" w:fill="auto"/>
          </w:tcPr>
          <w:p w14:paraId="40CB083F" w14:textId="77777777" w:rsidR="00584FB3" w:rsidRDefault="00584FB3">
            <w:pPr>
              <w:rPr>
                <w:rFonts w:ascii="宋体"/>
              </w:rPr>
            </w:pPr>
          </w:p>
        </w:tc>
        <w:tc>
          <w:tcPr>
            <w:tcW w:w="0" w:type="auto"/>
            <w:shd w:val="clear" w:color="auto" w:fill="auto"/>
          </w:tcPr>
          <w:p w14:paraId="40CB0840" w14:textId="77777777" w:rsidR="00584FB3" w:rsidRDefault="00584FB3">
            <w:pPr>
              <w:rPr>
                <w:rFonts w:ascii="宋体"/>
              </w:rPr>
            </w:pPr>
          </w:p>
        </w:tc>
        <w:tc>
          <w:tcPr>
            <w:tcW w:w="0" w:type="auto"/>
            <w:shd w:val="clear" w:color="auto" w:fill="auto"/>
          </w:tcPr>
          <w:p w14:paraId="40CB0841" w14:textId="77777777" w:rsidR="00584FB3" w:rsidRDefault="00584FB3">
            <w:pPr>
              <w:rPr>
                <w:rFonts w:ascii="宋体"/>
              </w:rPr>
            </w:pPr>
          </w:p>
        </w:tc>
        <w:tc>
          <w:tcPr>
            <w:tcW w:w="0" w:type="auto"/>
            <w:shd w:val="clear" w:color="auto" w:fill="auto"/>
          </w:tcPr>
          <w:p w14:paraId="40CB0842" w14:textId="77777777" w:rsidR="00584FB3" w:rsidRDefault="00584FB3">
            <w:pPr>
              <w:rPr>
                <w:rFonts w:ascii="宋体"/>
              </w:rPr>
            </w:pPr>
          </w:p>
        </w:tc>
        <w:tc>
          <w:tcPr>
            <w:tcW w:w="0" w:type="auto"/>
            <w:shd w:val="clear" w:color="auto" w:fill="auto"/>
          </w:tcPr>
          <w:p w14:paraId="40CB0843" w14:textId="77777777" w:rsidR="00584FB3" w:rsidRDefault="00584FB3">
            <w:pPr>
              <w:rPr>
                <w:rFonts w:ascii="宋体"/>
              </w:rPr>
            </w:pPr>
          </w:p>
        </w:tc>
        <w:tc>
          <w:tcPr>
            <w:tcW w:w="0" w:type="auto"/>
            <w:shd w:val="clear" w:color="auto" w:fill="auto"/>
          </w:tcPr>
          <w:p w14:paraId="40CB0844" w14:textId="77777777" w:rsidR="00584FB3" w:rsidRDefault="00584FB3">
            <w:pPr>
              <w:rPr>
                <w:rFonts w:ascii="宋体"/>
              </w:rPr>
            </w:pPr>
          </w:p>
        </w:tc>
        <w:tc>
          <w:tcPr>
            <w:tcW w:w="0" w:type="auto"/>
            <w:shd w:val="clear" w:color="auto" w:fill="auto"/>
          </w:tcPr>
          <w:p w14:paraId="40CB0845" w14:textId="77777777" w:rsidR="00584FB3" w:rsidRDefault="00584FB3">
            <w:pPr>
              <w:rPr>
                <w:rFonts w:ascii="宋体"/>
              </w:rPr>
            </w:pPr>
          </w:p>
        </w:tc>
        <w:tc>
          <w:tcPr>
            <w:tcW w:w="0" w:type="auto"/>
            <w:shd w:val="clear" w:color="auto" w:fill="auto"/>
          </w:tcPr>
          <w:p w14:paraId="40CB0846" w14:textId="77777777" w:rsidR="00584FB3" w:rsidRDefault="00584FB3">
            <w:pPr>
              <w:rPr>
                <w:rFonts w:ascii="宋体"/>
              </w:rPr>
            </w:pPr>
          </w:p>
        </w:tc>
        <w:tc>
          <w:tcPr>
            <w:tcW w:w="0" w:type="auto"/>
            <w:shd w:val="clear" w:color="auto" w:fill="auto"/>
          </w:tcPr>
          <w:p w14:paraId="40CB0847" w14:textId="77777777" w:rsidR="00584FB3" w:rsidRDefault="00584FB3">
            <w:pPr>
              <w:rPr>
                <w:rFonts w:ascii="宋体"/>
              </w:rPr>
            </w:pPr>
          </w:p>
        </w:tc>
        <w:tc>
          <w:tcPr>
            <w:tcW w:w="0" w:type="auto"/>
            <w:shd w:val="clear" w:color="auto" w:fill="auto"/>
          </w:tcPr>
          <w:p w14:paraId="40CB0848" w14:textId="77777777" w:rsidR="00584FB3" w:rsidRDefault="00584FB3">
            <w:pPr>
              <w:rPr>
                <w:rFonts w:ascii="宋体"/>
              </w:rPr>
            </w:pPr>
          </w:p>
        </w:tc>
        <w:tc>
          <w:tcPr>
            <w:tcW w:w="0" w:type="auto"/>
            <w:shd w:val="clear" w:color="auto" w:fill="auto"/>
          </w:tcPr>
          <w:p w14:paraId="40CB0849" w14:textId="77777777" w:rsidR="00584FB3" w:rsidRDefault="00584FB3">
            <w:pPr>
              <w:rPr>
                <w:rFonts w:ascii="宋体"/>
              </w:rPr>
            </w:pPr>
          </w:p>
        </w:tc>
        <w:tc>
          <w:tcPr>
            <w:tcW w:w="0" w:type="auto"/>
            <w:shd w:val="clear" w:color="auto" w:fill="auto"/>
          </w:tcPr>
          <w:p w14:paraId="40CB084A" w14:textId="77777777" w:rsidR="00584FB3" w:rsidRDefault="00584FB3">
            <w:pPr>
              <w:rPr>
                <w:rFonts w:ascii="宋体"/>
              </w:rPr>
            </w:pPr>
          </w:p>
        </w:tc>
        <w:tc>
          <w:tcPr>
            <w:tcW w:w="0" w:type="auto"/>
            <w:shd w:val="clear" w:color="auto" w:fill="auto"/>
          </w:tcPr>
          <w:p w14:paraId="40CB084B" w14:textId="77777777" w:rsidR="00584FB3" w:rsidRDefault="00584FB3">
            <w:pPr>
              <w:rPr>
                <w:rFonts w:ascii="宋体"/>
              </w:rPr>
            </w:pPr>
          </w:p>
        </w:tc>
        <w:tc>
          <w:tcPr>
            <w:tcW w:w="0" w:type="auto"/>
            <w:shd w:val="clear" w:color="auto" w:fill="auto"/>
          </w:tcPr>
          <w:p w14:paraId="40CB084C" w14:textId="77777777" w:rsidR="00584FB3" w:rsidRDefault="00584FB3">
            <w:pPr>
              <w:rPr>
                <w:rFonts w:ascii="宋体"/>
              </w:rPr>
            </w:pPr>
          </w:p>
        </w:tc>
        <w:tc>
          <w:tcPr>
            <w:tcW w:w="0" w:type="auto"/>
            <w:shd w:val="clear" w:color="auto" w:fill="auto"/>
          </w:tcPr>
          <w:p w14:paraId="40CB084D" w14:textId="77777777" w:rsidR="00584FB3" w:rsidRDefault="00584FB3">
            <w:pPr>
              <w:rPr>
                <w:rFonts w:ascii="宋体"/>
              </w:rPr>
            </w:pPr>
          </w:p>
        </w:tc>
        <w:tc>
          <w:tcPr>
            <w:tcW w:w="0" w:type="auto"/>
            <w:shd w:val="clear" w:color="auto" w:fill="auto"/>
          </w:tcPr>
          <w:p w14:paraId="40CB084E" w14:textId="77777777" w:rsidR="00584FB3" w:rsidRDefault="00584FB3">
            <w:pPr>
              <w:rPr>
                <w:rFonts w:ascii="宋体"/>
              </w:rPr>
            </w:pPr>
          </w:p>
        </w:tc>
        <w:tc>
          <w:tcPr>
            <w:tcW w:w="0" w:type="auto"/>
            <w:shd w:val="clear" w:color="auto" w:fill="auto"/>
          </w:tcPr>
          <w:p w14:paraId="40CB084F" w14:textId="77777777" w:rsidR="00584FB3" w:rsidRDefault="00584FB3">
            <w:pPr>
              <w:rPr>
                <w:rFonts w:ascii="宋体"/>
              </w:rPr>
            </w:pPr>
          </w:p>
        </w:tc>
        <w:tc>
          <w:tcPr>
            <w:tcW w:w="0" w:type="auto"/>
            <w:shd w:val="clear" w:color="auto" w:fill="auto"/>
          </w:tcPr>
          <w:p w14:paraId="40CB0850" w14:textId="77777777" w:rsidR="00584FB3" w:rsidRDefault="00584FB3">
            <w:pPr>
              <w:rPr>
                <w:rFonts w:ascii="宋体"/>
              </w:rPr>
            </w:pPr>
          </w:p>
        </w:tc>
        <w:tc>
          <w:tcPr>
            <w:tcW w:w="0" w:type="auto"/>
            <w:shd w:val="clear" w:color="auto" w:fill="auto"/>
          </w:tcPr>
          <w:p w14:paraId="40CB0851" w14:textId="77777777" w:rsidR="00584FB3" w:rsidRDefault="00584FB3">
            <w:pPr>
              <w:rPr>
                <w:rFonts w:ascii="宋体"/>
              </w:rPr>
            </w:pPr>
          </w:p>
        </w:tc>
        <w:tc>
          <w:tcPr>
            <w:tcW w:w="0" w:type="auto"/>
            <w:shd w:val="clear" w:color="auto" w:fill="auto"/>
          </w:tcPr>
          <w:p w14:paraId="40CB0852" w14:textId="77777777" w:rsidR="00584FB3" w:rsidRDefault="00584FB3">
            <w:pPr>
              <w:rPr>
                <w:rFonts w:ascii="宋体"/>
              </w:rPr>
            </w:pPr>
          </w:p>
        </w:tc>
        <w:tc>
          <w:tcPr>
            <w:tcW w:w="0" w:type="auto"/>
            <w:shd w:val="clear" w:color="auto" w:fill="auto"/>
          </w:tcPr>
          <w:p w14:paraId="40CB0853" w14:textId="77777777" w:rsidR="00584FB3" w:rsidRDefault="00584FB3">
            <w:pPr>
              <w:rPr>
                <w:rFonts w:ascii="宋体"/>
              </w:rPr>
            </w:pPr>
          </w:p>
        </w:tc>
        <w:tc>
          <w:tcPr>
            <w:tcW w:w="0" w:type="auto"/>
            <w:shd w:val="clear" w:color="auto" w:fill="auto"/>
          </w:tcPr>
          <w:p w14:paraId="40CB0854" w14:textId="77777777" w:rsidR="00584FB3" w:rsidRDefault="00584FB3">
            <w:pPr>
              <w:rPr>
                <w:rFonts w:ascii="宋体"/>
              </w:rPr>
            </w:pPr>
          </w:p>
        </w:tc>
        <w:tc>
          <w:tcPr>
            <w:tcW w:w="0" w:type="auto"/>
            <w:shd w:val="clear" w:color="auto" w:fill="auto"/>
          </w:tcPr>
          <w:p w14:paraId="40CB0855" w14:textId="77777777" w:rsidR="00584FB3" w:rsidRDefault="00584FB3">
            <w:pPr>
              <w:rPr>
                <w:rFonts w:ascii="宋体"/>
              </w:rPr>
            </w:pPr>
          </w:p>
        </w:tc>
        <w:tc>
          <w:tcPr>
            <w:tcW w:w="0" w:type="auto"/>
            <w:shd w:val="clear" w:color="auto" w:fill="auto"/>
          </w:tcPr>
          <w:p w14:paraId="40CB0856" w14:textId="77777777" w:rsidR="00584FB3" w:rsidRDefault="00584FB3">
            <w:pPr>
              <w:rPr>
                <w:rFonts w:ascii="宋体"/>
              </w:rPr>
            </w:pPr>
          </w:p>
        </w:tc>
        <w:tc>
          <w:tcPr>
            <w:tcW w:w="0" w:type="auto"/>
            <w:shd w:val="clear" w:color="auto" w:fill="auto"/>
          </w:tcPr>
          <w:p w14:paraId="40CB0857" w14:textId="77777777" w:rsidR="00584FB3" w:rsidRDefault="00584FB3">
            <w:pPr>
              <w:rPr>
                <w:rFonts w:ascii="宋体"/>
              </w:rPr>
            </w:pPr>
          </w:p>
        </w:tc>
        <w:tc>
          <w:tcPr>
            <w:tcW w:w="0" w:type="auto"/>
            <w:shd w:val="clear" w:color="auto" w:fill="auto"/>
          </w:tcPr>
          <w:p w14:paraId="40CB0858" w14:textId="77777777" w:rsidR="00584FB3" w:rsidRDefault="00584FB3">
            <w:pPr>
              <w:rPr>
                <w:rFonts w:ascii="宋体"/>
              </w:rPr>
            </w:pPr>
          </w:p>
        </w:tc>
        <w:tc>
          <w:tcPr>
            <w:tcW w:w="0" w:type="auto"/>
            <w:shd w:val="clear" w:color="auto" w:fill="auto"/>
          </w:tcPr>
          <w:p w14:paraId="40CB0859" w14:textId="77777777" w:rsidR="00584FB3" w:rsidRDefault="00584FB3">
            <w:pPr>
              <w:rPr>
                <w:rFonts w:ascii="宋体"/>
              </w:rPr>
            </w:pPr>
          </w:p>
        </w:tc>
        <w:tc>
          <w:tcPr>
            <w:tcW w:w="0" w:type="auto"/>
            <w:shd w:val="clear" w:color="auto" w:fill="auto"/>
          </w:tcPr>
          <w:p w14:paraId="40CB085A" w14:textId="77777777" w:rsidR="00584FB3" w:rsidRDefault="00584FB3">
            <w:pPr>
              <w:rPr>
                <w:rFonts w:ascii="宋体"/>
              </w:rPr>
            </w:pPr>
          </w:p>
        </w:tc>
        <w:tc>
          <w:tcPr>
            <w:tcW w:w="0" w:type="auto"/>
            <w:shd w:val="clear" w:color="auto" w:fill="auto"/>
          </w:tcPr>
          <w:p w14:paraId="40CB085B" w14:textId="77777777" w:rsidR="00584FB3" w:rsidRDefault="00584FB3">
            <w:pPr>
              <w:rPr>
                <w:rFonts w:ascii="宋体"/>
              </w:rPr>
            </w:pPr>
          </w:p>
        </w:tc>
        <w:tc>
          <w:tcPr>
            <w:tcW w:w="0" w:type="auto"/>
            <w:shd w:val="clear" w:color="auto" w:fill="auto"/>
          </w:tcPr>
          <w:p w14:paraId="40CB085C" w14:textId="77777777" w:rsidR="00584FB3" w:rsidRDefault="00584FB3">
            <w:pPr>
              <w:rPr>
                <w:rFonts w:ascii="宋体"/>
              </w:rPr>
            </w:pPr>
          </w:p>
        </w:tc>
        <w:tc>
          <w:tcPr>
            <w:tcW w:w="0" w:type="auto"/>
            <w:shd w:val="clear" w:color="auto" w:fill="auto"/>
          </w:tcPr>
          <w:p w14:paraId="40CB085D" w14:textId="77777777" w:rsidR="00584FB3" w:rsidRDefault="00584FB3">
            <w:pPr>
              <w:rPr>
                <w:rFonts w:ascii="宋体"/>
              </w:rPr>
            </w:pPr>
          </w:p>
        </w:tc>
        <w:tc>
          <w:tcPr>
            <w:tcW w:w="0" w:type="auto"/>
            <w:shd w:val="clear" w:color="auto" w:fill="auto"/>
          </w:tcPr>
          <w:p w14:paraId="40CB085E" w14:textId="77777777" w:rsidR="00584FB3" w:rsidRDefault="00584FB3">
            <w:pPr>
              <w:rPr>
                <w:rFonts w:ascii="宋体"/>
              </w:rPr>
            </w:pPr>
          </w:p>
        </w:tc>
      </w:tr>
      <w:tr w:rsidR="00584FB3" w14:paraId="40CB086D" w14:textId="77777777">
        <w:trPr>
          <w:hidden/>
        </w:trPr>
        <w:tc>
          <w:tcPr>
            <w:tcW w:w="0" w:type="auto"/>
            <w:gridSpan w:val="3"/>
            <w:shd w:val="clear" w:color="auto" w:fill="auto"/>
          </w:tcPr>
          <w:p w14:paraId="40CB0860" w14:textId="77777777" w:rsidR="00584FB3" w:rsidRDefault="00584FB3">
            <w:pPr>
              <w:rPr>
                <w:rFonts w:ascii="宋体"/>
                <w:vanish/>
              </w:rPr>
            </w:pPr>
          </w:p>
        </w:tc>
        <w:tc>
          <w:tcPr>
            <w:tcW w:w="0" w:type="auto"/>
            <w:gridSpan w:val="3"/>
            <w:shd w:val="clear" w:color="auto" w:fill="auto"/>
          </w:tcPr>
          <w:p w14:paraId="40CB0861" w14:textId="77777777" w:rsidR="00584FB3" w:rsidRDefault="00584FB3">
            <w:pPr>
              <w:rPr>
                <w:rFonts w:ascii="宋体"/>
                <w:vanish/>
              </w:rPr>
            </w:pPr>
          </w:p>
        </w:tc>
        <w:tc>
          <w:tcPr>
            <w:tcW w:w="0" w:type="auto"/>
            <w:gridSpan w:val="3"/>
            <w:shd w:val="clear" w:color="auto" w:fill="auto"/>
          </w:tcPr>
          <w:p w14:paraId="40CB0862" w14:textId="77777777" w:rsidR="00584FB3" w:rsidRDefault="00584FB3">
            <w:pPr>
              <w:rPr>
                <w:rFonts w:ascii="宋体"/>
                <w:vanish/>
              </w:rPr>
            </w:pPr>
          </w:p>
        </w:tc>
        <w:tc>
          <w:tcPr>
            <w:tcW w:w="0" w:type="auto"/>
            <w:gridSpan w:val="3"/>
            <w:shd w:val="clear" w:color="auto" w:fill="auto"/>
          </w:tcPr>
          <w:p w14:paraId="40CB0863" w14:textId="77777777" w:rsidR="00584FB3" w:rsidRDefault="00584FB3">
            <w:pPr>
              <w:rPr>
                <w:rFonts w:ascii="宋体"/>
                <w:vanish/>
              </w:rPr>
            </w:pPr>
          </w:p>
        </w:tc>
        <w:tc>
          <w:tcPr>
            <w:tcW w:w="0" w:type="auto"/>
            <w:gridSpan w:val="3"/>
            <w:shd w:val="clear" w:color="auto" w:fill="auto"/>
          </w:tcPr>
          <w:p w14:paraId="40CB0864" w14:textId="77777777" w:rsidR="00584FB3" w:rsidRDefault="00584FB3">
            <w:pPr>
              <w:rPr>
                <w:rFonts w:ascii="宋体"/>
                <w:vanish/>
              </w:rPr>
            </w:pPr>
          </w:p>
        </w:tc>
        <w:tc>
          <w:tcPr>
            <w:tcW w:w="0" w:type="auto"/>
            <w:gridSpan w:val="3"/>
            <w:shd w:val="clear" w:color="auto" w:fill="auto"/>
          </w:tcPr>
          <w:p w14:paraId="40CB0865" w14:textId="77777777" w:rsidR="00584FB3" w:rsidRDefault="00584FB3">
            <w:pPr>
              <w:rPr>
                <w:rFonts w:ascii="宋体"/>
                <w:vanish/>
              </w:rPr>
            </w:pPr>
          </w:p>
        </w:tc>
        <w:tc>
          <w:tcPr>
            <w:tcW w:w="0" w:type="auto"/>
            <w:gridSpan w:val="3"/>
            <w:shd w:val="clear" w:color="auto" w:fill="auto"/>
          </w:tcPr>
          <w:p w14:paraId="40CB0866" w14:textId="77777777" w:rsidR="00584FB3" w:rsidRDefault="00584FB3">
            <w:pPr>
              <w:rPr>
                <w:rFonts w:ascii="宋体"/>
                <w:vanish/>
              </w:rPr>
            </w:pPr>
          </w:p>
        </w:tc>
        <w:tc>
          <w:tcPr>
            <w:tcW w:w="0" w:type="auto"/>
            <w:gridSpan w:val="3"/>
            <w:shd w:val="clear" w:color="auto" w:fill="auto"/>
          </w:tcPr>
          <w:p w14:paraId="40CB0867" w14:textId="77777777" w:rsidR="00584FB3" w:rsidRDefault="00584FB3">
            <w:pPr>
              <w:rPr>
                <w:rFonts w:ascii="宋体"/>
                <w:vanish/>
              </w:rPr>
            </w:pPr>
          </w:p>
        </w:tc>
        <w:tc>
          <w:tcPr>
            <w:tcW w:w="0" w:type="auto"/>
            <w:gridSpan w:val="3"/>
            <w:shd w:val="clear" w:color="auto" w:fill="auto"/>
          </w:tcPr>
          <w:p w14:paraId="40CB0868" w14:textId="77777777" w:rsidR="00584FB3" w:rsidRDefault="00584FB3">
            <w:pPr>
              <w:rPr>
                <w:rFonts w:ascii="宋体"/>
                <w:vanish/>
              </w:rPr>
            </w:pPr>
          </w:p>
        </w:tc>
        <w:tc>
          <w:tcPr>
            <w:tcW w:w="0" w:type="auto"/>
            <w:gridSpan w:val="3"/>
            <w:shd w:val="clear" w:color="auto" w:fill="auto"/>
          </w:tcPr>
          <w:p w14:paraId="40CB0869" w14:textId="77777777" w:rsidR="00584FB3" w:rsidRDefault="00584FB3">
            <w:pPr>
              <w:rPr>
                <w:rFonts w:ascii="宋体"/>
                <w:vanish/>
              </w:rPr>
            </w:pPr>
          </w:p>
        </w:tc>
        <w:tc>
          <w:tcPr>
            <w:tcW w:w="0" w:type="auto"/>
            <w:gridSpan w:val="3"/>
            <w:shd w:val="clear" w:color="auto" w:fill="auto"/>
          </w:tcPr>
          <w:p w14:paraId="40CB086A" w14:textId="77777777" w:rsidR="00584FB3" w:rsidRDefault="00584FB3">
            <w:pPr>
              <w:rPr>
                <w:rFonts w:ascii="宋体"/>
                <w:vanish/>
              </w:rPr>
            </w:pPr>
          </w:p>
        </w:tc>
        <w:tc>
          <w:tcPr>
            <w:tcW w:w="0" w:type="auto"/>
            <w:gridSpan w:val="3"/>
            <w:shd w:val="clear" w:color="auto" w:fill="auto"/>
          </w:tcPr>
          <w:p w14:paraId="40CB086B" w14:textId="77777777" w:rsidR="00584FB3" w:rsidRDefault="00584FB3">
            <w:pPr>
              <w:rPr>
                <w:rFonts w:ascii="宋体"/>
                <w:vanish/>
              </w:rPr>
            </w:pPr>
          </w:p>
        </w:tc>
        <w:tc>
          <w:tcPr>
            <w:tcW w:w="0" w:type="auto"/>
            <w:gridSpan w:val="3"/>
            <w:shd w:val="clear" w:color="auto" w:fill="auto"/>
          </w:tcPr>
          <w:p w14:paraId="40CB086C" w14:textId="77777777" w:rsidR="00584FB3" w:rsidRDefault="00584FB3">
            <w:pPr>
              <w:rPr>
                <w:rFonts w:ascii="宋体"/>
                <w:vanish/>
              </w:rPr>
            </w:pPr>
          </w:p>
        </w:tc>
      </w:tr>
      <w:tr w:rsidR="00584FB3" w14:paraId="40CB0887" w14:textId="77777777">
        <w:trPr>
          <w:hidden/>
        </w:trPr>
        <w:tc>
          <w:tcPr>
            <w:tcW w:w="0" w:type="auto"/>
            <w:gridSpan w:val="3"/>
            <w:shd w:val="clear" w:color="auto" w:fill="auto"/>
          </w:tcPr>
          <w:p w14:paraId="40CB086E" w14:textId="77777777" w:rsidR="00584FB3" w:rsidRDefault="00584FB3">
            <w:pPr>
              <w:rPr>
                <w:rFonts w:ascii="宋体"/>
                <w:vanish/>
              </w:rPr>
            </w:pPr>
          </w:p>
        </w:tc>
        <w:tc>
          <w:tcPr>
            <w:tcW w:w="0" w:type="auto"/>
            <w:gridSpan w:val="3"/>
            <w:shd w:val="clear" w:color="auto" w:fill="auto"/>
          </w:tcPr>
          <w:p w14:paraId="40CB086F" w14:textId="77777777" w:rsidR="00584FB3" w:rsidRDefault="00584FB3">
            <w:pPr>
              <w:rPr>
                <w:rFonts w:ascii="宋体"/>
                <w:vanish/>
              </w:rPr>
            </w:pPr>
          </w:p>
        </w:tc>
        <w:tc>
          <w:tcPr>
            <w:tcW w:w="0" w:type="auto"/>
            <w:gridSpan w:val="3"/>
            <w:shd w:val="clear" w:color="auto" w:fill="auto"/>
          </w:tcPr>
          <w:p w14:paraId="40CB0870" w14:textId="77777777" w:rsidR="00584FB3" w:rsidRDefault="00584FB3">
            <w:pPr>
              <w:rPr>
                <w:rFonts w:ascii="宋体"/>
                <w:vanish/>
              </w:rPr>
            </w:pPr>
          </w:p>
        </w:tc>
        <w:tc>
          <w:tcPr>
            <w:tcW w:w="0" w:type="auto"/>
            <w:gridSpan w:val="3"/>
            <w:shd w:val="clear" w:color="auto" w:fill="auto"/>
          </w:tcPr>
          <w:p w14:paraId="40CB0871" w14:textId="77777777" w:rsidR="00584FB3" w:rsidRDefault="00584FB3">
            <w:pPr>
              <w:rPr>
                <w:rFonts w:ascii="宋体"/>
                <w:vanish/>
              </w:rPr>
            </w:pPr>
          </w:p>
        </w:tc>
        <w:tc>
          <w:tcPr>
            <w:tcW w:w="0" w:type="auto"/>
            <w:gridSpan w:val="3"/>
            <w:shd w:val="clear" w:color="auto" w:fill="auto"/>
          </w:tcPr>
          <w:p w14:paraId="40CB0872" w14:textId="77777777" w:rsidR="00584FB3" w:rsidRDefault="00584FB3">
            <w:pPr>
              <w:rPr>
                <w:rFonts w:ascii="宋体"/>
                <w:vanish/>
              </w:rPr>
            </w:pPr>
          </w:p>
        </w:tc>
        <w:tc>
          <w:tcPr>
            <w:tcW w:w="0" w:type="auto"/>
            <w:gridSpan w:val="3"/>
            <w:shd w:val="clear" w:color="auto" w:fill="auto"/>
          </w:tcPr>
          <w:p w14:paraId="40CB0873" w14:textId="77777777" w:rsidR="00584FB3" w:rsidRDefault="00584FB3">
            <w:pPr>
              <w:rPr>
                <w:rFonts w:ascii="宋体"/>
                <w:vanish/>
              </w:rPr>
            </w:pPr>
          </w:p>
        </w:tc>
        <w:tc>
          <w:tcPr>
            <w:tcW w:w="0" w:type="auto"/>
            <w:gridSpan w:val="3"/>
            <w:shd w:val="clear" w:color="auto" w:fill="auto"/>
          </w:tcPr>
          <w:p w14:paraId="40CB0874" w14:textId="77777777" w:rsidR="00584FB3" w:rsidRDefault="00584FB3">
            <w:pPr>
              <w:rPr>
                <w:rFonts w:ascii="宋体"/>
                <w:vanish/>
              </w:rPr>
            </w:pPr>
          </w:p>
        </w:tc>
        <w:tc>
          <w:tcPr>
            <w:tcW w:w="0" w:type="auto"/>
            <w:shd w:val="clear" w:color="auto" w:fill="auto"/>
          </w:tcPr>
          <w:p w14:paraId="40CB0875" w14:textId="77777777" w:rsidR="00584FB3" w:rsidRDefault="00584FB3">
            <w:pPr>
              <w:rPr>
                <w:rFonts w:ascii="宋体"/>
              </w:rPr>
            </w:pPr>
          </w:p>
        </w:tc>
        <w:tc>
          <w:tcPr>
            <w:tcW w:w="0" w:type="auto"/>
            <w:shd w:val="clear" w:color="auto" w:fill="auto"/>
          </w:tcPr>
          <w:p w14:paraId="40CB0876" w14:textId="77777777" w:rsidR="00584FB3" w:rsidRDefault="00584FB3">
            <w:pPr>
              <w:rPr>
                <w:rFonts w:ascii="宋体"/>
              </w:rPr>
            </w:pPr>
          </w:p>
        </w:tc>
        <w:tc>
          <w:tcPr>
            <w:tcW w:w="0" w:type="auto"/>
            <w:shd w:val="clear" w:color="auto" w:fill="auto"/>
          </w:tcPr>
          <w:p w14:paraId="40CB0877" w14:textId="77777777" w:rsidR="00584FB3" w:rsidRDefault="00584FB3">
            <w:pPr>
              <w:rPr>
                <w:rFonts w:ascii="宋体"/>
              </w:rPr>
            </w:pPr>
          </w:p>
        </w:tc>
        <w:tc>
          <w:tcPr>
            <w:tcW w:w="0" w:type="auto"/>
            <w:shd w:val="clear" w:color="auto" w:fill="auto"/>
          </w:tcPr>
          <w:p w14:paraId="40CB0878" w14:textId="77777777" w:rsidR="00584FB3" w:rsidRDefault="00584FB3">
            <w:pPr>
              <w:rPr>
                <w:rFonts w:ascii="宋体"/>
              </w:rPr>
            </w:pPr>
          </w:p>
        </w:tc>
        <w:tc>
          <w:tcPr>
            <w:tcW w:w="0" w:type="auto"/>
            <w:shd w:val="clear" w:color="auto" w:fill="auto"/>
          </w:tcPr>
          <w:p w14:paraId="40CB0879" w14:textId="77777777" w:rsidR="00584FB3" w:rsidRDefault="00584FB3">
            <w:pPr>
              <w:rPr>
                <w:rFonts w:ascii="宋体"/>
              </w:rPr>
            </w:pPr>
          </w:p>
        </w:tc>
        <w:tc>
          <w:tcPr>
            <w:tcW w:w="0" w:type="auto"/>
            <w:shd w:val="clear" w:color="auto" w:fill="auto"/>
          </w:tcPr>
          <w:p w14:paraId="40CB087A" w14:textId="77777777" w:rsidR="00584FB3" w:rsidRDefault="00584FB3">
            <w:pPr>
              <w:rPr>
                <w:rFonts w:ascii="宋体"/>
              </w:rPr>
            </w:pPr>
          </w:p>
        </w:tc>
        <w:tc>
          <w:tcPr>
            <w:tcW w:w="0" w:type="auto"/>
            <w:shd w:val="clear" w:color="auto" w:fill="auto"/>
          </w:tcPr>
          <w:p w14:paraId="40CB087B" w14:textId="77777777" w:rsidR="00584FB3" w:rsidRDefault="00584FB3">
            <w:pPr>
              <w:rPr>
                <w:rFonts w:ascii="宋体"/>
              </w:rPr>
            </w:pPr>
          </w:p>
        </w:tc>
        <w:tc>
          <w:tcPr>
            <w:tcW w:w="0" w:type="auto"/>
            <w:shd w:val="clear" w:color="auto" w:fill="auto"/>
          </w:tcPr>
          <w:p w14:paraId="40CB087C" w14:textId="77777777" w:rsidR="00584FB3" w:rsidRDefault="00584FB3">
            <w:pPr>
              <w:rPr>
                <w:rFonts w:ascii="宋体"/>
              </w:rPr>
            </w:pPr>
          </w:p>
        </w:tc>
        <w:tc>
          <w:tcPr>
            <w:tcW w:w="0" w:type="auto"/>
            <w:shd w:val="clear" w:color="auto" w:fill="auto"/>
          </w:tcPr>
          <w:p w14:paraId="40CB087D" w14:textId="77777777" w:rsidR="00584FB3" w:rsidRDefault="00584FB3">
            <w:pPr>
              <w:rPr>
                <w:rFonts w:ascii="宋体"/>
              </w:rPr>
            </w:pPr>
          </w:p>
        </w:tc>
        <w:tc>
          <w:tcPr>
            <w:tcW w:w="0" w:type="auto"/>
            <w:shd w:val="clear" w:color="auto" w:fill="auto"/>
          </w:tcPr>
          <w:p w14:paraId="40CB087E" w14:textId="77777777" w:rsidR="00584FB3" w:rsidRDefault="00584FB3">
            <w:pPr>
              <w:rPr>
                <w:rFonts w:ascii="宋体"/>
              </w:rPr>
            </w:pPr>
          </w:p>
        </w:tc>
        <w:tc>
          <w:tcPr>
            <w:tcW w:w="0" w:type="auto"/>
            <w:shd w:val="clear" w:color="auto" w:fill="auto"/>
          </w:tcPr>
          <w:p w14:paraId="40CB087F" w14:textId="77777777" w:rsidR="00584FB3" w:rsidRDefault="00584FB3">
            <w:pPr>
              <w:rPr>
                <w:rFonts w:ascii="宋体"/>
              </w:rPr>
            </w:pPr>
          </w:p>
        </w:tc>
        <w:tc>
          <w:tcPr>
            <w:tcW w:w="0" w:type="auto"/>
            <w:shd w:val="clear" w:color="auto" w:fill="auto"/>
          </w:tcPr>
          <w:p w14:paraId="40CB0880" w14:textId="77777777" w:rsidR="00584FB3" w:rsidRDefault="00584FB3">
            <w:pPr>
              <w:rPr>
                <w:rFonts w:ascii="宋体"/>
              </w:rPr>
            </w:pPr>
          </w:p>
        </w:tc>
        <w:tc>
          <w:tcPr>
            <w:tcW w:w="0" w:type="auto"/>
            <w:shd w:val="clear" w:color="auto" w:fill="auto"/>
          </w:tcPr>
          <w:p w14:paraId="40CB0881" w14:textId="77777777" w:rsidR="00584FB3" w:rsidRDefault="00584FB3">
            <w:pPr>
              <w:rPr>
                <w:rFonts w:ascii="宋体"/>
              </w:rPr>
            </w:pPr>
          </w:p>
        </w:tc>
        <w:tc>
          <w:tcPr>
            <w:tcW w:w="0" w:type="auto"/>
            <w:shd w:val="clear" w:color="auto" w:fill="auto"/>
          </w:tcPr>
          <w:p w14:paraId="40CB0882" w14:textId="77777777" w:rsidR="00584FB3" w:rsidRDefault="00584FB3">
            <w:pPr>
              <w:rPr>
                <w:rFonts w:ascii="宋体"/>
              </w:rPr>
            </w:pPr>
          </w:p>
        </w:tc>
        <w:tc>
          <w:tcPr>
            <w:tcW w:w="0" w:type="auto"/>
            <w:shd w:val="clear" w:color="auto" w:fill="auto"/>
          </w:tcPr>
          <w:p w14:paraId="40CB0883" w14:textId="77777777" w:rsidR="00584FB3" w:rsidRDefault="00584FB3">
            <w:pPr>
              <w:rPr>
                <w:rFonts w:ascii="宋体"/>
              </w:rPr>
            </w:pPr>
          </w:p>
        </w:tc>
        <w:tc>
          <w:tcPr>
            <w:tcW w:w="0" w:type="auto"/>
            <w:shd w:val="clear" w:color="auto" w:fill="auto"/>
          </w:tcPr>
          <w:p w14:paraId="40CB0884" w14:textId="77777777" w:rsidR="00584FB3" w:rsidRDefault="00584FB3">
            <w:pPr>
              <w:rPr>
                <w:rFonts w:ascii="宋体"/>
              </w:rPr>
            </w:pPr>
          </w:p>
        </w:tc>
        <w:tc>
          <w:tcPr>
            <w:tcW w:w="0" w:type="auto"/>
            <w:shd w:val="clear" w:color="auto" w:fill="auto"/>
          </w:tcPr>
          <w:p w14:paraId="40CB0885" w14:textId="77777777" w:rsidR="00584FB3" w:rsidRDefault="00584FB3">
            <w:pPr>
              <w:rPr>
                <w:rFonts w:ascii="宋体"/>
              </w:rPr>
            </w:pPr>
          </w:p>
        </w:tc>
        <w:tc>
          <w:tcPr>
            <w:tcW w:w="0" w:type="auto"/>
            <w:shd w:val="clear" w:color="auto" w:fill="auto"/>
          </w:tcPr>
          <w:p w14:paraId="40CB0886" w14:textId="77777777" w:rsidR="00584FB3" w:rsidRDefault="00584FB3">
            <w:pPr>
              <w:rPr>
                <w:rFonts w:ascii="宋体"/>
              </w:rPr>
            </w:pPr>
          </w:p>
        </w:tc>
      </w:tr>
      <w:tr w:rsidR="00584FB3" w14:paraId="40CB089D" w14:textId="77777777">
        <w:trPr>
          <w:hidden/>
        </w:trPr>
        <w:tc>
          <w:tcPr>
            <w:tcW w:w="0" w:type="auto"/>
            <w:gridSpan w:val="3"/>
            <w:shd w:val="clear" w:color="auto" w:fill="auto"/>
          </w:tcPr>
          <w:p w14:paraId="40CB0888" w14:textId="77777777" w:rsidR="00584FB3" w:rsidRDefault="00584FB3">
            <w:pPr>
              <w:rPr>
                <w:rFonts w:ascii="宋体"/>
                <w:vanish/>
              </w:rPr>
            </w:pPr>
          </w:p>
        </w:tc>
        <w:tc>
          <w:tcPr>
            <w:tcW w:w="0" w:type="auto"/>
            <w:gridSpan w:val="3"/>
            <w:shd w:val="clear" w:color="auto" w:fill="auto"/>
          </w:tcPr>
          <w:p w14:paraId="40CB0889" w14:textId="77777777" w:rsidR="00584FB3" w:rsidRDefault="00584FB3">
            <w:pPr>
              <w:rPr>
                <w:rFonts w:ascii="宋体"/>
                <w:vanish/>
              </w:rPr>
            </w:pPr>
          </w:p>
        </w:tc>
        <w:tc>
          <w:tcPr>
            <w:tcW w:w="0" w:type="auto"/>
            <w:gridSpan w:val="3"/>
            <w:shd w:val="clear" w:color="auto" w:fill="auto"/>
          </w:tcPr>
          <w:p w14:paraId="40CB088A" w14:textId="77777777" w:rsidR="00584FB3" w:rsidRDefault="00584FB3">
            <w:pPr>
              <w:rPr>
                <w:rFonts w:ascii="宋体"/>
                <w:vanish/>
              </w:rPr>
            </w:pPr>
          </w:p>
        </w:tc>
        <w:tc>
          <w:tcPr>
            <w:tcW w:w="0" w:type="auto"/>
            <w:gridSpan w:val="3"/>
            <w:shd w:val="clear" w:color="auto" w:fill="auto"/>
          </w:tcPr>
          <w:p w14:paraId="40CB088B" w14:textId="77777777" w:rsidR="00584FB3" w:rsidRDefault="00584FB3">
            <w:pPr>
              <w:rPr>
                <w:rFonts w:ascii="宋体"/>
                <w:vanish/>
              </w:rPr>
            </w:pPr>
          </w:p>
        </w:tc>
        <w:tc>
          <w:tcPr>
            <w:tcW w:w="0" w:type="auto"/>
            <w:gridSpan w:val="3"/>
            <w:shd w:val="clear" w:color="auto" w:fill="auto"/>
          </w:tcPr>
          <w:p w14:paraId="40CB088C" w14:textId="77777777" w:rsidR="00584FB3" w:rsidRDefault="00584FB3">
            <w:pPr>
              <w:rPr>
                <w:rFonts w:ascii="宋体"/>
                <w:vanish/>
              </w:rPr>
            </w:pPr>
          </w:p>
        </w:tc>
        <w:tc>
          <w:tcPr>
            <w:tcW w:w="0" w:type="auto"/>
            <w:gridSpan w:val="3"/>
            <w:shd w:val="clear" w:color="auto" w:fill="auto"/>
          </w:tcPr>
          <w:p w14:paraId="40CB088D" w14:textId="77777777" w:rsidR="00584FB3" w:rsidRDefault="00584FB3">
            <w:pPr>
              <w:rPr>
                <w:rFonts w:ascii="宋体"/>
                <w:vanish/>
              </w:rPr>
            </w:pPr>
          </w:p>
        </w:tc>
        <w:tc>
          <w:tcPr>
            <w:tcW w:w="0" w:type="auto"/>
            <w:gridSpan w:val="3"/>
            <w:shd w:val="clear" w:color="auto" w:fill="auto"/>
          </w:tcPr>
          <w:p w14:paraId="40CB088E" w14:textId="77777777" w:rsidR="00584FB3" w:rsidRDefault="00584FB3">
            <w:pPr>
              <w:rPr>
                <w:rFonts w:ascii="宋体"/>
                <w:vanish/>
              </w:rPr>
            </w:pPr>
          </w:p>
        </w:tc>
        <w:tc>
          <w:tcPr>
            <w:tcW w:w="0" w:type="auto"/>
            <w:gridSpan w:val="3"/>
            <w:shd w:val="clear" w:color="auto" w:fill="auto"/>
          </w:tcPr>
          <w:p w14:paraId="40CB088F" w14:textId="77777777" w:rsidR="00584FB3" w:rsidRDefault="00584FB3">
            <w:pPr>
              <w:rPr>
                <w:rFonts w:ascii="宋体"/>
                <w:vanish/>
              </w:rPr>
            </w:pPr>
          </w:p>
        </w:tc>
        <w:tc>
          <w:tcPr>
            <w:tcW w:w="0" w:type="auto"/>
            <w:gridSpan w:val="3"/>
            <w:shd w:val="clear" w:color="auto" w:fill="auto"/>
          </w:tcPr>
          <w:p w14:paraId="40CB0890" w14:textId="77777777" w:rsidR="00584FB3" w:rsidRDefault="00584FB3">
            <w:pPr>
              <w:rPr>
                <w:rFonts w:ascii="宋体"/>
                <w:vanish/>
              </w:rPr>
            </w:pPr>
          </w:p>
        </w:tc>
        <w:tc>
          <w:tcPr>
            <w:tcW w:w="0" w:type="auto"/>
            <w:shd w:val="clear" w:color="auto" w:fill="auto"/>
          </w:tcPr>
          <w:p w14:paraId="40CB0891" w14:textId="77777777" w:rsidR="00584FB3" w:rsidRDefault="00584FB3">
            <w:pPr>
              <w:rPr>
                <w:rFonts w:ascii="宋体"/>
              </w:rPr>
            </w:pPr>
          </w:p>
        </w:tc>
        <w:tc>
          <w:tcPr>
            <w:tcW w:w="0" w:type="auto"/>
            <w:shd w:val="clear" w:color="auto" w:fill="auto"/>
          </w:tcPr>
          <w:p w14:paraId="40CB0892" w14:textId="77777777" w:rsidR="00584FB3" w:rsidRDefault="00584FB3">
            <w:pPr>
              <w:rPr>
                <w:rFonts w:ascii="宋体"/>
              </w:rPr>
            </w:pPr>
          </w:p>
        </w:tc>
        <w:tc>
          <w:tcPr>
            <w:tcW w:w="0" w:type="auto"/>
            <w:shd w:val="clear" w:color="auto" w:fill="auto"/>
          </w:tcPr>
          <w:p w14:paraId="40CB0893" w14:textId="77777777" w:rsidR="00584FB3" w:rsidRDefault="00584FB3">
            <w:pPr>
              <w:rPr>
                <w:rFonts w:ascii="宋体"/>
              </w:rPr>
            </w:pPr>
          </w:p>
        </w:tc>
        <w:tc>
          <w:tcPr>
            <w:tcW w:w="0" w:type="auto"/>
            <w:shd w:val="clear" w:color="auto" w:fill="auto"/>
          </w:tcPr>
          <w:p w14:paraId="40CB0894" w14:textId="77777777" w:rsidR="00584FB3" w:rsidRDefault="00584FB3">
            <w:pPr>
              <w:rPr>
                <w:rFonts w:ascii="宋体"/>
              </w:rPr>
            </w:pPr>
          </w:p>
        </w:tc>
        <w:tc>
          <w:tcPr>
            <w:tcW w:w="0" w:type="auto"/>
            <w:shd w:val="clear" w:color="auto" w:fill="auto"/>
          </w:tcPr>
          <w:p w14:paraId="40CB0895" w14:textId="77777777" w:rsidR="00584FB3" w:rsidRDefault="00584FB3">
            <w:pPr>
              <w:rPr>
                <w:rFonts w:ascii="宋体"/>
              </w:rPr>
            </w:pPr>
          </w:p>
        </w:tc>
        <w:tc>
          <w:tcPr>
            <w:tcW w:w="0" w:type="auto"/>
            <w:shd w:val="clear" w:color="auto" w:fill="auto"/>
          </w:tcPr>
          <w:p w14:paraId="40CB0896" w14:textId="77777777" w:rsidR="00584FB3" w:rsidRDefault="00584FB3">
            <w:pPr>
              <w:rPr>
                <w:rFonts w:ascii="宋体"/>
              </w:rPr>
            </w:pPr>
          </w:p>
        </w:tc>
        <w:tc>
          <w:tcPr>
            <w:tcW w:w="0" w:type="auto"/>
            <w:shd w:val="clear" w:color="auto" w:fill="auto"/>
          </w:tcPr>
          <w:p w14:paraId="40CB0897" w14:textId="77777777" w:rsidR="00584FB3" w:rsidRDefault="00584FB3">
            <w:pPr>
              <w:rPr>
                <w:rFonts w:ascii="宋体"/>
              </w:rPr>
            </w:pPr>
          </w:p>
        </w:tc>
        <w:tc>
          <w:tcPr>
            <w:tcW w:w="0" w:type="auto"/>
            <w:shd w:val="clear" w:color="auto" w:fill="auto"/>
          </w:tcPr>
          <w:p w14:paraId="40CB0898" w14:textId="77777777" w:rsidR="00584FB3" w:rsidRDefault="00584FB3">
            <w:pPr>
              <w:rPr>
                <w:rFonts w:ascii="宋体"/>
              </w:rPr>
            </w:pPr>
          </w:p>
        </w:tc>
        <w:tc>
          <w:tcPr>
            <w:tcW w:w="0" w:type="auto"/>
            <w:shd w:val="clear" w:color="auto" w:fill="auto"/>
          </w:tcPr>
          <w:p w14:paraId="40CB0899" w14:textId="77777777" w:rsidR="00584FB3" w:rsidRDefault="00584FB3">
            <w:pPr>
              <w:rPr>
                <w:rFonts w:ascii="宋体"/>
              </w:rPr>
            </w:pPr>
          </w:p>
        </w:tc>
        <w:tc>
          <w:tcPr>
            <w:tcW w:w="0" w:type="auto"/>
            <w:shd w:val="clear" w:color="auto" w:fill="auto"/>
          </w:tcPr>
          <w:p w14:paraId="40CB089A" w14:textId="77777777" w:rsidR="00584FB3" w:rsidRDefault="00584FB3">
            <w:pPr>
              <w:rPr>
                <w:rFonts w:ascii="宋体"/>
              </w:rPr>
            </w:pPr>
          </w:p>
        </w:tc>
        <w:tc>
          <w:tcPr>
            <w:tcW w:w="0" w:type="auto"/>
            <w:shd w:val="clear" w:color="auto" w:fill="auto"/>
          </w:tcPr>
          <w:p w14:paraId="40CB089B" w14:textId="77777777" w:rsidR="00584FB3" w:rsidRDefault="00584FB3">
            <w:pPr>
              <w:rPr>
                <w:rFonts w:ascii="宋体"/>
              </w:rPr>
            </w:pPr>
          </w:p>
        </w:tc>
        <w:tc>
          <w:tcPr>
            <w:tcW w:w="0" w:type="auto"/>
            <w:shd w:val="clear" w:color="auto" w:fill="auto"/>
          </w:tcPr>
          <w:p w14:paraId="40CB089C" w14:textId="77777777" w:rsidR="00584FB3" w:rsidRDefault="00584FB3">
            <w:pPr>
              <w:rPr>
                <w:rFonts w:ascii="宋体"/>
              </w:rPr>
            </w:pPr>
          </w:p>
        </w:tc>
      </w:tr>
      <w:tr w:rsidR="00584FB3" w14:paraId="40CB08AD" w14:textId="77777777">
        <w:trPr>
          <w:hidden/>
        </w:trPr>
        <w:tc>
          <w:tcPr>
            <w:tcW w:w="0" w:type="auto"/>
            <w:gridSpan w:val="3"/>
            <w:shd w:val="clear" w:color="auto" w:fill="auto"/>
          </w:tcPr>
          <w:p w14:paraId="40CB089E" w14:textId="77777777" w:rsidR="00584FB3" w:rsidRDefault="00584FB3">
            <w:pPr>
              <w:rPr>
                <w:rFonts w:ascii="宋体"/>
                <w:vanish/>
              </w:rPr>
            </w:pPr>
          </w:p>
        </w:tc>
        <w:tc>
          <w:tcPr>
            <w:tcW w:w="0" w:type="auto"/>
            <w:gridSpan w:val="3"/>
            <w:shd w:val="clear" w:color="auto" w:fill="auto"/>
          </w:tcPr>
          <w:p w14:paraId="40CB089F" w14:textId="77777777" w:rsidR="00584FB3" w:rsidRDefault="00584FB3">
            <w:pPr>
              <w:rPr>
                <w:rFonts w:ascii="宋体"/>
                <w:vanish/>
              </w:rPr>
            </w:pPr>
          </w:p>
        </w:tc>
        <w:tc>
          <w:tcPr>
            <w:tcW w:w="0" w:type="auto"/>
            <w:gridSpan w:val="3"/>
            <w:shd w:val="clear" w:color="auto" w:fill="auto"/>
          </w:tcPr>
          <w:p w14:paraId="40CB08A0" w14:textId="77777777" w:rsidR="00584FB3" w:rsidRDefault="00584FB3">
            <w:pPr>
              <w:rPr>
                <w:rFonts w:ascii="宋体"/>
                <w:vanish/>
              </w:rPr>
            </w:pPr>
          </w:p>
        </w:tc>
        <w:tc>
          <w:tcPr>
            <w:tcW w:w="0" w:type="auto"/>
            <w:gridSpan w:val="3"/>
            <w:shd w:val="clear" w:color="auto" w:fill="auto"/>
          </w:tcPr>
          <w:p w14:paraId="40CB08A1" w14:textId="77777777" w:rsidR="00584FB3" w:rsidRDefault="00584FB3">
            <w:pPr>
              <w:rPr>
                <w:rFonts w:ascii="宋体"/>
                <w:vanish/>
              </w:rPr>
            </w:pPr>
          </w:p>
        </w:tc>
        <w:tc>
          <w:tcPr>
            <w:tcW w:w="0" w:type="auto"/>
            <w:gridSpan w:val="3"/>
            <w:shd w:val="clear" w:color="auto" w:fill="auto"/>
          </w:tcPr>
          <w:p w14:paraId="40CB08A2" w14:textId="77777777" w:rsidR="00584FB3" w:rsidRDefault="00584FB3">
            <w:pPr>
              <w:rPr>
                <w:rFonts w:ascii="宋体"/>
                <w:vanish/>
              </w:rPr>
            </w:pPr>
          </w:p>
        </w:tc>
        <w:tc>
          <w:tcPr>
            <w:tcW w:w="0" w:type="auto"/>
            <w:gridSpan w:val="3"/>
            <w:shd w:val="clear" w:color="auto" w:fill="auto"/>
          </w:tcPr>
          <w:p w14:paraId="40CB08A3" w14:textId="77777777" w:rsidR="00584FB3" w:rsidRDefault="00584FB3">
            <w:pPr>
              <w:rPr>
                <w:rFonts w:ascii="宋体"/>
                <w:vanish/>
              </w:rPr>
            </w:pPr>
          </w:p>
        </w:tc>
        <w:tc>
          <w:tcPr>
            <w:tcW w:w="0" w:type="auto"/>
            <w:gridSpan w:val="3"/>
            <w:shd w:val="clear" w:color="auto" w:fill="auto"/>
          </w:tcPr>
          <w:p w14:paraId="40CB08A4" w14:textId="77777777" w:rsidR="00584FB3" w:rsidRDefault="00584FB3">
            <w:pPr>
              <w:rPr>
                <w:rFonts w:ascii="宋体"/>
                <w:vanish/>
              </w:rPr>
            </w:pPr>
          </w:p>
        </w:tc>
        <w:tc>
          <w:tcPr>
            <w:tcW w:w="0" w:type="auto"/>
            <w:gridSpan w:val="3"/>
            <w:shd w:val="clear" w:color="auto" w:fill="auto"/>
          </w:tcPr>
          <w:p w14:paraId="40CB08A5" w14:textId="77777777" w:rsidR="00584FB3" w:rsidRDefault="00584FB3">
            <w:pPr>
              <w:rPr>
                <w:rFonts w:ascii="宋体"/>
                <w:vanish/>
              </w:rPr>
            </w:pPr>
          </w:p>
        </w:tc>
        <w:tc>
          <w:tcPr>
            <w:tcW w:w="0" w:type="auto"/>
            <w:gridSpan w:val="3"/>
            <w:shd w:val="clear" w:color="auto" w:fill="auto"/>
          </w:tcPr>
          <w:p w14:paraId="40CB08A6" w14:textId="77777777" w:rsidR="00584FB3" w:rsidRDefault="00584FB3">
            <w:pPr>
              <w:rPr>
                <w:rFonts w:ascii="宋体"/>
                <w:vanish/>
              </w:rPr>
            </w:pPr>
          </w:p>
        </w:tc>
        <w:tc>
          <w:tcPr>
            <w:tcW w:w="0" w:type="auto"/>
            <w:gridSpan w:val="3"/>
            <w:shd w:val="clear" w:color="auto" w:fill="auto"/>
          </w:tcPr>
          <w:p w14:paraId="40CB08A7" w14:textId="77777777" w:rsidR="00584FB3" w:rsidRDefault="00584FB3">
            <w:pPr>
              <w:rPr>
                <w:rFonts w:ascii="宋体"/>
                <w:vanish/>
              </w:rPr>
            </w:pPr>
          </w:p>
        </w:tc>
        <w:tc>
          <w:tcPr>
            <w:tcW w:w="0" w:type="auto"/>
            <w:gridSpan w:val="3"/>
            <w:shd w:val="clear" w:color="auto" w:fill="auto"/>
          </w:tcPr>
          <w:p w14:paraId="40CB08A8" w14:textId="77777777" w:rsidR="00584FB3" w:rsidRDefault="00584FB3">
            <w:pPr>
              <w:rPr>
                <w:rFonts w:ascii="宋体"/>
                <w:vanish/>
              </w:rPr>
            </w:pPr>
          </w:p>
        </w:tc>
        <w:tc>
          <w:tcPr>
            <w:tcW w:w="0" w:type="auto"/>
            <w:gridSpan w:val="3"/>
            <w:shd w:val="clear" w:color="auto" w:fill="auto"/>
          </w:tcPr>
          <w:p w14:paraId="40CB08A9" w14:textId="77777777" w:rsidR="00584FB3" w:rsidRDefault="00584FB3">
            <w:pPr>
              <w:rPr>
                <w:rFonts w:ascii="宋体"/>
                <w:vanish/>
              </w:rPr>
            </w:pPr>
          </w:p>
        </w:tc>
        <w:tc>
          <w:tcPr>
            <w:tcW w:w="0" w:type="auto"/>
            <w:shd w:val="clear" w:color="auto" w:fill="auto"/>
          </w:tcPr>
          <w:p w14:paraId="40CB08AA" w14:textId="77777777" w:rsidR="00584FB3" w:rsidRDefault="00584FB3">
            <w:pPr>
              <w:rPr>
                <w:rFonts w:ascii="宋体"/>
              </w:rPr>
            </w:pPr>
          </w:p>
        </w:tc>
        <w:tc>
          <w:tcPr>
            <w:tcW w:w="0" w:type="auto"/>
            <w:shd w:val="clear" w:color="auto" w:fill="auto"/>
          </w:tcPr>
          <w:p w14:paraId="40CB08AB" w14:textId="77777777" w:rsidR="00584FB3" w:rsidRDefault="00584FB3">
            <w:pPr>
              <w:rPr>
                <w:rFonts w:ascii="宋体"/>
              </w:rPr>
            </w:pPr>
          </w:p>
        </w:tc>
        <w:tc>
          <w:tcPr>
            <w:tcW w:w="0" w:type="auto"/>
            <w:shd w:val="clear" w:color="auto" w:fill="auto"/>
          </w:tcPr>
          <w:p w14:paraId="40CB08AC" w14:textId="77777777" w:rsidR="00584FB3" w:rsidRDefault="00584FB3">
            <w:pPr>
              <w:rPr>
                <w:rFonts w:ascii="宋体"/>
              </w:rPr>
            </w:pPr>
          </w:p>
        </w:tc>
      </w:tr>
      <w:tr w:rsidR="00584FB3" w14:paraId="40CB08BB" w14:textId="77777777">
        <w:trPr>
          <w:hidden/>
        </w:trPr>
        <w:tc>
          <w:tcPr>
            <w:tcW w:w="0" w:type="auto"/>
            <w:gridSpan w:val="3"/>
            <w:shd w:val="clear" w:color="auto" w:fill="auto"/>
          </w:tcPr>
          <w:p w14:paraId="40CB08AE" w14:textId="77777777" w:rsidR="00584FB3" w:rsidRDefault="00584FB3">
            <w:pPr>
              <w:rPr>
                <w:rFonts w:ascii="宋体"/>
                <w:vanish/>
              </w:rPr>
            </w:pPr>
          </w:p>
        </w:tc>
        <w:tc>
          <w:tcPr>
            <w:tcW w:w="0" w:type="auto"/>
            <w:gridSpan w:val="3"/>
            <w:shd w:val="clear" w:color="auto" w:fill="auto"/>
          </w:tcPr>
          <w:p w14:paraId="40CB08AF" w14:textId="77777777" w:rsidR="00584FB3" w:rsidRDefault="00584FB3">
            <w:pPr>
              <w:rPr>
                <w:rFonts w:ascii="宋体"/>
                <w:vanish/>
              </w:rPr>
            </w:pPr>
          </w:p>
        </w:tc>
        <w:tc>
          <w:tcPr>
            <w:tcW w:w="0" w:type="auto"/>
            <w:gridSpan w:val="3"/>
            <w:shd w:val="clear" w:color="auto" w:fill="auto"/>
          </w:tcPr>
          <w:p w14:paraId="40CB08B0" w14:textId="77777777" w:rsidR="00584FB3" w:rsidRDefault="00584FB3">
            <w:pPr>
              <w:rPr>
                <w:rFonts w:ascii="宋体"/>
                <w:vanish/>
              </w:rPr>
            </w:pPr>
          </w:p>
        </w:tc>
        <w:tc>
          <w:tcPr>
            <w:tcW w:w="0" w:type="auto"/>
            <w:gridSpan w:val="3"/>
            <w:shd w:val="clear" w:color="auto" w:fill="auto"/>
          </w:tcPr>
          <w:p w14:paraId="40CB08B1" w14:textId="77777777" w:rsidR="00584FB3" w:rsidRDefault="00584FB3">
            <w:pPr>
              <w:rPr>
                <w:rFonts w:ascii="宋体"/>
                <w:vanish/>
              </w:rPr>
            </w:pPr>
          </w:p>
        </w:tc>
        <w:tc>
          <w:tcPr>
            <w:tcW w:w="0" w:type="auto"/>
            <w:gridSpan w:val="3"/>
            <w:shd w:val="clear" w:color="auto" w:fill="auto"/>
          </w:tcPr>
          <w:p w14:paraId="40CB08B2" w14:textId="77777777" w:rsidR="00584FB3" w:rsidRDefault="00584FB3">
            <w:pPr>
              <w:rPr>
                <w:rFonts w:ascii="宋体"/>
                <w:vanish/>
              </w:rPr>
            </w:pPr>
          </w:p>
        </w:tc>
        <w:tc>
          <w:tcPr>
            <w:tcW w:w="0" w:type="auto"/>
            <w:gridSpan w:val="3"/>
            <w:shd w:val="clear" w:color="auto" w:fill="auto"/>
          </w:tcPr>
          <w:p w14:paraId="40CB08B3" w14:textId="77777777" w:rsidR="00584FB3" w:rsidRDefault="00584FB3">
            <w:pPr>
              <w:rPr>
                <w:rFonts w:ascii="宋体"/>
                <w:vanish/>
              </w:rPr>
            </w:pPr>
          </w:p>
        </w:tc>
        <w:tc>
          <w:tcPr>
            <w:tcW w:w="0" w:type="auto"/>
            <w:gridSpan w:val="3"/>
            <w:shd w:val="clear" w:color="auto" w:fill="auto"/>
          </w:tcPr>
          <w:p w14:paraId="40CB08B4" w14:textId="77777777" w:rsidR="00584FB3" w:rsidRDefault="00584FB3">
            <w:pPr>
              <w:rPr>
                <w:rFonts w:ascii="宋体"/>
                <w:vanish/>
              </w:rPr>
            </w:pPr>
          </w:p>
        </w:tc>
        <w:tc>
          <w:tcPr>
            <w:tcW w:w="0" w:type="auto"/>
            <w:gridSpan w:val="3"/>
            <w:shd w:val="clear" w:color="auto" w:fill="auto"/>
          </w:tcPr>
          <w:p w14:paraId="40CB08B5" w14:textId="77777777" w:rsidR="00584FB3" w:rsidRDefault="00584FB3">
            <w:pPr>
              <w:rPr>
                <w:rFonts w:ascii="宋体"/>
                <w:vanish/>
              </w:rPr>
            </w:pPr>
          </w:p>
        </w:tc>
        <w:tc>
          <w:tcPr>
            <w:tcW w:w="0" w:type="auto"/>
            <w:gridSpan w:val="3"/>
            <w:shd w:val="clear" w:color="auto" w:fill="auto"/>
          </w:tcPr>
          <w:p w14:paraId="40CB08B6" w14:textId="77777777" w:rsidR="00584FB3" w:rsidRDefault="00584FB3">
            <w:pPr>
              <w:rPr>
                <w:rFonts w:ascii="宋体"/>
                <w:vanish/>
              </w:rPr>
            </w:pPr>
          </w:p>
        </w:tc>
        <w:tc>
          <w:tcPr>
            <w:tcW w:w="0" w:type="auto"/>
            <w:gridSpan w:val="3"/>
            <w:shd w:val="clear" w:color="auto" w:fill="auto"/>
          </w:tcPr>
          <w:p w14:paraId="40CB08B7" w14:textId="77777777" w:rsidR="00584FB3" w:rsidRDefault="00584FB3">
            <w:pPr>
              <w:rPr>
                <w:rFonts w:ascii="宋体"/>
                <w:vanish/>
              </w:rPr>
            </w:pPr>
          </w:p>
        </w:tc>
        <w:tc>
          <w:tcPr>
            <w:tcW w:w="0" w:type="auto"/>
            <w:gridSpan w:val="3"/>
            <w:shd w:val="clear" w:color="auto" w:fill="auto"/>
          </w:tcPr>
          <w:p w14:paraId="40CB08B8" w14:textId="77777777" w:rsidR="00584FB3" w:rsidRDefault="00584FB3">
            <w:pPr>
              <w:rPr>
                <w:rFonts w:ascii="宋体"/>
                <w:vanish/>
              </w:rPr>
            </w:pPr>
          </w:p>
        </w:tc>
        <w:tc>
          <w:tcPr>
            <w:tcW w:w="0" w:type="auto"/>
            <w:gridSpan w:val="3"/>
            <w:shd w:val="clear" w:color="auto" w:fill="auto"/>
          </w:tcPr>
          <w:p w14:paraId="40CB08B9" w14:textId="77777777" w:rsidR="00584FB3" w:rsidRDefault="00584FB3">
            <w:pPr>
              <w:rPr>
                <w:rFonts w:ascii="宋体"/>
                <w:vanish/>
              </w:rPr>
            </w:pPr>
          </w:p>
        </w:tc>
        <w:tc>
          <w:tcPr>
            <w:tcW w:w="0" w:type="auto"/>
            <w:gridSpan w:val="3"/>
            <w:shd w:val="clear" w:color="auto" w:fill="auto"/>
          </w:tcPr>
          <w:p w14:paraId="40CB08BA" w14:textId="77777777" w:rsidR="00584FB3" w:rsidRDefault="00584FB3">
            <w:pPr>
              <w:rPr>
                <w:rFonts w:ascii="宋体"/>
                <w:vanish/>
              </w:rPr>
            </w:pPr>
          </w:p>
        </w:tc>
      </w:tr>
      <w:tr w:rsidR="00584FB3" w14:paraId="40CB08C9" w14:textId="77777777">
        <w:trPr>
          <w:hidden/>
        </w:trPr>
        <w:tc>
          <w:tcPr>
            <w:tcW w:w="0" w:type="auto"/>
            <w:gridSpan w:val="3"/>
            <w:shd w:val="clear" w:color="auto" w:fill="auto"/>
          </w:tcPr>
          <w:p w14:paraId="40CB08BC" w14:textId="77777777" w:rsidR="00584FB3" w:rsidRDefault="00584FB3">
            <w:pPr>
              <w:rPr>
                <w:rFonts w:ascii="宋体"/>
                <w:vanish/>
              </w:rPr>
            </w:pPr>
          </w:p>
        </w:tc>
        <w:tc>
          <w:tcPr>
            <w:tcW w:w="0" w:type="auto"/>
            <w:gridSpan w:val="3"/>
            <w:shd w:val="clear" w:color="auto" w:fill="auto"/>
          </w:tcPr>
          <w:p w14:paraId="40CB08BD" w14:textId="77777777" w:rsidR="00584FB3" w:rsidRDefault="00584FB3">
            <w:pPr>
              <w:rPr>
                <w:rFonts w:ascii="宋体"/>
                <w:vanish/>
              </w:rPr>
            </w:pPr>
          </w:p>
        </w:tc>
        <w:tc>
          <w:tcPr>
            <w:tcW w:w="0" w:type="auto"/>
            <w:gridSpan w:val="3"/>
            <w:shd w:val="clear" w:color="auto" w:fill="auto"/>
          </w:tcPr>
          <w:p w14:paraId="40CB08BE" w14:textId="77777777" w:rsidR="00584FB3" w:rsidRDefault="00584FB3">
            <w:pPr>
              <w:rPr>
                <w:rFonts w:ascii="宋体"/>
                <w:vanish/>
              </w:rPr>
            </w:pPr>
          </w:p>
        </w:tc>
        <w:tc>
          <w:tcPr>
            <w:tcW w:w="0" w:type="auto"/>
            <w:gridSpan w:val="3"/>
            <w:shd w:val="clear" w:color="auto" w:fill="auto"/>
          </w:tcPr>
          <w:p w14:paraId="40CB08BF" w14:textId="77777777" w:rsidR="00584FB3" w:rsidRDefault="00584FB3">
            <w:pPr>
              <w:rPr>
                <w:rFonts w:ascii="宋体"/>
                <w:vanish/>
              </w:rPr>
            </w:pPr>
          </w:p>
        </w:tc>
        <w:tc>
          <w:tcPr>
            <w:tcW w:w="0" w:type="auto"/>
            <w:gridSpan w:val="3"/>
            <w:shd w:val="clear" w:color="auto" w:fill="auto"/>
          </w:tcPr>
          <w:p w14:paraId="40CB08C0" w14:textId="77777777" w:rsidR="00584FB3" w:rsidRDefault="00584FB3">
            <w:pPr>
              <w:rPr>
                <w:rFonts w:ascii="宋体"/>
                <w:vanish/>
              </w:rPr>
            </w:pPr>
          </w:p>
        </w:tc>
        <w:tc>
          <w:tcPr>
            <w:tcW w:w="0" w:type="auto"/>
            <w:gridSpan w:val="3"/>
            <w:shd w:val="clear" w:color="auto" w:fill="auto"/>
          </w:tcPr>
          <w:p w14:paraId="40CB08C1" w14:textId="77777777" w:rsidR="00584FB3" w:rsidRDefault="00584FB3">
            <w:pPr>
              <w:rPr>
                <w:rFonts w:ascii="宋体"/>
                <w:vanish/>
              </w:rPr>
            </w:pPr>
          </w:p>
        </w:tc>
        <w:tc>
          <w:tcPr>
            <w:tcW w:w="0" w:type="auto"/>
            <w:gridSpan w:val="3"/>
            <w:shd w:val="clear" w:color="auto" w:fill="auto"/>
          </w:tcPr>
          <w:p w14:paraId="40CB08C2" w14:textId="77777777" w:rsidR="00584FB3" w:rsidRDefault="00584FB3">
            <w:pPr>
              <w:rPr>
                <w:rFonts w:ascii="宋体"/>
                <w:vanish/>
              </w:rPr>
            </w:pPr>
          </w:p>
        </w:tc>
        <w:tc>
          <w:tcPr>
            <w:tcW w:w="0" w:type="auto"/>
            <w:gridSpan w:val="3"/>
            <w:shd w:val="clear" w:color="auto" w:fill="auto"/>
          </w:tcPr>
          <w:p w14:paraId="40CB08C3" w14:textId="77777777" w:rsidR="00584FB3" w:rsidRDefault="00584FB3">
            <w:pPr>
              <w:rPr>
                <w:rFonts w:ascii="宋体"/>
                <w:vanish/>
              </w:rPr>
            </w:pPr>
          </w:p>
        </w:tc>
        <w:tc>
          <w:tcPr>
            <w:tcW w:w="0" w:type="auto"/>
            <w:gridSpan w:val="3"/>
            <w:shd w:val="clear" w:color="auto" w:fill="auto"/>
          </w:tcPr>
          <w:p w14:paraId="40CB08C4" w14:textId="77777777" w:rsidR="00584FB3" w:rsidRDefault="00584FB3">
            <w:pPr>
              <w:rPr>
                <w:rFonts w:ascii="宋体"/>
                <w:vanish/>
              </w:rPr>
            </w:pPr>
          </w:p>
        </w:tc>
        <w:tc>
          <w:tcPr>
            <w:tcW w:w="0" w:type="auto"/>
            <w:gridSpan w:val="3"/>
            <w:shd w:val="clear" w:color="auto" w:fill="auto"/>
          </w:tcPr>
          <w:p w14:paraId="40CB08C5" w14:textId="77777777" w:rsidR="00584FB3" w:rsidRDefault="00584FB3">
            <w:pPr>
              <w:rPr>
                <w:rFonts w:ascii="宋体"/>
                <w:vanish/>
              </w:rPr>
            </w:pPr>
          </w:p>
        </w:tc>
        <w:tc>
          <w:tcPr>
            <w:tcW w:w="0" w:type="auto"/>
            <w:gridSpan w:val="3"/>
            <w:shd w:val="clear" w:color="auto" w:fill="auto"/>
          </w:tcPr>
          <w:p w14:paraId="40CB08C6" w14:textId="77777777" w:rsidR="00584FB3" w:rsidRDefault="00584FB3">
            <w:pPr>
              <w:rPr>
                <w:rFonts w:ascii="宋体"/>
                <w:vanish/>
              </w:rPr>
            </w:pPr>
          </w:p>
        </w:tc>
        <w:tc>
          <w:tcPr>
            <w:tcW w:w="0" w:type="auto"/>
            <w:gridSpan w:val="3"/>
            <w:shd w:val="clear" w:color="auto" w:fill="auto"/>
          </w:tcPr>
          <w:p w14:paraId="40CB08C7" w14:textId="77777777" w:rsidR="00584FB3" w:rsidRDefault="00584FB3">
            <w:pPr>
              <w:rPr>
                <w:rFonts w:ascii="宋体"/>
                <w:vanish/>
              </w:rPr>
            </w:pPr>
          </w:p>
        </w:tc>
        <w:tc>
          <w:tcPr>
            <w:tcW w:w="0" w:type="auto"/>
            <w:gridSpan w:val="3"/>
            <w:shd w:val="clear" w:color="auto" w:fill="auto"/>
          </w:tcPr>
          <w:p w14:paraId="40CB08C8" w14:textId="77777777" w:rsidR="00584FB3" w:rsidRDefault="00584FB3">
            <w:pPr>
              <w:rPr>
                <w:rFonts w:ascii="宋体"/>
                <w:vanish/>
              </w:rPr>
            </w:pPr>
          </w:p>
        </w:tc>
      </w:tr>
      <w:tr w:rsidR="00584FB3" w14:paraId="40CB08D7" w14:textId="77777777">
        <w:trPr>
          <w:hidden/>
        </w:trPr>
        <w:tc>
          <w:tcPr>
            <w:tcW w:w="0" w:type="auto"/>
            <w:gridSpan w:val="3"/>
            <w:shd w:val="clear" w:color="auto" w:fill="auto"/>
          </w:tcPr>
          <w:p w14:paraId="40CB08CA" w14:textId="77777777" w:rsidR="00584FB3" w:rsidRDefault="00584FB3">
            <w:pPr>
              <w:rPr>
                <w:rFonts w:ascii="宋体"/>
                <w:vanish/>
              </w:rPr>
            </w:pPr>
          </w:p>
        </w:tc>
        <w:tc>
          <w:tcPr>
            <w:tcW w:w="0" w:type="auto"/>
            <w:gridSpan w:val="3"/>
            <w:shd w:val="clear" w:color="auto" w:fill="auto"/>
          </w:tcPr>
          <w:p w14:paraId="40CB08CB" w14:textId="77777777" w:rsidR="00584FB3" w:rsidRDefault="00584FB3">
            <w:pPr>
              <w:rPr>
                <w:rFonts w:ascii="宋体"/>
                <w:vanish/>
              </w:rPr>
            </w:pPr>
          </w:p>
        </w:tc>
        <w:tc>
          <w:tcPr>
            <w:tcW w:w="0" w:type="auto"/>
            <w:gridSpan w:val="3"/>
            <w:shd w:val="clear" w:color="auto" w:fill="auto"/>
          </w:tcPr>
          <w:p w14:paraId="40CB08CC" w14:textId="77777777" w:rsidR="00584FB3" w:rsidRDefault="00584FB3">
            <w:pPr>
              <w:rPr>
                <w:rFonts w:ascii="宋体"/>
                <w:vanish/>
              </w:rPr>
            </w:pPr>
          </w:p>
        </w:tc>
        <w:tc>
          <w:tcPr>
            <w:tcW w:w="0" w:type="auto"/>
            <w:gridSpan w:val="3"/>
            <w:shd w:val="clear" w:color="auto" w:fill="auto"/>
          </w:tcPr>
          <w:p w14:paraId="40CB08CD" w14:textId="77777777" w:rsidR="00584FB3" w:rsidRDefault="00584FB3">
            <w:pPr>
              <w:rPr>
                <w:rFonts w:ascii="宋体"/>
                <w:vanish/>
              </w:rPr>
            </w:pPr>
          </w:p>
        </w:tc>
        <w:tc>
          <w:tcPr>
            <w:tcW w:w="0" w:type="auto"/>
            <w:gridSpan w:val="3"/>
            <w:shd w:val="clear" w:color="auto" w:fill="auto"/>
          </w:tcPr>
          <w:p w14:paraId="40CB08CE" w14:textId="77777777" w:rsidR="00584FB3" w:rsidRDefault="00584FB3">
            <w:pPr>
              <w:rPr>
                <w:rFonts w:ascii="宋体"/>
                <w:vanish/>
              </w:rPr>
            </w:pPr>
          </w:p>
        </w:tc>
        <w:tc>
          <w:tcPr>
            <w:tcW w:w="0" w:type="auto"/>
            <w:gridSpan w:val="3"/>
            <w:shd w:val="clear" w:color="auto" w:fill="auto"/>
          </w:tcPr>
          <w:p w14:paraId="40CB08CF" w14:textId="77777777" w:rsidR="00584FB3" w:rsidRDefault="00584FB3">
            <w:pPr>
              <w:rPr>
                <w:rFonts w:ascii="宋体"/>
                <w:vanish/>
              </w:rPr>
            </w:pPr>
          </w:p>
        </w:tc>
        <w:tc>
          <w:tcPr>
            <w:tcW w:w="0" w:type="auto"/>
            <w:gridSpan w:val="3"/>
            <w:shd w:val="clear" w:color="auto" w:fill="auto"/>
          </w:tcPr>
          <w:p w14:paraId="40CB08D0" w14:textId="77777777" w:rsidR="00584FB3" w:rsidRDefault="00584FB3">
            <w:pPr>
              <w:rPr>
                <w:rFonts w:ascii="宋体"/>
                <w:vanish/>
              </w:rPr>
            </w:pPr>
          </w:p>
        </w:tc>
        <w:tc>
          <w:tcPr>
            <w:tcW w:w="0" w:type="auto"/>
            <w:gridSpan w:val="3"/>
            <w:shd w:val="clear" w:color="auto" w:fill="auto"/>
          </w:tcPr>
          <w:p w14:paraId="40CB08D1" w14:textId="77777777" w:rsidR="00584FB3" w:rsidRDefault="00584FB3">
            <w:pPr>
              <w:rPr>
                <w:rFonts w:ascii="宋体"/>
                <w:vanish/>
              </w:rPr>
            </w:pPr>
          </w:p>
        </w:tc>
        <w:tc>
          <w:tcPr>
            <w:tcW w:w="0" w:type="auto"/>
            <w:gridSpan w:val="3"/>
            <w:shd w:val="clear" w:color="auto" w:fill="auto"/>
          </w:tcPr>
          <w:p w14:paraId="40CB08D2" w14:textId="77777777" w:rsidR="00584FB3" w:rsidRDefault="00584FB3">
            <w:pPr>
              <w:rPr>
                <w:rFonts w:ascii="宋体"/>
                <w:vanish/>
              </w:rPr>
            </w:pPr>
          </w:p>
        </w:tc>
        <w:tc>
          <w:tcPr>
            <w:tcW w:w="0" w:type="auto"/>
            <w:gridSpan w:val="3"/>
            <w:shd w:val="clear" w:color="auto" w:fill="auto"/>
          </w:tcPr>
          <w:p w14:paraId="40CB08D3" w14:textId="77777777" w:rsidR="00584FB3" w:rsidRDefault="00584FB3">
            <w:pPr>
              <w:rPr>
                <w:rFonts w:ascii="宋体"/>
                <w:vanish/>
              </w:rPr>
            </w:pPr>
          </w:p>
        </w:tc>
        <w:tc>
          <w:tcPr>
            <w:tcW w:w="0" w:type="auto"/>
            <w:gridSpan w:val="3"/>
            <w:shd w:val="clear" w:color="auto" w:fill="auto"/>
          </w:tcPr>
          <w:p w14:paraId="40CB08D4" w14:textId="77777777" w:rsidR="00584FB3" w:rsidRDefault="00584FB3">
            <w:pPr>
              <w:rPr>
                <w:rFonts w:ascii="宋体"/>
                <w:vanish/>
              </w:rPr>
            </w:pPr>
          </w:p>
        </w:tc>
        <w:tc>
          <w:tcPr>
            <w:tcW w:w="0" w:type="auto"/>
            <w:gridSpan w:val="3"/>
            <w:shd w:val="clear" w:color="auto" w:fill="auto"/>
          </w:tcPr>
          <w:p w14:paraId="40CB08D5" w14:textId="77777777" w:rsidR="00584FB3" w:rsidRDefault="00584FB3">
            <w:pPr>
              <w:rPr>
                <w:rFonts w:ascii="宋体"/>
                <w:vanish/>
              </w:rPr>
            </w:pPr>
          </w:p>
        </w:tc>
        <w:tc>
          <w:tcPr>
            <w:tcW w:w="0" w:type="auto"/>
            <w:gridSpan w:val="3"/>
            <w:shd w:val="clear" w:color="auto" w:fill="auto"/>
          </w:tcPr>
          <w:p w14:paraId="40CB08D6" w14:textId="77777777" w:rsidR="00584FB3" w:rsidRDefault="00584FB3">
            <w:pPr>
              <w:rPr>
                <w:rFonts w:ascii="宋体"/>
                <w:vanish/>
              </w:rPr>
            </w:pPr>
          </w:p>
        </w:tc>
      </w:tr>
      <w:tr w:rsidR="00584FB3" w14:paraId="40CB08EB" w14:textId="77777777">
        <w:trPr>
          <w:hidden/>
        </w:trPr>
        <w:tc>
          <w:tcPr>
            <w:tcW w:w="0" w:type="auto"/>
            <w:gridSpan w:val="3"/>
            <w:shd w:val="clear" w:color="auto" w:fill="auto"/>
          </w:tcPr>
          <w:p w14:paraId="40CB08D8" w14:textId="77777777" w:rsidR="00584FB3" w:rsidRDefault="00584FB3">
            <w:pPr>
              <w:rPr>
                <w:rFonts w:ascii="宋体"/>
                <w:vanish/>
              </w:rPr>
            </w:pPr>
          </w:p>
        </w:tc>
        <w:tc>
          <w:tcPr>
            <w:tcW w:w="0" w:type="auto"/>
            <w:gridSpan w:val="3"/>
            <w:shd w:val="clear" w:color="auto" w:fill="auto"/>
          </w:tcPr>
          <w:p w14:paraId="40CB08D9" w14:textId="77777777" w:rsidR="00584FB3" w:rsidRDefault="00584FB3">
            <w:pPr>
              <w:rPr>
                <w:rFonts w:ascii="宋体"/>
                <w:vanish/>
              </w:rPr>
            </w:pPr>
          </w:p>
        </w:tc>
        <w:tc>
          <w:tcPr>
            <w:tcW w:w="0" w:type="auto"/>
            <w:gridSpan w:val="3"/>
            <w:shd w:val="clear" w:color="auto" w:fill="auto"/>
          </w:tcPr>
          <w:p w14:paraId="40CB08DA" w14:textId="77777777" w:rsidR="00584FB3" w:rsidRDefault="00584FB3">
            <w:pPr>
              <w:rPr>
                <w:rFonts w:ascii="宋体"/>
                <w:vanish/>
              </w:rPr>
            </w:pPr>
          </w:p>
        </w:tc>
        <w:tc>
          <w:tcPr>
            <w:tcW w:w="0" w:type="auto"/>
            <w:gridSpan w:val="3"/>
            <w:shd w:val="clear" w:color="auto" w:fill="auto"/>
          </w:tcPr>
          <w:p w14:paraId="40CB08DB" w14:textId="77777777" w:rsidR="00584FB3" w:rsidRDefault="00584FB3">
            <w:pPr>
              <w:rPr>
                <w:rFonts w:ascii="宋体"/>
                <w:vanish/>
              </w:rPr>
            </w:pPr>
          </w:p>
        </w:tc>
        <w:tc>
          <w:tcPr>
            <w:tcW w:w="0" w:type="auto"/>
            <w:gridSpan w:val="3"/>
            <w:shd w:val="clear" w:color="auto" w:fill="auto"/>
          </w:tcPr>
          <w:p w14:paraId="40CB08DC" w14:textId="77777777" w:rsidR="00584FB3" w:rsidRDefault="00584FB3">
            <w:pPr>
              <w:rPr>
                <w:rFonts w:ascii="宋体"/>
                <w:vanish/>
              </w:rPr>
            </w:pPr>
          </w:p>
        </w:tc>
        <w:tc>
          <w:tcPr>
            <w:tcW w:w="0" w:type="auto"/>
            <w:gridSpan w:val="3"/>
            <w:shd w:val="clear" w:color="auto" w:fill="auto"/>
          </w:tcPr>
          <w:p w14:paraId="40CB08DD" w14:textId="77777777" w:rsidR="00584FB3" w:rsidRDefault="00584FB3">
            <w:pPr>
              <w:rPr>
                <w:rFonts w:ascii="宋体"/>
                <w:vanish/>
              </w:rPr>
            </w:pPr>
          </w:p>
        </w:tc>
        <w:tc>
          <w:tcPr>
            <w:tcW w:w="0" w:type="auto"/>
            <w:gridSpan w:val="3"/>
            <w:shd w:val="clear" w:color="auto" w:fill="auto"/>
          </w:tcPr>
          <w:p w14:paraId="40CB08DE" w14:textId="77777777" w:rsidR="00584FB3" w:rsidRDefault="00584FB3">
            <w:pPr>
              <w:rPr>
                <w:rFonts w:ascii="宋体"/>
                <w:vanish/>
              </w:rPr>
            </w:pPr>
          </w:p>
        </w:tc>
        <w:tc>
          <w:tcPr>
            <w:tcW w:w="0" w:type="auto"/>
            <w:gridSpan w:val="3"/>
            <w:shd w:val="clear" w:color="auto" w:fill="auto"/>
          </w:tcPr>
          <w:p w14:paraId="40CB08DF" w14:textId="77777777" w:rsidR="00584FB3" w:rsidRDefault="00584FB3">
            <w:pPr>
              <w:rPr>
                <w:rFonts w:ascii="宋体"/>
                <w:vanish/>
              </w:rPr>
            </w:pPr>
          </w:p>
        </w:tc>
        <w:tc>
          <w:tcPr>
            <w:tcW w:w="0" w:type="auto"/>
            <w:gridSpan w:val="3"/>
            <w:shd w:val="clear" w:color="auto" w:fill="auto"/>
          </w:tcPr>
          <w:p w14:paraId="40CB08E0" w14:textId="77777777" w:rsidR="00584FB3" w:rsidRDefault="00584FB3">
            <w:pPr>
              <w:rPr>
                <w:rFonts w:ascii="宋体"/>
                <w:vanish/>
              </w:rPr>
            </w:pPr>
          </w:p>
        </w:tc>
        <w:tc>
          <w:tcPr>
            <w:tcW w:w="0" w:type="auto"/>
            <w:gridSpan w:val="3"/>
            <w:shd w:val="clear" w:color="auto" w:fill="auto"/>
          </w:tcPr>
          <w:p w14:paraId="40CB08E1" w14:textId="77777777" w:rsidR="00584FB3" w:rsidRDefault="00584FB3">
            <w:pPr>
              <w:rPr>
                <w:rFonts w:ascii="宋体"/>
                <w:vanish/>
              </w:rPr>
            </w:pPr>
          </w:p>
        </w:tc>
        <w:tc>
          <w:tcPr>
            <w:tcW w:w="0" w:type="auto"/>
            <w:shd w:val="clear" w:color="auto" w:fill="auto"/>
          </w:tcPr>
          <w:p w14:paraId="40CB08E2" w14:textId="77777777" w:rsidR="00584FB3" w:rsidRDefault="00584FB3">
            <w:pPr>
              <w:rPr>
                <w:rFonts w:ascii="宋体"/>
              </w:rPr>
            </w:pPr>
          </w:p>
        </w:tc>
        <w:tc>
          <w:tcPr>
            <w:tcW w:w="0" w:type="auto"/>
            <w:shd w:val="clear" w:color="auto" w:fill="auto"/>
          </w:tcPr>
          <w:p w14:paraId="40CB08E3" w14:textId="77777777" w:rsidR="00584FB3" w:rsidRDefault="00584FB3">
            <w:pPr>
              <w:rPr>
                <w:rFonts w:ascii="宋体"/>
              </w:rPr>
            </w:pPr>
          </w:p>
        </w:tc>
        <w:tc>
          <w:tcPr>
            <w:tcW w:w="0" w:type="auto"/>
            <w:shd w:val="clear" w:color="auto" w:fill="auto"/>
          </w:tcPr>
          <w:p w14:paraId="40CB08E4" w14:textId="77777777" w:rsidR="00584FB3" w:rsidRDefault="00584FB3">
            <w:pPr>
              <w:rPr>
                <w:rFonts w:ascii="宋体"/>
              </w:rPr>
            </w:pPr>
          </w:p>
        </w:tc>
        <w:tc>
          <w:tcPr>
            <w:tcW w:w="0" w:type="auto"/>
            <w:shd w:val="clear" w:color="auto" w:fill="auto"/>
          </w:tcPr>
          <w:p w14:paraId="40CB08E5" w14:textId="77777777" w:rsidR="00584FB3" w:rsidRDefault="00584FB3">
            <w:pPr>
              <w:rPr>
                <w:rFonts w:ascii="宋体"/>
              </w:rPr>
            </w:pPr>
          </w:p>
        </w:tc>
        <w:tc>
          <w:tcPr>
            <w:tcW w:w="0" w:type="auto"/>
            <w:shd w:val="clear" w:color="auto" w:fill="auto"/>
          </w:tcPr>
          <w:p w14:paraId="40CB08E6" w14:textId="77777777" w:rsidR="00584FB3" w:rsidRDefault="00584FB3">
            <w:pPr>
              <w:rPr>
                <w:rFonts w:ascii="宋体"/>
              </w:rPr>
            </w:pPr>
          </w:p>
        </w:tc>
        <w:tc>
          <w:tcPr>
            <w:tcW w:w="0" w:type="auto"/>
            <w:shd w:val="clear" w:color="auto" w:fill="auto"/>
          </w:tcPr>
          <w:p w14:paraId="40CB08E7" w14:textId="77777777" w:rsidR="00584FB3" w:rsidRDefault="00584FB3">
            <w:pPr>
              <w:rPr>
                <w:rFonts w:ascii="宋体"/>
              </w:rPr>
            </w:pPr>
          </w:p>
        </w:tc>
        <w:tc>
          <w:tcPr>
            <w:tcW w:w="0" w:type="auto"/>
            <w:shd w:val="clear" w:color="auto" w:fill="auto"/>
          </w:tcPr>
          <w:p w14:paraId="40CB08E8" w14:textId="77777777" w:rsidR="00584FB3" w:rsidRDefault="00584FB3">
            <w:pPr>
              <w:rPr>
                <w:rFonts w:ascii="宋体"/>
              </w:rPr>
            </w:pPr>
          </w:p>
        </w:tc>
        <w:tc>
          <w:tcPr>
            <w:tcW w:w="0" w:type="auto"/>
            <w:shd w:val="clear" w:color="auto" w:fill="auto"/>
          </w:tcPr>
          <w:p w14:paraId="40CB08E9" w14:textId="77777777" w:rsidR="00584FB3" w:rsidRDefault="00584FB3">
            <w:pPr>
              <w:rPr>
                <w:rFonts w:ascii="宋体"/>
              </w:rPr>
            </w:pPr>
          </w:p>
        </w:tc>
        <w:tc>
          <w:tcPr>
            <w:tcW w:w="0" w:type="auto"/>
            <w:shd w:val="clear" w:color="auto" w:fill="auto"/>
          </w:tcPr>
          <w:p w14:paraId="40CB08EA" w14:textId="77777777" w:rsidR="00584FB3" w:rsidRDefault="00584FB3">
            <w:pPr>
              <w:rPr>
                <w:rFonts w:ascii="宋体"/>
              </w:rPr>
            </w:pPr>
          </w:p>
        </w:tc>
      </w:tr>
      <w:tr w:rsidR="00584FB3" w14:paraId="40CB08F9" w14:textId="77777777">
        <w:trPr>
          <w:hidden/>
        </w:trPr>
        <w:tc>
          <w:tcPr>
            <w:tcW w:w="0" w:type="auto"/>
            <w:gridSpan w:val="3"/>
            <w:shd w:val="clear" w:color="auto" w:fill="auto"/>
          </w:tcPr>
          <w:p w14:paraId="40CB08EC" w14:textId="77777777" w:rsidR="00584FB3" w:rsidRDefault="00584FB3">
            <w:pPr>
              <w:rPr>
                <w:rFonts w:ascii="宋体"/>
                <w:vanish/>
              </w:rPr>
            </w:pPr>
          </w:p>
        </w:tc>
        <w:tc>
          <w:tcPr>
            <w:tcW w:w="0" w:type="auto"/>
            <w:gridSpan w:val="3"/>
            <w:shd w:val="clear" w:color="auto" w:fill="auto"/>
          </w:tcPr>
          <w:p w14:paraId="40CB08ED" w14:textId="77777777" w:rsidR="00584FB3" w:rsidRDefault="00584FB3">
            <w:pPr>
              <w:rPr>
                <w:rFonts w:ascii="宋体"/>
                <w:vanish/>
              </w:rPr>
            </w:pPr>
          </w:p>
        </w:tc>
        <w:tc>
          <w:tcPr>
            <w:tcW w:w="0" w:type="auto"/>
            <w:gridSpan w:val="3"/>
            <w:shd w:val="clear" w:color="auto" w:fill="auto"/>
          </w:tcPr>
          <w:p w14:paraId="40CB08EE" w14:textId="77777777" w:rsidR="00584FB3" w:rsidRDefault="00584FB3">
            <w:pPr>
              <w:rPr>
                <w:rFonts w:ascii="宋体"/>
                <w:vanish/>
              </w:rPr>
            </w:pPr>
          </w:p>
        </w:tc>
        <w:tc>
          <w:tcPr>
            <w:tcW w:w="0" w:type="auto"/>
            <w:gridSpan w:val="3"/>
            <w:shd w:val="clear" w:color="auto" w:fill="auto"/>
          </w:tcPr>
          <w:p w14:paraId="40CB08EF" w14:textId="77777777" w:rsidR="00584FB3" w:rsidRDefault="00584FB3">
            <w:pPr>
              <w:rPr>
                <w:rFonts w:ascii="宋体"/>
                <w:vanish/>
              </w:rPr>
            </w:pPr>
          </w:p>
        </w:tc>
        <w:tc>
          <w:tcPr>
            <w:tcW w:w="0" w:type="auto"/>
            <w:gridSpan w:val="3"/>
            <w:shd w:val="clear" w:color="auto" w:fill="auto"/>
          </w:tcPr>
          <w:p w14:paraId="40CB08F0" w14:textId="77777777" w:rsidR="00584FB3" w:rsidRDefault="00584FB3">
            <w:pPr>
              <w:rPr>
                <w:rFonts w:ascii="宋体"/>
                <w:vanish/>
              </w:rPr>
            </w:pPr>
          </w:p>
        </w:tc>
        <w:tc>
          <w:tcPr>
            <w:tcW w:w="0" w:type="auto"/>
            <w:gridSpan w:val="3"/>
            <w:shd w:val="clear" w:color="auto" w:fill="auto"/>
          </w:tcPr>
          <w:p w14:paraId="40CB08F1" w14:textId="77777777" w:rsidR="00584FB3" w:rsidRDefault="00584FB3">
            <w:pPr>
              <w:rPr>
                <w:rFonts w:ascii="宋体"/>
                <w:vanish/>
              </w:rPr>
            </w:pPr>
          </w:p>
        </w:tc>
        <w:tc>
          <w:tcPr>
            <w:tcW w:w="0" w:type="auto"/>
            <w:gridSpan w:val="3"/>
            <w:shd w:val="clear" w:color="auto" w:fill="auto"/>
          </w:tcPr>
          <w:p w14:paraId="40CB08F2" w14:textId="77777777" w:rsidR="00584FB3" w:rsidRDefault="00584FB3">
            <w:pPr>
              <w:rPr>
                <w:rFonts w:ascii="宋体"/>
                <w:vanish/>
              </w:rPr>
            </w:pPr>
          </w:p>
        </w:tc>
        <w:tc>
          <w:tcPr>
            <w:tcW w:w="0" w:type="auto"/>
            <w:gridSpan w:val="3"/>
            <w:shd w:val="clear" w:color="auto" w:fill="auto"/>
          </w:tcPr>
          <w:p w14:paraId="40CB08F3" w14:textId="77777777" w:rsidR="00584FB3" w:rsidRDefault="00584FB3">
            <w:pPr>
              <w:rPr>
                <w:rFonts w:ascii="宋体"/>
                <w:vanish/>
              </w:rPr>
            </w:pPr>
          </w:p>
        </w:tc>
        <w:tc>
          <w:tcPr>
            <w:tcW w:w="0" w:type="auto"/>
            <w:gridSpan w:val="3"/>
            <w:shd w:val="clear" w:color="auto" w:fill="auto"/>
          </w:tcPr>
          <w:p w14:paraId="40CB08F4" w14:textId="77777777" w:rsidR="00584FB3" w:rsidRDefault="00584FB3">
            <w:pPr>
              <w:rPr>
                <w:rFonts w:ascii="宋体"/>
                <w:vanish/>
              </w:rPr>
            </w:pPr>
          </w:p>
        </w:tc>
        <w:tc>
          <w:tcPr>
            <w:tcW w:w="0" w:type="auto"/>
            <w:gridSpan w:val="3"/>
            <w:shd w:val="clear" w:color="auto" w:fill="auto"/>
          </w:tcPr>
          <w:p w14:paraId="40CB08F5" w14:textId="77777777" w:rsidR="00584FB3" w:rsidRDefault="00584FB3">
            <w:pPr>
              <w:rPr>
                <w:rFonts w:ascii="宋体"/>
                <w:vanish/>
              </w:rPr>
            </w:pPr>
          </w:p>
        </w:tc>
        <w:tc>
          <w:tcPr>
            <w:tcW w:w="0" w:type="auto"/>
            <w:gridSpan w:val="3"/>
            <w:shd w:val="clear" w:color="auto" w:fill="auto"/>
          </w:tcPr>
          <w:p w14:paraId="40CB08F6" w14:textId="77777777" w:rsidR="00584FB3" w:rsidRDefault="00584FB3">
            <w:pPr>
              <w:rPr>
                <w:rFonts w:ascii="宋体"/>
                <w:vanish/>
              </w:rPr>
            </w:pPr>
          </w:p>
        </w:tc>
        <w:tc>
          <w:tcPr>
            <w:tcW w:w="0" w:type="auto"/>
            <w:gridSpan w:val="3"/>
            <w:shd w:val="clear" w:color="auto" w:fill="auto"/>
          </w:tcPr>
          <w:p w14:paraId="40CB08F7" w14:textId="77777777" w:rsidR="00584FB3" w:rsidRDefault="00584FB3">
            <w:pPr>
              <w:rPr>
                <w:rFonts w:ascii="宋体"/>
                <w:vanish/>
              </w:rPr>
            </w:pPr>
          </w:p>
        </w:tc>
        <w:tc>
          <w:tcPr>
            <w:tcW w:w="0" w:type="auto"/>
            <w:gridSpan w:val="3"/>
            <w:shd w:val="clear" w:color="auto" w:fill="auto"/>
          </w:tcPr>
          <w:p w14:paraId="40CB08F8" w14:textId="77777777" w:rsidR="00584FB3" w:rsidRDefault="00584FB3">
            <w:pPr>
              <w:rPr>
                <w:rFonts w:ascii="宋体"/>
                <w:vanish/>
              </w:rPr>
            </w:pPr>
          </w:p>
        </w:tc>
      </w:tr>
      <w:tr w:rsidR="00584FB3" w14:paraId="40CB090B" w14:textId="77777777">
        <w:trPr>
          <w:hidden/>
        </w:trPr>
        <w:tc>
          <w:tcPr>
            <w:tcW w:w="0" w:type="auto"/>
            <w:gridSpan w:val="3"/>
            <w:shd w:val="clear" w:color="auto" w:fill="auto"/>
          </w:tcPr>
          <w:p w14:paraId="40CB08FA" w14:textId="77777777" w:rsidR="00584FB3" w:rsidRDefault="00584FB3">
            <w:pPr>
              <w:rPr>
                <w:rFonts w:ascii="宋体"/>
                <w:vanish/>
              </w:rPr>
            </w:pPr>
          </w:p>
        </w:tc>
        <w:tc>
          <w:tcPr>
            <w:tcW w:w="0" w:type="auto"/>
            <w:gridSpan w:val="3"/>
            <w:shd w:val="clear" w:color="auto" w:fill="auto"/>
          </w:tcPr>
          <w:p w14:paraId="40CB08FB" w14:textId="77777777" w:rsidR="00584FB3" w:rsidRDefault="00584FB3">
            <w:pPr>
              <w:rPr>
                <w:rFonts w:ascii="宋体"/>
                <w:vanish/>
              </w:rPr>
            </w:pPr>
          </w:p>
        </w:tc>
        <w:tc>
          <w:tcPr>
            <w:tcW w:w="0" w:type="auto"/>
            <w:gridSpan w:val="3"/>
            <w:shd w:val="clear" w:color="auto" w:fill="auto"/>
          </w:tcPr>
          <w:p w14:paraId="40CB08FC" w14:textId="77777777" w:rsidR="00584FB3" w:rsidRDefault="00584FB3">
            <w:pPr>
              <w:rPr>
                <w:rFonts w:ascii="宋体"/>
                <w:vanish/>
              </w:rPr>
            </w:pPr>
          </w:p>
        </w:tc>
        <w:tc>
          <w:tcPr>
            <w:tcW w:w="0" w:type="auto"/>
            <w:gridSpan w:val="3"/>
            <w:shd w:val="clear" w:color="auto" w:fill="auto"/>
          </w:tcPr>
          <w:p w14:paraId="40CB08FD" w14:textId="77777777" w:rsidR="00584FB3" w:rsidRDefault="00584FB3">
            <w:pPr>
              <w:rPr>
                <w:rFonts w:ascii="宋体"/>
                <w:vanish/>
              </w:rPr>
            </w:pPr>
          </w:p>
        </w:tc>
        <w:tc>
          <w:tcPr>
            <w:tcW w:w="0" w:type="auto"/>
            <w:gridSpan w:val="3"/>
            <w:shd w:val="clear" w:color="auto" w:fill="auto"/>
          </w:tcPr>
          <w:p w14:paraId="40CB08FE" w14:textId="77777777" w:rsidR="00584FB3" w:rsidRDefault="00584FB3">
            <w:pPr>
              <w:rPr>
                <w:rFonts w:ascii="宋体"/>
                <w:vanish/>
              </w:rPr>
            </w:pPr>
          </w:p>
        </w:tc>
        <w:tc>
          <w:tcPr>
            <w:tcW w:w="0" w:type="auto"/>
            <w:gridSpan w:val="3"/>
            <w:shd w:val="clear" w:color="auto" w:fill="auto"/>
          </w:tcPr>
          <w:p w14:paraId="40CB08FF" w14:textId="77777777" w:rsidR="00584FB3" w:rsidRDefault="00584FB3">
            <w:pPr>
              <w:rPr>
                <w:rFonts w:ascii="宋体"/>
                <w:vanish/>
              </w:rPr>
            </w:pPr>
          </w:p>
        </w:tc>
        <w:tc>
          <w:tcPr>
            <w:tcW w:w="0" w:type="auto"/>
            <w:gridSpan w:val="3"/>
            <w:shd w:val="clear" w:color="auto" w:fill="auto"/>
          </w:tcPr>
          <w:p w14:paraId="40CB0900" w14:textId="77777777" w:rsidR="00584FB3" w:rsidRDefault="00584FB3">
            <w:pPr>
              <w:rPr>
                <w:rFonts w:ascii="宋体"/>
                <w:vanish/>
              </w:rPr>
            </w:pPr>
          </w:p>
        </w:tc>
        <w:tc>
          <w:tcPr>
            <w:tcW w:w="0" w:type="auto"/>
            <w:gridSpan w:val="3"/>
            <w:shd w:val="clear" w:color="auto" w:fill="auto"/>
          </w:tcPr>
          <w:p w14:paraId="40CB0901" w14:textId="77777777" w:rsidR="00584FB3" w:rsidRDefault="00584FB3">
            <w:pPr>
              <w:rPr>
                <w:rFonts w:ascii="宋体"/>
                <w:vanish/>
              </w:rPr>
            </w:pPr>
          </w:p>
        </w:tc>
        <w:tc>
          <w:tcPr>
            <w:tcW w:w="0" w:type="auto"/>
            <w:gridSpan w:val="3"/>
            <w:shd w:val="clear" w:color="auto" w:fill="auto"/>
          </w:tcPr>
          <w:p w14:paraId="40CB0902" w14:textId="77777777" w:rsidR="00584FB3" w:rsidRDefault="00584FB3">
            <w:pPr>
              <w:rPr>
                <w:rFonts w:ascii="宋体"/>
                <w:vanish/>
              </w:rPr>
            </w:pPr>
          </w:p>
        </w:tc>
        <w:tc>
          <w:tcPr>
            <w:tcW w:w="0" w:type="auto"/>
            <w:gridSpan w:val="3"/>
            <w:shd w:val="clear" w:color="auto" w:fill="auto"/>
          </w:tcPr>
          <w:p w14:paraId="40CB0903" w14:textId="77777777" w:rsidR="00584FB3" w:rsidRDefault="00584FB3">
            <w:pPr>
              <w:rPr>
                <w:rFonts w:ascii="宋体"/>
                <w:vanish/>
              </w:rPr>
            </w:pPr>
          </w:p>
        </w:tc>
        <w:tc>
          <w:tcPr>
            <w:tcW w:w="0" w:type="auto"/>
            <w:gridSpan w:val="3"/>
            <w:shd w:val="clear" w:color="auto" w:fill="auto"/>
          </w:tcPr>
          <w:p w14:paraId="40CB0904" w14:textId="77777777" w:rsidR="00584FB3" w:rsidRDefault="00584FB3">
            <w:pPr>
              <w:rPr>
                <w:rFonts w:ascii="宋体"/>
                <w:vanish/>
              </w:rPr>
            </w:pPr>
          </w:p>
        </w:tc>
        <w:tc>
          <w:tcPr>
            <w:tcW w:w="0" w:type="auto"/>
            <w:shd w:val="clear" w:color="auto" w:fill="auto"/>
          </w:tcPr>
          <w:p w14:paraId="40CB0905" w14:textId="77777777" w:rsidR="00584FB3" w:rsidRDefault="00584FB3">
            <w:pPr>
              <w:rPr>
                <w:rFonts w:ascii="宋体"/>
              </w:rPr>
            </w:pPr>
          </w:p>
        </w:tc>
        <w:tc>
          <w:tcPr>
            <w:tcW w:w="0" w:type="auto"/>
            <w:shd w:val="clear" w:color="auto" w:fill="auto"/>
          </w:tcPr>
          <w:p w14:paraId="40CB0906" w14:textId="77777777" w:rsidR="00584FB3" w:rsidRDefault="00584FB3">
            <w:pPr>
              <w:rPr>
                <w:rFonts w:ascii="宋体"/>
              </w:rPr>
            </w:pPr>
          </w:p>
        </w:tc>
        <w:tc>
          <w:tcPr>
            <w:tcW w:w="0" w:type="auto"/>
            <w:shd w:val="clear" w:color="auto" w:fill="auto"/>
          </w:tcPr>
          <w:p w14:paraId="40CB0907" w14:textId="77777777" w:rsidR="00584FB3" w:rsidRDefault="00584FB3">
            <w:pPr>
              <w:rPr>
                <w:rFonts w:ascii="宋体"/>
              </w:rPr>
            </w:pPr>
          </w:p>
        </w:tc>
        <w:tc>
          <w:tcPr>
            <w:tcW w:w="0" w:type="auto"/>
            <w:shd w:val="clear" w:color="auto" w:fill="auto"/>
          </w:tcPr>
          <w:p w14:paraId="40CB0908" w14:textId="77777777" w:rsidR="00584FB3" w:rsidRDefault="00584FB3">
            <w:pPr>
              <w:rPr>
                <w:rFonts w:ascii="宋体"/>
              </w:rPr>
            </w:pPr>
          </w:p>
        </w:tc>
        <w:tc>
          <w:tcPr>
            <w:tcW w:w="0" w:type="auto"/>
            <w:shd w:val="clear" w:color="auto" w:fill="auto"/>
          </w:tcPr>
          <w:p w14:paraId="40CB0909" w14:textId="77777777" w:rsidR="00584FB3" w:rsidRDefault="00584FB3">
            <w:pPr>
              <w:rPr>
                <w:rFonts w:ascii="宋体"/>
              </w:rPr>
            </w:pPr>
          </w:p>
        </w:tc>
        <w:tc>
          <w:tcPr>
            <w:tcW w:w="0" w:type="auto"/>
            <w:shd w:val="clear" w:color="auto" w:fill="auto"/>
          </w:tcPr>
          <w:p w14:paraId="40CB090A" w14:textId="77777777" w:rsidR="00584FB3" w:rsidRDefault="00584FB3">
            <w:pPr>
              <w:rPr>
                <w:rFonts w:ascii="宋体"/>
              </w:rPr>
            </w:pPr>
          </w:p>
        </w:tc>
      </w:tr>
      <w:tr w:rsidR="00584FB3" w14:paraId="40CB0919" w14:textId="77777777">
        <w:trPr>
          <w:hidden/>
        </w:trPr>
        <w:tc>
          <w:tcPr>
            <w:tcW w:w="0" w:type="auto"/>
            <w:gridSpan w:val="3"/>
            <w:shd w:val="clear" w:color="auto" w:fill="auto"/>
          </w:tcPr>
          <w:p w14:paraId="40CB090C" w14:textId="77777777" w:rsidR="00584FB3" w:rsidRDefault="00584FB3">
            <w:pPr>
              <w:rPr>
                <w:rFonts w:ascii="宋体"/>
                <w:vanish/>
              </w:rPr>
            </w:pPr>
          </w:p>
        </w:tc>
        <w:tc>
          <w:tcPr>
            <w:tcW w:w="0" w:type="auto"/>
            <w:gridSpan w:val="3"/>
            <w:shd w:val="clear" w:color="auto" w:fill="auto"/>
          </w:tcPr>
          <w:p w14:paraId="40CB090D" w14:textId="77777777" w:rsidR="00584FB3" w:rsidRDefault="00584FB3">
            <w:pPr>
              <w:rPr>
                <w:rFonts w:ascii="宋体"/>
                <w:vanish/>
              </w:rPr>
            </w:pPr>
          </w:p>
        </w:tc>
        <w:tc>
          <w:tcPr>
            <w:tcW w:w="0" w:type="auto"/>
            <w:gridSpan w:val="3"/>
            <w:shd w:val="clear" w:color="auto" w:fill="auto"/>
          </w:tcPr>
          <w:p w14:paraId="40CB090E" w14:textId="77777777" w:rsidR="00584FB3" w:rsidRDefault="00584FB3">
            <w:pPr>
              <w:rPr>
                <w:rFonts w:ascii="宋体"/>
                <w:vanish/>
              </w:rPr>
            </w:pPr>
          </w:p>
        </w:tc>
        <w:tc>
          <w:tcPr>
            <w:tcW w:w="0" w:type="auto"/>
            <w:gridSpan w:val="3"/>
            <w:shd w:val="clear" w:color="auto" w:fill="auto"/>
          </w:tcPr>
          <w:p w14:paraId="40CB090F" w14:textId="77777777" w:rsidR="00584FB3" w:rsidRDefault="00584FB3">
            <w:pPr>
              <w:rPr>
                <w:rFonts w:ascii="宋体"/>
                <w:vanish/>
              </w:rPr>
            </w:pPr>
          </w:p>
        </w:tc>
        <w:tc>
          <w:tcPr>
            <w:tcW w:w="0" w:type="auto"/>
            <w:gridSpan w:val="3"/>
            <w:shd w:val="clear" w:color="auto" w:fill="auto"/>
          </w:tcPr>
          <w:p w14:paraId="40CB0910" w14:textId="77777777" w:rsidR="00584FB3" w:rsidRDefault="00584FB3">
            <w:pPr>
              <w:rPr>
                <w:rFonts w:ascii="宋体"/>
                <w:vanish/>
              </w:rPr>
            </w:pPr>
          </w:p>
        </w:tc>
        <w:tc>
          <w:tcPr>
            <w:tcW w:w="0" w:type="auto"/>
            <w:gridSpan w:val="3"/>
            <w:shd w:val="clear" w:color="auto" w:fill="auto"/>
          </w:tcPr>
          <w:p w14:paraId="40CB0911" w14:textId="77777777" w:rsidR="00584FB3" w:rsidRDefault="00584FB3">
            <w:pPr>
              <w:rPr>
                <w:rFonts w:ascii="宋体"/>
                <w:vanish/>
              </w:rPr>
            </w:pPr>
          </w:p>
        </w:tc>
        <w:tc>
          <w:tcPr>
            <w:tcW w:w="0" w:type="auto"/>
            <w:gridSpan w:val="3"/>
            <w:shd w:val="clear" w:color="auto" w:fill="auto"/>
          </w:tcPr>
          <w:p w14:paraId="40CB0912" w14:textId="77777777" w:rsidR="00584FB3" w:rsidRDefault="00584FB3">
            <w:pPr>
              <w:rPr>
                <w:rFonts w:ascii="宋体"/>
                <w:vanish/>
              </w:rPr>
            </w:pPr>
          </w:p>
        </w:tc>
        <w:tc>
          <w:tcPr>
            <w:tcW w:w="0" w:type="auto"/>
            <w:gridSpan w:val="3"/>
            <w:shd w:val="clear" w:color="auto" w:fill="auto"/>
          </w:tcPr>
          <w:p w14:paraId="40CB0913" w14:textId="77777777" w:rsidR="00584FB3" w:rsidRDefault="00584FB3">
            <w:pPr>
              <w:rPr>
                <w:rFonts w:ascii="宋体"/>
                <w:vanish/>
              </w:rPr>
            </w:pPr>
          </w:p>
        </w:tc>
        <w:tc>
          <w:tcPr>
            <w:tcW w:w="0" w:type="auto"/>
            <w:gridSpan w:val="3"/>
            <w:shd w:val="clear" w:color="auto" w:fill="auto"/>
          </w:tcPr>
          <w:p w14:paraId="40CB0914" w14:textId="77777777" w:rsidR="00584FB3" w:rsidRDefault="00584FB3">
            <w:pPr>
              <w:rPr>
                <w:rFonts w:ascii="宋体"/>
                <w:vanish/>
              </w:rPr>
            </w:pPr>
          </w:p>
        </w:tc>
        <w:tc>
          <w:tcPr>
            <w:tcW w:w="0" w:type="auto"/>
            <w:gridSpan w:val="3"/>
            <w:shd w:val="clear" w:color="auto" w:fill="auto"/>
          </w:tcPr>
          <w:p w14:paraId="40CB0915" w14:textId="77777777" w:rsidR="00584FB3" w:rsidRDefault="00584FB3">
            <w:pPr>
              <w:rPr>
                <w:rFonts w:ascii="宋体"/>
                <w:vanish/>
              </w:rPr>
            </w:pPr>
          </w:p>
        </w:tc>
        <w:tc>
          <w:tcPr>
            <w:tcW w:w="0" w:type="auto"/>
            <w:gridSpan w:val="3"/>
            <w:shd w:val="clear" w:color="auto" w:fill="auto"/>
          </w:tcPr>
          <w:p w14:paraId="40CB0916" w14:textId="77777777" w:rsidR="00584FB3" w:rsidRDefault="00584FB3">
            <w:pPr>
              <w:rPr>
                <w:rFonts w:ascii="宋体"/>
                <w:vanish/>
              </w:rPr>
            </w:pPr>
          </w:p>
        </w:tc>
        <w:tc>
          <w:tcPr>
            <w:tcW w:w="0" w:type="auto"/>
            <w:gridSpan w:val="3"/>
            <w:shd w:val="clear" w:color="auto" w:fill="auto"/>
          </w:tcPr>
          <w:p w14:paraId="40CB0917" w14:textId="77777777" w:rsidR="00584FB3" w:rsidRDefault="00584FB3">
            <w:pPr>
              <w:rPr>
                <w:rFonts w:ascii="宋体"/>
                <w:vanish/>
              </w:rPr>
            </w:pPr>
          </w:p>
        </w:tc>
        <w:tc>
          <w:tcPr>
            <w:tcW w:w="0" w:type="auto"/>
            <w:gridSpan w:val="3"/>
            <w:shd w:val="clear" w:color="auto" w:fill="auto"/>
          </w:tcPr>
          <w:p w14:paraId="40CB0918" w14:textId="77777777" w:rsidR="00584FB3" w:rsidRDefault="00584FB3">
            <w:pPr>
              <w:rPr>
                <w:rFonts w:ascii="宋体"/>
                <w:vanish/>
              </w:rPr>
            </w:pPr>
          </w:p>
        </w:tc>
      </w:tr>
      <w:tr w:rsidR="00584FB3" w14:paraId="40CB092D" w14:textId="77777777">
        <w:trPr>
          <w:hidden/>
        </w:trPr>
        <w:tc>
          <w:tcPr>
            <w:tcW w:w="0" w:type="auto"/>
            <w:gridSpan w:val="3"/>
            <w:shd w:val="clear" w:color="auto" w:fill="auto"/>
          </w:tcPr>
          <w:p w14:paraId="40CB091A" w14:textId="77777777" w:rsidR="00584FB3" w:rsidRDefault="00584FB3">
            <w:pPr>
              <w:rPr>
                <w:rFonts w:ascii="宋体"/>
                <w:vanish/>
              </w:rPr>
            </w:pPr>
          </w:p>
        </w:tc>
        <w:tc>
          <w:tcPr>
            <w:tcW w:w="0" w:type="auto"/>
            <w:gridSpan w:val="3"/>
            <w:shd w:val="clear" w:color="auto" w:fill="auto"/>
          </w:tcPr>
          <w:p w14:paraId="40CB091B" w14:textId="77777777" w:rsidR="00584FB3" w:rsidRDefault="00584FB3">
            <w:pPr>
              <w:rPr>
                <w:rFonts w:ascii="宋体"/>
                <w:vanish/>
              </w:rPr>
            </w:pPr>
          </w:p>
        </w:tc>
        <w:tc>
          <w:tcPr>
            <w:tcW w:w="0" w:type="auto"/>
            <w:gridSpan w:val="3"/>
            <w:shd w:val="clear" w:color="auto" w:fill="auto"/>
          </w:tcPr>
          <w:p w14:paraId="40CB091C" w14:textId="77777777" w:rsidR="00584FB3" w:rsidRDefault="00584FB3">
            <w:pPr>
              <w:rPr>
                <w:rFonts w:ascii="宋体"/>
                <w:vanish/>
              </w:rPr>
            </w:pPr>
          </w:p>
        </w:tc>
        <w:tc>
          <w:tcPr>
            <w:tcW w:w="0" w:type="auto"/>
            <w:gridSpan w:val="3"/>
            <w:shd w:val="clear" w:color="auto" w:fill="auto"/>
          </w:tcPr>
          <w:p w14:paraId="40CB091D" w14:textId="77777777" w:rsidR="00584FB3" w:rsidRDefault="00584FB3">
            <w:pPr>
              <w:rPr>
                <w:rFonts w:ascii="宋体"/>
                <w:vanish/>
              </w:rPr>
            </w:pPr>
          </w:p>
        </w:tc>
        <w:tc>
          <w:tcPr>
            <w:tcW w:w="0" w:type="auto"/>
            <w:gridSpan w:val="3"/>
            <w:shd w:val="clear" w:color="auto" w:fill="auto"/>
          </w:tcPr>
          <w:p w14:paraId="40CB091E" w14:textId="77777777" w:rsidR="00584FB3" w:rsidRDefault="00584FB3">
            <w:pPr>
              <w:rPr>
                <w:rFonts w:ascii="宋体"/>
                <w:vanish/>
              </w:rPr>
            </w:pPr>
          </w:p>
        </w:tc>
        <w:tc>
          <w:tcPr>
            <w:tcW w:w="0" w:type="auto"/>
            <w:gridSpan w:val="3"/>
            <w:shd w:val="clear" w:color="auto" w:fill="auto"/>
          </w:tcPr>
          <w:p w14:paraId="40CB091F" w14:textId="77777777" w:rsidR="00584FB3" w:rsidRDefault="00584FB3">
            <w:pPr>
              <w:rPr>
                <w:rFonts w:ascii="宋体"/>
                <w:vanish/>
              </w:rPr>
            </w:pPr>
          </w:p>
        </w:tc>
        <w:tc>
          <w:tcPr>
            <w:tcW w:w="0" w:type="auto"/>
            <w:gridSpan w:val="3"/>
            <w:shd w:val="clear" w:color="auto" w:fill="auto"/>
          </w:tcPr>
          <w:p w14:paraId="40CB0920" w14:textId="77777777" w:rsidR="00584FB3" w:rsidRDefault="00584FB3">
            <w:pPr>
              <w:rPr>
                <w:rFonts w:ascii="宋体"/>
                <w:vanish/>
              </w:rPr>
            </w:pPr>
          </w:p>
        </w:tc>
        <w:tc>
          <w:tcPr>
            <w:tcW w:w="0" w:type="auto"/>
            <w:gridSpan w:val="3"/>
            <w:shd w:val="clear" w:color="auto" w:fill="auto"/>
          </w:tcPr>
          <w:p w14:paraId="40CB0921" w14:textId="77777777" w:rsidR="00584FB3" w:rsidRDefault="00584FB3">
            <w:pPr>
              <w:rPr>
                <w:rFonts w:ascii="宋体"/>
                <w:vanish/>
              </w:rPr>
            </w:pPr>
          </w:p>
        </w:tc>
        <w:tc>
          <w:tcPr>
            <w:tcW w:w="0" w:type="auto"/>
            <w:gridSpan w:val="3"/>
            <w:shd w:val="clear" w:color="auto" w:fill="auto"/>
          </w:tcPr>
          <w:p w14:paraId="40CB0922" w14:textId="77777777" w:rsidR="00584FB3" w:rsidRDefault="00584FB3">
            <w:pPr>
              <w:rPr>
                <w:rFonts w:ascii="宋体"/>
                <w:vanish/>
              </w:rPr>
            </w:pPr>
          </w:p>
        </w:tc>
        <w:tc>
          <w:tcPr>
            <w:tcW w:w="0" w:type="auto"/>
            <w:gridSpan w:val="3"/>
            <w:shd w:val="clear" w:color="auto" w:fill="auto"/>
          </w:tcPr>
          <w:p w14:paraId="40CB0923" w14:textId="77777777" w:rsidR="00584FB3" w:rsidRDefault="00584FB3">
            <w:pPr>
              <w:rPr>
                <w:rFonts w:ascii="宋体"/>
                <w:vanish/>
              </w:rPr>
            </w:pPr>
          </w:p>
        </w:tc>
        <w:tc>
          <w:tcPr>
            <w:tcW w:w="0" w:type="auto"/>
            <w:shd w:val="clear" w:color="auto" w:fill="auto"/>
          </w:tcPr>
          <w:p w14:paraId="40CB0924" w14:textId="77777777" w:rsidR="00584FB3" w:rsidRDefault="00584FB3">
            <w:pPr>
              <w:rPr>
                <w:rFonts w:ascii="宋体"/>
              </w:rPr>
            </w:pPr>
          </w:p>
        </w:tc>
        <w:tc>
          <w:tcPr>
            <w:tcW w:w="0" w:type="auto"/>
            <w:shd w:val="clear" w:color="auto" w:fill="auto"/>
          </w:tcPr>
          <w:p w14:paraId="40CB0925" w14:textId="77777777" w:rsidR="00584FB3" w:rsidRDefault="00584FB3">
            <w:pPr>
              <w:rPr>
                <w:rFonts w:ascii="宋体"/>
              </w:rPr>
            </w:pPr>
          </w:p>
        </w:tc>
        <w:tc>
          <w:tcPr>
            <w:tcW w:w="0" w:type="auto"/>
            <w:shd w:val="clear" w:color="auto" w:fill="auto"/>
          </w:tcPr>
          <w:p w14:paraId="40CB0926" w14:textId="77777777" w:rsidR="00584FB3" w:rsidRDefault="00584FB3">
            <w:pPr>
              <w:rPr>
                <w:rFonts w:ascii="宋体"/>
              </w:rPr>
            </w:pPr>
          </w:p>
        </w:tc>
        <w:tc>
          <w:tcPr>
            <w:tcW w:w="0" w:type="auto"/>
            <w:shd w:val="clear" w:color="auto" w:fill="auto"/>
          </w:tcPr>
          <w:p w14:paraId="40CB0927" w14:textId="77777777" w:rsidR="00584FB3" w:rsidRDefault="00584FB3">
            <w:pPr>
              <w:rPr>
                <w:rFonts w:ascii="宋体"/>
              </w:rPr>
            </w:pPr>
          </w:p>
        </w:tc>
        <w:tc>
          <w:tcPr>
            <w:tcW w:w="0" w:type="auto"/>
            <w:shd w:val="clear" w:color="auto" w:fill="auto"/>
          </w:tcPr>
          <w:p w14:paraId="40CB0928" w14:textId="77777777" w:rsidR="00584FB3" w:rsidRDefault="00584FB3">
            <w:pPr>
              <w:rPr>
                <w:rFonts w:ascii="宋体"/>
              </w:rPr>
            </w:pPr>
          </w:p>
        </w:tc>
        <w:tc>
          <w:tcPr>
            <w:tcW w:w="0" w:type="auto"/>
            <w:shd w:val="clear" w:color="auto" w:fill="auto"/>
          </w:tcPr>
          <w:p w14:paraId="40CB0929" w14:textId="77777777" w:rsidR="00584FB3" w:rsidRDefault="00584FB3">
            <w:pPr>
              <w:rPr>
                <w:rFonts w:ascii="宋体"/>
              </w:rPr>
            </w:pPr>
          </w:p>
        </w:tc>
        <w:tc>
          <w:tcPr>
            <w:tcW w:w="0" w:type="auto"/>
            <w:shd w:val="clear" w:color="auto" w:fill="auto"/>
          </w:tcPr>
          <w:p w14:paraId="40CB092A" w14:textId="77777777" w:rsidR="00584FB3" w:rsidRDefault="00584FB3">
            <w:pPr>
              <w:rPr>
                <w:rFonts w:ascii="宋体"/>
              </w:rPr>
            </w:pPr>
          </w:p>
        </w:tc>
        <w:tc>
          <w:tcPr>
            <w:tcW w:w="0" w:type="auto"/>
            <w:shd w:val="clear" w:color="auto" w:fill="auto"/>
          </w:tcPr>
          <w:p w14:paraId="40CB092B" w14:textId="77777777" w:rsidR="00584FB3" w:rsidRDefault="00584FB3">
            <w:pPr>
              <w:rPr>
                <w:rFonts w:ascii="宋体"/>
              </w:rPr>
            </w:pPr>
          </w:p>
        </w:tc>
        <w:tc>
          <w:tcPr>
            <w:tcW w:w="0" w:type="auto"/>
            <w:shd w:val="clear" w:color="auto" w:fill="auto"/>
          </w:tcPr>
          <w:p w14:paraId="40CB092C" w14:textId="77777777" w:rsidR="00584FB3" w:rsidRDefault="00584FB3">
            <w:pPr>
              <w:rPr>
                <w:rFonts w:ascii="宋体"/>
              </w:rPr>
            </w:pPr>
          </w:p>
        </w:tc>
      </w:tr>
      <w:tr w:rsidR="00584FB3" w14:paraId="40CB093F" w14:textId="77777777">
        <w:trPr>
          <w:hidden/>
        </w:trPr>
        <w:tc>
          <w:tcPr>
            <w:tcW w:w="0" w:type="auto"/>
            <w:gridSpan w:val="3"/>
            <w:shd w:val="clear" w:color="auto" w:fill="auto"/>
          </w:tcPr>
          <w:p w14:paraId="40CB092E" w14:textId="77777777" w:rsidR="00584FB3" w:rsidRDefault="00584FB3">
            <w:pPr>
              <w:rPr>
                <w:rFonts w:ascii="宋体"/>
                <w:vanish/>
              </w:rPr>
            </w:pPr>
          </w:p>
        </w:tc>
        <w:tc>
          <w:tcPr>
            <w:tcW w:w="0" w:type="auto"/>
            <w:gridSpan w:val="3"/>
            <w:shd w:val="clear" w:color="auto" w:fill="auto"/>
          </w:tcPr>
          <w:p w14:paraId="40CB092F" w14:textId="77777777" w:rsidR="00584FB3" w:rsidRDefault="00584FB3">
            <w:pPr>
              <w:rPr>
                <w:rFonts w:ascii="宋体"/>
                <w:vanish/>
              </w:rPr>
            </w:pPr>
          </w:p>
        </w:tc>
        <w:tc>
          <w:tcPr>
            <w:tcW w:w="0" w:type="auto"/>
            <w:gridSpan w:val="3"/>
            <w:shd w:val="clear" w:color="auto" w:fill="auto"/>
          </w:tcPr>
          <w:p w14:paraId="40CB0930" w14:textId="77777777" w:rsidR="00584FB3" w:rsidRDefault="00584FB3">
            <w:pPr>
              <w:rPr>
                <w:rFonts w:ascii="宋体"/>
                <w:vanish/>
              </w:rPr>
            </w:pPr>
          </w:p>
        </w:tc>
        <w:tc>
          <w:tcPr>
            <w:tcW w:w="0" w:type="auto"/>
            <w:gridSpan w:val="3"/>
            <w:shd w:val="clear" w:color="auto" w:fill="auto"/>
          </w:tcPr>
          <w:p w14:paraId="40CB0931" w14:textId="77777777" w:rsidR="00584FB3" w:rsidRDefault="00584FB3">
            <w:pPr>
              <w:rPr>
                <w:rFonts w:ascii="宋体"/>
                <w:vanish/>
              </w:rPr>
            </w:pPr>
          </w:p>
        </w:tc>
        <w:tc>
          <w:tcPr>
            <w:tcW w:w="0" w:type="auto"/>
            <w:gridSpan w:val="3"/>
            <w:shd w:val="clear" w:color="auto" w:fill="auto"/>
          </w:tcPr>
          <w:p w14:paraId="40CB0932" w14:textId="77777777" w:rsidR="00584FB3" w:rsidRDefault="00584FB3">
            <w:pPr>
              <w:rPr>
                <w:rFonts w:ascii="宋体"/>
                <w:vanish/>
              </w:rPr>
            </w:pPr>
          </w:p>
        </w:tc>
        <w:tc>
          <w:tcPr>
            <w:tcW w:w="0" w:type="auto"/>
            <w:gridSpan w:val="3"/>
            <w:shd w:val="clear" w:color="auto" w:fill="auto"/>
          </w:tcPr>
          <w:p w14:paraId="40CB0933" w14:textId="77777777" w:rsidR="00584FB3" w:rsidRDefault="00584FB3">
            <w:pPr>
              <w:rPr>
                <w:rFonts w:ascii="宋体"/>
                <w:vanish/>
              </w:rPr>
            </w:pPr>
          </w:p>
        </w:tc>
        <w:tc>
          <w:tcPr>
            <w:tcW w:w="0" w:type="auto"/>
            <w:gridSpan w:val="3"/>
            <w:shd w:val="clear" w:color="auto" w:fill="auto"/>
          </w:tcPr>
          <w:p w14:paraId="40CB0934" w14:textId="77777777" w:rsidR="00584FB3" w:rsidRDefault="00584FB3">
            <w:pPr>
              <w:rPr>
                <w:rFonts w:ascii="宋体"/>
                <w:vanish/>
              </w:rPr>
            </w:pPr>
          </w:p>
        </w:tc>
        <w:tc>
          <w:tcPr>
            <w:tcW w:w="0" w:type="auto"/>
            <w:gridSpan w:val="3"/>
            <w:shd w:val="clear" w:color="auto" w:fill="auto"/>
          </w:tcPr>
          <w:p w14:paraId="40CB0935" w14:textId="77777777" w:rsidR="00584FB3" w:rsidRDefault="00584FB3">
            <w:pPr>
              <w:rPr>
                <w:rFonts w:ascii="宋体"/>
                <w:vanish/>
              </w:rPr>
            </w:pPr>
          </w:p>
        </w:tc>
        <w:tc>
          <w:tcPr>
            <w:tcW w:w="0" w:type="auto"/>
            <w:gridSpan w:val="3"/>
            <w:shd w:val="clear" w:color="auto" w:fill="auto"/>
          </w:tcPr>
          <w:p w14:paraId="40CB0936" w14:textId="77777777" w:rsidR="00584FB3" w:rsidRDefault="00584FB3">
            <w:pPr>
              <w:rPr>
                <w:rFonts w:ascii="宋体"/>
                <w:vanish/>
              </w:rPr>
            </w:pPr>
          </w:p>
        </w:tc>
        <w:tc>
          <w:tcPr>
            <w:tcW w:w="0" w:type="auto"/>
            <w:gridSpan w:val="3"/>
            <w:shd w:val="clear" w:color="auto" w:fill="auto"/>
          </w:tcPr>
          <w:p w14:paraId="40CB0937" w14:textId="77777777" w:rsidR="00584FB3" w:rsidRDefault="00584FB3">
            <w:pPr>
              <w:rPr>
                <w:rFonts w:ascii="宋体"/>
                <w:vanish/>
              </w:rPr>
            </w:pPr>
          </w:p>
        </w:tc>
        <w:tc>
          <w:tcPr>
            <w:tcW w:w="0" w:type="auto"/>
            <w:gridSpan w:val="3"/>
            <w:shd w:val="clear" w:color="auto" w:fill="auto"/>
          </w:tcPr>
          <w:p w14:paraId="40CB0938" w14:textId="77777777" w:rsidR="00584FB3" w:rsidRDefault="00584FB3">
            <w:pPr>
              <w:rPr>
                <w:rFonts w:ascii="宋体"/>
                <w:vanish/>
              </w:rPr>
            </w:pPr>
          </w:p>
        </w:tc>
        <w:tc>
          <w:tcPr>
            <w:tcW w:w="0" w:type="auto"/>
            <w:shd w:val="clear" w:color="auto" w:fill="auto"/>
          </w:tcPr>
          <w:p w14:paraId="40CB0939" w14:textId="77777777" w:rsidR="00584FB3" w:rsidRDefault="00584FB3">
            <w:pPr>
              <w:rPr>
                <w:rFonts w:ascii="宋体"/>
              </w:rPr>
            </w:pPr>
          </w:p>
        </w:tc>
        <w:tc>
          <w:tcPr>
            <w:tcW w:w="0" w:type="auto"/>
            <w:shd w:val="clear" w:color="auto" w:fill="auto"/>
          </w:tcPr>
          <w:p w14:paraId="40CB093A" w14:textId="77777777" w:rsidR="00584FB3" w:rsidRDefault="00584FB3">
            <w:pPr>
              <w:rPr>
                <w:rFonts w:ascii="宋体"/>
              </w:rPr>
            </w:pPr>
          </w:p>
        </w:tc>
        <w:tc>
          <w:tcPr>
            <w:tcW w:w="0" w:type="auto"/>
            <w:shd w:val="clear" w:color="auto" w:fill="auto"/>
          </w:tcPr>
          <w:p w14:paraId="40CB093B" w14:textId="77777777" w:rsidR="00584FB3" w:rsidRDefault="00584FB3">
            <w:pPr>
              <w:rPr>
                <w:rFonts w:ascii="宋体"/>
              </w:rPr>
            </w:pPr>
          </w:p>
        </w:tc>
        <w:tc>
          <w:tcPr>
            <w:tcW w:w="0" w:type="auto"/>
            <w:shd w:val="clear" w:color="auto" w:fill="auto"/>
          </w:tcPr>
          <w:p w14:paraId="40CB093C" w14:textId="77777777" w:rsidR="00584FB3" w:rsidRDefault="00584FB3">
            <w:pPr>
              <w:rPr>
                <w:rFonts w:ascii="宋体"/>
              </w:rPr>
            </w:pPr>
          </w:p>
        </w:tc>
        <w:tc>
          <w:tcPr>
            <w:tcW w:w="0" w:type="auto"/>
            <w:shd w:val="clear" w:color="auto" w:fill="auto"/>
          </w:tcPr>
          <w:p w14:paraId="40CB093D" w14:textId="77777777" w:rsidR="00584FB3" w:rsidRDefault="00584FB3">
            <w:pPr>
              <w:rPr>
                <w:rFonts w:ascii="宋体"/>
              </w:rPr>
            </w:pPr>
          </w:p>
        </w:tc>
        <w:tc>
          <w:tcPr>
            <w:tcW w:w="0" w:type="auto"/>
            <w:shd w:val="clear" w:color="auto" w:fill="auto"/>
          </w:tcPr>
          <w:p w14:paraId="40CB093E" w14:textId="77777777" w:rsidR="00584FB3" w:rsidRDefault="00584FB3">
            <w:pPr>
              <w:rPr>
                <w:rFonts w:ascii="宋体"/>
              </w:rPr>
            </w:pPr>
          </w:p>
        </w:tc>
      </w:tr>
      <w:tr w:rsidR="00584FB3" w14:paraId="40CB094D" w14:textId="77777777">
        <w:trPr>
          <w:hidden/>
        </w:trPr>
        <w:tc>
          <w:tcPr>
            <w:tcW w:w="0" w:type="auto"/>
            <w:gridSpan w:val="3"/>
            <w:shd w:val="clear" w:color="auto" w:fill="auto"/>
          </w:tcPr>
          <w:p w14:paraId="40CB0940" w14:textId="77777777" w:rsidR="00584FB3" w:rsidRDefault="00584FB3">
            <w:pPr>
              <w:rPr>
                <w:rFonts w:ascii="宋体"/>
                <w:vanish/>
              </w:rPr>
            </w:pPr>
          </w:p>
        </w:tc>
        <w:tc>
          <w:tcPr>
            <w:tcW w:w="0" w:type="auto"/>
            <w:gridSpan w:val="3"/>
            <w:shd w:val="clear" w:color="auto" w:fill="auto"/>
          </w:tcPr>
          <w:p w14:paraId="40CB0941" w14:textId="77777777" w:rsidR="00584FB3" w:rsidRDefault="00584FB3">
            <w:pPr>
              <w:rPr>
                <w:rFonts w:ascii="宋体"/>
                <w:vanish/>
              </w:rPr>
            </w:pPr>
          </w:p>
        </w:tc>
        <w:tc>
          <w:tcPr>
            <w:tcW w:w="0" w:type="auto"/>
            <w:gridSpan w:val="3"/>
            <w:shd w:val="clear" w:color="auto" w:fill="auto"/>
          </w:tcPr>
          <w:p w14:paraId="40CB0942" w14:textId="77777777" w:rsidR="00584FB3" w:rsidRDefault="00584FB3">
            <w:pPr>
              <w:rPr>
                <w:rFonts w:ascii="宋体"/>
                <w:vanish/>
              </w:rPr>
            </w:pPr>
          </w:p>
        </w:tc>
        <w:tc>
          <w:tcPr>
            <w:tcW w:w="0" w:type="auto"/>
            <w:gridSpan w:val="3"/>
            <w:shd w:val="clear" w:color="auto" w:fill="auto"/>
          </w:tcPr>
          <w:p w14:paraId="40CB0943" w14:textId="77777777" w:rsidR="00584FB3" w:rsidRDefault="00584FB3">
            <w:pPr>
              <w:rPr>
                <w:rFonts w:ascii="宋体"/>
                <w:vanish/>
              </w:rPr>
            </w:pPr>
          </w:p>
        </w:tc>
        <w:tc>
          <w:tcPr>
            <w:tcW w:w="0" w:type="auto"/>
            <w:gridSpan w:val="3"/>
            <w:shd w:val="clear" w:color="auto" w:fill="auto"/>
          </w:tcPr>
          <w:p w14:paraId="40CB0944" w14:textId="77777777" w:rsidR="00584FB3" w:rsidRDefault="00584FB3">
            <w:pPr>
              <w:rPr>
                <w:rFonts w:ascii="宋体"/>
                <w:vanish/>
              </w:rPr>
            </w:pPr>
          </w:p>
        </w:tc>
        <w:tc>
          <w:tcPr>
            <w:tcW w:w="0" w:type="auto"/>
            <w:gridSpan w:val="3"/>
            <w:shd w:val="clear" w:color="auto" w:fill="auto"/>
          </w:tcPr>
          <w:p w14:paraId="40CB0945" w14:textId="77777777" w:rsidR="00584FB3" w:rsidRDefault="00584FB3">
            <w:pPr>
              <w:rPr>
                <w:rFonts w:ascii="宋体"/>
                <w:vanish/>
              </w:rPr>
            </w:pPr>
          </w:p>
        </w:tc>
        <w:tc>
          <w:tcPr>
            <w:tcW w:w="0" w:type="auto"/>
            <w:gridSpan w:val="3"/>
            <w:shd w:val="clear" w:color="auto" w:fill="auto"/>
          </w:tcPr>
          <w:p w14:paraId="40CB0946" w14:textId="77777777" w:rsidR="00584FB3" w:rsidRDefault="00584FB3">
            <w:pPr>
              <w:rPr>
                <w:rFonts w:ascii="宋体"/>
                <w:vanish/>
              </w:rPr>
            </w:pPr>
          </w:p>
        </w:tc>
        <w:tc>
          <w:tcPr>
            <w:tcW w:w="0" w:type="auto"/>
            <w:gridSpan w:val="3"/>
            <w:shd w:val="clear" w:color="auto" w:fill="auto"/>
          </w:tcPr>
          <w:p w14:paraId="40CB0947" w14:textId="77777777" w:rsidR="00584FB3" w:rsidRDefault="00584FB3">
            <w:pPr>
              <w:rPr>
                <w:rFonts w:ascii="宋体"/>
                <w:vanish/>
              </w:rPr>
            </w:pPr>
          </w:p>
        </w:tc>
        <w:tc>
          <w:tcPr>
            <w:tcW w:w="0" w:type="auto"/>
            <w:gridSpan w:val="3"/>
            <w:shd w:val="clear" w:color="auto" w:fill="auto"/>
          </w:tcPr>
          <w:p w14:paraId="40CB0948" w14:textId="77777777" w:rsidR="00584FB3" w:rsidRDefault="00584FB3">
            <w:pPr>
              <w:rPr>
                <w:rFonts w:ascii="宋体"/>
                <w:vanish/>
              </w:rPr>
            </w:pPr>
          </w:p>
        </w:tc>
        <w:tc>
          <w:tcPr>
            <w:tcW w:w="0" w:type="auto"/>
            <w:gridSpan w:val="3"/>
            <w:shd w:val="clear" w:color="auto" w:fill="auto"/>
          </w:tcPr>
          <w:p w14:paraId="40CB0949" w14:textId="77777777" w:rsidR="00584FB3" w:rsidRDefault="00584FB3">
            <w:pPr>
              <w:rPr>
                <w:rFonts w:ascii="宋体"/>
                <w:vanish/>
              </w:rPr>
            </w:pPr>
          </w:p>
        </w:tc>
        <w:tc>
          <w:tcPr>
            <w:tcW w:w="0" w:type="auto"/>
            <w:gridSpan w:val="3"/>
            <w:shd w:val="clear" w:color="auto" w:fill="auto"/>
          </w:tcPr>
          <w:p w14:paraId="40CB094A" w14:textId="77777777" w:rsidR="00584FB3" w:rsidRDefault="00584FB3">
            <w:pPr>
              <w:rPr>
                <w:rFonts w:ascii="宋体"/>
                <w:vanish/>
              </w:rPr>
            </w:pPr>
          </w:p>
        </w:tc>
        <w:tc>
          <w:tcPr>
            <w:tcW w:w="0" w:type="auto"/>
            <w:gridSpan w:val="3"/>
            <w:shd w:val="clear" w:color="auto" w:fill="auto"/>
          </w:tcPr>
          <w:p w14:paraId="40CB094B" w14:textId="77777777" w:rsidR="00584FB3" w:rsidRDefault="00584FB3">
            <w:pPr>
              <w:rPr>
                <w:rFonts w:ascii="宋体"/>
                <w:vanish/>
              </w:rPr>
            </w:pPr>
          </w:p>
        </w:tc>
        <w:tc>
          <w:tcPr>
            <w:tcW w:w="0" w:type="auto"/>
            <w:gridSpan w:val="3"/>
            <w:shd w:val="clear" w:color="auto" w:fill="auto"/>
          </w:tcPr>
          <w:p w14:paraId="40CB094C" w14:textId="77777777" w:rsidR="00584FB3" w:rsidRDefault="00584FB3">
            <w:pPr>
              <w:rPr>
                <w:rFonts w:ascii="宋体"/>
                <w:vanish/>
              </w:rPr>
            </w:pPr>
          </w:p>
        </w:tc>
      </w:tr>
      <w:tr w:rsidR="00584FB3" w14:paraId="40CB095B" w14:textId="77777777">
        <w:trPr>
          <w:hidden/>
        </w:trPr>
        <w:tc>
          <w:tcPr>
            <w:tcW w:w="0" w:type="auto"/>
            <w:gridSpan w:val="3"/>
            <w:shd w:val="clear" w:color="auto" w:fill="auto"/>
          </w:tcPr>
          <w:p w14:paraId="40CB094E" w14:textId="77777777" w:rsidR="00584FB3" w:rsidRDefault="00584FB3">
            <w:pPr>
              <w:rPr>
                <w:rFonts w:ascii="宋体"/>
                <w:vanish/>
              </w:rPr>
            </w:pPr>
          </w:p>
        </w:tc>
        <w:tc>
          <w:tcPr>
            <w:tcW w:w="0" w:type="auto"/>
            <w:gridSpan w:val="3"/>
            <w:shd w:val="clear" w:color="auto" w:fill="auto"/>
          </w:tcPr>
          <w:p w14:paraId="40CB094F" w14:textId="77777777" w:rsidR="00584FB3" w:rsidRDefault="00584FB3">
            <w:pPr>
              <w:rPr>
                <w:rFonts w:ascii="宋体"/>
                <w:vanish/>
              </w:rPr>
            </w:pPr>
          </w:p>
        </w:tc>
        <w:tc>
          <w:tcPr>
            <w:tcW w:w="0" w:type="auto"/>
            <w:gridSpan w:val="3"/>
            <w:shd w:val="clear" w:color="auto" w:fill="auto"/>
          </w:tcPr>
          <w:p w14:paraId="40CB0950" w14:textId="77777777" w:rsidR="00584FB3" w:rsidRDefault="00584FB3">
            <w:pPr>
              <w:rPr>
                <w:rFonts w:ascii="宋体"/>
                <w:vanish/>
              </w:rPr>
            </w:pPr>
          </w:p>
        </w:tc>
        <w:tc>
          <w:tcPr>
            <w:tcW w:w="0" w:type="auto"/>
            <w:gridSpan w:val="3"/>
            <w:shd w:val="clear" w:color="auto" w:fill="auto"/>
          </w:tcPr>
          <w:p w14:paraId="40CB0951" w14:textId="77777777" w:rsidR="00584FB3" w:rsidRDefault="00584FB3">
            <w:pPr>
              <w:rPr>
                <w:rFonts w:ascii="宋体"/>
                <w:vanish/>
              </w:rPr>
            </w:pPr>
          </w:p>
        </w:tc>
        <w:tc>
          <w:tcPr>
            <w:tcW w:w="0" w:type="auto"/>
            <w:gridSpan w:val="3"/>
            <w:shd w:val="clear" w:color="auto" w:fill="auto"/>
          </w:tcPr>
          <w:p w14:paraId="40CB0952" w14:textId="77777777" w:rsidR="00584FB3" w:rsidRDefault="00584FB3">
            <w:pPr>
              <w:rPr>
                <w:rFonts w:ascii="宋体"/>
                <w:vanish/>
              </w:rPr>
            </w:pPr>
          </w:p>
        </w:tc>
        <w:tc>
          <w:tcPr>
            <w:tcW w:w="0" w:type="auto"/>
            <w:gridSpan w:val="3"/>
            <w:shd w:val="clear" w:color="auto" w:fill="auto"/>
          </w:tcPr>
          <w:p w14:paraId="40CB0953" w14:textId="77777777" w:rsidR="00584FB3" w:rsidRDefault="00584FB3">
            <w:pPr>
              <w:rPr>
                <w:rFonts w:ascii="宋体"/>
                <w:vanish/>
              </w:rPr>
            </w:pPr>
          </w:p>
        </w:tc>
        <w:tc>
          <w:tcPr>
            <w:tcW w:w="0" w:type="auto"/>
            <w:gridSpan w:val="3"/>
            <w:shd w:val="clear" w:color="auto" w:fill="auto"/>
          </w:tcPr>
          <w:p w14:paraId="40CB0954" w14:textId="77777777" w:rsidR="00584FB3" w:rsidRDefault="00584FB3">
            <w:pPr>
              <w:rPr>
                <w:rFonts w:ascii="宋体"/>
                <w:vanish/>
              </w:rPr>
            </w:pPr>
          </w:p>
        </w:tc>
        <w:tc>
          <w:tcPr>
            <w:tcW w:w="0" w:type="auto"/>
            <w:gridSpan w:val="3"/>
            <w:shd w:val="clear" w:color="auto" w:fill="auto"/>
          </w:tcPr>
          <w:p w14:paraId="40CB0955" w14:textId="77777777" w:rsidR="00584FB3" w:rsidRDefault="00584FB3">
            <w:pPr>
              <w:rPr>
                <w:rFonts w:ascii="宋体"/>
                <w:vanish/>
              </w:rPr>
            </w:pPr>
          </w:p>
        </w:tc>
        <w:tc>
          <w:tcPr>
            <w:tcW w:w="0" w:type="auto"/>
            <w:gridSpan w:val="3"/>
            <w:shd w:val="clear" w:color="auto" w:fill="auto"/>
          </w:tcPr>
          <w:p w14:paraId="40CB0956" w14:textId="77777777" w:rsidR="00584FB3" w:rsidRDefault="00584FB3">
            <w:pPr>
              <w:rPr>
                <w:rFonts w:ascii="宋体"/>
                <w:vanish/>
              </w:rPr>
            </w:pPr>
          </w:p>
        </w:tc>
        <w:tc>
          <w:tcPr>
            <w:tcW w:w="0" w:type="auto"/>
            <w:gridSpan w:val="3"/>
            <w:shd w:val="clear" w:color="auto" w:fill="auto"/>
          </w:tcPr>
          <w:p w14:paraId="40CB0957" w14:textId="77777777" w:rsidR="00584FB3" w:rsidRDefault="00584FB3">
            <w:pPr>
              <w:rPr>
                <w:rFonts w:ascii="宋体"/>
                <w:vanish/>
              </w:rPr>
            </w:pPr>
          </w:p>
        </w:tc>
        <w:tc>
          <w:tcPr>
            <w:tcW w:w="0" w:type="auto"/>
            <w:gridSpan w:val="3"/>
            <w:shd w:val="clear" w:color="auto" w:fill="auto"/>
          </w:tcPr>
          <w:p w14:paraId="40CB0958" w14:textId="77777777" w:rsidR="00584FB3" w:rsidRDefault="00584FB3">
            <w:pPr>
              <w:rPr>
                <w:rFonts w:ascii="宋体"/>
                <w:vanish/>
              </w:rPr>
            </w:pPr>
          </w:p>
        </w:tc>
        <w:tc>
          <w:tcPr>
            <w:tcW w:w="0" w:type="auto"/>
            <w:gridSpan w:val="3"/>
            <w:shd w:val="clear" w:color="auto" w:fill="auto"/>
          </w:tcPr>
          <w:p w14:paraId="40CB0959" w14:textId="77777777" w:rsidR="00584FB3" w:rsidRDefault="00584FB3">
            <w:pPr>
              <w:rPr>
                <w:rFonts w:ascii="宋体"/>
                <w:vanish/>
              </w:rPr>
            </w:pPr>
          </w:p>
        </w:tc>
        <w:tc>
          <w:tcPr>
            <w:tcW w:w="0" w:type="auto"/>
            <w:gridSpan w:val="3"/>
            <w:shd w:val="clear" w:color="auto" w:fill="auto"/>
          </w:tcPr>
          <w:p w14:paraId="40CB095A" w14:textId="77777777" w:rsidR="00584FB3" w:rsidRDefault="00584FB3">
            <w:pPr>
              <w:rPr>
                <w:rFonts w:ascii="宋体"/>
                <w:vanish/>
              </w:rPr>
            </w:pPr>
          </w:p>
        </w:tc>
      </w:tr>
      <w:tr w:rsidR="00584FB3" w14:paraId="40CB0969" w14:textId="77777777">
        <w:trPr>
          <w:hidden/>
        </w:trPr>
        <w:tc>
          <w:tcPr>
            <w:tcW w:w="0" w:type="auto"/>
            <w:gridSpan w:val="3"/>
            <w:shd w:val="clear" w:color="auto" w:fill="auto"/>
          </w:tcPr>
          <w:p w14:paraId="40CB095C" w14:textId="77777777" w:rsidR="00584FB3" w:rsidRDefault="00584FB3">
            <w:pPr>
              <w:rPr>
                <w:rFonts w:ascii="宋体"/>
                <w:vanish/>
              </w:rPr>
            </w:pPr>
          </w:p>
        </w:tc>
        <w:tc>
          <w:tcPr>
            <w:tcW w:w="0" w:type="auto"/>
            <w:gridSpan w:val="3"/>
            <w:shd w:val="clear" w:color="auto" w:fill="auto"/>
          </w:tcPr>
          <w:p w14:paraId="40CB095D" w14:textId="77777777" w:rsidR="00584FB3" w:rsidRDefault="00584FB3">
            <w:pPr>
              <w:rPr>
                <w:rFonts w:ascii="宋体"/>
                <w:vanish/>
              </w:rPr>
            </w:pPr>
          </w:p>
        </w:tc>
        <w:tc>
          <w:tcPr>
            <w:tcW w:w="0" w:type="auto"/>
            <w:gridSpan w:val="3"/>
            <w:shd w:val="clear" w:color="auto" w:fill="auto"/>
          </w:tcPr>
          <w:p w14:paraId="40CB095E" w14:textId="77777777" w:rsidR="00584FB3" w:rsidRDefault="00584FB3">
            <w:pPr>
              <w:rPr>
                <w:rFonts w:ascii="宋体"/>
                <w:vanish/>
              </w:rPr>
            </w:pPr>
          </w:p>
        </w:tc>
        <w:tc>
          <w:tcPr>
            <w:tcW w:w="0" w:type="auto"/>
            <w:gridSpan w:val="3"/>
            <w:shd w:val="clear" w:color="auto" w:fill="auto"/>
          </w:tcPr>
          <w:p w14:paraId="40CB095F" w14:textId="77777777" w:rsidR="00584FB3" w:rsidRDefault="00584FB3">
            <w:pPr>
              <w:rPr>
                <w:rFonts w:ascii="宋体"/>
                <w:vanish/>
              </w:rPr>
            </w:pPr>
          </w:p>
        </w:tc>
        <w:tc>
          <w:tcPr>
            <w:tcW w:w="0" w:type="auto"/>
            <w:gridSpan w:val="3"/>
            <w:shd w:val="clear" w:color="auto" w:fill="auto"/>
          </w:tcPr>
          <w:p w14:paraId="40CB0960" w14:textId="77777777" w:rsidR="00584FB3" w:rsidRDefault="00584FB3">
            <w:pPr>
              <w:rPr>
                <w:rFonts w:ascii="宋体"/>
                <w:vanish/>
              </w:rPr>
            </w:pPr>
          </w:p>
        </w:tc>
        <w:tc>
          <w:tcPr>
            <w:tcW w:w="0" w:type="auto"/>
            <w:gridSpan w:val="3"/>
            <w:shd w:val="clear" w:color="auto" w:fill="auto"/>
          </w:tcPr>
          <w:p w14:paraId="40CB0961" w14:textId="77777777" w:rsidR="00584FB3" w:rsidRDefault="00584FB3">
            <w:pPr>
              <w:rPr>
                <w:rFonts w:ascii="宋体"/>
                <w:vanish/>
              </w:rPr>
            </w:pPr>
          </w:p>
        </w:tc>
        <w:tc>
          <w:tcPr>
            <w:tcW w:w="0" w:type="auto"/>
            <w:gridSpan w:val="3"/>
            <w:shd w:val="clear" w:color="auto" w:fill="auto"/>
          </w:tcPr>
          <w:p w14:paraId="40CB0962" w14:textId="77777777" w:rsidR="00584FB3" w:rsidRDefault="00584FB3">
            <w:pPr>
              <w:rPr>
                <w:rFonts w:ascii="宋体"/>
                <w:vanish/>
              </w:rPr>
            </w:pPr>
          </w:p>
        </w:tc>
        <w:tc>
          <w:tcPr>
            <w:tcW w:w="0" w:type="auto"/>
            <w:gridSpan w:val="3"/>
            <w:shd w:val="clear" w:color="auto" w:fill="auto"/>
          </w:tcPr>
          <w:p w14:paraId="40CB0963" w14:textId="77777777" w:rsidR="00584FB3" w:rsidRDefault="00584FB3">
            <w:pPr>
              <w:rPr>
                <w:rFonts w:ascii="宋体"/>
                <w:vanish/>
              </w:rPr>
            </w:pPr>
          </w:p>
        </w:tc>
        <w:tc>
          <w:tcPr>
            <w:tcW w:w="0" w:type="auto"/>
            <w:gridSpan w:val="3"/>
            <w:shd w:val="clear" w:color="auto" w:fill="auto"/>
          </w:tcPr>
          <w:p w14:paraId="40CB0964" w14:textId="77777777" w:rsidR="00584FB3" w:rsidRDefault="00584FB3">
            <w:pPr>
              <w:rPr>
                <w:rFonts w:ascii="宋体"/>
                <w:vanish/>
              </w:rPr>
            </w:pPr>
          </w:p>
        </w:tc>
        <w:tc>
          <w:tcPr>
            <w:tcW w:w="0" w:type="auto"/>
            <w:gridSpan w:val="3"/>
            <w:shd w:val="clear" w:color="auto" w:fill="auto"/>
          </w:tcPr>
          <w:p w14:paraId="40CB0965" w14:textId="77777777" w:rsidR="00584FB3" w:rsidRDefault="00584FB3">
            <w:pPr>
              <w:rPr>
                <w:rFonts w:ascii="宋体"/>
                <w:vanish/>
              </w:rPr>
            </w:pPr>
          </w:p>
        </w:tc>
        <w:tc>
          <w:tcPr>
            <w:tcW w:w="0" w:type="auto"/>
            <w:gridSpan w:val="3"/>
            <w:shd w:val="clear" w:color="auto" w:fill="auto"/>
          </w:tcPr>
          <w:p w14:paraId="40CB0966" w14:textId="77777777" w:rsidR="00584FB3" w:rsidRDefault="00584FB3">
            <w:pPr>
              <w:rPr>
                <w:rFonts w:ascii="宋体"/>
                <w:vanish/>
              </w:rPr>
            </w:pPr>
          </w:p>
        </w:tc>
        <w:tc>
          <w:tcPr>
            <w:tcW w:w="0" w:type="auto"/>
            <w:gridSpan w:val="3"/>
            <w:shd w:val="clear" w:color="auto" w:fill="auto"/>
          </w:tcPr>
          <w:p w14:paraId="40CB0967" w14:textId="77777777" w:rsidR="00584FB3" w:rsidRDefault="00584FB3">
            <w:pPr>
              <w:rPr>
                <w:rFonts w:ascii="宋体"/>
                <w:vanish/>
              </w:rPr>
            </w:pPr>
          </w:p>
        </w:tc>
        <w:tc>
          <w:tcPr>
            <w:tcW w:w="0" w:type="auto"/>
            <w:gridSpan w:val="3"/>
            <w:shd w:val="clear" w:color="auto" w:fill="auto"/>
          </w:tcPr>
          <w:p w14:paraId="40CB0968" w14:textId="77777777" w:rsidR="00584FB3" w:rsidRDefault="00584FB3">
            <w:pPr>
              <w:rPr>
                <w:rFonts w:ascii="宋体"/>
                <w:vanish/>
              </w:rPr>
            </w:pPr>
          </w:p>
        </w:tc>
      </w:tr>
      <w:tr w:rsidR="00584FB3" w14:paraId="40CB0977" w14:textId="77777777">
        <w:trPr>
          <w:hidden/>
        </w:trPr>
        <w:tc>
          <w:tcPr>
            <w:tcW w:w="0" w:type="auto"/>
            <w:gridSpan w:val="3"/>
            <w:shd w:val="clear" w:color="auto" w:fill="auto"/>
          </w:tcPr>
          <w:p w14:paraId="40CB096A" w14:textId="77777777" w:rsidR="00584FB3" w:rsidRDefault="00584FB3">
            <w:pPr>
              <w:rPr>
                <w:rFonts w:ascii="宋体"/>
                <w:vanish/>
              </w:rPr>
            </w:pPr>
          </w:p>
        </w:tc>
        <w:tc>
          <w:tcPr>
            <w:tcW w:w="0" w:type="auto"/>
            <w:gridSpan w:val="3"/>
            <w:shd w:val="clear" w:color="auto" w:fill="auto"/>
          </w:tcPr>
          <w:p w14:paraId="40CB096B" w14:textId="77777777" w:rsidR="00584FB3" w:rsidRDefault="00584FB3">
            <w:pPr>
              <w:rPr>
                <w:rFonts w:ascii="宋体"/>
                <w:vanish/>
              </w:rPr>
            </w:pPr>
          </w:p>
        </w:tc>
        <w:tc>
          <w:tcPr>
            <w:tcW w:w="0" w:type="auto"/>
            <w:gridSpan w:val="3"/>
            <w:shd w:val="clear" w:color="auto" w:fill="auto"/>
          </w:tcPr>
          <w:p w14:paraId="40CB096C" w14:textId="77777777" w:rsidR="00584FB3" w:rsidRDefault="00584FB3">
            <w:pPr>
              <w:rPr>
                <w:rFonts w:ascii="宋体"/>
                <w:vanish/>
              </w:rPr>
            </w:pPr>
          </w:p>
        </w:tc>
        <w:tc>
          <w:tcPr>
            <w:tcW w:w="0" w:type="auto"/>
            <w:gridSpan w:val="3"/>
            <w:shd w:val="clear" w:color="auto" w:fill="auto"/>
          </w:tcPr>
          <w:p w14:paraId="40CB096D" w14:textId="77777777" w:rsidR="00584FB3" w:rsidRDefault="00584FB3">
            <w:pPr>
              <w:rPr>
                <w:rFonts w:ascii="宋体"/>
                <w:vanish/>
              </w:rPr>
            </w:pPr>
          </w:p>
        </w:tc>
        <w:tc>
          <w:tcPr>
            <w:tcW w:w="0" w:type="auto"/>
            <w:gridSpan w:val="3"/>
            <w:shd w:val="clear" w:color="auto" w:fill="auto"/>
          </w:tcPr>
          <w:p w14:paraId="40CB096E" w14:textId="77777777" w:rsidR="00584FB3" w:rsidRDefault="00584FB3">
            <w:pPr>
              <w:rPr>
                <w:rFonts w:ascii="宋体"/>
                <w:vanish/>
              </w:rPr>
            </w:pPr>
          </w:p>
        </w:tc>
        <w:tc>
          <w:tcPr>
            <w:tcW w:w="0" w:type="auto"/>
            <w:gridSpan w:val="3"/>
            <w:shd w:val="clear" w:color="auto" w:fill="auto"/>
          </w:tcPr>
          <w:p w14:paraId="40CB096F" w14:textId="77777777" w:rsidR="00584FB3" w:rsidRDefault="00584FB3">
            <w:pPr>
              <w:rPr>
                <w:rFonts w:ascii="宋体"/>
                <w:vanish/>
              </w:rPr>
            </w:pPr>
          </w:p>
        </w:tc>
        <w:tc>
          <w:tcPr>
            <w:tcW w:w="0" w:type="auto"/>
            <w:gridSpan w:val="3"/>
            <w:shd w:val="clear" w:color="auto" w:fill="auto"/>
          </w:tcPr>
          <w:p w14:paraId="40CB0970" w14:textId="77777777" w:rsidR="00584FB3" w:rsidRDefault="00584FB3">
            <w:pPr>
              <w:rPr>
                <w:rFonts w:ascii="宋体"/>
                <w:vanish/>
              </w:rPr>
            </w:pPr>
          </w:p>
        </w:tc>
        <w:tc>
          <w:tcPr>
            <w:tcW w:w="0" w:type="auto"/>
            <w:gridSpan w:val="3"/>
            <w:shd w:val="clear" w:color="auto" w:fill="auto"/>
          </w:tcPr>
          <w:p w14:paraId="40CB0971" w14:textId="77777777" w:rsidR="00584FB3" w:rsidRDefault="00584FB3">
            <w:pPr>
              <w:rPr>
                <w:rFonts w:ascii="宋体"/>
                <w:vanish/>
              </w:rPr>
            </w:pPr>
          </w:p>
        </w:tc>
        <w:tc>
          <w:tcPr>
            <w:tcW w:w="0" w:type="auto"/>
            <w:gridSpan w:val="3"/>
            <w:shd w:val="clear" w:color="auto" w:fill="auto"/>
          </w:tcPr>
          <w:p w14:paraId="40CB0972" w14:textId="77777777" w:rsidR="00584FB3" w:rsidRDefault="00584FB3">
            <w:pPr>
              <w:rPr>
                <w:rFonts w:ascii="宋体"/>
                <w:vanish/>
              </w:rPr>
            </w:pPr>
          </w:p>
        </w:tc>
        <w:tc>
          <w:tcPr>
            <w:tcW w:w="0" w:type="auto"/>
            <w:gridSpan w:val="3"/>
            <w:shd w:val="clear" w:color="auto" w:fill="auto"/>
          </w:tcPr>
          <w:p w14:paraId="40CB0973" w14:textId="77777777" w:rsidR="00584FB3" w:rsidRDefault="00584FB3">
            <w:pPr>
              <w:rPr>
                <w:rFonts w:ascii="宋体"/>
                <w:vanish/>
              </w:rPr>
            </w:pPr>
          </w:p>
        </w:tc>
        <w:tc>
          <w:tcPr>
            <w:tcW w:w="0" w:type="auto"/>
            <w:gridSpan w:val="3"/>
            <w:shd w:val="clear" w:color="auto" w:fill="auto"/>
          </w:tcPr>
          <w:p w14:paraId="40CB0974" w14:textId="77777777" w:rsidR="00584FB3" w:rsidRDefault="00584FB3">
            <w:pPr>
              <w:rPr>
                <w:rFonts w:ascii="宋体"/>
                <w:vanish/>
              </w:rPr>
            </w:pPr>
          </w:p>
        </w:tc>
        <w:tc>
          <w:tcPr>
            <w:tcW w:w="0" w:type="auto"/>
            <w:gridSpan w:val="3"/>
            <w:shd w:val="clear" w:color="auto" w:fill="auto"/>
          </w:tcPr>
          <w:p w14:paraId="40CB0975" w14:textId="77777777" w:rsidR="00584FB3" w:rsidRDefault="00584FB3">
            <w:pPr>
              <w:rPr>
                <w:rFonts w:ascii="宋体"/>
                <w:vanish/>
              </w:rPr>
            </w:pPr>
          </w:p>
        </w:tc>
        <w:tc>
          <w:tcPr>
            <w:tcW w:w="0" w:type="auto"/>
            <w:gridSpan w:val="3"/>
            <w:shd w:val="clear" w:color="auto" w:fill="auto"/>
          </w:tcPr>
          <w:p w14:paraId="40CB0976" w14:textId="77777777" w:rsidR="00584FB3" w:rsidRDefault="00584FB3">
            <w:pPr>
              <w:rPr>
                <w:rFonts w:ascii="宋体"/>
                <w:vanish/>
              </w:rPr>
            </w:pPr>
          </w:p>
        </w:tc>
      </w:tr>
      <w:tr w:rsidR="00584FB3" w14:paraId="40CB0985" w14:textId="77777777">
        <w:trPr>
          <w:hidden/>
        </w:trPr>
        <w:tc>
          <w:tcPr>
            <w:tcW w:w="0" w:type="auto"/>
            <w:gridSpan w:val="3"/>
            <w:shd w:val="clear" w:color="auto" w:fill="auto"/>
          </w:tcPr>
          <w:p w14:paraId="40CB0978" w14:textId="77777777" w:rsidR="00584FB3" w:rsidRDefault="00584FB3">
            <w:pPr>
              <w:rPr>
                <w:rFonts w:ascii="宋体"/>
                <w:vanish/>
              </w:rPr>
            </w:pPr>
          </w:p>
        </w:tc>
        <w:tc>
          <w:tcPr>
            <w:tcW w:w="0" w:type="auto"/>
            <w:gridSpan w:val="3"/>
            <w:shd w:val="clear" w:color="auto" w:fill="auto"/>
          </w:tcPr>
          <w:p w14:paraId="40CB0979" w14:textId="77777777" w:rsidR="00584FB3" w:rsidRDefault="00584FB3">
            <w:pPr>
              <w:rPr>
                <w:rFonts w:ascii="宋体"/>
                <w:vanish/>
              </w:rPr>
            </w:pPr>
          </w:p>
        </w:tc>
        <w:tc>
          <w:tcPr>
            <w:tcW w:w="0" w:type="auto"/>
            <w:gridSpan w:val="3"/>
            <w:shd w:val="clear" w:color="auto" w:fill="auto"/>
          </w:tcPr>
          <w:p w14:paraId="40CB097A" w14:textId="77777777" w:rsidR="00584FB3" w:rsidRDefault="00584FB3">
            <w:pPr>
              <w:rPr>
                <w:rFonts w:ascii="宋体"/>
                <w:vanish/>
              </w:rPr>
            </w:pPr>
          </w:p>
        </w:tc>
        <w:tc>
          <w:tcPr>
            <w:tcW w:w="0" w:type="auto"/>
            <w:gridSpan w:val="3"/>
            <w:shd w:val="clear" w:color="auto" w:fill="auto"/>
          </w:tcPr>
          <w:p w14:paraId="40CB097B" w14:textId="77777777" w:rsidR="00584FB3" w:rsidRDefault="00584FB3">
            <w:pPr>
              <w:rPr>
                <w:rFonts w:ascii="宋体"/>
                <w:vanish/>
              </w:rPr>
            </w:pPr>
          </w:p>
        </w:tc>
        <w:tc>
          <w:tcPr>
            <w:tcW w:w="0" w:type="auto"/>
            <w:gridSpan w:val="3"/>
            <w:shd w:val="clear" w:color="auto" w:fill="auto"/>
          </w:tcPr>
          <w:p w14:paraId="40CB097C" w14:textId="77777777" w:rsidR="00584FB3" w:rsidRDefault="00584FB3">
            <w:pPr>
              <w:rPr>
                <w:rFonts w:ascii="宋体"/>
                <w:vanish/>
              </w:rPr>
            </w:pPr>
          </w:p>
        </w:tc>
        <w:tc>
          <w:tcPr>
            <w:tcW w:w="0" w:type="auto"/>
            <w:gridSpan w:val="3"/>
            <w:shd w:val="clear" w:color="auto" w:fill="auto"/>
          </w:tcPr>
          <w:p w14:paraId="40CB097D" w14:textId="77777777" w:rsidR="00584FB3" w:rsidRDefault="00584FB3">
            <w:pPr>
              <w:rPr>
                <w:rFonts w:ascii="宋体"/>
                <w:vanish/>
              </w:rPr>
            </w:pPr>
          </w:p>
        </w:tc>
        <w:tc>
          <w:tcPr>
            <w:tcW w:w="0" w:type="auto"/>
            <w:gridSpan w:val="3"/>
            <w:shd w:val="clear" w:color="auto" w:fill="auto"/>
          </w:tcPr>
          <w:p w14:paraId="40CB097E" w14:textId="77777777" w:rsidR="00584FB3" w:rsidRDefault="00584FB3">
            <w:pPr>
              <w:rPr>
                <w:rFonts w:ascii="宋体"/>
                <w:vanish/>
              </w:rPr>
            </w:pPr>
          </w:p>
        </w:tc>
        <w:tc>
          <w:tcPr>
            <w:tcW w:w="0" w:type="auto"/>
            <w:gridSpan w:val="3"/>
            <w:shd w:val="clear" w:color="auto" w:fill="auto"/>
          </w:tcPr>
          <w:p w14:paraId="40CB097F" w14:textId="77777777" w:rsidR="00584FB3" w:rsidRDefault="00584FB3">
            <w:pPr>
              <w:rPr>
                <w:rFonts w:ascii="宋体"/>
                <w:vanish/>
              </w:rPr>
            </w:pPr>
          </w:p>
        </w:tc>
        <w:tc>
          <w:tcPr>
            <w:tcW w:w="0" w:type="auto"/>
            <w:gridSpan w:val="3"/>
            <w:shd w:val="clear" w:color="auto" w:fill="auto"/>
          </w:tcPr>
          <w:p w14:paraId="40CB0980" w14:textId="77777777" w:rsidR="00584FB3" w:rsidRDefault="00584FB3">
            <w:pPr>
              <w:rPr>
                <w:rFonts w:ascii="宋体"/>
                <w:vanish/>
              </w:rPr>
            </w:pPr>
          </w:p>
        </w:tc>
        <w:tc>
          <w:tcPr>
            <w:tcW w:w="0" w:type="auto"/>
            <w:gridSpan w:val="3"/>
            <w:shd w:val="clear" w:color="auto" w:fill="auto"/>
          </w:tcPr>
          <w:p w14:paraId="40CB0981" w14:textId="77777777" w:rsidR="00584FB3" w:rsidRDefault="00584FB3">
            <w:pPr>
              <w:rPr>
                <w:rFonts w:ascii="宋体"/>
                <w:vanish/>
              </w:rPr>
            </w:pPr>
          </w:p>
        </w:tc>
        <w:tc>
          <w:tcPr>
            <w:tcW w:w="0" w:type="auto"/>
            <w:gridSpan w:val="3"/>
            <w:shd w:val="clear" w:color="auto" w:fill="auto"/>
          </w:tcPr>
          <w:p w14:paraId="40CB0982" w14:textId="77777777" w:rsidR="00584FB3" w:rsidRDefault="00584FB3">
            <w:pPr>
              <w:rPr>
                <w:rFonts w:ascii="宋体"/>
                <w:vanish/>
              </w:rPr>
            </w:pPr>
          </w:p>
        </w:tc>
        <w:tc>
          <w:tcPr>
            <w:tcW w:w="0" w:type="auto"/>
            <w:gridSpan w:val="3"/>
            <w:shd w:val="clear" w:color="auto" w:fill="auto"/>
          </w:tcPr>
          <w:p w14:paraId="40CB0983" w14:textId="77777777" w:rsidR="00584FB3" w:rsidRDefault="00584FB3">
            <w:pPr>
              <w:rPr>
                <w:rFonts w:ascii="宋体"/>
                <w:vanish/>
              </w:rPr>
            </w:pPr>
          </w:p>
        </w:tc>
        <w:tc>
          <w:tcPr>
            <w:tcW w:w="0" w:type="auto"/>
            <w:gridSpan w:val="3"/>
            <w:shd w:val="clear" w:color="auto" w:fill="auto"/>
          </w:tcPr>
          <w:p w14:paraId="40CB0984" w14:textId="77777777" w:rsidR="00584FB3" w:rsidRDefault="00584FB3">
            <w:pPr>
              <w:rPr>
                <w:rFonts w:ascii="宋体"/>
                <w:vanish/>
              </w:rPr>
            </w:pPr>
          </w:p>
        </w:tc>
      </w:tr>
      <w:tr w:rsidR="00584FB3" w14:paraId="40CB09AB" w14:textId="77777777">
        <w:trPr>
          <w:hidden/>
        </w:trPr>
        <w:tc>
          <w:tcPr>
            <w:tcW w:w="0" w:type="auto"/>
            <w:gridSpan w:val="3"/>
            <w:shd w:val="clear" w:color="auto" w:fill="auto"/>
          </w:tcPr>
          <w:p w14:paraId="40CB0986" w14:textId="77777777" w:rsidR="00584FB3" w:rsidRDefault="00584FB3">
            <w:pPr>
              <w:rPr>
                <w:rFonts w:ascii="宋体"/>
                <w:vanish/>
              </w:rPr>
            </w:pPr>
          </w:p>
        </w:tc>
        <w:tc>
          <w:tcPr>
            <w:tcW w:w="0" w:type="auto"/>
            <w:shd w:val="clear" w:color="auto" w:fill="auto"/>
          </w:tcPr>
          <w:p w14:paraId="40CB0987" w14:textId="77777777" w:rsidR="00584FB3" w:rsidRDefault="00584FB3">
            <w:pPr>
              <w:rPr>
                <w:rFonts w:ascii="宋体"/>
              </w:rPr>
            </w:pPr>
          </w:p>
        </w:tc>
        <w:tc>
          <w:tcPr>
            <w:tcW w:w="0" w:type="auto"/>
            <w:shd w:val="clear" w:color="auto" w:fill="auto"/>
          </w:tcPr>
          <w:p w14:paraId="40CB0988" w14:textId="77777777" w:rsidR="00584FB3" w:rsidRDefault="00584FB3">
            <w:pPr>
              <w:rPr>
                <w:rFonts w:ascii="宋体"/>
              </w:rPr>
            </w:pPr>
          </w:p>
        </w:tc>
        <w:tc>
          <w:tcPr>
            <w:tcW w:w="0" w:type="auto"/>
            <w:shd w:val="clear" w:color="auto" w:fill="auto"/>
          </w:tcPr>
          <w:p w14:paraId="40CB0989" w14:textId="77777777" w:rsidR="00584FB3" w:rsidRDefault="00584FB3">
            <w:pPr>
              <w:rPr>
                <w:rFonts w:ascii="宋体"/>
              </w:rPr>
            </w:pPr>
          </w:p>
        </w:tc>
        <w:tc>
          <w:tcPr>
            <w:tcW w:w="0" w:type="auto"/>
            <w:shd w:val="clear" w:color="auto" w:fill="auto"/>
          </w:tcPr>
          <w:p w14:paraId="40CB098A" w14:textId="77777777" w:rsidR="00584FB3" w:rsidRDefault="00584FB3">
            <w:pPr>
              <w:rPr>
                <w:rFonts w:ascii="宋体"/>
              </w:rPr>
            </w:pPr>
          </w:p>
        </w:tc>
        <w:tc>
          <w:tcPr>
            <w:tcW w:w="0" w:type="auto"/>
            <w:shd w:val="clear" w:color="auto" w:fill="auto"/>
          </w:tcPr>
          <w:p w14:paraId="40CB098B" w14:textId="77777777" w:rsidR="00584FB3" w:rsidRDefault="00584FB3">
            <w:pPr>
              <w:rPr>
                <w:rFonts w:ascii="宋体"/>
              </w:rPr>
            </w:pPr>
          </w:p>
        </w:tc>
        <w:tc>
          <w:tcPr>
            <w:tcW w:w="0" w:type="auto"/>
            <w:shd w:val="clear" w:color="auto" w:fill="auto"/>
          </w:tcPr>
          <w:p w14:paraId="40CB098C" w14:textId="77777777" w:rsidR="00584FB3" w:rsidRDefault="00584FB3">
            <w:pPr>
              <w:rPr>
                <w:rFonts w:ascii="宋体"/>
              </w:rPr>
            </w:pPr>
          </w:p>
        </w:tc>
        <w:tc>
          <w:tcPr>
            <w:tcW w:w="0" w:type="auto"/>
            <w:shd w:val="clear" w:color="auto" w:fill="auto"/>
          </w:tcPr>
          <w:p w14:paraId="40CB098D" w14:textId="77777777" w:rsidR="00584FB3" w:rsidRDefault="00584FB3">
            <w:pPr>
              <w:rPr>
                <w:rFonts w:ascii="宋体"/>
              </w:rPr>
            </w:pPr>
          </w:p>
        </w:tc>
        <w:tc>
          <w:tcPr>
            <w:tcW w:w="0" w:type="auto"/>
            <w:shd w:val="clear" w:color="auto" w:fill="auto"/>
          </w:tcPr>
          <w:p w14:paraId="40CB098E" w14:textId="77777777" w:rsidR="00584FB3" w:rsidRDefault="00584FB3">
            <w:pPr>
              <w:rPr>
                <w:rFonts w:ascii="宋体"/>
              </w:rPr>
            </w:pPr>
          </w:p>
        </w:tc>
        <w:tc>
          <w:tcPr>
            <w:tcW w:w="0" w:type="auto"/>
            <w:shd w:val="clear" w:color="auto" w:fill="auto"/>
          </w:tcPr>
          <w:p w14:paraId="40CB098F" w14:textId="77777777" w:rsidR="00584FB3" w:rsidRDefault="00584FB3">
            <w:pPr>
              <w:rPr>
                <w:rFonts w:ascii="宋体"/>
              </w:rPr>
            </w:pPr>
          </w:p>
        </w:tc>
        <w:tc>
          <w:tcPr>
            <w:tcW w:w="0" w:type="auto"/>
            <w:shd w:val="clear" w:color="auto" w:fill="auto"/>
          </w:tcPr>
          <w:p w14:paraId="40CB0990" w14:textId="77777777" w:rsidR="00584FB3" w:rsidRDefault="00584FB3">
            <w:pPr>
              <w:rPr>
                <w:rFonts w:ascii="宋体"/>
              </w:rPr>
            </w:pPr>
          </w:p>
        </w:tc>
        <w:tc>
          <w:tcPr>
            <w:tcW w:w="0" w:type="auto"/>
            <w:shd w:val="clear" w:color="auto" w:fill="auto"/>
          </w:tcPr>
          <w:p w14:paraId="40CB0991" w14:textId="77777777" w:rsidR="00584FB3" w:rsidRDefault="00584FB3">
            <w:pPr>
              <w:rPr>
                <w:rFonts w:ascii="宋体"/>
              </w:rPr>
            </w:pPr>
          </w:p>
        </w:tc>
        <w:tc>
          <w:tcPr>
            <w:tcW w:w="0" w:type="auto"/>
            <w:shd w:val="clear" w:color="auto" w:fill="auto"/>
          </w:tcPr>
          <w:p w14:paraId="40CB0992" w14:textId="77777777" w:rsidR="00584FB3" w:rsidRDefault="00584FB3">
            <w:pPr>
              <w:rPr>
                <w:rFonts w:ascii="宋体"/>
              </w:rPr>
            </w:pPr>
          </w:p>
        </w:tc>
        <w:tc>
          <w:tcPr>
            <w:tcW w:w="0" w:type="auto"/>
            <w:shd w:val="clear" w:color="auto" w:fill="auto"/>
          </w:tcPr>
          <w:p w14:paraId="40CB0993" w14:textId="77777777" w:rsidR="00584FB3" w:rsidRDefault="00584FB3">
            <w:pPr>
              <w:rPr>
                <w:rFonts w:ascii="宋体"/>
              </w:rPr>
            </w:pPr>
          </w:p>
        </w:tc>
        <w:tc>
          <w:tcPr>
            <w:tcW w:w="0" w:type="auto"/>
            <w:shd w:val="clear" w:color="auto" w:fill="auto"/>
          </w:tcPr>
          <w:p w14:paraId="40CB0994" w14:textId="77777777" w:rsidR="00584FB3" w:rsidRDefault="00584FB3">
            <w:pPr>
              <w:rPr>
                <w:rFonts w:ascii="宋体"/>
              </w:rPr>
            </w:pPr>
          </w:p>
        </w:tc>
        <w:tc>
          <w:tcPr>
            <w:tcW w:w="0" w:type="auto"/>
            <w:shd w:val="clear" w:color="auto" w:fill="auto"/>
          </w:tcPr>
          <w:p w14:paraId="40CB0995" w14:textId="77777777" w:rsidR="00584FB3" w:rsidRDefault="00584FB3">
            <w:pPr>
              <w:rPr>
                <w:rFonts w:ascii="宋体"/>
              </w:rPr>
            </w:pPr>
          </w:p>
        </w:tc>
        <w:tc>
          <w:tcPr>
            <w:tcW w:w="0" w:type="auto"/>
            <w:shd w:val="clear" w:color="auto" w:fill="auto"/>
          </w:tcPr>
          <w:p w14:paraId="40CB0996" w14:textId="77777777" w:rsidR="00584FB3" w:rsidRDefault="00584FB3">
            <w:pPr>
              <w:rPr>
                <w:rFonts w:ascii="宋体"/>
              </w:rPr>
            </w:pPr>
          </w:p>
        </w:tc>
        <w:tc>
          <w:tcPr>
            <w:tcW w:w="0" w:type="auto"/>
            <w:shd w:val="clear" w:color="auto" w:fill="auto"/>
          </w:tcPr>
          <w:p w14:paraId="40CB0997" w14:textId="77777777" w:rsidR="00584FB3" w:rsidRDefault="00584FB3">
            <w:pPr>
              <w:rPr>
                <w:rFonts w:ascii="宋体"/>
              </w:rPr>
            </w:pPr>
          </w:p>
        </w:tc>
        <w:tc>
          <w:tcPr>
            <w:tcW w:w="0" w:type="auto"/>
            <w:shd w:val="clear" w:color="auto" w:fill="auto"/>
          </w:tcPr>
          <w:p w14:paraId="40CB0998" w14:textId="77777777" w:rsidR="00584FB3" w:rsidRDefault="00584FB3">
            <w:pPr>
              <w:rPr>
                <w:rFonts w:ascii="宋体"/>
              </w:rPr>
            </w:pPr>
          </w:p>
        </w:tc>
        <w:tc>
          <w:tcPr>
            <w:tcW w:w="0" w:type="auto"/>
            <w:shd w:val="clear" w:color="auto" w:fill="auto"/>
          </w:tcPr>
          <w:p w14:paraId="40CB0999" w14:textId="77777777" w:rsidR="00584FB3" w:rsidRDefault="00584FB3">
            <w:pPr>
              <w:rPr>
                <w:rFonts w:ascii="宋体"/>
              </w:rPr>
            </w:pPr>
          </w:p>
        </w:tc>
        <w:tc>
          <w:tcPr>
            <w:tcW w:w="0" w:type="auto"/>
            <w:shd w:val="clear" w:color="auto" w:fill="auto"/>
          </w:tcPr>
          <w:p w14:paraId="40CB099A" w14:textId="77777777" w:rsidR="00584FB3" w:rsidRDefault="00584FB3">
            <w:pPr>
              <w:rPr>
                <w:rFonts w:ascii="宋体"/>
              </w:rPr>
            </w:pPr>
          </w:p>
        </w:tc>
        <w:tc>
          <w:tcPr>
            <w:tcW w:w="0" w:type="auto"/>
            <w:shd w:val="clear" w:color="auto" w:fill="auto"/>
          </w:tcPr>
          <w:p w14:paraId="40CB099B" w14:textId="77777777" w:rsidR="00584FB3" w:rsidRDefault="00584FB3">
            <w:pPr>
              <w:rPr>
                <w:rFonts w:ascii="宋体"/>
              </w:rPr>
            </w:pPr>
          </w:p>
        </w:tc>
        <w:tc>
          <w:tcPr>
            <w:tcW w:w="0" w:type="auto"/>
            <w:shd w:val="clear" w:color="auto" w:fill="auto"/>
          </w:tcPr>
          <w:p w14:paraId="40CB099C" w14:textId="77777777" w:rsidR="00584FB3" w:rsidRDefault="00584FB3">
            <w:pPr>
              <w:rPr>
                <w:rFonts w:ascii="宋体"/>
              </w:rPr>
            </w:pPr>
          </w:p>
        </w:tc>
        <w:tc>
          <w:tcPr>
            <w:tcW w:w="0" w:type="auto"/>
            <w:shd w:val="clear" w:color="auto" w:fill="auto"/>
          </w:tcPr>
          <w:p w14:paraId="40CB099D" w14:textId="77777777" w:rsidR="00584FB3" w:rsidRDefault="00584FB3">
            <w:pPr>
              <w:rPr>
                <w:rFonts w:ascii="宋体"/>
              </w:rPr>
            </w:pPr>
          </w:p>
        </w:tc>
        <w:tc>
          <w:tcPr>
            <w:tcW w:w="0" w:type="auto"/>
            <w:shd w:val="clear" w:color="auto" w:fill="auto"/>
          </w:tcPr>
          <w:p w14:paraId="40CB099E" w14:textId="77777777" w:rsidR="00584FB3" w:rsidRDefault="00584FB3">
            <w:pPr>
              <w:rPr>
                <w:rFonts w:ascii="宋体"/>
              </w:rPr>
            </w:pPr>
          </w:p>
        </w:tc>
        <w:tc>
          <w:tcPr>
            <w:tcW w:w="0" w:type="auto"/>
            <w:shd w:val="clear" w:color="auto" w:fill="auto"/>
          </w:tcPr>
          <w:p w14:paraId="40CB099F" w14:textId="77777777" w:rsidR="00584FB3" w:rsidRDefault="00584FB3">
            <w:pPr>
              <w:rPr>
                <w:rFonts w:ascii="宋体"/>
              </w:rPr>
            </w:pPr>
          </w:p>
        </w:tc>
        <w:tc>
          <w:tcPr>
            <w:tcW w:w="0" w:type="auto"/>
            <w:shd w:val="clear" w:color="auto" w:fill="auto"/>
          </w:tcPr>
          <w:p w14:paraId="40CB09A0" w14:textId="77777777" w:rsidR="00584FB3" w:rsidRDefault="00584FB3">
            <w:pPr>
              <w:rPr>
                <w:rFonts w:ascii="宋体"/>
              </w:rPr>
            </w:pPr>
          </w:p>
        </w:tc>
        <w:tc>
          <w:tcPr>
            <w:tcW w:w="0" w:type="auto"/>
            <w:shd w:val="clear" w:color="auto" w:fill="auto"/>
          </w:tcPr>
          <w:p w14:paraId="40CB09A1" w14:textId="77777777" w:rsidR="00584FB3" w:rsidRDefault="00584FB3">
            <w:pPr>
              <w:rPr>
                <w:rFonts w:ascii="宋体"/>
              </w:rPr>
            </w:pPr>
          </w:p>
        </w:tc>
        <w:tc>
          <w:tcPr>
            <w:tcW w:w="0" w:type="auto"/>
            <w:shd w:val="clear" w:color="auto" w:fill="auto"/>
          </w:tcPr>
          <w:p w14:paraId="40CB09A2" w14:textId="77777777" w:rsidR="00584FB3" w:rsidRDefault="00584FB3">
            <w:pPr>
              <w:rPr>
                <w:rFonts w:ascii="宋体"/>
              </w:rPr>
            </w:pPr>
          </w:p>
        </w:tc>
        <w:tc>
          <w:tcPr>
            <w:tcW w:w="0" w:type="auto"/>
            <w:shd w:val="clear" w:color="auto" w:fill="auto"/>
          </w:tcPr>
          <w:p w14:paraId="40CB09A3" w14:textId="77777777" w:rsidR="00584FB3" w:rsidRDefault="00584FB3">
            <w:pPr>
              <w:rPr>
                <w:rFonts w:ascii="宋体"/>
              </w:rPr>
            </w:pPr>
          </w:p>
        </w:tc>
        <w:tc>
          <w:tcPr>
            <w:tcW w:w="0" w:type="auto"/>
            <w:shd w:val="clear" w:color="auto" w:fill="auto"/>
          </w:tcPr>
          <w:p w14:paraId="40CB09A4" w14:textId="77777777" w:rsidR="00584FB3" w:rsidRDefault="00584FB3">
            <w:pPr>
              <w:rPr>
                <w:rFonts w:ascii="宋体"/>
              </w:rPr>
            </w:pPr>
          </w:p>
        </w:tc>
        <w:tc>
          <w:tcPr>
            <w:tcW w:w="0" w:type="auto"/>
            <w:shd w:val="clear" w:color="auto" w:fill="auto"/>
          </w:tcPr>
          <w:p w14:paraId="40CB09A5" w14:textId="77777777" w:rsidR="00584FB3" w:rsidRDefault="00584FB3">
            <w:pPr>
              <w:rPr>
                <w:rFonts w:ascii="宋体"/>
              </w:rPr>
            </w:pPr>
          </w:p>
        </w:tc>
        <w:tc>
          <w:tcPr>
            <w:tcW w:w="0" w:type="auto"/>
            <w:shd w:val="clear" w:color="auto" w:fill="auto"/>
          </w:tcPr>
          <w:p w14:paraId="40CB09A6" w14:textId="77777777" w:rsidR="00584FB3" w:rsidRDefault="00584FB3">
            <w:pPr>
              <w:rPr>
                <w:rFonts w:ascii="宋体"/>
              </w:rPr>
            </w:pPr>
          </w:p>
        </w:tc>
        <w:tc>
          <w:tcPr>
            <w:tcW w:w="0" w:type="auto"/>
            <w:shd w:val="clear" w:color="auto" w:fill="auto"/>
          </w:tcPr>
          <w:p w14:paraId="40CB09A7" w14:textId="77777777" w:rsidR="00584FB3" w:rsidRDefault="00584FB3">
            <w:pPr>
              <w:rPr>
                <w:rFonts w:ascii="宋体"/>
              </w:rPr>
            </w:pPr>
          </w:p>
        </w:tc>
        <w:tc>
          <w:tcPr>
            <w:tcW w:w="0" w:type="auto"/>
            <w:shd w:val="clear" w:color="auto" w:fill="auto"/>
          </w:tcPr>
          <w:p w14:paraId="40CB09A8" w14:textId="77777777" w:rsidR="00584FB3" w:rsidRDefault="00584FB3">
            <w:pPr>
              <w:rPr>
                <w:rFonts w:ascii="宋体"/>
              </w:rPr>
            </w:pPr>
          </w:p>
        </w:tc>
        <w:tc>
          <w:tcPr>
            <w:tcW w:w="0" w:type="auto"/>
            <w:shd w:val="clear" w:color="auto" w:fill="auto"/>
          </w:tcPr>
          <w:p w14:paraId="40CB09A9" w14:textId="77777777" w:rsidR="00584FB3" w:rsidRDefault="00584FB3">
            <w:pPr>
              <w:rPr>
                <w:rFonts w:ascii="宋体"/>
              </w:rPr>
            </w:pPr>
          </w:p>
        </w:tc>
        <w:tc>
          <w:tcPr>
            <w:tcW w:w="0" w:type="auto"/>
            <w:shd w:val="clear" w:color="auto" w:fill="auto"/>
          </w:tcPr>
          <w:p w14:paraId="40CB09AA" w14:textId="77777777" w:rsidR="00584FB3" w:rsidRDefault="00584FB3">
            <w:pPr>
              <w:rPr>
                <w:rFonts w:ascii="宋体"/>
              </w:rPr>
            </w:pPr>
          </w:p>
        </w:tc>
      </w:tr>
    </w:tbl>
    <w:p w14:paraId="40CB09AC" w14:textId="77777777" w:rsidR="00584FB3" w:rsidRDefault="00786180">
      <w:pPr>
        <w:spacing w:before="120"/>
      </w:pPr>
      <w:r>
        <w:rPr>
          <w:rFonts w:ascii="Times New Roman" w:eastAsia="宋体" w:hAnsi="Times New Roman"/>
          <w:color w:val="000000"/>
          <w:sz w:val="20"/>
          <w:szCs w:val="20"/>
        </w:rPr>
        <w:t>Pre-tax gains and losses on non-designated derivatives and designated fair value hedging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467"/>
        <w:gridCol w:w="36"/>
        <w:gridCol w:w="37"/>
        <w:gridCol w:w="2703"/>
        <w:gridCol w:w="36"/>
        <w:gridCol w:w="36"/>
        <w:gridCol w:w="36"/>
        <w:gridCol w:w="36"/>
        <w:gridCol w:w="121"/>
        <w:gridCol w:w="1027"/>
        <w:gridCol w:w="37"/>
        <w:gridCol w:w="36"/>
        <w:gridCol w:w="36"/>
        <w:gridCol w:w="36"/>
        <w:gridCol w:w="120"/>
        <w:gridCol w:w="1027"/>
        <w:gridCol w:w="36"/>
        <w:gridCol w:w="36"/>
        <w:gridCol w:w="36"/>
        <w:gridCol w:w="36"/>
        <w:gridCol w:w="36"/>
        <w:gridCol w:w="36"/>
        <w:gridCol w:w="36"/>
        <w:gridCol w:w="36"/>
        <w:gridCol w:w="36"/>
        <w:gridCol w:w="36"/>
        <w:gridCol w:w="36"/>
        <w:gridCol w:w="36"/>
        <w:gridCol w:w="36"/>
      </w:tblGrid>
      <w:tr w:rsidR="00584FB3" w14:paraId="40CB09C3" w14:textId="77777777">
        <w:trPr>
          <w:jc w:val="center"/>
        </w:trPr>
        <w:tc>
          <w:tcPr>
            <w:tcW w:w="50" w:type="pct"/>
            <w:shd w:val="clear" w:color="auto" w:fill="auto"/>
          </w:tcPr>
          <w:p w14:paraId="40CB09AD" w14:textId="77777777" w:rsidR="00584FB3" w:rsidRDefault="00584FB3">
            <w:pPr>
              <w:rPr>
                <w:rFonts w:ascii="宋体"/>
              </w:rPr>
            </w:pPr>
          </w:p>
        </w:tc>
        <w:tc>
          <w:tcPr>
            <w:tcW w:w="1604" w:type="pct"/>
            <w:shd w:val="clear" w:color="auto" w:fill="auto"/>
          </w:tcPr>
          <w:p w14:paraId="40CB09AE" w14:textId="77777777" w:rsidR="00584FB3" w:rsidRDefault="00584FB3">
            <w:pPr>
              <w:rPr>
                <w:rFonts w:ascii="宋体"/>
              </w:rPr>
            </w:pPr>
          </w:p>
        </w:tc>
        <w:tc>
          <w:tcPr>
            <w:tcW w:w="5" w:type="pct"/>
            <w:shd w:val="clear" w:color="auto" w:fill="auto"/>
          </w:tcPr>
          <w:p w14:paraId="40CB09AF" w14:textId="77777777" w:rsidR="00584FB3" w:rsidRDefault="00584FB3">
            <w:pPr>
              <w:rPr>
                <w:rFonts w:ascii="宋体"/>
              </w:rPr>
            </w:pPr>
          </w:p>
        </w:tc>
        <w:tc>
          <w:tcPr>
            <w:tcW w:w="50" w:type="pct"/>
            <w:shd w:val="clear" w:color="auto" w:fill="auto"/>
          </w:tcPr>
          <w:p w14:paraId="40CB09B0" w14:textId="77777777" w:rsidR="00584FB3" w:rsidRDefault="00584FB3">
            <w:pPr>
              <w:rPr>
                <w:rFonts w:ascii="宋体"/>
              </w:rPr>
            </w:pPr>
          </w:p>
        </w:tc>
        <w:tc>
          <w:tcPr>
            <w:tcW w:w="1750" w:type="pct"/>
            <w:shd w:val="clear" w:color="auto" w:fill="auto"/>
          </w:tcPr>
          <w:p w14:paraId="40CB09B1" w14:textId="77777777" w:rsidR="00584FB3" w:rsidRDefault="00584FB3">
            <w:pPr>
              <w:rPr>
                <w:rFonts w:ascii="宋体"/>
              </w:rPr>
            </w:pPr>
          </w:p>
        </w:tc>
        <w:tc>
          <w:tcPr>
            <w:tcW w:w="5" w:type="pct"/>
            <w:shd w:val="clear" w:color="auto" w:fill="auto"/>
          </w:tcPr>
          <w:p w14:paraId="40CB09B2" w14:textId="77777777" w:rsidR="00584FB3" w:rsidRDefault="00584FB3">
            <w:pPr>
              <w:rPr>
                <w:rFonts w:ascii="宋体"/>
              </w:rPr>
            </w:pPr>
          </w:p>
        </w:tc>
        <w:tc>
          <w:tcPr>
            <w:tcW w:w="5" w:type="pct"/>
            <w:shd w:val="clear" w:color="auto" w:fill="auto"/>
          </w:tcPr>
          <w:p w14:paraId="40CB09B3" w14:textId="77777777" w:rsidR="00584FB3" w:rsidRDefault="00584FB3">
            <w:pPr>
              <w:rPr>
                <w:rFonts w:ascii="宋体"/>
              </w:rPr>
            </w:pPr>
          </w:p>
        </w:tc>
        <w:tc>
          <w:tcPr>
            <w:tcW w:w="19" w:type="pct"/>
            <w:shd w:val="clear" w:color="auto" w:fill="auto"/>
          </w:tcPr>
          <w:p w14:paraId="40CB09B4" w14:textId="77777777" w:rsidR="00584FB3" w:rsidRDefault="00584FB3">
            <w:pPr>
              <w:rPr>
                <w:rFonts w:ascii="宋体"/>
              </w:rPr>
            </w:pPr>
          </w:p>
        </w:tc>
        <w:tc>
          <w:tcPr>
            <w:tcW w:w="5" w:type="pct"/>
            <w:shd w:val="clear" w:color="auto" w:fill="auto"/>
          </w:tcPr>
          <w:p w14:paraId="40CB09B5" w14:textId="77777777" w:rsidR="00584FB3" w:rsidRDefault="00584FB3">
            <w:pPr>
              <w:rPr>
                <w:rFonts w:ascii="宋体"/>
              </w:rPr>
            </w:pPr>
          </w:p>
        </w:tc>
        <w:tc>
          <w:tcPr>
            <w:tcW w:w="50" w:type="pct"/>
            <w:shd w:val="clear" w:color="auto" w:fill="auto"/>
          </w:tcPr>
          <w:p w14:paraId="40CB09B6" w14:textId="77777777" w:rsidR="00584FB3" w:rsidRDefault="00584FB3">
            <w:pPr>
              <w:rPr>
                <w:rFonts w:ascii="宋体"/>
              </w:rPr>
            </w:pPr>
          </w:p>
        </w:tc>
        <w:tc>
          <w:tcPr>
            <w:tcW w:w="683" w:type="pct"/>
            <w:shd w:val="clear" w:color="auto" w:fill="auto"/>
          </w:tcPr>
          <w:p w14:paraId="40CB09B7" w14:textId="77777777" w:rsidR="00584FB3" w:rsidRDefault="00584FB3">
            <w:pPr>
              <w:rPr>
                <w:rFonts w:ascii="宋体"/>
              </w:rPr>
            </w:pPr>
          </w:p>
        </w:tc>
        <w:tc>
          <w:tcPr>
            <w:tcW w:w="5" w:type="pct"/>
            <w:shd w:val="clear" w:color="auto" w:fill="auto"/>
          </w:tcPr>
          <w:p w14:paraId="40CB09B8" w14:textId="77777777" w:rsidR="00584FB3" w:rsidRDefault="00584FB3">
            <w:pPr>
              <w:rPr>
                <w:rFonts w:ascii="宋体"/>
              </w:rPr>
            </w:pPr>
          </w:p>
        </w:tc>
        <w:tc>
          <w:tcPr>
            <w:tcW w:w="5" w:type="pct"/>
            <w:shd w:val="clear" w:color="auto" w:fill="auto"/>
          </w:tcPr>
          <w:p w14:paraId="40CB09B9" w14:textId="77777777" w:rsidR="00584FB3" w:rsidRDefault="00584FB3">
            <w:pPr>
              <w:rPr>
                <w:rFonts w:ascii="宋体"/>
              </w:rPr>
            </w:pPr>
          </w:p>
        </w:tc>
        <w:tc>
          <w:tcPr>
            <w:tcW w:w="19" w:type="pct"/>
            <w:shd w:val="clear" w:color="auto" w:fill="auto"/>
          </w:tcPr>
          <w:p w14:paraId="40CB09BA" w14:textId="77777777" w:rsidR="00584FB3" w:rsidRDefault="00584FB3">
            <w:pPr>
              <w:rPr>
                <w:rFonts w:ascii="宋体"/>
              </w:rPr>
            </w:pPr>
          </w:p>
        </w:tc>
        <w:tc>
          <w:tcPr>
            <w:tcW w:w="5" w:type="pct"/>
            <w:shd w:val="clear" w:color="auto" w:fill="auto"/>
          </w:tcPr>
          <w:p w14:paraId="40CB09BB" w14:textId="77777777" w:rsidR="00584FB3" w:rsidRDefault="00584FB3">
            <w:pPr>
              <w:rPr>
                <w:rFonts w:ascii="宋体"/>
              </w:rPr>
            </w:pPr>
          </w:p>
        </w:tc>
        <w:tc>
          <w:tcPr>
            <w:tcW w:w="50" w:type="pct"/>
            <w:shd w:val="clear" w:color="auto" w:fill="auto"/>
          </w:tcPr>
          <w:p w14:paraId="40CB09BC" w14:textId="77777777" w:rsidR="00584FB3" w:rsidRDefault="00584FB3">
            <w:pPr>
              <w:rPr>
                <w:rFonts w:ascii="宋体"/>
              </w:rPr>
            </w:pPr>
          </w:p>
        </w:tc>
        <w:tc>
          <w:tcPr>
            <w:tcW w:w="683" w:type="pct"/>
            <w:shd w:val="clear" w:color="auto" w:fill="auto"/>
          </w:tcPr>
          <w:p w14:paraId="40CB09BD" w14:textId="77777777" w:rsidR="00584FB3" w:rsidRDefault="00584FB3">
            <w:pPr>
              <w:rPr>
                <w:rFonts w:ascii="宋体"/>
              </w:rPr>
            </w:pPr>
          </w:p>
        </w:tc>
        <w:tc>
          <w:tcPr>
            <w:tcW w:w="5" w:type="pct"/>
            <w:shd w:val="clear" w:color="auto" w:fill="auto"/>
          </w:tcPr>
          <w:p w14:paraId="40CB09BE" w14:textId="77777777" w:rsidR="00584FB3" w:rsidRDefault="00584FB3">
            <w:pPr>
              <w:rPr>
                <w:rFonts w:ascii="宋体"/>
              </w:rPr>
            </w:pPr>
          </w:p>
        </w:tc>
        <w:tc>
          <w:tcPr>
            <w:tcW w:w="0" w:type="auto"/>
            <w:gridSpan w:val="3"/>
            <w:shd w:val="clear" w:color="auto" w:fill="auto"/>
          </w:tcPr>
          <w:p w14:paraId="40CB09BF" w14:textId="77777777" w:rsidR="00584FB3" w:rsidRDefault="00584FB3">
            <w:pPr>
              <w:rPr>
                <w:rFonts w:ascii="宋体"/>
                <w:vanish/>
              </w:rPr>
            </w:pPr>
          </w:p>
        </w:tc>
        <w:tc>
          <w:tcPr>
            <w:tcW w:w="0" w:type="auto"/>
            <w:gridSpan w:val="3"/>
            <w:shd w:val="clear" w:color="auto" w:fill="auto"/>
          </w:tcPr>
          <w:p w14:paraId="40CB09C0" w14:textId="77777777" w:rsidR="00584FB3" w:rsidRDefault="00584FB3">
            <w:pPr>
              <w:rPr>
                <w:rFonts w:ascii="宋体"/>
                <w:vanish/>
              </w:rPr>
            </w:pPr>
          </w:p>
        </w:tc>
        <w:tc>
          <w:tcPr>
            <w:tcW w:w="0" w:type="auto"/>
            <w:gridSpan w:val="3"/>
            <w:shd w:val="clear" w:color="auto" w:fill="auto"/>
          </w:tcPr>
          <w:p w14:paraId="40CB09C1" w14:textId="77777777" w:rsidR="00584FB3" w:rsidRDefault="00584FB3">
            <w:pPr>
              <w:rPr>
                <w:rFonts w:ascii="宋体"/>
                <w:vanish/>
              </w:rPr>
            </w:pPr>
          </w:p>
        </w:tc>
        <w:tc>
          <w:tcPr>
            <w:tcW w:w="0" w:type="auto"/>
            <w:gridSpan w:val="3"/>
            <w:shd w:val="clear" w:color="auto" w:fill="auto"/>
          </w:tcPr>
          <w:p w14:paraId="40CB09C2" w14:textId="77777777" w:rsidR="00584FB3" w:rsidRDefault="00584FB3">
            <w:pPr>
              <w:rPr>
                <w:rFonts w:ascii="宋体"/>
                <w:vanish/>
              </w:rPr>
            </w:pPr>
          </w:p>
        </w:tc>
      </w:tr>
      <w:tr w:rsidR="00584FB3" w14:paraId="40CB09D4" w14:textId="77777777">
        <w:trPr>
          <w:jc w:val="center"/>
        </w:trPr>
        <w:tc>
          <w:tcPr>
            <w:tcW w:w="0" w:type="auto"/>
            <w:gridSpan w:val="3"/>
            <w:shd w:val="clear" w:color="auto" w:fill="auto"/>
            <w:tcMar>
              <w:top w:w="0" w:type="dxa"/>
              <w:left w:w="20" w:type="dxa"/>
              <w:bottom w:w="0" w:type="dxa"/>
              <w:right w:w="20" w:type="dxa"/>
            </w:tcMar>
          </w:tcPr>
          <w:p w14:paraId="40CB09C4"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09C5"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09C6"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9C7" w14:textId="77777777" w:rsidR="00584FB3" w:rsidRDefault="00786180">
            <w:pPr>
              <w:jc w:val="center"/>
              <w:textAlignment w:val="bottom"/>
            </w:pPr>
            <w:r>
              <w:rPr>
                <w:rFonts w:ascii="Times New Roman" w:eastAsia="宋体" w:hAnsi="Times New Roman"/>
                <w:b/>
                <w:bCs/>
                <w:color w:val="FFFFFF"/>
                <w:sz w:val="16"/>
                <w:szCs w:val="16"/>
              </w:rPr>
              <w:t>Gains/(Losses) Recognized in Earnings</w:t>
            </w:r>
          </w:p>
        </w:tc>
        <w:tc>
          <w:tcPr>
            <w:tcW w:w="0" w:type="auto"/>
            <w:shd w:val="clear" w:color="auto" w:fill="auto"/>
          </w:tcPr>
          <w:p w14:paraId="40CB09C8" w14:textId="77777777" w:rsidR="00584FB3" w:rsidRDefault="00584FB3">
            <w:pPr>
              <w:rPr>
                <w:rFonts w:ascii="宋体"/>
              </w:rPr>
            </w:pPr>
          </w:p>
        </w:tc>
        <w:tc>
          <w:tcPr>
            <w:tcW w:w="0" w:type="auto"/>
            <w:shd w:val="clear" w:color="auto" w:fill="auto"/>
          </w:tcPr>
          <w:p w14:paraId="40CB09C9" w14:textId="77777777" w:rsidR="00584FB3" w:rsidRDefault="00584FB3">
            <w:pPr>
              <w:rPr>
                <w:rFonts w:ascii="宋体"/>
              </w:rPr>
            </w:pPr>
          </w:p>
        </w:tc>
        <w:tc>
          <w:tcPr>
            <w:tcW w:w="0" w:type="auto"/>
            <w:shd w:val="clear" w:color="auto" w:fill="auto"/>
          </w:tcPr>
          <w:p w14:paraId="40CB09CA" w14:textId="77777777" w:rsidR="00584FB3" w:rsidRDefault="00584FB3">
            <w:pPr>
              <w:rPr>
                <w:rFonts w:ascii="宋体"/>
              </w:rPr>
            </w:pPr>
          </w:p>
        </w:tc>
        <w:tc>
          <w:tcPr>
            <w:tcW w:w="0" w:type="auto"/>
            <w:shd w:val="clear" w:color="auto" w:fill="auto"/>
          </w:tcPr>
          <w:p w14:paraId="40CB09CB" w14:textId="77777777" w:rsidR="00584FB3" w:rsidRDefault="00584FB3">
            <w:pPr>
              <w:rPr>
                <w:rFonts w:ascii="宋体"/>
              </w:rPr>
            </w:pPr>
          </w:p>
        </w:tc>
        <w:tc>
          <w:tcPr>
            <w:tcW w:w="0" w:type="auto"/>
            <w:shd w:val="clear" w:color="auto" w:fill="auto"/>
          </w:tcPr>
          <w:p w14:paraId="40CB09CC" w14:textId="77777777" w:rsidR="00584FB3" w:rsidRDefault="00584FB3">
            <w:pPr>
              <w:rPr>
                <w:rFonts w:ascii="宋体"/>
              </w:rPr>
            </w:pPr>
          </w:p>
        </w:tc>
        <w:tc>
          <w:tcPr>
            <w:tcW w:w="0" w:type="auto"/>
            <w:shd w:val="clear" w:color="auto" w:fill="auto"/>
          </w:tcPr>
          <w:p w14:paraId="40CB09CD" w14:textId="77777777" w:rsidR="00584FB3" w:rsidRDefault="00584FB3">
            <w:pPr>
              <w:rPr>
                <w:rFonts w:ascii="宋体"/>
              </w:rPr>
            </w:pPr>
          </w:p>
        </w:tc>
        <w:tc>
          <w:tcPr>
            <w:tcW w:w="0" w:type="auto"/>
            <w:shd w:val="clear" w:color="auto" w:fill="auto"/>
          </w:tcPr>
          <w:p w14:paraId="40CB09CE" w14:textId="77777777" w:rsidR="00584FB3" w:rsidRDefault="00584FB3">
            <w:pPr>
              <w:rPr>
                <w:rFonts w:ascii="宋体"/>
              </w:rPr>
            </w:pPr>
          </w:p>
        </w:tc>
        <w:tc>
          <w:tcPr>
            <w:tcW w:w="0" w:type="auto"/>
            <w:shd w:val="clear" w:color="auto" w:fill="auto"/>
          </w:tcPr>
          <w:p w14:paraId="40CB09CF" w14:textId="77777777" w:rsidR="00584FB3" w:rsidRDefault="00584FB3">
            <w:pPr>
              <w:rPr>
                <w:rFonts w:ascii="宋体"/>
              </w:rPr>
            </w:pPr>
          </w:p>
        </w:tc>
        <w:tc>
          <w:tcPr>
            <w:tcW w:w="0" w:type="auto"/>
            <w:shd w:val="clear" w:color="auto" w:fill="auto"/>
          </w:tcPr>
          <w:p w14:paraId="40CB09D0" w14:textId="77777777" w:rsidR="00584FB3" w:rsidRDefault="00584FB3">
            <w:pPr>
              <w:rPr>
                <w:rFonts w:ascii="宋体"/>
              </w:rPr>
            </w:pPr>
          </w:p>
        </w:tc>
        <w:tc>
          <w:tcPr>
            <w:tcW w:w="0" w:type="auto"/>
            <w:shd w:val="clear" w:color="auto" w:fill="auto"/>
          </w:tcPr>
          <w:p w14:paraId="40CB09D1" w14:textId="77777777" w:rsidR="00584FB3" w:rsidRDefault="00584FB3">
            <w:pPr>
              <w:rPr>
                <w:rFonts w:ascii="宋体"/>
              </w:rPr>
            </w:pPr>
          </w:p>
        </w:tc>
        <w:tc>
          <w:tcPr>
            <w:tcW w:w="0" w:type="auto"/>
            <w:shd w:val="clear" w:color="auto" w:fill="auto"/>
          </w:tcPr>
          <w:p w14:paraId="40CB09D2" w14:textId="77777777" w:rsidR="00584FB3" w:rsidRDefault="00584FB3">
            <w:pPr>
              <w:rPr>
                <w:rFonts w:ascii="宋体"/>
              </w:rPr>
            </w:pPr>
          </w:p>
        </w:tc>
        <w:tc>
          <w:tcPr>
            <w:tcW w:w="0" w:type="auto"/>
            <w:shd w:val="clear" w:color="auto" w:fill="auto"/>
          </w:tcPr>
          <w:p w14:paraId="40CB09D3" w14:textId="77777777" w:rsidR="00584FB3" w:rsidRDefault="00584FB3">
            <w:pPr>
              <w:rPr>
                <w:rFonts w:ascii="宋体"/>
              </w:rPr>
            </w:pPr>
          </w:p>
        </w:tc>
      </w:tr>
      <w:tr w:rsidR="00584FB3" w14:paraId="40CB09E1" w14:textId="77777777">
        <w:trPr>
          <w:trHeight w:val="300"/>
          <w:jc w:val="center"/>
        </w:trPr>
        <w:tc>
          <w:tcPr>
            <w:tcW w:w="0" w:type="auto"/>
            <w:gridSpan w:val="3"/>
            <w:shd w:val="clear" w:color="auto" w:fill="auto"/>
            <w:tcMar>
              <w:top w:w="40" w:type="dxa"/>
              <w:left w:w="20" w:type="dxa"/>
              <w:bottom w:w="40" w:type="dxa"/>
              <w:right w:w="20" w:type="dxa"/>
            </w:tcMar>
            <w:vAlign w:val="bottom"/>
          </w:tcPr>
          <w:p w14:paraId="40CB09D5" w14:textId="77777777" w:rsidR="00584FB3" w:rsidRDefault="00786180">
            <w:pPr>
              <w:textAlignment w:val="bottom"/>
            </w:pPr>
            <w:r>
              <w:rPr>
                <w:rFonts w:ascii="Times New Roman" w:eastAsia="宋体" w:hAnsi="Times New Roman"/>
                <w:color w:val="000000"/>
                <w:sz w:val="20"/>
                <w:szCs w:val="20"/>
              </w:rPr>
              <w:t> </w:t>
            </w:r>
          </w:p>
        </w:tc>
        <w:tc>
          <w:tcPr>
            <w:tcW w:w="0" w:type="auto"/>
            <w:gridSpan w:val="3"/>
            <w:vMerge w:val="restart"/>
            <w:shd w:val="clear" w:color="auto" w:fill="00704A"/>
            <w:tcMar>
              <w:top w:w="40" w:type="dxa"/>
              <w:left w:w="20" w:type="dxa"/>
              <w:bottom w:w="40" w:type="dxa"/>
              <w:right w:w="20" w:type="dxa"/>
            </w:tcMar>
            <w:vAlign w:val="bottom"/>
          </w:tcPr>
          <w:p w14:paraId="40CB09D6" w14:textId="77777777" w:rsidR="00584FB3" w:rsidRDefault="00786180">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tcPr>
          <w:p w14:paraId="40CB09D7"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9D8"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40CB09D9" w14:textId="77777777" w:rsidR="00584FB3" w:rsidRDefault="00584FB3">
            <w:pPr>
              <w:rPr>
                <w:rFonts w:ascii="宋体"/>
                <w:vanish/>
              </w:rPr>
            </w:pPr>
          </w:p>
        </w:tc>
        <w:tc>
          <w:tcPr>
            <w:tcW w:w="0" w:type="auto"/>
            <w:gridSpan w:val="3"/>
            <w:shd w:val="clear" w:color="auto" w:fill="auto"/>
          </w:tcPr>
          <w:p w14:paraId="40CB09DA" w14:textId="77777777" w:rsidR="00584FB3" w:rsidRDefault="00584FB3">
            <w:pPr>
              <w:rPr>
                <w:rFonts w:ascii="宋体"/>
                <w:vanish/>
              </w:rPr>
            </w:pPr>
          </w:p>
        </w:tc>
        <w:tc>
          <w:tcPr>
            <w:tcW w:w="0" w:type="auto"/>
            <w:shd w:val="clear" w:color="auto" w:fill="auto"/>
          </w:tcPr>
          <w:p w14:paraId="40CB09DB" w14:textId="77777777" w:rsidR="00584FB3" w:rsidRDefault="00584FB3">
            <w:pPr>
              <w:rPr>
                <w:rFonts w:ascii="宋体"/>
              </w:rPr>
            </w:pPr>
          </w:p>
        </w:tc>
        <w:tc>
          <w:tcPr>
            <w:tcW w:w="0" w:type="auto"/>
            <w:shd w:val="clear" w:color="auto" w:fill="auto"/>
          </w:tcPr>
          <w:p w14:paraId="40CB09DC" w14:textId="77777777" w:rsidR="00584FB3" w:rsidRDefault="00584FB3">
            <w:pPr>
              <w:rPr>
                <w:rFonts w:ascii="宋体"/>
              </w:rPr>
            </w:pPr>
          </w:p>
        </w:tc>
        <w:tc>
          <w:tcPr>
            <w:tcW w:w="0" w:type="auto"/>
            <w:shd w:val="clear" w:color="auto" w:fill="auto"/>
          </w:tcPr>
          <w:p w14:paraId="40CB09DD" w14:textId="77777777" w:rsidR="00584FB3" w:rsidRDefault="00584FB3">
            <w:pPr>
              <w:rPr>
                <w:rFonts w:ascii="宋体"/>
              </w:rPr>
            </w:pPr>
          </w:p>
        </w:tc>
        <w:tc>
          <w:tcPr>
            <w:tcW w:w="0" w:type="auto"/>
            <w:shd w:val="clear" w:color="auto" w:fill="auto"/>
          </w:tcPr>
          <w:p w14:paraId="40CB09DE" w14:textId="77777777" w:rsidR="00584FB3" w:rsidRDefault="00584FB3">
            <w:pPr>
              <w:rPr>
                <w:rFonts w:ascii="宋体"/>
              </w:rPr>
            </w:pPr>
          </w:p>
        </w:tc>
        <w:tc>
          <w:tcPr>
            <w:tcW w:w="0" w:type="auto"/>
            <w:shd w:val="clear" w:color="auto" w:fill="auto"/>
          </w:tcPr>
          <w:p w14:paraId="40CB09DF" w14:textId="77777777" w:rsidR="00584FB3" w:rsidRDefault="00584FB3">
            <w:pPr>
              <w:rPr>
                <w:rFonts w:ascii="宋体"/>
              </w:rPr>
            </w:pPr>
          </w:p>
        </w:tc>
        <w:tc>
          <w:tcPr>
            <w:tcW w:w="0" w:type="auto"/>
            <w:shd w:val="clear" w:color="auto" w:fill="auto"/>
          </w:tcPr>
          <w:p w14:paraId="40CB09E0" w14:textId="77777777" w:rsidR="00584FB3" w:rsidRDefault="00584FB3">
            <w:pPr>
              <w:rPr>
                <w:rFonts w:ascii="宋体"/>
              </w:rPr>
            </w:pPr>
          </w:p>
        </w:tc>
      </w:tr>
      <w:tr w:rsidR="00584FB3" w14:paraId="40CB09EC" w14:textId="77777777">
        <w:trPr>
          <w:trHeight w:val="300"/>
          <w:jc w:val="center"/>
        </w:trPr>
        <w:tc>
          <w:tcPr>
            <w:tcW w:w="0" w:type="auto"/>
            <w:gridSpan w:val="3"/>
            <w:shd w:val="clear" w:color="auto" w:fill="auto"/>
            <w:tcMar>
              <w:top w:w="40" w:type="dxa"/>
              <w:left w:w="20" w:type="dxa"/>
              <w:bottom w:w="40" w:type="dxa"/>
              <w:right w:w="20" w:type="dxa"/>
            </w:tcMar>
            <w:vAlign w:val="bottom"/>
          </w:tcPr>
          <w:p w14:paraId="40CB09E2" w14:textId="77777777" w:rsidR="00584FB3" w:rsidRDefault="00786180">
            <w:pPr>
              <w:textAlignment w:val="bottom"/>
            </w:pPr>
            <w:r>
              <w:rPr>
                <w:rFonts w:ascii="Times New Roman" w:eastAsia="宋体" w:hAnsi="Times New Roman"/>
                <w:color w:val="000000"/>
                <w:sz w:val="20"/>
                <w:szCs w:val="20"/>
              </w:rPr>
              <w:t> </w:t>
            </w:r>
          </w:p>
        </w:tc>
        <w:tc>
          <w:tcPr>
            <w:tcW w:w="0" w:type="auto"/>
            <w:gridSpan w:val="3"/>
            <w:vMerge/>
            <w:shd w:val="clear" w:color="auto" w:fill="00704A"/>
            <w:tcMar>
              <w:top w:w="40" w:type="dxa"/>
              <w:left w:w="20" w:type="dxa"/>
              <w:bottom w:w="40" w:type="dxa"/>
              <w:right w:w="20" w:type="dxa"/>
            </w:tcMar>
            <w:vAlign w:val="bottom"/>
          </w:tcPr>
          <w:p w14:paraId="40CB09E3"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09E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9E5"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9E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9E7"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tcPr>
          <w:p w14:paraId="40CB09E8" w14:textId="77777777" w:rsidR="00584FB3" w:rsidRDefault="00584FB3">
            <w:pPr>
              <w:rPr>
                <w:rFonts w:ascii="宋体"/>
                <w:vanish/>
              </w:rPr>
            </w:pPr>
          </w:p>
        </w:tc>
        <w:tc>
          <w:tcPr>
            <w:tcW w:w="0" w:type="auto"/>
            <w:gridSpan w:val="3"/>
            <w:shd w:val="clear" w:color="auto" w:fill="auto"/>
          </w:tcPr>
          <w:p w14:paraId="40CB09E9" w14:textId="77777777" w:rsidR="00584FB3" w:rsidRDefault="00584FB3">
            <w:pPr>
              <w:rPr>
                <w:rFonts w:ascii="宋体"/>
                <w:vanish/>
              </w:rPr>
            </w:pPr>
          </w:p>
        </w:tc>
        <w:tc>
          <w:tcPr>
            <w:tcW w:w="0" w:type="auto"/>
            <w:gridSpan w:val="3"/>
            <w:shd w:val="clear" w:color="auto" w:fill="auto"/>
          </w:tcPr>
          <w:p w14:paraId="40CB09EA" w14:textId="77777777" w:rsidR="00584FB3" w:rsidRDefault="00584FB3">
            <w:pPr>
              <w:rPr>
                <w:rFonts w:ascii="宋体"/>
                <w:vanish/>
              </w:rPr>
            </w:pPr>
          </w:p>
        </w:tc>
        <w:tc>
          <w:tcPr>
            <w:tcW w:w="0" w:type="auto"/>
            <w:gridSpan w:val="3"/>
            <w:shd w:val="clear" w:color="auto" w:fill="auto"/>
          </w:tcPr>
          <w:p w14:paraId="40CB09EB" w14:textId="77777777" w:rsidR="00584FB3" w:rsidRDefault="00584FB3">
            <w:pPr>
              <w:rPr>
                <w:rFonts w:ascii="宋体"/>
                <w:vanish/>
              </w:rPr>
            </w:pPr>
          </w:p>
        </w:tc>
      </w:tr>
      <w:tr w:rsidR="00584FB3" w14:paraId="40CB09F7" w14:textId="77777777">
        <w:trPr>
          <w:jc w:val="center"/>
        </w:trPr>
        <w:tc>
          <w:tcPr>
            <w:tcW w:w="0" w:type="auto"/>
            <w:gridSpan w:val="3"/>
            <w:shd w:val="clear" w:color="auto" w:fill="D7E4BC"/>
            <w:tcMar>
              <w:top w:w="40" w:type="dxa"/>
              <w:left w:w="20" w:type="dxa"/>
              <w:bottom w:w="40" w:type="dxa"/>
              <w:right w:w="20" w:type="dxa"/>
            </w:tcMar>
            <w:vAlign w:val="bottom"/>
          </w:tcPr>
          <w:p w14:paraId="40CB09ED" w14:textId="77777777" w:rsidR="00584FB3" w:rsidRDefault="00786180">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top w:w="0" w:type="dxa"/>
              <w:left w:w="20" w:type="dxa"/>
              <w:bottom w:w="0" w:type="dxa"/>
              <w:right w:w="20" w:type="dxa"/>
            </w:tcMar>
          </w:tcPr>
          <w:p w14:paraId="40CB09E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9EF"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9F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9F1"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9F2" w14:textId="77777777" w:rsidR="00584FB3" w:rsidRDefault="00584FB3">
            <w:pPr>
              <w:rPr>
                <w:rFonts w:ascii="宋体"/>
              </w:rPr>
            </w:pPr>
          </w:p>
        </w:tc>
        <w:tc>
          <w:tcPr>
            <w:tcW w:w="0" w:type="auto"/>
            <w:gridSpan w:val="3"/>
            <w:shd w:val="clear" w:color="auto" w:fill="auto"/>
          </w:tcPr>
          <w:p w14:paraId="40CB09F3" w14:textId="77777777" w:rsidR="00584FB3" w:rsidRDefault="00584FB3">
            <w:pPr>
              <w:rPr>
                <w:rFonts w:ascii="宋体"/>
                <w:vanish/>
              </w:rPr>
            </w:pPr>
          </w:p>
        </w:tc>
        <w:tc>
          <w:tcPr>
            <w:tcW w:w="0" w:type="auto"/>
            <w:gridSpan w:val="3"/>
            <w:shd w:val="clear" w:color="auto" w:fill="auto"/>
          </w:tcPr>
          <w:p w14:paraId="40CB09F4" w14:textId="77777777" w:rsidR="00584FB3" w:rsidRDefault="00584FB3">
            <w:pPr>
              <w:rPr>
                <w:rFonts w:ascii="宋体"/>
                <w:vanish/>
              </w:rPr>
            </w:pPr>
          </w:p>
        </w:tc>
        <w:tc>
          <w:tcPr>
            <w:tcW w:w="0" w:type="auto"/>
            <w:gridSpan w:val="3"/>
            <w:shd w:val="clear" w:color="auto" w:fill="auto"/>
          </w:tcPr>
          <w:p w14:paraId="40CB09F5" w14:textId="77777777" w:rsidR="00584FB3" w:rsidRDefault="00584FB3">
            <w:pPr>
              <w:rPr>
                <w:rFonts w:ascii="宋体"/>
                <w:vanish/>
              </w:rPr>
            </w:pPr>
          </w:p>
        </w:tc>
        <w:tc>
          <w:tcPr>
            <w:tcW w:w="0" w:type="auto"/>
            <w:gridSpan w:val="3"/>
            <w:shd w:val="clear" w:color="auto" w:fill="auto"/>
          </w:tcPr>
          <w:p w14:paraId="40CB09F6" w14:textId="77777777" w:rsidR="00584FB3" w:rsidRDefault="00584FB3">
            <w:pPr>
              <w:rPr>
                <w:rFonts w:ascii="宋体"/>
                <w:vanish/>
              </w:rPr>
            </w:pPr>
          </w:p>
        </w:tc>
      </w:tr>
      <w:tr w:rsidR="00584FB3" w14:paraId="40CB0A06" w14:textId="77777777">
        <w:trPr>
          <w:jc w:val="center"/>
        </w:trPr>
        <w:tc>
          <w:tcPr>
            <w:tcW w:w="0" w:type="auto"/>
            <w:gridSpan w:val="3"/>
            <w:shd w:val="clear" w:color="auto" w:fill="FFFFFF"/>
            <w:tcMar>
              <w:top w:w="40" w:type="dxa"/>
              <w:left w:w="155" w:type="dxa"/>
              <w:bottom w:w="40" w:type="dxa"/>
              <w:right w:w="20" w:type="dxa"/>
            </w:tcMar>
            <w:vAlign w:val="bottom"/>
          </w:tcPr>
          <w:p w14:paraId="40CB09F8" w14:textId="77777777" w:rsidR="00584FB3" w:rsidRDefault="00786180">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40CB09F9" w14:textId="77777777" w:rsidR="00584FB3" w:rsidRDefault="00786180">
            <w:pPr>
              <w:textAlignment w:val="bottom"/>
            </w:pPr>
            <w:r>
              <w:rPr>
                <w:rFonts w:ascii="Times New Roman" w:eastAsia="宋体" w:hAnsi="Times New Roman"/>
                <w:color w:val="000000"/>
                <w:sz w:val="20"/>
                <w:szCs w:val="20"/>
              </w:rPr>
              <w:t xml:space="preserve">Interest income and </w:t>
            </w:r>
            <w:r>
              <w:rPr>
                <w:rFonts w:ascii="Times New Roman" w:eastAsia="宋体" w:hAnsi="Times New Roman"/>
                <w:color w:val="000000"/>
                <w:sz w:val="20"/>
                <w:szCs w:val="20"/>
              </w:rPr>
              <w:t>other, net</w:t>
            </w:r>
          </w:p>
        </w:tc>
        <w:tc>
          <w:tcPr>
            <w:tcW w:w="0" w:type="auto"/>
            <w:gridSpan w:val="3"/>
            <w:shd w:val="clear" w:color="auto" w:fill="FFFFFF"/>
            <w:tcMar>
              <w:top w:w="0" w:type="dxa"/>
              <w:left w:w="20" w:type="dxa"/>
              <w:bottom w:w="0" w:type="dxa"/>
              <w:right w:w="20" w:type="dxa"/>
            </w:tcMar>
          </w:tcPr>
          <w:p w14:paraId="40CB09FA"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9FB"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9FC" w14:textId="77777777" w:rsidR="00584FB3" w:rsidRDefault="00786180">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40CB09F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9FE"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9FF"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A00" w14:textId="77777777" w:rsidR="00584FB3" w:rsidRDefault="00786180">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40CB0A01" w14:textId="77777777" w:rsidR="00584FB3" w:rsidRDefault="00584FB3">
            <w:pPr>
              <w:jc w:val="right"/>
              <w:rPr>
                <w:rFonts w:ascii="宋体"/>
              </w:rPr>
            </w:pPr>
          </w:p>
        </w:tc>
        <w:tc>
          <w:tcPr>
            <w:tcW w:w="0" w:type="auto"/>
            <w:gridSpan w:val="3"/>
            <w:shd w:val="clear" w:color="auto" w:fill="auto"/>
          </w:tcPr>
          <w:p w14:paraId="40CB0A02" w14:textId="77777777" w:rsidR="00584FB3" w:rsidRDefault="00584FB3">
            <w:pPr>
              <w:rPr>
                <w:rFonts w:ascii="宋体"/>
                <w:vanish/>
              </w:rPr>
            </w:pPr>
          </w:p>
        </w:tc>
        <w:tc>
          <w:tcPr>
            <w:tcW w:w="0" w:type="auto"/>
            <w:gridSpan w:val="3"/>
            <w:shd w:val="clear" w:color="auto" w:fill="auto"/>
          </w:tcPr>
          <w:p w14:paraId="40CB0A03" w14:textId="77777777" w:rsidR="00584FB3" w:rsidRDefault="00584FB3">
            <w:pPr>
              <w:rPr>
                <w:rFonts w:ascii="宋体"/>
                <w:vanish/>
              </w:rPr>
            </w:pPr>
          </w:p>
        </w:tc>
        <w:tc>
          <w:tcPr>
            <w:tcW w:w="0" w:type="auto"/>
            <w:gridSpan w:val="3"/>
            <w:shd w:val="clear" w:color="auto" w:fill="auto"/>
          </w:tcPr>
          <w:p w14:paraId="40CB0A04" w14:textId="77777777" w:rsidR="00584FB3" w:rsidRDefault="00584FB3">
            <w:pPr>
              <w:rPr>
                <w:rFonts w:ascii="宋体"/>
                <w:vanish/>
              </w:rPr>
            </w:pPr>
          </w:p>
        </w:tc>
        <w:tc>
          <w:tcPr>
            <w:tcW w:w="0" w:type="auto"/>
            <w:gridSpan w:val="3"/>
            <w:shd w:val="clear" w:color="auto" w:fill="auto"/>
          </w:tcPr>
          <w:p w14:paraId="40CB0A05" w14:textId="77777777" w:rsidR="00584FB3" w:rsidRDefault="00584FB3">
            <w:pPr>
              <w:rPr>
                <w:rFonts w:ascii="宋体"/>
                <w:vanish/>
              </w:rPr>
            </w:pPr>
          </w:p>
        </w:tc>
      </w:tr>
      <w:tr w:rsidR="00584FB3" w14:paraId="40CB0A13" w14:textId="77777777">
        <w:trPr>
          <w:jc w:val="center"/>
        </w:trPr>
        <w:tc>
          <w:tcPr>
            <w:tcW w:w="0" w:type="auto"/>
            <w:gridSpan w:val="3"/>
            <w:shd w:val="clear" w:color="auto" w:fill="D7E4BC"/>
            <w:tcMar>
              <w:top w:w="40" w:type="dxa"/>
              <w:left w:w="155" w:type="dxa"/>
              <w:bottom w:w="40" w:type="dxa"/>
              <w:right w:w="20" w:type="dxa"/>
            </w:tcMar>
            <w:vAlign w:val="bottom"/>
          </w:tcPr>
          <w:p w14:paraId="40CB0A07" w14:textId="77777777" w:rsidR="00584FB3" w:rsidRDefault="00786180">
            <w:pPr>
              <w:textAlignment w:val="bottom"/>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40CB0A08" w14:textId="77777777" w:rsidR="00584FB3" w:rsidRDefault="00786180">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tcPr>
          <w:p w14:paraId="40CB0A0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0A" w14:textId="77777777" w:rsidR="00584FB3" w:rsidRDefault="00786180">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bottom"/>
          </w:tcPr>
          <w:p w14:paraId="40CB0A0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0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0D" w14:textId="77777777" w:rsidR="00584FB3" w:rsidRDefault="00786180">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40CB0A0E" w14:textId="77777777" w:rsidR="00584FB3" w:rsidRDefault="00584FB3">
            <w:pPr>
              <w:jc w:val="right"/>
              <w:rPr>
                <w:rFonts w:ascii="宋体"/>
              </w:rPr>
            </w:pPr>
          </w:p>
        </w:tc>
        <w:tc>
          <w:tcPr>
            <w:tcW w:w="0" w:type="auto"/>
            <w:gridSpan w:val="3"/>
            <w:shd w:val="clear" w:color="auto" w:fill="auto"/>
          </w:tcPr>
          <w:p w14:paraId="40CB0A0F" w14:textId="77777777" w:rsidR="00584FB3" w:rsidRDefault="00584FB3">
            <w:pPr>
              <w:rPr>
                <w:rFonts w:ascii="宋体"/>
                <w:vanish/>
              </w:rPr>
            </w:pPr>
          </w:p>
        </w:tc>
        <w:tc>
          <w:tcPr>
            <w:tcW w:w="0" w:type="auto"/>
            <w:gridSpan w:val="3"/>
            <w:shd w:val="clear" w:color="auto" w:fill="auto"/>
          </w:tcPr>
          <w:p w14:paraId="40CB0A10" w14:textId="77777777" w:rsidR="00584FB3" w:rsidRDefault="00584FB3">
            <w:pPr>
              <w:rPr>
                <w:rFonts w:ascii="宋体"/>
                <w:vanish/>
              </w:rPr>
            </w:pPr>
          </w:p>
        </w:tc>
        <w:tc>
          <w:tcPr>
            <w:tcW w:w="0" w:type="auto"/>
            <w:gridSpan w:val="3"/>
            <w:shd w:val="clear" w:color="auto" w:fill="auto"/>
          </w:tcPr>
          <w:p w14:paraId="40CB0A11" w14:textId="77777777" w:rsidR="00584FB3" w:rsidRDefault="00584FB3">
            <w:pPr>
              <w:rPr>
                <w:rFonts w:ascii="宋体"/>
                <w:vanish/>
              </w:rPr>
            </w:pPr>
          </w:p>
        </w:tc>
        <w:tc>
          <w:tcPr>
            <w:tcW w:w="0" w:type="auto"/>
            <w:gridSpan w:val="3"/>
            <w:shd w:val="clear" w:color="auto" w:fill="auto"/>
          </w:tcPr>
          <w:p w14:paraId="40CB0A12" w14:textId="77777777" w:rsidR="00584FB3" w:rsidRDefault="00584FB3">
            <w:pPr>
              <w:rPr>
                <w:rFonts w:ascii="宋体"/>
                <w:vanish/>
              </w:rPr>
            </w:pPr>
          </w:p>
        </w:tc>
      </w:tr>
      <w:tr w:rsidR="00584FB3" w14:paraId="40CB0A1E" w14:textId="77777777">
        <w:trPr>
          <w:jc w:val="center"/>
        </w:trPr>
        <w:tc>
          <w:tcPr>
            <w:tcW w:w="0" w:type="auto"/>
            <w:gridSpan w:val="3"/>
            <w:shd w:val="clear" w:color="auto" w:fill="FFFFFF"/>
            <w:tcMar>
              <w:top w:w="40" w:type="dxa"/>
              <w:left w:w="20" w:type="dxa"/>
              <w:bottom w:w="40" w:type="dxa"/>
              <w:right w:w="20" w:type="dxa"/>
            </w:tcMar>
            <w:vAlign w:val="bottom"/>
          </w:tcPr>
          <w:p w14:paraId="40CB0A14" w14:textId="77777777" w:rsidR="00584FB3" w:rsidRDefault="00786180">
            <w:pPr>
              <w:textAlignment w:val="bottom"/>
            </w:pPr>
            <w:r>
              <w:rPr>
                <w:rFonts w:ascii="Times New Roman" w:eastAsia="宋体" w:hAnsi="Times New Roman"/>
                <w:color w:val="000000"/>
                <w:sz w:val="20"/>
                <w:szCs w:val="20"/>
              </w:rPr>
              <w:t>Fair Value Hedges:</w:t>
            </w:r>
          </w:p>
        </w:tc>
        <w:tc>
          <w:tcPr>
            <w:tcW w:w="0" w:type="auto"/>
            <w:gridSpan w:val="3"/>
            <w:shd w:val="clear" w:color="auto" w:fill="FFFFFF"/>
            <w:tcMar>
              <w:top w:w="0" w:type="dxa"/>
              <w:left w:w="20" w:type="dxa"/>
              <w:bottom w:w="0" w:type="dxa"/>
              <w:right w:w="20" w:type="dxa"/>
            </w:tcMar>
          </w:tcPr>
          <w:p w14:paraId="40CB0A15"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A1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A17"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A1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A19" w14:textId="77777777" w:rsidR="00584FB3" w:rsidRDefault="00584FB3">
            <w:pPr>
              <w:rPr>
                <w:rFonts w:ascii="宋体"/>
              </w:rPr>
            </w:pPr>
          </w:p>
        </w:tc>
        <w:tc>
          <w:tcPr>
            <w:tcW w:w="0" w:type="auto"/>
            <w:gridSpan w:val="3"/>
            <w:shd w:val="clear" w:color="auto" w:fill="auto"/>
          </w:tcPr>
          <w:p w14:paraId="40CB0A1A" w14:textId="77777777" w:rsidR="00584FB3" w:rsidRDefault="00584FB3">
            <w:pPr>
              <w:rPr>
                <w:rFonts w:ascii="宋体"/>
                <w:vanish/>
              </w:rPr>
            </w:pPr>
          </w:p>
        </w:tc>
        <w:tc>
          <w:tcPr>
            <w:tcW w:w="0" w:type="auto"/>
            <w:gridSpan w:val="3"/>
            <w:shd w:val="clear" w:color="auto" w:fill="auto"/>
          </w:tcPr>
          <w:p w14:paraId="40CB0A1B" w14:textId="77777777" w:rsidR="00584FB3" w:rsidRDefault="00584FB3">
            <w:pPr>
              <w:rPr>
                <w:rFonts w:ascii="宋体"/>
                <w:vanish/>
              </w:rPr>
            </w:pPr>
          </w:p>
        </w:tc>
        <w:tc>
          <w:tcPr>
            <w:tcW w:w="0" w:type="auto"/>
            <w:gridSpan w:val="3"/>
            <w:shd w:val="clear" w:color="auto" w:fill="auto"/>
          </w:tcPr>
          <w:p w14:paraId="40CB0A1C" w14:textId="77777777" w:rsidR="00584FB3" w:rsidRDefault="00584FB3">
            <w:pPr>
              <w:rPr>
                <w:rFonts w:ascii="宋体"/>
                <w:vanish/>
              </w:rPr>
            </w:pPr>
          </w:p>
        </w:tc>
        <w:tc>
          <w:tcPr>
            <w:tcW w:w="0" w:type="auto"/>
            <w:gridSpan w:val="3"/>
            <w:shd w:val="clear" w:color="auto" w:fill="auto"/>
          </w:tcPr>
          <w:p w14:paraId="40CB0A1D" w14:textId="77777777" w:rsidR="00584FB3" w:rsidRDefault="00584FB3">
            <w:pPr>
              <w:rPr>
                <w:rFonts w:ascii="宋体"/>
                <w:vanish/>
              </w:rPr>
            </w:pPr>
          </w:p>
        </w:tc>
      </w:tr>
      <w:tr w:rsidR="00584FB3" w14:paraId="40CB0A2B" w14:textId="77777777">
        <w:trPr>
          <w:jc w:val="center"/>
        </w:trPr>
        <w:tc>
          <w:tcPr>
            <w:tcW w:w="0" w:type="auto"/>
            <w:gridSpan w:val="3"/>
            <w:shd w:val="clear" w:color="auto" w:fill="D7E4BC"/>
            <w:tcMar>
              <w:top w:w="40" w:type="dxa"/>
              <w:left w:w="155" w:type="dxa"/>
              <w:bottom w:w="40" w:type="dxa"/>
              <w:right w:w="20" w:type="dxa"/>
            </w:tcMar>
            <w:vAlign w:val="bottom"/>
          </w:tcPr>
          <w:p w14:paraId="40CB0A1F" w14:textId="77777777" w:rsidR="00584FB3" w:rsidRDefault="00786180">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40CB0A20" w14:textId="77777777" w:rsidR="00584FB3" w:rsidRDefault="00786180">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tcPr>
          <w:p w14:paraId="40CB0A2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22" w14:textId="77777777" w:rsidR="00584FB3" w:rsidRDefault="00786180">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40CB0A2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2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25" w14:textId="77777777" w:rsidR="00584FB3" w:rsidRDefault="00786180">
            <w:pPr>
              <w:jc w:val="right"/>
              <w:textAlignment w:val="bottom"/>
            </w:pPr>
            <w:r>
              <w:rPr>
                <w:rFonts w:ascii="Times New Roman" w:eastAsia="宋体" w:hAnsi="Times New Roman"/>
                <w:color w:val="000000"/>
                <w:sz w:val="20"/>
                <w:szCs w:val="20"/>
              </w:rPr>
              <w:t>(10.9)</w:t>
            </w:r>
          </w:p>
        </w:tc>
        <w:tc>
          <w:tcPr>
            <w:tcW w:w="0" w:type="auto"/>
            <w:shd w:val="clear" w:color="auto" w:fill="D7E4BC"/>
            <w:tcMar>
              <w:top w:w="40" w:type="dxa"/>
              <w:left w:w="0" w:type="dxa"/>
              <w:bottom w:w="40" w:type="dxa"/>
              <w:right w:w="20" w:type="dxa"/>
            </w:tcMar>
            <w:vAlign w:val="bottom"/>
          </w:tcPr>
          <w:p w14:paraId="40CB0A26" w14:textId="77777777" w:rsidR="00584FB3" w:rsidRDefault="00584FB3">
            <w:pPr>
              <w:jc w:val="right"/>
              <w:rPr>
                <w:rFonts w:ascii="宋体"/>
              </w:rPr>
            </w:pPr>
          </w:p>
        </w:tc>
        <w:tc>
          <w:tcPr>
            <w:tcW w:w="0" w:type="auto"/>
            <w:gridSpan w:val="3"/>
            <w:shd w:val="clear" w:color="auto" w:fill="auto"/>
          </w:tcPr>
          <w:p w14:paraId="40CB0A27" w14:textId="77777777" w:rsidR="00584FB3" w:rsidRDefault="00584FB3">
            <w:pPr>
              <w:rPr>
                <w:rFonts w:ascii="宋体"/>
                <w:vanish/>
              </w:rPr>
            </w:pPr>
          </w:p>
        </w:tc>
        <w:tc>
          <w:tcPr>
            <w:tcW w:w="0" w:type="auto"/>
            <w:gridSpan w:val="3"/>
            <w:shd w:val="clear" w:color="auto" w:fill="auto"/>
          </w:tcPr>
          <w:p w14:paraId="40CB0A28" w14:textId="77777777" w:rsidR="00584FB3" w:rsidRDefault="00584FB3">
            <w:pPr>
              <w:rPr>
                <w:rFonts w:ascii="宋体"/>
                <w:vanish/>
              </w:rPr>
            </w:pPr>
          </w:p>
        </w:tc>
        <w:tc>
          <w:tcPr>
            <w:tcW w:w="0" w:type="auto"/>
            <w:gridSpan w:val="3"/>
            <w:shd w:val="clear" w:color="auto" w:fill="auto"/>
          </w:tcPr>
          <w:p w14:paraId="40CB0A29" w14:textId="77777777" w:rsidR="00584FB3" w:rsidRDefault="00584FB3">
            <w:pPr>
              <w:rPr>
                <w:rFonts w:ascii="宋体"/>
                <w:vanish/>
              </w:rPr>
            </w:pPr>
          </w:p>
        </w:tc>
        <w:tc>
          <w:tcPr>
            <w:tcW w:w="0" w:type="auto"/>
            <w:gridSpan w:val="3"/>
            <w:shd w:val="clear" w:color="auto" w:fill="auto"/>
          </w:tcPr>
          <w:p w14:paraId="40CB0A2A" w14:textId="77777777" w:rsidR="00584FB3" w:rsidRDefault="00584FB3">
            <w:pPr>
              <w:rPr>
                <w:rFonts w:ascii="宋体"/>
                <w:vanish/>
              </w:rPr>
            </w:pPr>
          </w:p>
        </w:tc>
      </w:tr>
      <w:tr w:rsidR="00584FB3" w14:paraId="40CB0A38" w14:textId="77777777">
        <w:trPr>
          <w:jc w:val="center"/>
        </w:trPr>
        <w:tc>
          <w:tcPr>
            <w:tcW w:w="0" w:type="auto"/>
            <w:gridSpan w:val="3"/>
            <w:shd w:val="clear" w:color="auto" w:fill="FFFFFF"/>
            <w:tcMar>
              <w:top w:w="40" w:type="dxa"/>
              <w:left w:w="155" w:type="dxa"/>
              <w:bottom w:w="40" w:type="dxa"/>
              <w:right w:w="20" w:type="dxa"/>
            </w:tcMar>
            <w:vAlign w:val="bottom"/>
          </w:tcPr>
          <w:p w14:paraId="40CB0A2C" w14:textId="77777777" w:rsidR="00584FB3" w:rsidRDefault="00786180">
            <w:pPr>
              <w:textAlignment w:val="bottom"/>
            </w:pPr>
            <w:r>
              <w:rPr>
                <w:rFonts w:ascii="Times New Roman" w:eastAsia="宋体" w:hAnsi="Times New Roman"/>
                <w:color w:val="000000"/>
                <w:sz w:val="20"/>
                <w:szCs w:val="20"/>
              </w:rPr>
              <w:t>Long-term debt (hedged item)</w:t>
            </w:r>
          </w:p>
        </w:tc>
        <w:tc>
          <w:tcPr>
            <w:tcW w:w="0" w:type="auto"/>
            <w:gridSpan w:val="3"/>
            <w:shd w:val="clear" w:color="auto" w:fill="FFFFFF"/>
            <w:tcMar>
              <w:top w:w="40" w:type="dxa"/>
              <w:left w:w="20" w:type="dxa"/>
              <w:bottom w:w="40" w:type="dxa"/>
              <w:right w:w="20" w:type="dxa"/>
            </w:tcMar>
            <w:vAlign w:val="bottom"/>
          </w:tcPr>
          <w:p w14:paraId="40CB0A2D" w14:textId="77777777" w:rsidR="00584FB3" w:rsidRDefault="00786180">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tcPr>
          <w:p w14:paraId="40CB0A2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2F" w14:textId="77777777" w:rsidR="00584FB3" w:rsidRDefault="00786180">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40CB0A3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3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32" w14:textId="77777777" w:rsidR="00584FB3" w:rsidRDefault="00786180">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40CB0A33" w14:textId="77777777" w:rsidR="00584FB3" w:rsidRDefault="00584FB3">
            <w:pPr>
              <w:jc w:val="right"/>
              <w:rPr>
                <w:rFonts w:ascii="宋体"/>
              </w:rPr>
            </w:pPr>
          </w:p>
        </w:tc>
        <w:tc>
          <w:tcPr>
            <w:tcW w:w="0" w:type="auto"/>
            <w:gridSpan w:val="3"/>
            <w:shd w:val="clear" w:color="auto" w:fill="auto"/>
          </w:tcPr>
          <w:p w14:paraId="40CB0A34" w14:textId="77777777" w:rsidR="00584FB3" w:rsidRDefault="00584FB3">
            <w:pPr>
              <w:rPr>
                <w:rFonts w:ascii="宋体"/>
                <w:vanish/>
              </w:rPr>
            </w:pPr>
          </w:p>
        </w:tc>
        <w:tc>
          <w:tcPr>
            <w:tcW w:w="0" w:type="auto"/>
            <w:gridSpan w:val="3"/>
            <w:shd w:val="clear" w:color="auto" w:fill="auto"/>
          </w:tcPr>
          <w:p w14:paraId="40CB0A35" w14:textId="77777777" w:rsidR="00584FB3" w:rsidRDefault="00584FB3">
            <w:pPr>
              <w:rPr>
                <w:rFonts w:ascii="宋体"/>
                <w:vanish/>
              </w:rPr>
            </w:pPr>
          </w:p>
        </w:tc>
        <w:tc>
          <w:tcPr>
            <w:tcW w:w="0" w:type="auto"/>
            <w:gridSpan w:val="3"/>
            <w:shd w:val="clear" w:color="auto" w:fill="auto"/>
          </w:tcPr>
          <w:p w14:paraId="40CB0A36" w14:textId="77777777" w:rsidR="00584FB3" w:rsidRDefault="00584FB3">
            <w:pPr>
              <w:rPr>
                <w:rFonts w:ascii="宋体"/>
                <w:vanish/>
              </w:rPr>
            </w:pPr>
          </w:p>
        </w:tc>
        <w:tc>
          <w:tcPr>
            <w:tcW w:w="0" w:type="auto"/>
            <w:gridSpan w:val="3"/>
            <w:shd w:val="clear" w:color="auto" w:fill="auto"/>
          </w:tcPr>
          <w:p w14:paraId="40CB0A37" w14:textId="77777777" w:rsidR="00584FB3" w:rsidRDefault="00584FB3">
            <w:pPr>
              <w:rPr>
                <w:rFonts w:ascii="宋体"/>
                <w:vanish/>
              </w:rPr>
            </w:pPr>
          </w:p>
        </w:tc>
      </w:tr>
    </w:tbl>
    <w:p w14:paraId="40CB0A39" w14:textId="77777777" w:rsidR="00584FB3" w:rsidRDefault="00786180">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658"/>
        <w:gridCol w:w="36"/>
        <w:gridCol w:w="121"/>
        <w:gridCol w:w="1085"/>
        <w:gridCol w:w="36"/>
        <w:gridCol w:w="36"/>
        <w:gridCol w:w="36"/>
        <w:gridCol w:w="36"/>
        <w:gridCol w:w="121"/>
        <w:gridCol w:w="1085"/>
        <w:gridCol w:w="36"/>
      </w:tblGrid>
      <w:tr w:rsidR="00584FB3" w14:paraId="40CB0A46" w14:textId="77777777">
        <w:trPr>
          <w:jc w:val="center"/>
        </w:trPr>
        <w:tc>
          <w:tcPr>
            <w:tcW w:w="50" w:type="pct"/>
            <w:shd w:val="clear" w:color="auto" w:fill="auto"/>
          </w:tcPr>
          <w:p w14:paraId="40CB0A3A" w14:textId="77777777" w:rsidR="00584FB3" w:rsidRDefault="00584FB3">
            <w:pPr>
              <w:rPr>
                <w:rFonts w:ascii="宋体"/>
              </w:rPr>
            </w:pPr>
          </w:p>
        </w:tc>
        <w:tc>
          <w:tcPr>
            <w:tcW w:w="3436" w:type="pct"/>
            <w:shd w:val="clear" w:color="auto" w:fill="auto"/>
          </w:tcPr>
          <w:p w14:paraId="40CB0A3B" w14:textId="77777777" w:rsidR="00584FB3" w:rsidRDefault="00584FB3">
            <w:pPr>
              <w:rPr>
                <w:rFonts w:ascii="宋体"/>
              </w:rPr>
            </w:pPr>
          </w:p>
        </w:tc>
        <w:tc>
          <w:tcPr>
            <w:tcW w:w="5" w:type="pct"/>
            <w:shd w:val="clear" w:color="auto" w:fill="auto"/>
          </w:tcPr>
          <w:p w14:paraId="40CB0A3C" w14:textId="77777777" w:rsidR="00584FB3" w:rsidRDefault="00584FB3">
            <w:pPr>
              <w:rPr>
                <w:rFonts w:ascii="宋体"/>
              </w:rPr>
            </w:pPr>
          </w:p>
        </w:tc>
        <w:tc>
          <w:tcPr>
            <w:tcW w:w="50" w:type="pct"/>
            <w:shd w:val="clear" w:color="auto" w:fill="auto"/>
          </w:tcPr>
          <w:p w14:paraId="40CB0A3D" w14:textId="77777777" w:rsidR="00584FB3" w:rsidRDefault="00584FB3">
            <w:pPr>
              <w:rPr>
                <w:rFonts w:ascii="宋体"/>
              </w:rPr>
            </w:pPr>
          </w:p>
        </w:tc>
        <w:tc>
          <w:tcPr>
            <w:tcW w:w="684" w:type="pct"/>
            <w:shd w:val="clear" w:color="auto" w:fill="auto"/>
          </w:tcPr>
          <w:p w14:paraId="40CB0A3E" w14:textId="77777777" w:rsidR="00584FB3" w:rsidRDefault="00584FB3">
            <w:pPr>
              <w:rPr>
                <w:rFonts w:ascii="宋体"/>
              </w:rPr>
            </w:pPr>
          </w:p>
        </w:tc>
        <w:tc>
          <w:tcPr>
            <w:tcW w:w="5" w:type="pct"/>
            <w:shd w:val="clear" w:color="auto" w:fill="auto"/>
          </w:tcPr>
          <w:p w14:paraId="40CB0A3F" w14:textId="77777777" w:rsidR="00584FB3" w:rsidRDefault="00584FB3">
            <w:pPr>
              <w:rPr>
                <w:rFonts w:ascii="宋体"/>
              </w:rPr>
            </w:pPr>
          </w:p>
        </w:tc>
        <w:tc>
          <w:tcPr>
            <w:tcW w:w="5" w:type="pct"/>
            <w:shd w:val="clear" w:color="auto" w:fill="auto"/>
          </w:tcPr>
          <w:p w14:paraId="40CB0A40" w14:textId="77777777" w:rsidR="00584FB3" w:rsidRDefault="00584FB3">
            <w:pPr>
              <w:rPr>
                <w:rFonts w:ascii="宋体"/>
              </w:rPr>
            </w:pPr>
          </w:p>
        </w:tc>
        <w:tc>
          <w:tcPr>
            <w:tcW w:w="19" w:type="pct"/>
            <w:shd w:val="clear" w:color="auto" w:fill="auto"/>
          </w:tcPr>
          <w:p w14:paraId="40CB0A41" w14:textId="77777777" w:rsidR="00584FB3" w:rsidRDefault="00584FB3">
            <w:pPr>
              <w:rPr>
                <w:rFonts w:ascii="宋体"/>
              </w:rPr>
            </w:pPr>
          </w:p>
        </w:tc>
        <w:tc>
          <w:tcPr>
            <w:tcW w:w="5" w:type="pct"/>
            <w:shd w:val="clear" w:color="auto" w:fill="auto"/>
          </w:tcPr>
          <w:p w14:paraId="40CB0A42" w14:textId="77777777" w:rsidR="00584FB3" w:rsidRDefault="00584FB3">
            <w:pPr>
              <w:rPr>
                <w:rFonts w:ascii="宋体"/>
              </w:rPr>
            </w:pPr>
          </w:p>
        </w:tc>
        <w:tc>
          <w:tcPr>
            <w:tcW w:w="50" w:type="pct"/>
            <w:shd w:val="clear" w:color="auto" w:fill="auto"/>
          </w:tcPr>
          <w:p w14:paraId="40CB0A43" w14:textId="77777777" w:rsidR="00584FB3" w:rsidRDefault="00584FB3">
            <w:pPr>
              <w:rPr>
                <w:rFonts w:ascii="宋体"/>
              </w:rPr>
            </w:pPr>
          </w:p>
        </w:tc>
        <w:tc>
          <w:tcPr>
            <w:tcW w:w="684" w:type="pct"/>
            <w:shd w:val="clear" w:color="auto" w:fill="auto"/>
          </w:tcPr>
          <w:p w14:paraId="40CB0A44" w14:textId="77777777" w:rsidR="00584FB3" w:rsidRDefault="00584FB3">
            <w:pPr>
              <w:rPr>
                <w:rFonts w:ascii="宋体"/>
              </w:rPr>
            </w:pPr>
          </w:p>
        </w:tc>
        <w:tc>
          <w:tcPr>
            <w:tcW w:w="5" w:type="pct"/>
            <w:shd w:val="clear" w:color="auto" w:fill="auto"/>
          </w:tcPr>
          <w:p w14:paraId="40CB0A45" w14:textId="77777777" w:rsidR="00584FB3" w:rsidRDefault="00584FB3">
            <w:pPr>
              <w:rPr>
                <w:rFonts w:ascii="宋体"/>
              </w:rPr>
            </w:pPr>
          </w:p>
        </w:tc>
      </w:tr>
      <w:tr w:rsidR="00584FB3" w14:paraId="40CB0A4B" w14:textId="77777777">
        <w:trPr>
          <w:jc w:val="center"/>
        </w:trPr>
        <w:tc>
          <w:tcPr>
            <w:tcW w:w="0" w:type="auto"/>
            <w:gridSpan w:val="3"/>
            <w:shd w:val="clear" w:color="auto" w:fill="auto"/>
            <w:tcMar>
              <w:top w:w="0" w:type="dxa"/>
              <w:left w:w="20" w:type="dxa"/>
              <w:bottom w:w="0" w:type="dxa"/>
              <w:right w:w="20" w:type="dxa"/>
            </w:tcMar>
          </w:tcPr>
          <w:p w14:paraId="40CB0A47"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A48"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A49"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A4A"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0A54" w14:textId="77777777">
        <w:trPr>
          <w:jc w:val="center"/>
        </w:trPr>
        <w:tc>
          <w:tcPr>
            <w:tcW w:w="0" w:type="auto"/>
            <w:gridSpan w:val="3"/>
            <w:shd w:val="clear" w:color="auto" w:fill="D7E4BC"/>
            <w:tcMar>
              <w:top w:w="40" w:type="dxa"/>
              <w:left w:w="20" w:type="dxa"/>
              <w:bottom w:w="40" w:type="dxa"/>
              <w:right w:w="20" w:type="dxa"/>
            </w:tcMar>
            <w:vAlign w:val="bottom"/>
          </w:tcPr>
          <w:p w14:paraId="40CB0A4C" w14:textId="77777777" w:rsidR="00584FB3" w:rsidRDefault="00786180">
            <w:pPr>
              <w:textAlignment w:val="bottom"/>
            </w:pPr>
            <w:r>
              <w:rPr>
                <w:rFonts w:ascii="Times New Roman" w:eastAsia="宋体" w:hAnsi="Times New Roman"/>
                <w:color w:val="000000"/>
                <w:sz w:val="20"/>
                <w:szCs w:val="20"/>
              </w:rPr>
              <w:t>Coffee</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0A4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A4E" w14:textId="77777777" w:rsidR="00584FB3" w:rsidRDefault="00786180">
            <w:pPr>
              <w:jc w:val="right"/>
              <w:textAlignment w:val="bottom"/>
            </w:pPr>
            <w:r>
              <w:rPr>
                <w:rFonts w:ascii="Times New Roman" w:eastAsia="宋体" w:hAnsi="Times New Roman"/>
                <w:color w:val="000000"/>
                <w:sz w:val="20"/>
                <w:szCs w:val="20"/>
              </w:rPr>
              <w:t>109 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A4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5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A5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A52" w14:textId="77777777" w:rsidR="00584FB3" w:rsidRDefault="00786180">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A53" w14:textId="77777777" w:rsidR="00584FB3" w:rsidRDefault="00584FB3">
            <w:pPr>
              <w:jc w:val="right"/>
              <w:rPr>
                <w:rFonts w:ascii="宋体"/>
              </w:rPr>
            </w:pPr>
          </w:p>
        </w:tc>
      </w:tr>
      <w:tr w:rsidR="00584FB3" w14:paraId="40CB0A5B" w14:textId="77777777">
        <w:trPr>
          <w:jc w:val="center"/>
        </w:trPr>
        <w:tc>
          <w:tcPr>
            <w:tcW w:w="0" w:type="auto"/>
            <w:gridSpan w:val="3"/>
            <w:shd w:val="clear" w:color="auto" w:fill="FFFFFF"/>
            <w:tcMar>
              <w:top w:w="40" w:type="dxa"/>
              <w:left w:w="20" w:type="dxa"/>
              <w:bottom w:w="40" w:type="dxa"/>
              <w:right w:w="20" w:type="dxa"/>
            </w:tcMar>
            <w:vAlign w:val="bottom"/>
          </w:tcPr>
          <w:p w14:paraId="40CB0A55" w14:textId="77777777" w:rsidR="00584FB3" w:rsidRDefault="00786180">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40CB0A56" w14:textId="77777777" w:rsidR="00584FB3" w:rsidRDefault="00786180">
            <w:pPr>
              <w:jc w:val="right"/>
              <w:textAlignment w:val="bottom"/>
            </w:pPr>
            <w:r>
              <w:rPr>
                <w:rFonts w:ascii="Times New Roman" w:eastAsia="宋体" w:hAnsi="Times New Roman"/>
                <w:color w:val="000000"/>
                <w:sz w:val="20"/>
                <w:szCs w:val="20"/>
              </w:rPr>
              <w:t>854 </w:t>
            </w:r>
          </w:p>
        </w:tc>
        <w:tc>
          <w:tcPr>
            <w:tcW w:w="0" w:type="auto"/>
            <w:shd w:val="clear" w:color="auto" w:fill="FFFFFF"/>
            <w:tcMar>
              <w:top w:w="40" w:type="dxa"/>
              <w:left w:w="0" w:type="dxa"/>
              <w:bottom w:w="40" w:type="dxa"/>
              <w:right w:w="20" w:type="dxa"/>
            </w:tcMar>
            <w:vAlign w:val="bottom"/>
          </w:tcPr>
          <w:p w14:paraId="40CB0A5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5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59" w14:textId="77777777" w:rsidR="00584FB3" w:rsidRDefault="00786180">
            <w:pPr>
              <w:jc w:val="right"/>
              <w:textAlignment w:val="bottom"/>
            </w:pPr>
            <w:r>
              <w:rPr>
                <w:rFonts w:ascii="Times New Roman" w:eastAsia="宋体" w:hAnsi="Times New Roman"/>
                <w:color w:val="000000"/>
                <w:sz w:val="20"/>
                <w:szCs w:val="20"/>
              </w:rPr>
              <w:t>870 </w:t>
            </w:r>
          </w:p>
        </w:tc>
        <w:tc>
          <w:tcPr>
            <w:tcW w:w="0" w:type="auto"/>
            <w:shd w:val="clear" w:color="auto" w:fill="FFFFFF"/>
            <w:tcMar>
              <w:top w:w="40" w:type="dxa"/>
              <w:left w:w="0" w:type="dxa"/>
              <w:bottom w:w="40" w:type="dxa"/>
              <w:right w:w="20" w:type="dxa"/>
            </w:tcMar>
            <w:vAlign w:val="bottom"/>
          </w:tcPr>
          <w:p w14:paraId="40CB0A5A" w14:textId="77777777" w:rsidR="00584FB3" w:rsidRDefault="00584FB3">
            <w:pPr>
              <w:jc w:val="right"/>
              <w:rPr>
                <w:rFonts w:ascii="宋体"/>
              </w:rPr>
            </w:pPr>
          </w:p>
        </w:tc>
      </w:tr>
      <w:tr w:rsidR="00584FB3" w14:paraId="40CB0A62" w14:textId="77777777">
        <w:trPr>
          <w:jc w:val="center"/>
        </w:trPr>
        <w:tc>
          <w:tcPr>
            <w:tcW w:w="0" w:type="auto"/>
            <w:gridSpan w:val="3"/>
            <w:shd w:val="clear" w:color="auto" w:fill="D7E4BC"/>
            <w:tcMar>
              <w:top w:w="40" w:type="dxa"/>
              <w:left w:w="20" w:type="dxa"/>
              <w:bottom w:w="40" w:type="dxa"/>
              <w:right w:w="20" w:type="dxa"/>
            </w:tcMar>
            <w:vAlign w:val="bottom"/>
          </w:tcPr>
          <w:p w14:paraId="40CB0A5C" w14:textId="77777777" w:rsidR="00584FB3" w:rsidRDefault="00786180">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40CB0A5D" w14:textId="77777777" w:rsidR="00584FB3" w:rsidRDefault="00786180">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40CB0A5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5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60" w14:textId="77777777" w:rsidR="00584FB3" w:rsidRDefault="00786180">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40CB0A61" w14:textId="77777777" w:rsidR="00584FB3" w:rsidRDefault="00584FB3">
            <w:pPr>
              <w:jc w:val="right"/>
              <w:rPr>
                <w:rFonts w:ascii="宋体"/>
              </w:rPr>
            </w:pPr>
          </w:p>
        </w:tc>
      </w:tr>
      <w:tr w:rsidR="00584FB3" w14:paraId="40CB0A69" w14:textId="77777777">
        <w:trPr>
          <w:jc w:val="center"/>
        </w:trPr>
        <w:tc>
          <w:tcPr>
            <w:tcW w:w="0" w:type="auto"/>
            <w:gridSpan w:val="3"/>
            <w:shd w:val="clear" w:color="auto" w:fill="FFFFFF"/>
            <w:tcMar>
              <w:top w:w="40" w:type="dxa"/>
              <w:left w:w="20" w:type="dxa"/>
              <w:bottom w:w="40" w:type="dxa"/>
              <w:right w:w="20" w:type="dxa"/>
            </w:tcMar>
            <w:vAlign w:val="bottom"/>
          </w:tcPr>
          <w:p w14:paraId="40CB0A63" w14:textId="77777777" w:rsidR="00584FB3" w:rsidRDefault="00786180">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40CB0A64" w14:textId="77777777" w:rsidR="00584FB3" w:rsidRDefault="00786180">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40CB0A6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6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67" w14:textId="77777777" w:rsidR="00584FB3" w:rsidRDefault="00786180">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40CB0A68" w14:textId="77777777" w:rsidR="00584FB3" w:rsidRDefault="00584FB3">
            <w:pPr>
              <w:jc w:val="right"/>
              <w:rPr>
                <w:rFonts w:ascii="宋体"/>
              </w:rPr>
            </w:pPr>
          </w:p>
        </w:tc>
      </w:tr>
      <w:tr w:rsidR="00584FB3" w14:paraId="40CB0A70" w14:textId="77777777">
        <w:trPr>
          <w:jc w:val="center"/>
        </w:trPr>
        <w:tc>
          <w:tcPr>
            <w:tcW w:w="0" w:type="auto"/>
            <w:gridSpan w:val="3"/>
            <w:shd w:val="clear" w:color="auto" w:fill="D7E4BC"/>
            <w:tcMar>
              <w:top w:w="40" w:type="dxa"/>
              <w:left w:w="20" w:type="dxa"/>
              <w:bottom w:w="40" w:type="dxa"/>
              <w:right w:w="20" w:type="dxa"/>
            </w:tcMar>
            <w:vAlign w:val="bottom"/>
          </w:tcPr>
          <w:p w14:paraId="40CB0A6A" w14:textId="77777777" w:rsidR="00584FB3" w:rsidRDefault="00786180">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40CB0A6B" w14:textId="77777777" w:rsidR="00584FB3" w:rsidRDefault="00786180">
            <w:pPr>
              <w:jc w:val="right"/>
              <w:textAlignment w:val="bottom"/>
            </w:pPr>
            <w:r>
              <w:rPr>
                <w:rFonts w:ascii="Times New Roman" w:eastAsia="宋体" w:hAnsi="Times New Roman"/>
                <w:color w:val="000000"/>
                <w:sz w:val="20"/>
                <w:szCs w:val="20"/>
              </w:rPr>
              <w:t>1,000 </w:t>
            </w:r>
          </w:p>
        </w:tc>
        <w:tc>
          <w:tcPr>
            <w:tcW w:w="0" w:type="auto"/>
            <w:shd w:val="clear" w:color="auto" w:fill="D7E4BC"/>
            <w:tcMar>
              <w:top w:w="40" w:type="dxa"/>
              <w:left w:w="0" w:type="dxa"/>
              <w:bottom w:w="40" w:type="dxa"/>
              <w:right w:w="20" w:type="dxa"/>
            </w:tcMar>
            <w:vAlign w:val="bottom"/>
          </w:tcPr>
          <w:p w14:paraId="40CB0A6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6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6E" w14:textId="77777777" w:rsidR="00584FB3" w:rsidRDefault="00786180">
            <w:pPr>
              <w:jc w:val="right"/>
              <w:textAlignment w:val="bottom"/>
            </w:pPr>
            <w:r>
              <w:rPr>
                <w:rFonts w:ascii="Times New Roman" w:eastAsia="宋体" w:hAnsi="Times New Roman"/>
                <w:color w:val="000000"/>
                <w:sz w:val="20"/>
                <w:szCs w:val="20"/>
              </w:rPr>
              <w:t>1,140 </w:t>
            </w:r>
          </w:p>
        </w:tc>
        <w:tc>
          <w:tcPr>
            <w:tcW w:w="0" w:type="auto"/>
            <w:shd w:val="clear" w:color="auto" w:fill="D7E4BC"/>
            <w:tcMar>
              <w:top w:w="40" w:type="dxa"/>
              <w:left w:w="0" w:type="dxa"/>
              <w:bottom w:w="40" w:type="dxa"/>
              <w:right w:w="20" w:type="dxa"/>
            </w:tcMar>
            <w:vAlign w:val="bottom"/>
          </w:tcPr>
          <w:p w14:paraId="40CB0A6F" w14:textId="77777777" w:rsidR="00584FB3" w:rsidRDefault="00584FB3">
            <w:pPr>
              <w:jc w:val="right"/>
              <w:rPr>
                <w:rFonts w:ascii="宋体"/>
              </w:rPr>
            </w:pPr>
          </w:p>
        </w:tc>
      </w:tr>
      <w:tr w:rsidR="00584FB3" w14:paraId="40CB0A77" w14:textId="77777777">
        <w:trPr>
          <w:jc w:val="center"/>
        </w:trPr>
        <w:tc>
          <w:tcPr>
            <w:tcW w:w="0" w:type="auto"/>
            <w:gridSpan w:val="3"/>
            <w:shd w:val="clear" w:color="auto" w:fill="FFFFFF"/>
            <w:tcMar>
              <w:top w:w="40" w:type="dxa"/>
              <w:left w:w="20" w:type="dxa"/>
              <w:bottom w:w="40" w:type="dxa"/>
              <w:right w:w="20" w:type="dxa"/>
            </w:tcMar>
            <w:vAlign w:val="bottom"/>
          </w:tcPr>
          <w:p w14:paraId="40CB0A71" w14:textId="77777777" w:rsidR="00584FB3" w:rsidRDefault="00786180">
            <w:pPr>
              <w:textAlignment w:val="bottom"/>
            </w:pPr>
            <w:r>
              <w:rPr>
                <w:rFonts w:ascii="Times New Roman" w:eastAsia="宋体" w:hAnsi="Times New Roman"/>
                <w:color w:val="000000"/>
                <w:sz w:val="20"/>
                <w:szCs w:val="20"/>
              </w:rPr>
              <w:t>Interest rate swap</w:t>
            </w:r>
          </w:p>
        </w:tc>
        <w:tc>
          <w:tcPr>
            <w:tcW w:w="0" w:type="auto"/>
            <w:gridSpan w:val="2"/>
            <w:shd w:val="clear" w:color="auto" w:fill="FFFFFF"/>
            <w:tcMar>
              <w:top w:w="40" w:type="dxa"/>
              <w:left w:w="20" w:type="dxa"/>
              <w:bottom w:w="40" w:type="dxa"/>
              <w:right w:w="0" w:type="dxa"/>
            </w:tcMar>
            <w:vAlign w:val="bottom"/>
          </w:tcPr>
          <w:p w14:paraId="40CB0A72" w14:textId="77777777" w:rsidR="00584FB3" w:rsidRDefault="00786180">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40CB0A7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7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75" w14:textId="77777777" w:rsidR="00584FB3" w:rsidRDefault="00786180">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40CB0A76" w14:textId="77777777" w:rsidR="00584FB3" w:rsidRDefault="00584FB3">
            <w:pPr>
              <w:jc w:val="right"/>
              <w:rPr>
                <w:rFonts w:ascii="宋体"/>
              </w:rPr>
            </w:pPr>
          </w:p>
        </w:tc>
      </w:tr>
    </w:tbl>
    <w:p w14:paraId="40CB0A78" w14:textId="77777777" w:rsidR="00584FB3" w:rsidRDefault="00786180">
      <w:pPr>
        <w:jc w:val="center"/>
      </w:pPr>
      <w:r>
        <w:rPr>
          <w:rFonts w:ascii="Times New Roman" w:eastAsia="宋体" w:hAnsi="Times New Roman"/>
          <w:color w:val="000000"/>
          <w:sz w:val="20"/>
          <w:szCs w:val="20"/>
        </w:rPr>
        <w:t>12</w:t>
      </w:r>
    </w:p>
    <w:p w14:paraId="40CB0A79" w14:textId="77777777" w:rsidR="00584FB3" w:rsidRDefault="00786180">
      <w:r>
        <w:pict w14:anchorId="40CB2A41">
          <v:rect id="_x0000_i1036" style="width:415.3pt;height:1.5pt" o:hralign="center" o:hrstd="t" o:hr="t" fillcolor="#a0a0a0" stroked="f"/>
        </w:pict>
      </w:r>
    </w:p>
    <w:p w14:paraId="40CB0A7A" w14:textId="77777777" w:rsidR="00584FB3" w:rsidRDefault="00786180">
      <w:hyperlink r:id="rId83" w:anchor="i11706e4b673c41db9f2dcbdb897203bb_7" w:history="1">
        <w:r>
          <w:rPr>
            <w:rStyle w:val="a5"/>
            <w:rFonts w:ascii="Times New Roman" w:eastAsia="宋体" w:hAnsi="Times New Roman"/>
            <w:sz w:val="20"/>
            <w:szCs w:val="20"/>
          </w:rPr>
          <w:t>Table of Contents</w:t>
        </w:r>
      </w:hyperlink>
    </w:p>
    <w:p w14:paraId="40CB0A7B" w14:textId="77777777" w:rsidR="00584FB3" w:rsidRDefault="00786180">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including the location o</w:t>
      </w:r>
      <w:r>
        <w:rPr>
          <w:rFonts w:ascii="Times New Roman" w:eastAsia="宋体" w:hAnsi="Times New Roman"/>
          <w:color w:val="000000"/>
          <w:sz w:val="20"/>
          <w:szCs w:val="20"/>
        </w:rPr>
        <w:t>f the asset and/or liability on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614"/>
        <w:gridCol w:w="37"/>
        <w:gridCol w:w="39"/>
        <w:gridCol w:w="2861"/>
        <w:gridCol w:w="38"/>
        <w:gridCol w:w="36"/>
        <w:gridCol w:w="36"/>
        <w:gridCol w:w="36"/>
        <w:gridCol w:w="120"/>
        <w:gridCol w:w="1088"/>
        <w:gridCol w:w="36"/>
        <w:gridCol w:w="36"/>
        <w:gridCol w:w="36"/>
        <w:gridCol w:w="36"/>
        <w:gridCol w:w="120"/>
        <w:gridCol w:w="1088"/>
        <w:gridCol w:w="36"/>
      </w:tblGrid>
      <w:tr w:rsidR="00584FB3" w14:paraId="40CB0A8E" w14:textId="77777777">
        <w:trPr>
          <w:jc w:val="center"/>
        </w:trPr>
        <w:tc>
          <w:tcPr>
            <w:tcW w:w="50" w:type="pct"/>
            <w:shd w:val="clear" w:color="auto" w:fill="auto"/>
          </w:tcPr>
          <w:p w14:paraId="40CB0A7C" w14:textId="77777777" w:rsidR="00584FB3" w:rsidRDefault="00584FB3">
            <w:pPr>
              <w:rPr>
                <w:rFonts w:ascii="宋体"/>
              </w:rPr>
            </w:pPr>
          </w:p>
        </w:tc>
        <w:tc>
          <w:tcPr>
            <w:tcW w:w="1604" w:type="pct"/>
            <w:shd w:val="clear" w:color="auto" w:fill="auto"/>
          </w:tcPr>
          <w:p w14:paraId="40CB0A7D" w14:textId="77777777" w:rsidR="00584FB3" w:rsidRDefault="00584FB3">
            <w:pPr>
              <w:rPr>
                <w:rFonts w:ascii="宋体"/>
              </w:rPr>
            </w:pPr>
          </w:p>
        </w:tc>
        <w:tc>
          <w:tcPr>
            <w:tcW w:w="5" w:type="pct"/>
            <w:shd w:val="clear" w:color="auto" w:fill="auto"/>
          </w:tcPr>
          <w:p w14:paraId="40CB0A7E" w14:textId="77777777" w:rsidR="00584FB3" w:rsidRDefault="00584FB3">
            <w:pPr>
              <w:rPr>
                <w:rFonts w:ascii="宋体"/>
              </w:rPr>
            </w:pPr>
          </w:p>
        </w:tc>
        <w:tc>
          <w:tcPr>
            <w:tcW w:w="50" w:type="pct"/>
            <w:shd w:val="clear" w:color="auto" w:fill="auto"/>
          </w:tcPr>
          <w:p w14:paraId="40CB0A7F" w14:textId="77777777" w:rsidR="00584FB3" w:rsidRDefault="00584FB3">
            <w:pPr>
              <w:rPr>
                <w:rFonts w:ascii="宋体"/>
              </w:rPr>
            </w:pPr>
          </w:p>
        </w:tc>
        <w:tc>
          <w:tcPr>
            <w:tcW w:w="1750" w:type="pct"/>
            <w:shd w:val="clear" w:color="auto" w:fill="auto"/>
          </w:tcPr>
          <w:p w14:paraId="40CB0A80" w14:textId="77777777" w:rsidR="00584FB3" w:rsidRDefault="00584FB3">
            <w:pPr>
              <w:rPr>
                <w:rFonts w:ascii="宋体"/>
              </w:rPr>
            </w:pPr>
          </w:p>
        </w:tc>
        <w:tc>
          <w:tcPr>
            <w:tcW w:w="5" w:type="pct"/>
            <w:shd w:val="clear" w:color="auto" w:fill="auto"/>
          </w:tcPr>
          <w:p w14:paraId="40CB0A81" w14:textId="77777777" w:rsidR="00584FB3" w:rsidRDefault="00584FB3">
            <w:pPr>
              <w:rPr>
                <w:rFonts w:ascii="宋体"/>
              </w:rPr>
            </w:pPr>
          </w:p>
        </w:tc>
        <w:tc>
          <w:tcPr>
            <w:tcW w:w="5" w:type="pct"/>
            <w:shd w:val="clear" w:color="auto" w:fill="auto"/>
          </w:tcPr>
          <w:p w14:paraId="40CB0A82" w14:textId="77777777" w:rsidR="00584FB3" w:rsidRDefault="00584FB3">
            <w:pPr>
              <w:rPr>
                <w:rFonts w:ascii="宋体"/>
              </w:rPr>
            </w:pPr>
          </w:p>
        </w:tc>
        <w:tc>
          <w:tcPr>
            <w:tcW w:w="19" w:type="pct"/>
            <w:shd w:val="clear" w:color="auto" w:fill="auto"/>
          </w:tcPr>
          <w:p w14:paraId="40CB0A83" w14:textId="77777777" w:rsidR="00584FB3" w:rsidRDefault="00584FB3">
            <w:pPr>
              <w:rPr>
                <w:rFonts w:ascii="宋体"/>
              </w:rPr>
            </w:pPr>
          </w:p>
        </w:tc>
        <w:tc>
          <w:tcPr>
            <w:tcW w:w="5" w:type="pct"/>
            <w:shd w:val="clear" w:color="auto" w:fill="auto"/>
          </w:tcPr>
          <w:p w14:paraId="40CB0A84" w14:textId="77777777" w:rsidR="00584FB3" w:rsidRDefault="00584FB3">
            <w:pPr>
              <w:rPr>
                <w:rFonts w:ascii="宋体"/>
              </w:rPr>
            </w:pPr>
          </w:p>
        </w:tc>
        <w:tc>
          <w:tcPr>
            <w:tcW w:w="50" w:type="pct"/>
            <w:shd w:val="clear" w:color="auto" w:fill="auto"/>
          </w:tcPr>
          <w:p w14:paraId="40CB0A85" w14:textId="77777777" w:rsidR="00584FB3" w:rsidRDefault="00584FB3">
            <w:pPr>
              <w:rPr>
                <w:rFonts w:ascii="宋体"/>
              </w:rPr>
            </w:pPr>
          </w:p>
        </w:tc>
        <w:tc>
          <w:tcPr>
            <w:tcW w:w="683" w:type="pct"/>
            <w:shd w:val="clear" w:color="auto" w:fill="auto"/>
          </w:tcPr>
          <w:p w14:paraId="40CB0A86" w14:textId="77777777" w:rsidR="00584FB3" w:rsidRDefault="00584FB3">
            <w:pPr>
              <w:rPr>
                <w:rFonts w:ascii="宋体"/>
              </w:rPr>
            </w:pPr>
          </w:p>
        </w:tc>
        <w:tc>
          <w:tcPr>
            <w:tcW w:w="5" w:type="pct"/>
            <w:shd w:val="clear" w:color="auto" w:fill="auto"/>
          </w:tcPr>
          <w:p w14:paraId="40CB0A87" w14:textId="77777777" w:rsidR="00584FB3" w:rsidRDefault="00584FB3">
            <w:pPr>
              <w:rPr>
                <w:rFonts w:ascii="宋体"/>
              </w:rPr>
            </w:pPr>
          </w:p>
        </w:tc>
        <w:tc>
          <w:tcPr>
            <w:tcW w:w="5" w:type="pct"/>
            <w:shd w:val="clear" w:color="auto" w:fill="auto"/>
          </w:tcPr>
          <w:p w14:paraId="40CB0A88" w14:textId="77777777" w:rsidR="00584FB3" w:rsidRDefault="00584FB3">
            <w:pPr>
              <w:rPr>
                <w:rFonts w:ascii="宋体"/>
              </w:rPr>
            </w:pPr>
          </w:p>
        </w:tc>
        <w:tc>
          <w:tcPr>
            <w:tcW w:w="19" w:type="pct"/>
            <w:shd w:val="clear" w:color="auto" w:fill="auto"/>
          </w:tcPr>
          <w:p w14:paraId="40CB0A89" w14:textId="77777777" w:rsidR="00584FB3" w:rsidRDefault="00584FB3">
            <w:pPr>
              <w:rPr>
                <w:rFonts w:ascii="宋体"/>
              </w:rPr>
            </w:pPr>
          </w:p>
        </w:tc>
        <w:tc>
          <w:tcPr>
            <w:tcW w:w="5" w:type="pct"/>
            <w:shd w:val="clear" w:color="auto" w:fill="auto"/>
          </w:tcPr>
          <w:p w14:paraId="40CB0A8A" w14:textId="77777777" w:rsidR="00584FB3" w:rsidRDefault="00584FB3">
            <w:pPr>
              <w:rPr>
                <w:rFonts w:ascii="宋体"/>
              </w:rPr>
            </w:pPr>
          </w:p>
        </w:tc>
        <w:tc>
          <w:tcPr>
            <w:tcW w:w="50" w:type="pct"/>
            <w:shd w:val="clear" w:color="auto" w:fill="auto"/>
          </w:tcPr>
          <w:p w14:paraId="40CB0A8B" w14:textId="77777777" w:rsidR="00584FB3" w:rsidRDefault="00584FB3">
            <w:pPr>
              <w:rPr>
                <w:rFonts w:ascii="宋体"/>
              </w:rPr>
            </w:pPr>
          </w:p>
        </w:tc>
        <w:tc>
          <w:tcPr>
            <w:tcW w:w="683" w:type="pct"/>
            <w:shd w:val="clear" w:color="auto" w:fill="auto"/>
          </w:tcPr>
          <w:p w14:paraId="40CB0A8C" w14:textId="77777777" w:rsidR="00584FB3" w:rsidRDefault="00584FB3">
            <w:pPr>
              <w:rPr>
                <w:rFonts w:ascii="宋体"/>
              </w:rPr>
            </w:pPr>
          </w:p>
        </w:tc>
        <w:tc>
          <w:tcPr>
            <w:tcW w:w="5" w:type="pct"/>
            <w:shd w:val="clear" w:color="auto" w:fill="auto"/>
          </w:tcPr>
          <w:p w14:paraId="40CB0A8D" w14:textId="77777777" w:rsidR="00584FB3" w:rsidRDefault="00584FB3">
            <w:pPr>
              <w:rPr>
                <w:rFonts w:ascii="宋体"/>
              </w:rPr>
            </w:pPr>
          </w:p>
        </w:tc>
      </w:tr>
      <w:tr w:rsidR="00584FB3" w14:paraId="40CB0A93" w14:textId="77777777">
        <w:trPr>
          <w:jc w:val="center"/>
        </w:trPr>
        <w:tc>
          <w:tcPr>
            <w:tcW w:w="0" w:type="auto"/>
            <w:gridSpan w:val="3"/>
            <w:shd w:val="clear" w:color="auto" w:fill="auto"/>
            <w:tcMar>
              <w:top w:w="0" w:type="dxa"/>
              <w:left w:w="20" w:type="dxa"/>
              <w:bottom w:w="0" w:type="dxa"/>
              <w:right w:w="20" w:type="dxa"/>
            </w:tcMar>
          </w:tcPr>
          <w:p w14:paraId="40CB0A8F"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0A90"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0A91"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A92" w14:textId="77777777" w:rsidR="00584FB3" w:rsidRDefault="00786180">
            <w:pPr>
              <w:jc w:val="center"/>
              <w:textAlignment w:val="bottom"/>
            </w:pPr>
            <w:r>
              <w:rPr>
                <w:rFonts w:ascii="Times New Roman" w:eastAsia="宋体" w:hAnsi="Times New Roman"/>
                <w:b/>
                <w:bCs/>
                <w:color w:val="FFFFFF"/>
                <w:sz w:val="16"/>
                <w:szCs w:val="16"/>
              </w:rPr>
              <w:t>Derivative Assets</w:t>
            </w:r>
          </w:p>
        </w:tc>
      </w:tr>
      <w:tr w:rsidR="00584FB3" w14:paraId="40CB0A9A" w14:textId="77777777">
        <w:trPr>
          <w:jc w:val="center"/>
        </w:trPr>
        <w:tc>
          <w:tcPr>
            <w:tcW w:w="0" w:type="auto"/>
            <w:gridSpan w:val="3"/>
            <w:shd w:val="clear" w:color="auto" w:fill="auto"/>
            <w:tcMar>
              <w:top w:w="0" w:type="dxa"/>
              <w:left w:w="20" w:type="dxa"/>
              <w:bottom w:w="0" w:type="dxa"/>
              <w:right w:w="20" w:type="dxa"/>
            </w:tcMar>
          </w:tcPr>
          <w:p w14:paraId="40CB0A9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A95" w14:textId="77777777" w:rsidR="00584FB3" w:rsidRDefault="00786180">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tcPr>
          <w:p w14:paraId="40CB0A9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A97"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A98"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A99"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0AA1" w14:textId="77777777">
        <w:trPr>
          <w:jc w:val="center"/>
        </w:trPr>
        <w:tc>
          <w:tcPr>
            <w:tcW w:w="0" w:type="auto"/>
            <w:gridSpan w:val="3"/>
            <w:shd w:val="clear" w:color="auto" w:fill="D7E4BC"/>
            <w:tcMar>
              <w:top w:w="40" w:type="dxa"/>
              <w:left w:w="20" w:type="dxa"/>
              <w:bottom w:w="40" w:type="dxa"/>
              <w:right w:w="20" w:type="dxa"/>
            </w:tcMar>
            <w:vAlign w:val="bottom"/>
          </w:tcPr>
          <w:p w14:paraId="40CB0A9B" w14:textId="77777777" w:rsidR="00584FB3" w:rsidRDefault="00786180">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tcPr>
          <w:p w14:paraId="40CB0A9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A9D"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A9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A9F"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AA0" w14:textId="77777777" w:rsidR="00584FB3" w:rsidRDefault="00584FB3">
            <w:pPr>
              <w:rPr>
                <w:rFonts w:ascii="宋体"/>
              </w:rPr>
            </w:pPr>
          </w:p>
        </w:tc>
      </w:tr>
      <w:tr w:rsidR="00584FB3" w14:paraId="40CB0AAC" w14:textId="77777777">
        <w:trPr>
          <w:jc w:val="center"/>
        </w:trPr>
        <w:tc>
          <w:tcPr>
            <w:tcW w:w="0" w:type="auto"/>
            <w:gridSpan w:val="3"/>
            <w:shd w:val="clear" w:color="auto" w:fill="FFFFFF"/>
            <w:tcMar>
              <w:top w:w="40" w:type="dxa"/>
              <w:left w:w="155" w:type="dxa"/>
              <w:bottom w:w="40" w:type="dxa"/>
              <w:right w:w="20" w:type="dxa"/>
            </w:tcMar>
            <w:vAlign w:val="bottom"/>
          </w:tcPr>
          <w:p w14:paraId="40CB0AA2" w14:textId="77777777" w:rsidR="00584FB3" w:rsidRDefault="00786180">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40CB0AA3" w14:textId="77777777" w:rsidR="00584FB3" w:rsidRDefault="00786180">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tcPr>
          <w:p w14:paraId="40CB0AA4"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AA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AA6" w14:textId="77777777" w:rsidR="00584FB3" w:rsidRDefault="00786180">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40CB0AA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A8"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AA9"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AAA" w14:textId="77777777" w:rsidR="00584FB3" w:rsidRDefault="00786180">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40CB0AAB" w14:textId="77777777" w:rsidR="00584FB3" w:rsidRDefault="00584FB3">
            <w:pPr>
              <w:jc w:val="right"/>
              <w:rPr>
                <w:rFonts w:ascii="宋体"/>
              </w:rPr>
            </w:pPr>
          </w:p>
        </w:tc>
      </w:tr>
      <w:tr w:rsidR="00584FB3" w14:paraId="40CB0AB3" w14:textId="77777777">
        <w:trPr>
          <w:jc w:val="center"/>
          <w:hidden/>
        </w:trPr>
        <w:tc>
          <w:tcPr>
            <w:tcW w:w="0" w:type="auto"/>
            <w:gridSpan w:val="3"/>
            <w:shd w:val="clear" w:color="auto" w:fill="auto"/>
          </w:tcPr>
          <w:p w14:paraId="40CB0AAD" w14:textId="77777777" w:rsidR="00584FB3" w:rsidRDefault="00584FB3">
            <w:pPr>
              <w:rPr>
                <w:rFonts w:ascii="宋体"/>
                <w:vanish/>
              </w:rPr>
            </w:pPr>
          </w:p>
        </w:tc>
        <w:tc>
          <w:tcPr>
            <w:tcW w:w="0" w:type="auto"/>
            <w:gridSpan w:val="3"/>
            <w:shd w:val="clear" w:color="auto" w:fill="auto"/>
          </w:tcPr>
          <w:p w14:paraId="40CB0AAE" w14:textId="77777777" w:rsidR="00584FB3" w:rsidRDefault="00584FB3">
            <w:pPr>
              <w:rPr>
                <w:rFonts w:ascii="宋体"/>
                <w:vanish/>
              </w:rPr>
            </w:pPr>
          </w:p>
        </w:tc>
        <w:tc>
          <w:tcPr>
            <w:tcW w:w="0" w:type="auto"/>
            <w:gridSpan w:val="3"/>
            <w:shd w:val="clear" w:color="auto" w:fill="auto"/>
          </w:tcPr>
          <w:p w14:paraId="40CB0AAF" w14:textId="77777777" w:rsidR="00584FB3" w:rsidRDefault="00584FB3">
            <w:pPr>
              <w:rPr>
                <w:rFonts w:ascii="宋体"/>
                <w:vanish/>
              </w:rPr>
            </w:pPr>
          </w:p>
        </w:tc>
        <w:tc>
          <w:tcPr>
            <w:tcW w:w="0" w:type="auto"/>
            <w:gridSpan w:val="3"/>
            <w:shd w:val="clear" w:color="auto" w:fill="auto"/>
          </w:tcPr>
          <w:p w14:paraId="40CB0AB0" w14:textId="77777777" w:rsidR="00584FB3" w:rsidRDefault="00584FB3">
            <w:pPr>
              <w:rPr>
                <w:rFonts w:ascii="宋体"/>
                <w:vanish/>
              </w:rPr>
            </w:pPr>
          </w:p>
        </w:tc>
        <w:tc>
          <w:tcPr>
            <w:tcW w:w="0" w:type="auto"/>
            <w:gridSpan w:val="3"/>
            <w:shd w:val="clear" w:color="auto" w:fill="auto"/>
          </w:tcPr>
          <w:p w14:paraId="40CB0AB1" w14:textId="77777777" w:rsidR="00584FB3" w:rsidRDefault="00584FB3">
            <w:pPr>
              <w:rPr>
                <w:rFonts w:ascii="宋体"/>
                <w:vanish/>
              </w:rPr>
            </w:pPr>
          </w:p>
        </w:tc>
        <w:tc>
          <w:tcPr>
            <w:tcW w:w="0" w:type="auto"/>
            <w:gridSpan w:val="3"/>
            <w:shd w:val="clear" w:color="auto" w:fill="auto"/>
          </w:tcPr>
          <w:p w14:paraId="40CB0AB2" w14:textId="77777777" w:rsidR="00584FB3" w:rsidRDefault="00584FB3">
            <w:pPr>
              <w:rPr>
                <w:rFonts w:ascii="宋体"/>
                <w:vanish/>
              </w:rPr>
            </w:pPr>
          </w:p>
        </w:tc>
      </w:tr>
      <w:tr w:rsidR="00584FB3" w14:paraId="40CB0ABC" w14:textId="77777777">
        <w:trPr>
          <w:jc w:val="center"/>
        </w:trPr>
        <w:tc>
          <w:tcPr>
            <w:tcW w:w="0" w:type="auto"/>
            <w:gridSpan w:val="3"/>
            <w:shd w:val="clear" w:color="auto" w:fill="D7E4BC"/>
            <w:tcMar>
              <w:top w:w="40" w:type="dxa"/>
              <w:left w:w="155" w:type="dxa"/>
              <w:bottom w:w="40" w:type="dxa"/>
              <w:right w:w="20" w:type="dxa"/>
            </w:tcMar>
            <w:vAlign w:val="bottom"/>
          </w:tcPr>
          <w:p w14:paraId="40CB0AB4" w14:textId="77777777" w:rsidR="00584FB3" w:rsidRDefault="00786180">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40CB0AB5" w14:textId="77777777" w:rsidR="00584FB3" w:rsidRDefault="00786180">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40CB0AB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B7" w14:textId="77777777" w:rsidR="00584FB3" w:rsidRDefault="00786180">
            <w:pPr>
              <w:jc w:val="right"/>
              <w:textAlignment w:val="bottom"/>
            </w:pPr>
            <w:r>
              <w:rPr>
                <w:rFonts w:ascii="Times New Roman" w:eastAsia="宋体" w:hAnsi="Times New Roman"/>
                <w:color w:val="000000"/>
                <w:sz w:val="20"/>
                <w:szCs w:val="20"/>
              </w:rPr>
              <w:t>17.3 </w:t>
            </w:r>
          </w:p>
        </w:tc>
        <w:tc>
          <w:tcPr>
            <w:tcW w:w="0" w:type="auto"/>
            <w:shd w:val="clear" w:color="auto" w:fill="D7E4BC"/>
            <w:tcMar>
              <w:top w:w="40" w:type="dxa"/>
              <w:left w:w="0" w:type="dxa"/>
              <w:bottom w:w="40" w:type="dxa"/>
              <w:right w:w="20" w:type="dxa"/>
            </w:tcMar>
            <w:vAlign w:val="bottom"/>
          </w:tcPr>
          <w:p w14:paraId="40CB0AB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B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BA" w14:textId="77777777" w:rsidR="00584FB3" w:rsidRDefault="00786180">
            <w:pPr>
              <w:jc w:val="right"/>
              <w:textAlignment w:val="bottom"/>
            </w:pPr>
            <w:r>
              <w:rPr>
                <w:rFonts w:ascii="Times New Roman" w:eastAsia="宋体" w:hAnsi="Times New Roman"/>
                <w:color w:val="000000"/>
                <w:sz w:val="20"/>
                <w:szCs w:val="20"/>
              </w:rPr>
              <w:t>37.7 </w:t>
            </w:r>
          </w:p>
        </w:tc>
        <w:tc>
          <w:tcPr>
            <w:tcW w:w="0" w:type="auto"/>
            <w:shd w:val="clear" w:color="auto" w:fill="D7E4BC"/>
            <w:tcMar>
              <w:top w:w="40" w:type="dxa"/>
              <w:left w:w="0" w:type="dxa"/>
              <w:bottom w:w="40" w:type="dxa"/>
              <w:right w:w="20" w:type="dxa"/>
            </w:tcMar>
            <w:vAlign w:val="bottom"/>
          </w:tcPr>
          <w:p w14:paraId="40CB0ABB" w14:textId="77777777" w:rsidR="00584FB3" w:rsidRDefault="00584FB3">
            <w:pPr>
              <w:jc w:val="right"/>
              <w:rPr>
                <w:rFonts w:ascii="宋体"/>
              </w:rPr>
            </w:pPr>
          </w:p>
        </w:tc>
      </w:tr>
      <w:tr w:rsidR="00584FB3" w14:paraId="40CB0AC5" w14:textId="77777777">
        <w:trPr>
          <w:jc w:val="center"/>
        </w:trPr>
        <w:tc>
          <w:tcPr>
            <w:tcW w:w="0" w:type="auto"/>
            <w:gridSpan w:val="3"/>
            <w:shd w:val="clear" w:color="auto" w:fill="FFFFFF"/>
            <w:tcMar>
              <w:top w:w="40" w:type="dxa"/>
              <w:left w:w="155" w:type="dxa"/>
              <w:bottom w:w="40" w:type="dxa"/>
              <w:right w:w="20" w:type="dxa"/>
            </w:tcMar>
            <w:vAlign w:val="bottom"/>
          </w:tcPr>
          <w:p w14:paraId="40CB0ABD" w14:textId="77777777" w:rsidR="00584FB3" w:rsidRDefault="00786180">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40CB0ABE" w14:textId="77777777" w:rsidR="00584FB3" w:rsidRDefault="00786180">
            <w:pPr>
              <w:textAlignment w:val="bottom"/>
            </w:pPr>
            <w:r>
              <w:rPr>
                <w:rFonts w:ascii="Times New Roman" w:eastAsia="宋体" w:hAnsi="Times New Roman"/>
                <w:color w:val="000000"/>
                <w:sz w:val="20"/>
                <w:szCs w:val="20"/>
              </w:rPr>
              <w:t xml:space="preserve">Prepaid expenses and other current assets </w:t>
            </w:r>
          </w:p>
        </w:tc>
        <w:tc>
          <w:tcPr>
            <w:tcW w:w="0" w:type="auto"/>
            <w:gridSpan w:val="3"/>
            <w:shd w:val="clear" w:color="auto" w:fill="FFFFFF"/>
            <w:tcMar>
              <w:top w:w="0" w:type="dxa"/>
              <w:left w:w="20" w:type="dxa"/>
              <w:bottom w:w="0" w:type="dxa"/>
              <w:right w:w="20" w:type="dxa"/>
            </w:tcMar>
          </w:tcPr>
          <w:p w14:paraId="40CB0AB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C0" w14:textId="77777777" w:rsidR="00584FB3" w:rsidRDefault="00786180">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40CB0AC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C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C3" w14:textId="77777777" w:rsidR="00584FB3" w:rsidRDefault="00786180">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40CB0AC4" w14:textId="77777777" w:rsidR="00584FB3" w:rsidRDefault="00584FB3">
            <w:pPr>
              <w:jc w:val="right"/>
              <w:rPr>
                <w:rFonts w:ascii="宋体"/>
              </w:rPr>
            </w:pPr>
          </w:p>
        </w:tc>
      </w:tr>
      <w:tr w:rsidR="00584FB3" w14:paraId="40CB0ACC" w14:textId="77777777">
        <w:trPr>
          <w:jc w:val="center"/>
          <w:hidden/>
        </w:trPr>
        <w:tc>
          <w:tcPr>
            <w:tcW w:w="0" w:type="auto"/>
            <w:gridSpan w:val="3"/>
            <w:shd w:val="clear" w:color="auto" w:fill="auto"/>
          </w:tcPr>
          <w:p w14:paraId="40CB0AC6" w14:textId="77777777" w:rsidR="00584FB3" w:rsidRDefault="00584FB3">
            <w:pPr>
              <w:rPr>
                <w:rFonts w:ascii="宋体"/>
                <w:vanish/>
              </w:rPr>
            </w:pPr>
          </w:p>
        </w:tc>
        <w:tc>
          <w:tcPr>
            <w:tcW w:w="0" w:type="auto"/>
            <w:gridSpan w:val="3"/>
            <w:shd w:val="clear" w:color="auto" w:fill="auto"/>
          </w:tcPr>
          <w:p w14:paraId="40CB0AC7" w14:textId="77777777" w:rsidR="00584FB3" w:rsidRDefault="00584FB3">
            <w:pPr>
              <w:rPr>
                <w:rFonts w:ascii="宋体"/>
                <w:vanish/>
              </w:rPr>
            </w:pPr>
          </w:p>
        </w:tc>
        <w:tc>
          <w:tcPr>
            <w:tcW w:w="0" w:type="auto"/>
            <w:gridSpan w:val="3"/>
            <w:shd w:val="clear" w:color="auto" w:fill="auto"/>
          </w:tcPr>
          <w:p w14:paraId="40CB0AC8" w14:textId="77777777" w:rsidR="00584FB3" w:rsidRDefault="00584FB3">
            <w:pPr>
              <w:rPr>
                <w:rFonts w:ascii="宋体"/>
                <w:vanish/>
              </w:rPr>
            </w:pPr>
          </w:p>
        </w:tc>
        <w:tc>
          <w:tcPr>
            <w:tcW w:w="0" w:type="auto"/>
            <w:gridSpan w:val="3"/>
            <w:shd w:val="clear" w:color="auto" w:fill="auto"/>
          </w:tcPr>
          <w:p w14:paraId="40CB0AC9" w14:textId="77777777" w:rsidR="00584FB3" w:rsidRDefault="00584FB3">
            <w:pPr>
              <w:rPr>
                <w:rFonts w:ascii="宋体"/>
                <w:vanish/>
              </w:rPr>
            </w:pPr>
          </w:p>
        </w:tc>
        <w:tc>
          <w:tcPr>
            <w:tcW w:w="0" w:type="auto"/>
            <w:gridSpan w:val="3"/>
            <w:shd w:val="clear" w:color="auto" w:fill="auto"/>
          </w:tcPr>
          <w:p w14:paraId="40CB0ACA" w14:textId="77777777" w:rsidR="00584FB3" w:rsidRDefault="00584FB3">
            <w:pPr>
              <w:rPr>
                <w:rFonts w:ascii="宋体"/>
                <w:vanish/>
              </w:rPr>
            </w:pPr>
          </w:p>
        </w:tc>
        <w:tc>
          <w:tcPr>
            <w:tcW w:w="0" w:type="auto"/>
            <w:gridSpan w:val="3"/>
            <w:shd w:val="clear" w:color="auto" w:fill="auto"/>
          </w:tcPr>
          <w:p w14:paraId="40CB0ACB" w14:textId="77777777" w:rsidR="00584FB3" w:rsidRDefault="00584FB3">
            <w:pPr>
              <w:rPr>
                <w:rFonts w:ascii="宋体"/>
                <w:vanish/>
              </w:rPr>
            </w:pPr>
          </w:p>
        </w:tc>
      </w:tr>
      <w:tr w:rsidR="00584FB3" w14:paraId="40CB0AD5"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40CB0ACD" w14:textId="77777777" w:rsidR="00584FB3" w:rsidRDefault="00786180">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40CB0ACE" w14:textId="77777777" w:rsidR="00584FB3" w:rsidRDefault="00786180">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40CB0AC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D0" w14:textId="77777777" w:rsidR="00584FB3" w:rsidRDefault="00786180">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40CB0AD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D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D3" w14:textId="77777777" w:rsidR="00584FB3" w:rsidRDefault="00786180">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40CB0AD4" w14:textId="77777777" w:rsidR="00584FB3" w:rsidRDefault="00584FB3">
            <w:pPr>
              <w:jc w:val="right"/>
              <w:rPr>
                <w:rFonts w:ascii="宋体"/>
              </w:rPr>
            </w:pPr>
          </w:p>
        </w:tc>
      </w:tr>
      <w:tr w:rsidR="00584FB3" w14:paraId="40CB0ADE" w14:textId="77777777">
        <w:trPr>
          <w:trHeight w:val="300"/>
          <w:jc w:val="center"/>
        </w:trPr>
        <w:tc>
          <w:tcPr>
            <w:tcW w:w="0" w:type="auto"/>
            <w:gridSpan w:val="3"/>
            <w:vMerge/>
            <w:shd w:val="clear" w:color="auto" w:fill="D7E4BC"/>
            <w:tcMar>
              <w:top w:w="40" w:type="dxa"/>
              <w:left w:w="155" w:type="dxa"/>
              <w:bottom w:w="40" w:type="dxa"/>
              <w:right w:w="20" w:type="dxa"/>
            </w:tcMar>
          </w:tcPr>
          <w:p w14:paraId="40CB0AD6"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tcPr>
          <w:p w14:paraId="40CB0AD7" w14:textId="77777777" w:rsidR="00584FB3" w:rsidRDefault="00786180">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long-term assets</w:t>
            </w:r>
          </w:p>
        </w:tc>
        <w:tc>
          <w:tcPr>
            <w:tcW w:w="0" w:type="auto"/>
            <w:gridSpan w:val="3"/>
            <w:shd w:val="clear" w:color="auto" w:fill="D7E4BC"/>
            <w:tcMar>
              <w:top w:w="0" w:type="dxa"/>
              <w:left w:w="20" w:type="dxa"/>
              <w:bottom w:w="0" w:type="dxa"/>
              <w:right w:w="20" w:type="dxa"/>
            </w:tcMar>
          </w:tcPr>
          <w:p w14:paraId="40CB0AD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D9" w14:textId="77777777" w:rsidR="00584FB3" w:rsidRDefault="00786180">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40CB0AD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AD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ADC" w14:textId="77777777" w:rsidR="00584FB3" w:rsidRDefault="00786180">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40CB0ADD" w14:textId="77777777" w:rsidR="00584FB3" w:rsidRDefault="00584FB3">
            <w:pPr>
              <w:jc w:val="right"/>
              <w:rPr>
                <w:rFonts w:ascii="宋体"/>
              </w:rPr>
            </w:pPr>
          </w:p>
        </w:tc>
      </w:tr>
      <w:tr w:rsidR="00584FB3" w14:paraId="40CB0AE5" w14:textId="77777777">
        <w:trPr>
          <w:jc w:val="center"/>
          <w:hidden/>
        </w:trPr>
        <w:tc>
          <w:tcPr>
            <w:tcW w:w="0" w:type="auto"/>
            <w:gridSpan w:val="3"/>
            <w:shd w:val="clear" w:color="auto" w:fill="auto"/>
          </w:tcPr>
          <w:p w14:paraId="40CB0ADF" w14:textId="77777777" w:rsidR="00584FB3" w:rsidRDefault="00584FB3">
            <w:pPr>
              <w:rPr>
                <w:rFonts w:ascii="宋体"/>
                <w:vanish/>
              </w:rPr>
            </w:pPr>
          </w:p>
        </w:tc>
        <w:tc>
          <w:tcPr>
            <w:tcW w:w="0" w:type="auto"/>
            <w:gridSpan w:val="3"/>
            <w:shd w:val="clear" w:color="auto" w:fill="auto"/>
          </w:tcPr>
          <w:p w14:paraId="40CB0AE0" w14:textId="77777777" w:rsidR="00584FB3" w:rsidRDefault="00584FB3">
            <w:pPr>
              <w:rPr>
                <w:rFonts w:ascii="宋体"/>
                <w:vanish/>
              </w:rPr>
            </w:pPr>
          </w:p>
        </w:tc>
        <w:tc>
          <w:tcPr>
            <w:tcW w:w="0" w:type="auto"/>
            <w:gridSpan w:val="3"/>
            <w:shd w:val="clear" w:color="auto" w:fill="auto"/>
          </w:tcPr>
          <w:p w14:paraId="40CB0AE1" w14:textId="77777777" w:rsidR="00584FB3" w:rsidRDefault="00584FB3">
            <w:pPr>
              <w:rPr>
                <w:rFonts w:ascii="宋体"/>
                <w:vanish/>
              </w:rPr>
            </w:pPr>
          </w:p>
        </w:tc>
        <w:tc>
          <w:tcPr>
            <w:tcW w:w="0" w:type="auto"/>
            <w:gridSpan w:val="3"/>
            <w:shd w:val="clear" w:color="auto" w:fill="auto"/>
          </w:tcPr>
          <w:p w14:paraId="40CB0AE2" w14:textId="77777777" w:rsidR="00584FB3" w:rsidRDefault="00584FB3">
            <w:pPr>
              <w:rPr>
                <w:rFonts w:ascii="宋体"/>
                <w:vanish/>
              </w:rPr>
            </w:pPr>
          </w:p>
        </w:tc>
        <w:tc>
          <w:tcPr>
            <w:tcW w:w="0" w:type="auto"/>
            <w:gridSpan w:val="3"/>
            <w:shd w:val="clear" w:color="auto" w:fill="auto"/>
          </w:tcPr>
          <w:p w14:paraId="40CB0AE3" w14:textId="77777777" w:rsidR="00584FB3" w:rsidRDefault="00584FB3">
            <w:pPr>
              <w:rPr>
                <w:rFonts w:ascii="宋体"/>
                <w:vanish/>
              </w:rPr>
            </w:pPr>
          </w:p>
        </w:tc>
        <w:tc>
          <w:tcPr>
            <w:tcW w:w="0" w:type="auto"/>
            <w:gridSpan w:val="3"/>
            <w:shd w:val="clear" w:color="auto" w:fill="auto"/>
          </w:tcPr>
          <w:p w14:paraId="40CB0AE4" w14:textId="77777777" w:rsidR="00584FB3" w:rsidRDefault="00584FB3">
            <w:pPr>
              <w:rPr>
                <w:rFonts w:ascii="宋体"/>
                <w:vanish/>
              </w:rPr>
            </w:pPr>
          </w:p>
        </w:tc>
      </w:tr>
      <w:tr w:rsidR="00584FB3" w14:paraId="40CB0AEE" w14:textId="77777777">
        <w:trPr>
          <w:jc w:val="center"/>
        </w:trPr>
        <w:tc>
          <w:tcPr>
            <w:tcW w:w="0" w:type="auto"/>
            <w:gridSpan w:val="3"/>
            <w:shd w:val="clear" w:color="auto" w:fill="FFFFFF"/>
            <w:tcMar>
              <w:top w:w="40" w:type="dxa"/>
              <w:left w:w="155" w:type="dxa"/>
              <w:bottom w:w="40" w:type="dxa"/>
              <w:right w:w="20" w:type="dxa"/>
            </w:tcMar>
            <w:vAlign w:val="bottom"/>
          </w:tcPr>
          <w:p w14:paraId="40CB0AE6" w14:textId="77777777" w:rsidR="00584FB3" w:rsidRDefault="00786180">
            <w:pPr>
              <w:textAlignment w:val="bottom"/>
            </w:pPr>
            <w:r>
              <w:rPr>
                <w:rFonts w:ascii="Times New Roman" w:eastAsia="宋体" w:hAnsi="Times New Roman"/>
                <w:color w:val="000000"/>
                <w:sz w:val="20"/>
                <w:szCs w:val="20"/>
              </w:rPr>
              <w:t>Interest rate swap</w:t>
            </w:r>
          </w:p>
        </w:tc>
        <w:tc>
          <w:tcPr>
            <w:tcW w:w="0" w:type="auto"/>
            <w:gridSpan w:val="3"/>
            <w:shd w:val="clear" w:color="auto" w:fill="FFFFFF"/>
            <w:tcMar>
              <w:top w:w="40" w:type="dxa"/>
              <w:left w:w="20" w:type="dxa"/>
              <w:bottom w:w="40" w:type="dxa"/>
              <w:right w:w="20" w:type="dxa"/>
            </w:tcMar>
            <w:vAlign w:val="bottom"/>
          </w:tcPr>
          <w:p w14:paraId="40CB0AE7" w14:textId="77777777" w:rsidR="00584FB3" w:rsidRDefault="00786180">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tcPr>
          <w:p w14:paraId="40CB0AE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E9" w14:textId="77777777" w:rsidR="00584FB3" w:rsidRDefault="00786180">
            <w:pPr>
              <w:jc w:val="right"/>
              <w:textAlignment w:val="bottom"/>
            </w:pPr>
            <w:r>
              <w:rPr>
                <w:rFonts w:ascii="Times New Roman" w:eastAsia="宋体" w:hAnsi="Times New Roman"/>
                <w:color w:val="000000"/>
                <w:sz w:val="20"/>
                <w:szCs w:val="20"/>
              </w:rPr>
              <w:t>35.9 </w:t>
            </w:r>
          </w:p>
        </w:tc>
        <w:tc>
          <w:tcPr>
            <w:tcW w:w="0" w:type="auto"/>
            <w:shd w:val="clear" w:color="auto" w:fill="FFFFFF"/>
            <w:tcMar>
              <w:top w:w="40" w:type="dxa"/>
              <w:left w:w="0" w:type="dxa"/>
              <w:bottom w:w="40" w:type="dxa"/>
              <w:right w:w="20" w:type="dxa"/>
            </w:tcMar>
            <w:vAlign w:val="bottom"/>
          </w:tcPr>
          <w:p w14:paraId="40CB0AE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E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EC" w14:textId="77777777" w:rsidR="00584FB3" w:rsidRDefault="00786180">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40CB0AED" w14:textId="77777777" w:rsidR="00584FB3" w:rsidRDefault="00584FB3">
            <w:pPr>
              <w:jc w:val="right"/>
              <w:rPr>
                <w:rFonts w:ascii="宋体"/>
              </w:rPr>
            </w:pPr>
          </w:p>
        </w:tc>
      </w:tr>
      <w:tr w:rsidR="00584FB3" w14:paraId="40CB0AF5" w14:textId="77777777">
        <w:trPr>
          <w:jc w:val="center"/>
        </w:trPr>
        <w:tc>
          <w:tcPr>
            <w:tcW w:w="0" w:type="auto"/>
            <w:gridSpan w:val="3"/>
            <w:shd w:val="clear" w:color="auto" w:fill="D7E4BC"/>
            <w:tcMar>
              <w:top w:w="40" w:type="dxa"/>
              <w:left w:w="20" w:type="dxa"/>
              <w:bottom w:w="40" w:type="dxa"/>
              <w:right w:w="20" w:type="dxa"/>
            </w:tcMar>
            <w:vAlign w:val="bottom"/>
          </w:tcPr>
          <w:p w14:paraId="40CB0AEF" w14:textId="77777777" w:rsidR="00584FB3" w:rsidRDefault="00786180">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tcPr>
          <w:p w14:paraId="40CB0AF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AF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AF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AF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AF4" w14:textId="77777777" w:rsidR="00584FB3" w:rsidRDefault="00584FB3">
            <w:pPr>
              <w:rPr>
                <w:rFonts w:ascii="宋体"/>
              </w:rPr>
            </w:pPr>
          </w:p>
        </w:tc>
      </w:tr>
      <w:tr w:rsidR="00584FB3" w14:paraId="40CB0AFE" w14:textId="77777777">
        <w:trPr>
          <w:jc w:val="center"/>
        </w:trPr>
        <w:tc>
          <w:tcPr>
            <w:tcW w:w="0" w:type="auto"/>
            <w:gridSpan w:val="3"/>
            <w:shd w:val="clear" w:color="auto" w:fill="FFFFFF"/>
            <w:tcMar>
              <w:top w:w="40" w:type="dxa"/>
              <w:left w:w="155" w:type="dxa"/>
              <w:bottom w:w="40" w:type="dxa"/>
              <w:right w:w="20" w:type="dxa"/>
            </w:tcMar>
            <w:vAlign w:val="bottom"/>
          </w:tcPr>
          <w:p w14:paraId="40CB0AF6" w14:textId="77777777" w:rsidR="00584FB3" w:rsidRDefault="00786180">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40CB0AF7" w14:textId="77777777" w:rsidR="00584FB3" w:rsidRDefault="00786180">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tcPr>
          <w:p w14:paraId="40CB0AF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F9" w14:textId="77777777" w:rsidR="00584FB3" w:rsidRDefault="00786180">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40CB0AF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AF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AFC"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AFD" w14:textId="77777777" w:rsidR="00584FB3" w:rsidRDefault="00584FB3">
            <w:pPr>
              <w:jc w:val="right"/>
              <w:rPr>
                <w:rFonts w:ascii="宋体"/>
              </w:rPr>
            </w:pPr>
          </w:p>
        </w:tc>
      </w:tr>
      <w:tr w:rsidR="00584FB3" w14:paraId="40CB0B07" w14:textId="77777777">
        <w:trPr>
          <w:jc w:val="center"/>
        </w:trPr>
        <w:tc>
          <w:tcPr>
            <w:tcW w:w="0" w:type="auto"/>
            <w:gridSpan w:val="3"/>
            <w:shd w:val="clear" w:color="auto" w:fill="D7E4BC"/>
            <w:tcMar>
              <w:top w:w="40" w:type="dxa"/>
              <w:left w:w="155" w:type="dxa"/>
              <w:bottom w:w="40" w:type="dxa"/>
              <w:right w:w="20" w:type="dxa"/>
            </w:tcMar>
            <w:vAlign w:val="bottom"/>
          </w:tcPr>
          <w:p w14:paraId="40CB0AFF" w14:textId="77777777" w:rsidR="00584FB3" w:rsidRDefault="00786180">
            <w:pPr>
              <w:textAlignment w:val="bottom"/>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40CB0B00" w14:textId="77777777" w:rsidR="00584FB3" w:rsidRDefault="00786180">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40CB0B0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02" w14:textId="77777777" w:rsidR="00584FB3" w:rsidRDefault="00786180">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left w:w="0" w:type="dxa"/>
              <w:bottom w:w="40" w:type="dxa"/>
              <w:right w:w="20" w:type="dxa"/>
            </w:tcMar>
            <w:vAlign w:val="bottom"/>
          </w:tcPr>
          <w:p w14:paraId="40CB0B0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B0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05" w14:textId="77777777" w:rsidR="00584FB3" w:rsidRDefault="00786180">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40CB0B06" w14:textId="77777777" w:rsidR="00584FB3" w:rsidRDefault="00584FB3">
            <w:pPr>
              <w:jc w:val="right"/>
              <w:rPr>
                <w:rFonts w:ascii="宋体"/>
              </w:rPr>
            </w:pPr>
          </w:p>
        </w:tc>
      </w:tr>
      <w:tr w:rsidR="00584FB3" w14:paraId="40CB0B0E" w14:textId="77777777">
        <w:trPr>
          <w:trHeight w:val="60"/>
          <w:jc w:val="center"/>
        </w:trPr>
        <w:tc>
          <w:tcPr>
            <w:tcW w:w="0" w:type="auto"/>
            <w:gridSpan w:val="3"/>
            <w:shd w:val="clear" w:color="auto" w:fill="FFFFFF"/>
            <w:tcMar>
              <w:top w:w="0" w:type="dxa"/>
              <w:left w:w="20" w:type="dxa"/>
              <w:bottom w:w="0" w:type="dxa"/>
              <w:right w:w="20" w:type="dxa"/>
            </w:tcMar>
          </w:tcPr>
          <w:p w14:paraId="40CB0B0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B09"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B0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B0B"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B0C"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B0D" w14:textId="77777777" w:rsidR="00584FB3" w:rsidRDefault="00584FB3">
            <w:pPr>
              <w:rPr>
                <w:rFonts w:ascii="宋体"/>
              </w:rPr>
            </w:pPr>
          </w:p>
        </w:tc>
      </w:tr>
      <w:tr w:rsidR="00584FB3" w14:paraId="40CB0B13" w14:textId="77777777">
        <w:trPr>
          <w:jc w:val="center"/>
        </w:trPr>
        <w:tc>
          <w:tcPr>
            <w:tcW w:w="0" w:type="auto"/>
            <w:gridSpan w:val="3"/>
            <w:shd w:val="clear" w:color="auto" w:fill="FFFFFF"/>
            <w:tcMar>
              <w:top w:w="0" w:type="dxa"/>
              <w:left w:w="20" w:type="dxa"/>
              <w:bottom w:w="0" w:type="dxa"/>
              <w:right w:w="20" w:type="dxa"/>
            </w:tcMar>
          </w:tcPr>
          <w:p w14:paraId="40CB0B0F"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B1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B11"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B12" w14:textId="77777777" w:rsidR="00584FB3" w:rsidRDefault="00786180">
            <w:pPr>
              <w:jc w:val="center"/>
              <w:textAlignment w:val="bottom"/>
            </w:pPr>
            <w:r>
              <w:rPr>
                <w:rFonts w:ascii="Times New Roman" w:eastAsia="宋体" w:hAnsi="Times New Roman"/>
                <w:b/>
                <w:bCs/>
                <w:color w:val="FFFFFF"/>
                <w:sz w:val="16"/>
                <w:szCs w:val="16"/>
              </w:rPr>
              <w:t>Derivative Liabilities</w:t>
            </w:r>
          </w:p>
        </w:tc>
      </w:tr>
      <w:tr w:rsidR="00584FB3" w14:paraId="40CB0B1A" w14:textId="77777777">
        <w:trPr>
          <w:jc w:val="center"/>
        </w:trPr>
        <w:tc>
          <w:tcPr>
            <w:tcW w:w="0" w:type="auto"/>
            <w:gridSpan w:val="3"/>
            <w:shd w:val="clear" w:color="auto" w:fill="auto"/>
            <w:tcMar>
              <w:top w:w="0" w:type="dxa"/>
              <w:left w:w="20" w:type="dxa"/>
              <w:bottom w:w="0" w:type="dxa"/>
              <w:right w:w="20" w:type="dxa"/>
            </w:tcMar>
          </w:tcPr>
          <w:p w14:paraId="40CB0B1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15" w14:textId="77777777" w:rsidR="00584FB3" w:rsidRDefault="00786180">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tcPr>
          <w:p w14:paraId="40CB0B1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17"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B18"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19"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0B21" w14:textId="77777777">
        <w:trPr>
          <w:jc w:val="center"/>
        </w:trPr>
        <w:tc>
          <w:tcPr>
            <w:tcW w:w="0" w:type="auto"/>
            <w:gridSpan w:val="3"/>
            <w:shd w:val="clear" w:color="auto" w:fill="D7E4BC"/>
            <w:tcMar>
              <w:top w:w="40" w:type="dxa"/>
              <w:left w:w="20" w:type="dxa"/>
              <w:bottom w:w="40" w:type="dxa"/>
              <w:right w:w="20" w:type="dxa"/>
            </w:tcMar>
            <w:vAlign w:val="bottom"/>
          </w:tcPr>
          <w:p w14:paraId="40CB0B1B" w14:textId="77777777" w:rsidR="00584FB3" w:rsidRDefault="00786180">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tcPr>
          <w:p w14:paraId="40CB0B1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1D"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B1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1F"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B20" w14:textId="77777777" w:rsidR="00584FB3" w:rsidRDefault="00584FB3">
            <w:pPr>
              <w:rPr>
                <w:rFonts w:ascii="宋体"/>
              </w:rPr>
            </w:pPr>
          </w:p>
        </w:tc>
      </w:tr>
      <w:tr w:rsidR="00584FB3" w14:paraId="40CB0B2C" w14:textId="77777777">
        <w:trPr>
          <w:trHeight w:val="300"/>
          <w:jc w:val="center"/>
        </w:trPr>
        <w:tc>
          <w:tcPr>
            <w:tcW w:w="0" w:type="auto"/>
            <w:gridSpan w:val="3"/>
            <w:vMerge w:val="restart"/>
            <w:shd w:val="clear" w:color="auto" w:fill="FFFFFF"/>
            <w:tcMar>
              <w:top w:w="40" w:type="dxa"/>
              <w:left w:w="155" w:type="dxa"/>
              <w:bottom w:w="40" w:type="dxa"/>
              <w:right w:w="20" w:type="dxa"/>
            </w:tcMar>
          </w:tcPr>
          <w:p w14:paraId="40CB0B22" w14:textId="77777777" w:rsidR="00584FB3" w:rsidRDefault="00786180">
            <w:pPr>
              <w:textAlignment w:val="top"/>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tcPr>
          <w:p w14:paraId="40CB0B23" w14:textId="77777777" w:rsidR="00584FB3" w:rsidRDefault="00786180">
            <w:pPr>
              <w:textAlignment w:val="top"/>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40CB0B24"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B2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B26"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B2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B28"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B29"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B2A" w14:textId="77777777" w:rsidR="00584FB3" w:rsidRDefault="00786180">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40CB0B2B" w14:textId="77777777" w:rsidR="00584FB3" w:rsidRDefault="00584FB3">
            <w:pPr>
              <w:jc w:val="right"/>
              <w:rPr>
                <w:rFonts w:ascii="宋体"/>
              </w:rPr>
            </w:pPr>
          </w:p>
        </w:tc>
      </w:tr>
      <w:tr w:rsidR="00584FB3" w14:paraId="40CB0B35" w14:textId="77777777">
        <w:trPr>
          <w:trHeight w:val="300"/>
          <w:jc w:val="center"/>
        </w:trPr>
        <w:tc>
          <w:tcPr>
            <w:tcW w:w="0" w:type="auto"/>
            <w:gridSpan w:val="3"/>
            <w:vMerge/>
            <w:shd w:val="clear" w:color="auto" w:fill="FFFFFF"/>
            <w:tcMar>
              <w:top w:w="40" w:type="dxa"/>
              <w:left w:w="155" w:type="dxa"/>
              <w:bottom w:w="40" w:type="dxa"/>
              <w:right w:w="20" w:type="dxa"/>
            </w:tcMar>
          </w:tcPr>
          <w:p w14:paraId="40CB0B2D"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tcPr>
          <w:p w14:paraId="40CB0B2E" w14:textId="77777777" w:rsidR="00584FB3" w:rsidRDefault="00786180">
            <w:pPr>
              <w:textAlignment w:val="top"/>
            </w:pPr>
            <w:r>
              <w:rPr>
                <w:rFonts w:ascii="Times New Roman" w:eastAsia="宋体" w:hAnsi="Times New Roman"/>
                <w:color w:val="000000"/>
                <w:sz w:val="20"/>
                <w:szCs w:val="20"/>
              </w:rPr>
              <w:t xml:space="preserve">Other long-term </w:t>
            </w:r>
            <w:r>
              <w:rPr>
                <w:rFonts w:ascii="Times New Roman" w:eastAsia="宋体" w:hAnsi="Times New Roman"/>
                <w:color w:val="000000"/>
                <w:sz w:val="20"/>
                <w:szCs w:val="20"/>
              </w:rPr>
              <w:t>liabilities</w:t>
            </w:r>
          </w:p>
        </w:tc>
        <w:tc>
          <w:tcPr>
            <w:tcW w:w="0" w:type="auto"/>
            <w:gridSpan w:val="3"/>
            <w:shd w:val="clear" w:color="auto" w:fill="FFFFFF"/>
            <w:tcMar>
              <w:top w:w="0" w:type="dxa"/>
              <w:left w:w="20" w:type="dxa"/>
              <w:bottom w:w="0" w:type="dxa"/>
              <w:right w:w="20" w:type="dxa"/>
            </w:tcMar>
          </w:tcPr>
          <w:p w14:paraId="40CB0B2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B30"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B3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B3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B33"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40CB0B34" w14:textId="77777777" w:rsidR="00584FB3" w:rsidRDefault="00584FB3">
            <w:pPr>
              <w:jc w:val="right"/>
              <w:rPr>
                <w:rFonts w:ascii="宋体"/>
              </w:rPr>
            </w:pPr>
          </w:p>
        </w:tc>
      </w:tr>
      <w:tr w:rsidR="00584FB3" w14:paraId="40CB0B3E" w14:textId="77777777">
        <w:trPr>
          <w:jc w:val="center"/>
        </w:trPr>
        <w:tc>
          <w:tcPr>
            <w:tcW w:w="0" w:type="auto"/>
            <w:gridSpan w:val="3"/>
            <w:shd w:val="clear" w:color="auto" w:fill="D7E4BC"/>
            <w:tcMar>
              <w:top w:w="40" w:type="dxa"/>
              <w:left w:w="155" w:type="dxa"/>
              <w:bottom w:w="40" w:type="dxa"/>
              <w:right w:w="20" w:type="dxa"/>
            </w:tcMar>
            <w:vAlign w:val="bottom"/>
          </w:tcPr>
          <w:p w14:paraId="40CB0B36" w14:textId="77777777" w:rsidR="00584FB3" w:rsidRDefault="00786180">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40CB0B37" w14:textId="77777777" w:rsidR="00584FB3" w:rsidRDefault="00786180">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40CB0B3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39" w14:textId="77777777" w:rsidR="00584FB3" w:rsidRDefault="00786180">
            <w:pPr>
              <w:jc w:val="right"/>
              <w:textAlignment w:val="bottom"/>
            </w:pPr>
            <w:r>
              <w:rPr>
                <w:rFonts w:ascii="Times New Roman" w:eastAsia="宋体" w:hAnsi="Times New Roman"/>
                <w:color w:val="000000"/>
                <w:sz w:val="20"/>
                <w:szCs w:val="20"/>
              </w:rPr>
              <w:t>9.9 </w:t>
            </w:r>
          </w:p>
        </w:tc>
        <w:tc>
          <w:tcPr>
            <w:tcW w:w="0" w:type="auto"/>
            <w:shd w:val="clear" w:color="auto" w:fill="D7E4BC"/>
            <w:tcMar>
              <w:top w:w="40" w:type="dxa"/>
              <w:left w:w="0" w:type="dxa"/>
              <w:bottom w:w="40" w:type="dxa"/>
              <w:right w:w="20" w:type="dxa"/>
            </w:tcMar>
            <w:vAlign w:val="bottom"/>
          </w:tcPr>
          <w:p w14:paraId="40CB0B3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B3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3C" w14:textId="77777777" w:rsidR="00584FB3" w:rsidRDefault="00786180">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40CB0B3D" w14:textId="77777777" w:rsidR="00584FB3" w:rsidRDefault="00584FB3">
            <w:pPr>
              <w:jc w:val="right"/>
              <w:rPr>
                <w:rFonts w:ascii="宋体"/>
              </w:rPr>
            </w:pPr>
          </w:p>
        </w:tc>
      </w:tr>
      <w:tr w:rsidR="00584FB3" w14:paraId="40CB0B47" w14:textId="77777777">
        <w:trPr>
          <w:jc w:val="center"/>
        </w:trPr>
        <w:tc>
          <w:tcPr>
            <w:tcW w:w="0" w:type="auto"/>
            <w:gridSpan w:val="3"/>
            <w:shd w:val="clear" w:color="auto" w:fill="auto"/>
            <w:tcMar>
              <w:top w:w="40" w:type="dxa"/>
              <w:left w:w="155" w:type="dxa"/>
              <w:bottom w:w="40" w:type="dxa"/>
              <w:right w:w="20" w:type="dxa"/>
            </w:tcMar>
            <w:vAlign w:val="bottom"/>
          </w:tcPr>
          <w:p w14:paraId="40CB0B3F" w14:textId="77777777" w:rsidR="00584FB3" w:rsidRDefault="00786180">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40CB0B40" w14:textId="77777777" w:rsidR="00584FB3" w:rsidRDefault="00786180">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tcPr>
          <w:p w14:paraId="40CB0B41" w14:textId="77777777" w:rsidR="00584FB3" w:rsidRDefault="00584FB3">
            <w:pPr>
              <w:rPr>
                <w:rFonts w:ascii="宋体"/>
              </w:rPr>
            </w:pPr>
          </w:p>
        </w:tc>
        <w:tc>
          <w:tcPr>
            <w:tcW w:w="0" w:type="auto"/>
            <w:gridSpan w:val="2"/>
            <w:shd w:val="clear" w:color="auto" w:fill="auto"/>
            <w:tcMar>
              <w:top w:w="40" w:type="dxa"/>
              <w:left w:w="20" w:type="dxa"/>
              <w:bottom w:w="40" w:type="dxa"/>
              <w:right w:w="0" w:type="dxa"/>
            </w:tcMar>
            <w:vAlign w:val="bottom"/>
          </w:tcPr>
          <w:p w14:paraId="40CB0B42" w14:textId="77777777" w:rsidR="00584FB3" w:rsidRDefault="00786180">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left w:w="0" w:type="dxa"/>
              <w:bottom w:w="40" w:type="dxa"/>
              <w:right w:w="20" w:type="dxa"/>
            </w:tcMar>
            <w:vAlign w:val="bottom"/>
          </w:tcPr>
          <w:p w14:paraId="40CB0B43" w14:textId="77777777" w:rsidR="00584FB3" w:rsidRDefault="00584FB3">
            <w:pPr>
              <w:jc w:val="right"/>
              <w:rPr>
                <w:rFonts w:ascii="宋体"/>
              </w:rPr>
            </w:pPr>
          </w:p>
        </w:tc>
        <w:tc>
          <w:tcPr>
            <w:tcW w:w="0" w:type="auto"/>
            <w:gridSpan w:val="3"/>
            <w:shd w:val="clear" w:color="auto" w:fill="auto"/>
            <w:tcMar>
              <w:top w:w="0" w:type="dxa"/>
              <w:left w:w="20" w:type="dxa"/>
              <w:bottom w:w="0" w:type="dxa"/>
              <w:right w:w="20" w:type="dxa"/>
            </w:tcMar>
          </w:tcPr>
          <w:p w14:paraId="40CB0B44" w14:textId="77777777" w:rsidR="00584FB3" w:rsidRDefault="00584FB3">
            <w:pPr>
              <w:rPr>
                <w:rFonts w:ascii="宋体"/>
              </w:rPr>
            </w:pPr>
          </w:p>
        </w:tc>
        <w:tc>
          <w:tcPr>
            <w:tcW w:w="0" w:type="auto"/>
            <w:gridSpan w:val="2"/>
            <w:shd w:val="clear" w:color="auto" w:fill="auto"/>
            <w:tcMar>
              <w:top w:w="40" w:type="dxa"/>
              <w:left w:w="20" w:type="dxa"/>
              <w:bottom w:w="40" w:type="dxa"/>
              <w:right w:w="0" w:type="dxa"/>
            </w:tcMar>
            <w:vAlign w:val="bottom"/>
          </w:tcPr>
          <w:p w14:paraId="40CB0B45" w14:textId="77777777" w:rsidR="00584FB3" w:rsidRDefault="00786180">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40CB0B46" w14:textId="77777777" w:rsidR="00584FB3" w:rsidRDefault="00584FB3">
            <w:pPr>
              <w:jc w:val="right"/>
              <w:rPr>
                <w:rFonts w:ascii="宋体"/>
              </w:rPr>
            </w:pPr>
          </w:p>
        </w:tc>
      </w:tr>
      <w:tr w:rsidR="00584FB3" w14:paraId="40CB0B50"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40CB0B48" w14:textId="77777777" w:rsidR="00584FB3" w:rsidRDefault="00786180">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40CB0B49" w14:textId="77777777" w:rsidR="00584FB3" w:rsidRDefault="00786180">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40CB0B4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4B" w14:textId="77777777" w:rsidR="00584FB3" w:rsidRDefault="00786180">
            <w:pPr>
              <w:jc w:val="right"/>
              <w:textAlignment w:val="bottom"/>
            </w:pPr>
            <w:r>
              <w:rPr>
                <w:rFonts w:ascii="Times New Roman" w:eastAsia="宋体" w:hAnsi="Times New Roman"/>
                <w:color w:val="000000"/>
                <w:sz w:val="20"/>
                <w:szCs w:val="20"/>
              </w:rPr>
              <w:t>10.3 </w:t>
            </w:r>
          </w:p>
        </w:tc>
        <w:tc>
          <w:tcPr>
            <w:tcW w:w="0" w:type="auto"/>
            <w:shd w:val="clear" w:color="auto" w:fill="D7E4BC"/>
            <w:tcMar>
              <w:top w:w="40" w:type="dxa"/>
              <w:left w:w="0" w:type="dxa"/>
              <w:bottom w:w="40" w:type="dxa"/>
              <w:right w:w="20" w:type="dxa"/>
            </w:tcMar>
            <w:vAlign w:val="bottom"/>
          </w:tcPr>
          <w:p w14:paraId="40CB0B4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B4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4E"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40CB0B4F" w14:textId="77777777" w:rsidR="00584FB3" w:rsidRDefault="00584FB3">
            <w:pPr>
              <w:jc w:val="right"/>
              <w:rPr>
                <w:rFonts w:ascii="宋体"/>
              </w:rPr>
            </w:pPr>
          </w:p>
        </w:tc>
      </w:tr>
      <w:tr w:rsidR="00584FB3" w14:paraId="40CB0B59" w14:textId="77777777">
        <w:trPr>
          <w:trHeight w:val="300"/>
          <w:jc w:val="center"/>
        </w:trPr>
        <w:tc>
          <w:tcPr>
            <w:tcW w:w="0" w:type="auto"/>
            <w:gridSpan w:val="3"/>
            <w:vMerge/>
            <w:shd w:val="clear" w:color="auto" w:fill="D7E4BC"/>
            <w:tcMar>
              <w:top w:w="40" w:type="dxa"/>
              <w:left w:w="155" w:type="dxa"/>
              <w:bottom w:w="40" w:type="dxa"/>
              <w:right w:w="20" w:type="dxa"/>
            </w:tcMar>
          </w:tcPr>
          <w:p w14:paraId="40CB0B51"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tcPr>
          <w:p w14:paraId="40CB0B52" w14:textId="77777777" w:rsidR="00584FB3" w:rsidRDefault="00786180">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40CB0B5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54" w14:textId="77777777" w:rsidR="00584FB3" w:rsidRDefault="00786180">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vAlign w:val="bottom"/>
          </w:tcPr>
          <w:p w14:paraId="40CB0B5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B5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57" w14:textId="77777777" w:rsidR="00584FB3" w:rsidRDefault="00786180">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40CB0B58" w14:textId="77777777" w:rsidR="00584FB3" w:rsidRDefault="00584FB3">
            <w:pPr>
              <w:jc w:val="right"/>
              <w:rPr>
                <w:rFonts w:ascii="宋体"/>
              </w:rPr>
            </w:pPr>
          </w:p>
        </w:tc>
      </w:tr>
      <w:tr w:rsidR="00584FB3" w14:paraId="40CB0B62" w14:textId="77777777">
        <w:trPr>
          <w:jc w:val="center"/>
        </w:trPr>
        <w:tc>
          <w:tcPr>
            <w:tcW w:w="0" w:type="auto"/>
            <w:gridSpan w:val="3"/>
            <w:shd w:val="clear" w:color="auto" w:fill="FFFFFF"/>
            <w:tcMar>
              <w:top w:w="40" w:type="dxa"/>
              <w:left w:w="155" w:type="dxa"/>
              <w:bottom w:w="40" w:type="dxa"/>
              <w:right w:w="20" w:type="dxa"/>
            </w:tcMar>
            <w:vAlign w:val="bottom"/>
          </w:tcPr>
          <w:p w14:paraId="40CB0B5A" w14:textId="77777777" w:rsidR="00584FB3" w:rsidRDefault="00786180">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40CB0B5B" w14:textId="77777777" w:rsidR="00584FB3" w:rsidRDefault="00786180">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40CB0B5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B5D" w14:textId="77777777" w:rsidR="00584FB3" w:rsidRDefault="00786180">
            <w:pPr>
              <w:jc w:val="right"/>
              <w:textAlignment w:val="bottom"/>
            </w:pPr>
            <w:r>
              <w:rPr>
                <w:rFonts w:ascii="Times New Roman" w:eastAsia="宋体" w:hAnsi="Times New Roman"/>
                <w:color w:val="000000"/>
                <w:sz w:val="20"/>
                <w:szCs w:val="20"/>
              </w:rPr>
              <w:t>46.8 </w:t>
            </w:r>
          </w:p>
        </w:tc>
        <w:tc>
          <w:tcPr>
            <w:tcW w:w="0" w:type="auto"/>
            <w:shd w:val="clear" w:color="auto" w:fill="FFFFFF"/>
            <w:tcMar>
              <w:top w:w="40" w:type="dxa"/>
              <w:left w:w="0" w:type="dxa"/>
              <w:bottom w:w="40" w:type="dxa"/>
              <w:right w:w="20" w:type="dxa"/>
            </w:tcMar>
            <w:vAlign w:val="bottom"/>
          </w:tcPr>
          <w:p w14:paraId="40CB0B5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B5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B60" w14:textId="77777777" w:rsidR="00584FB3" w:rsidRDefault="00786180">
            <w:pPr>
              <w:jc w:val="right"/>
              <w:textAlignment w:val="bottom"/>
            </w:pPr>
            <w:r>
              <w:rPr>
                <w:rFonts w:ascii="Times New Roman" w:eastAsia="宋体" w:hAnsi="Times New Roman"/>
                <w:color w:val="000000"/>
                <w:sz w:val="20"/>
                <w:szCs w:val="20"/>
              </w:rPr>
              <w:t>69.3 </w:t>
            </w:r>
          </w:p>
        </w:tc>
        <w:tc>
          <w:tcPr>
            <w:tcW w:w="0" w:type="auto"/>
            <w:shd w:val="clear" w:color="auto" w:fill="FFFFFF"/>
            <w:tcMar>
              <w:top w:w="40" w:type="dxa"/>
              <w:left w:w="0" w:type="dxa"/>
              <w:bottom w:w="40" w:type="dxa"/>
              <w:right w:w="20" w:type="dxa"/>
            </w:tcMar>
            <w:vAlign w:val="bottom"/>
          </w:tcPr>
          <w:p w14:paraId="40CB0B61" w14:textId="77777777" w:rsidR="00584FB3" w:rsidRDefault="00584FB3">
            <w:pPr>
              <w:jc w:val="right"/>
              <w:rPr>
                <w:rFonts w:ascii="宋体"/>
              </w:rPr>
            </w:pPr>
          </w:p>
        </w:tc>
      </w:tr>
      <w:tr w:rsidR="00584FB3" w14:paraId="40CB0B69" w14:textId="77777777">
        <w:trPr>
          <w:jc w:val="center"/>
          <w:hidden/>
        </w:trPr>
        <w:tc>
          <w:tcPr>
            <w:tcW w:w="0" w:type="auto"/>
            <w:gridSpan w:val="3"/>
            <w:shd w:val="clear" w:color="auto" w:fill="auto"/>
          </w:tcPr>
          <w:p w14:paraId="40CB0B63" w14:textId="77777777" w:rsidR="00584FB3" w:rsidRDefault="00584FB3">
            <w:pPr>
              <w:rPr>
                <w:rFonts w:ascii="宋体"/>
                <w:vanish/>
              </w:rPr>
            </w:pPr>
          </w:p>
        </w:tc>
        <w:tc>
          <w:tcPr>
            <w:tcW w:w="0" w:type="auto"/>
            <w:gridSpan w:val="3"/>
            <w:shd w:val="clear" w:color="auto" w:fill="auto"/>
          </w:tcPr>
          <w:p w14:paraId="40CB0B64" w14:textId="77777777" w:rsidR="00584FB3" w:rsidRDefault="00584FB3">
            <w:pPr>
              <w:rPr>
                <w:rFonts w:ascii="宋体"/>
                <w:vanish/>
              </w:rPr>
            </w:pPr>
          </w:p>
        </w:tc>
        <w:tc>
          <w:tcPr>
            <w:tcW w:w="0" w:type="auto"/>
            <w:gridSpan w:val="3"/>
            <w:shd w:val="clear" w:color="auto" w:fill="auto"/>
          </w:tcPr>
          <w:p w14:paraId="40CB0B65" w14:textId="77777777" w:rsidR="00584FB3" w:rsidRDefault="00584FB3">
            <w:pPr>
              <w:rPr>
                <w:rFonts w:ascii="宋体"/>
                <w:vanish/>
              </w:rPr>
            </w:pPr>
          </w:p>
        </w:tc>
        <w:tc>
          <w:tcPr>
            <w:tcW w:w="0" w:type="auto"/>
            <w:gridSpan w:val="3"/>
            <w:shd w:val="clear" w:color="auto" w:fill="auto"/>
          </w:tcPr>
          <w:p w14:paraId="40CB0B66" w14:textId="77777777" w:rsidR="00584FB3" w:rsidRDefault="00584FB3">
            <w:pPr>
              <w:rPr>
                <w:rFonts w:ascii="宋体"/>
                <w:vanish/>
              </w:rPr>
            </w:pPr>
          </w:p>
        </w:tc>
        <w:tc>
          <w:tcPr>
            <w:tcW w:w="0" w:type="auto"/>
            <w:gridSpan w:val="3"/>
            <w:shd w:val="clear" w:color="auto" w:fill="auto"/>
          </w:tcPr>
          <w:p w14:paraId="40CB0B67" w14:textId="77777777" w:rsidR="00584FB3" w:rsidRDefault="00584FB3">
            <w:pPr>
              <w:rPr>
                <w:rFonts w:ascii="宋体"/>
                <w:vanish/>
              </w:rPr>
            </w:pPr>
          </w:p>
        </w:tc>
        <w:tc>
          <w:tcPr>
            <w:tcW w:w="0" w:type="auto"/>
            <w:gridSpan w:val="3"/>
            <w:shd w:val="clear" w:color="auto" w:fill="auto"/>
          </w:tcPr>
          <w:p w14:paraId="40CB0B68" w14:textId="77777777" w:rsidR="00584FB3" w:rsidRDefault="00584FB3">
            <w:pPr>
              <w:rPr>
                <w:rFonts w:ascii="宋体"/>
                <w:vanish/>
              </w:rPr>
            </w:pPr>
          </w:p>
        </w:tc>
      </w:tr>
      <w:tr w:rsidR="00584FB3" w14:paraId="40CB0B70" w14:textId="77777777">
        <w:trPr>
          <w:jc w:val="center"/>
        </w:trPr>
        <w:tc>
          <w:tcPr>
            <w:tcW w:w="0" w:type="auto"/>
            <w:gridSpan w:val="3"/>
            <w:shd w:val="clear" w:color="auto" w:fill="D7E4BC"/>
            <w:tcMar>
              <w:top w:w="40" w:type="dxa"/>
              <w:left w:w="20" w:type="dxa"/>
              <w:bottom w:w="40" w:type="dxa"/>
              <w:right w:w="20" w:type="dxa"/>
            </w:tcMar>
            <w:vAlign w:val="bottom"/>
          </w:tcPr>
          <w:p w14:paraId="40CB0B6A" w14:textId="77777777" w:rsidR="00584FB3" w:rsidRDefault="00786180">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tcPr>
          <w:p w14:paraId="40CB0B6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6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6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6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6F" w14:textId="77777777" w:rsidR="00584FB3" w:rsidRDefault="00584FB3">
            <w:pPr>
              <w:rPr>
                <w:rFonts w:ascii="宋体"/>
              </w:rPr>
            </w:pPr>
          </w:p>
        </w:tc>
      </w:tr>
      <w:tr w:rsidR="00584FB3" w14:paraId="40CB0B79" w14:textId="77777777">
        <w:trPr>
          <w:jc w:val="center"/>
        </w:trPr>
        <w:tc>
          <w:tcPr>
            <w:tcW w:w="0" w:type="auto"/>
            <w:gridSpan w:val="3"/>
            <w:shd w:val="clear" w:color="auto" w:fill="FFFFFF"/>
            <w:tcMar>
              <w:top w:w="40" w:type="dxa"/>
              <w:left w:w="155" w:type="dxa"/>
              <w:bottom w:w="40" w:type="dxa"/>
              <w:right w:w="20" w:type="dxa"/>
            </w:tcMar>
            <w:vAlign w:val="bottom"/>
          </w:tcPr>
          <w:p w14:paraId="40CB0B71" w14:textId="77777777" w:rsidR="00584FB3" w:rsidRDefault="00786180">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40CB0B72" w14:textId="77777777" w:rsidR="00584FB3" w:rsidRDefault="00786180">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40CB0B7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B74" w14:textId="77777777" w:rsidR="00584FB3" w:rsidRDefault="00786180">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40CB0B7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B7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B77" w14:textId="77777777" w:rsidR="00584FB3" w:rsidRDefault="00786180">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40CB0B78" w14:textId="77777777" w:rsidR="00584FB3" w:rsidRDefault="00584FB3">
            <w:pPr>
              <w:jc w:val="right"/>
              <w:rPr>
                <w:rFonts w:ascii="宋体"/>
              </w:rPr>
            </w:pPr>
          </w:p>
        </w:tc>
      </w:tr>
      <w:tr w:rsidR="00584FB3" w14:paraId="40CB0B82"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40CB0B7A" w14:textId="77777777" w:rsidR="00584FB3" w:rsidRDefault="00786180">
            <w:pPr>
              <w:textAlignment w:val="top"/>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40CB0B7B" w14:textId="77777777" w:rsidR="00584FB3" w:rsidRDefault="00786180">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40CB0B7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7D" w14:textId="77777777" w:rsidR="00584FB3" w:rsidRDefault="00786180">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40CB0B7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B7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B80" w14:textId="77777777" w:rsidR="00584FB3" w:rsidRDefault="00786180">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40CB0B81" w14:textId="77777777" w:rsidR="00584FB3" w:rsidRDefault="00584FB3">
            <w:pPr>
              <w:jc w:val="right"/>
              <w:rPr>
                <w:rFonts w:ascii="宋体"/>
              </w:rPr>
            </w:pPr>
          </w:p>
        </w:tc>
      </w:tr>
      <w:tr w:rsidR="00584FB3" w14:paraId="40CB0B89" w14:textId="77777777">
        <w:trPr>
          <w:jc w:val="center"/>
        </w:trPr>
        <w:tc>
          <w:tcPr>
            <w:tcW w:w="0" w:type="auto"/>
            <w:gridSpan w:val="3"/>
            <w:vMerge/>
            <w:shd w:val="clear" w:color="auto" w:fill="D7E4BC"/>
            <w:tcMar>
              <w:top w:w="40" w:type="dxa"/>
              <w:left w:w="155" w:type="dxa"/>
              <w:bottom w:w="40" w:type="dxa"/>
              <w:right w:w="20" w:type="dxa"/>
            </w:tcMar>
          </w:tcPr>
          <w:p w14:paraId="40CB0B83" w14:textId="77777777" w:rsidR="00584FB3" w:rsidRDefault="00584FB3">
            <w:pPr>
              <w:rPr>
                <w:rFonts w:ascii="宋体"/>
              </w:rPr>
            </w:pPr>
          </w:p>
        </w:tc>
        <w:tc>
          <w:tcPr>
            <w:tcW w:w="0" w:type="auto"/>
            <w:gridSpan w:val="3"/>
            <w:shd w:val="clear" w:color="auto" w:fill="auto"/>
          </w:tcPr>
          <w:p w14:paraId="40CB0B84" w14:textId="77777777" w:rsidR="00584FB3" w:rsidRDefault="00584FB3">
            <w:pPr>
              <w:rPr>
                <w:rFonts w:ascii="宋体"/>
                <w:vanish/>
              </w:rPr>
            </w:pPr>
          </w:p>
        </w:tc>
        <w:tc>
          <w:tcPr>
            <w:tcW w:w="0" w:type="auto"/>
            <w:gridSpan w:val="3"/>
            <w:shd w:val="clear" w:color="auto" w:fill="auto"/>
          </w:tcPr>
          <w:p w14:paraId="40CB0B85" w14:textId="77777777" w:rsidR="00584FB3" w:rsidRDefault="00584FB3">
            <w:pPr>
              <w:rPr>
                <w:rFonts w:ascii="宋体"/>
                <w:vanish/>
              </w:rPr>
            </w:pPr>
          </w:p>
        </w:tc>
        <w:tc>
          <w:tcPr>
            <w:tcW w:w="0" w:type="auto"/>
            <w:gridSpan w:val="3"/>
            <w:shd w:val="clear" w:color="auto" w:fill="auto"/>
          </w:tcPr>
          <w:p w14:paraId="40CB0B86" w14:textId="77777777" w:rsidR="00584FB3" w:rsidRDefault="00584FB3">
            <w:pPr>
              <w:rPr>
                <w:rFonts w:ascii="宋体"/>
                <w:vanish/>
              </w:rPr>
            </w:pPr>
          </w:p>
        </w:tc>
        <w:tc>
          <w:tcPr>
            <w:tcW w:w="0" w:type="auto"/>
            <w:gridSpan w:val="3"/>
            <w:shd w:val="clear" w:color="auto" w:fill="auto"/>
          </w:tcPr>
          <w:p w14:paraId="40CB0B87" w14:textId="77777777" w:rsidR="00584FB3" w:rsidRDefault="00584FB3">
            <w:pPr>
              <w:rPr>
                <w:rFonts w:ascii="宋体"/>
                <w:vanish/>
              </w:rPr>
            </w:pPr>
          </w:p>
        </w:tc>
        <w:tc>
          <w:tcPr>
            <w:tcW w:w="0" w:type="auto"/>
            <w:gridSpan w:val="3"/>
            <w:shd w:val="clear" w:color="auto" w:fill="auto"/>
          </w:tcPr>
          <w:p w14:paraId="40CB0B88" w14:textId="77777777" w:rsidR="00584FB3" w:rsidRDefault="00584FB3">
            <w:pPr>
              <w:rPr>
                <w:rFonts w:ascii="宋体"/>
                <w:vanish/>
              </w:rPr>
            </w:pPr>
          </w:p>
        </w:tc>
      </w:tr>
    </w:tbl>
    <w:p w14:paraId="40CB0B8A" w14:textId="77777777" w:rsidR="00584FB3" w:rsidRDefault="00786180">
      <w:pPr>
        <w:spacing w:before="12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2564"/>
        <w:gridCol w:w="37"/>
        <w:gridCol w:w="120"/>
        <w:gridCol w:w="1184"/>
        <w:gridCol w:w="36"/>
        <w:gridCol w:w="36"/>
        <w:gridCol w:w="36"/>
        <w:gridCol w:w="36"/>
        <w:gridCol w:w="120"/>
        <w:gridCol w:w="1184"/>
        <w:gridCol w:w="36"/>
        <w:gridCol w:w="36"/>
        <w:gridCol w:w="36"/>
        <w:gridCol w:w="36"/>
        <w:gridCol w:w="120"/>
        <w:gridCol w:w="1184"/>
        <w:gridCol w:w="36"/>
        <w:gridCol w:w="36"/>
        <w:gridCol w:w="36"/>
        <w:gridCol w:w="36"/>
        <w:gridCol w:w="120"/>
        <w:gridCol w:w="1185"/>
        <w:gridCol w:w="36"/>
      </w:tblGrid>
      <w:tr w:rsidR="00584FB3" w14:paraId="40CB0BA3" w14:textId="77777777">
        <w:trPr>
          <w:jc w:val="center"/>
        </w:trPr>
        <w:tc>
          <w:tcPr>
            <w:tcW w:w="50" w:type="pct"/>
            <w:shd w:val="clear" w:color="auto" w:fill="auto"/>
          </w:tcPr>
          <w:p w14:paraId="40CB0B8B" w14:textId="77777777" w:rsidR="00584FB3" w:rsidRDefault="00584FB3">
            <w:pPr>
              <w:rPr>
                <w:rFonts w:ascii="宋体"/>
              </w:rPr>
            </w:pPr>
          </w:p>
        </w:tc>
        <w:tc>
          <w:tcPr>
            <w:tcW w:w="1606" w:type="pct"/>
            <w:shd w:val="clear" w:color="auto" w:fill="auto"/>
          </w:tcPr>
          <w:p w14:paraId="40CB0B8C" w14:textId="77777777" w:rsidR="00584FB3" w:rsidRDefault="00584FB3">
            <w:pPr>
              <w:rPr>
                <w:rFonts w:ascii="宋体"/>
              </w:rPr>
            </w:pPr>
          </w:p>
        </w:tc>
        <w:tc>
          <w:tcPr>
            <w:tcW w:w="5" w:type="pct"/>
            <w:shd w:val="clear" w:color="auto" w:fill="auto"/>
          </w:tcPr>
          <w:p w14:paraId="40CB0B8D" w14:textId="77777777" w:rsidR="00584FB3" w:rsidRDefault="00584FB3">
            <w:pPr>
              <w:rPr>
                <w:rFonts w:ascii="宋体"/>
              </w:rPr>
            </w:pPr>
          </w:p>
        </w:tc>
        <w:tc>
          <w:tcPr>
            <w:tcW w:w="50" w:type="pct"/>
            <w:shd w:val="clear" w:color="auto" w:fill="auto"/>
          </w:tcPr>
          <w:p w14:paraId="40CB0B8E" w14:textId="77777777" w:rsidR="00584FB3" w:rsidRDefault="00584FB3">
            <w:pPr>
              <w:rPr>
                <w:rFonts w:ascii="宋体"/>
              </w:rPr>
            </w:pPr>
          </w:p>
        </w:tc>
        <w:tc>
          <w:tcPr>
            <w:tcW w:w="757" w:type="pct"/>
            <w:shd w:val="clear" w:color="auto" w:fill="auto"/>
          </w:tcPr>
          <w:p w14:paraId="40CB0B8F" w14:textId="77777777" w:rsidR="00584FB3" w:rsidRDefault="00584FB3">
            <w:pPr>
              <w:rPr>
                <w:rFonts w:ascii="宋体"/>
              </w:rPr>
            </w:pPr>
          </w:p>
        </w:tc>
        <w:tc>
          <w:tcPr>
            <w:tcW w:w="5" w:type="pct"/>
            <w:shd w:val="clear" w:color="auto" w:fill="auto"/>
          </w:tcPr>
          <w:p w14:paraId="40CB0B90" w14:textId="77777777" w:rsidR="00584FB3" w:rsidRDefault="00584FB3">
            <w:pPr>
              <w:rPr>
                <w:rFonts w:ascii="宋体"/>
              </w:rPr>
            </w:pPr>
          </w:p>
        </w:tc>
        <w:tc>
          <w:tcPr>
            <w:tcW w:w="5" w:type="pct"/>
            <w:shd w:val="clear" w:color="auto" w:fill="auto"/>
          </w:tcPr>
          <w:p w14:paraId="40CB0B91" w14:textId="77777777" w:rsidR="00584FB3" w:rsidRDefault="00584FB3">
            <w:pPr>
              <w:rPr>
                <w:rFonts w:ascii="宋体"/>
              </w:rPr>
            </w:pPr>
          </w:p>
        </w:tc>
        <w:tc>
          <w:tcPr>
            <w:tcW w:w="19" w:type="pct"/>
            <w:shd w:val="clear" w:color="auto" w:fill="auto"/>
          </w:tcPr>
          <w:p w14:paraId="40CB0B92" w14:textId="77777777" w:rsidR="00584FB3" w:rsidRDefault="00584FB3">
            <w:pPr>
              <w:rPr>
                <w:rFonts w:ascii="宋体"/>
              </w:rPr>
            </w:pPr>
          </w:p>
        </w:tc>
        <w:tc>
          <w:tcPr>
            <w:tcW w:w="5" w:type="pct"/>
            <w:shd w:val="clear" w:color="auto" w:fill="auto"/>
          </w:tcPr>
          <w:p w14:paraId="40CB0B93" w14:textId="77777777" w:rsidR="00584FB3" w:rsidRDefault="00584FB3">
            <w:pPr>
              <w:rPr>
                <w:rFonts w:ascii="宋体"/>
              </w:rPr>
            </w:pPr>
          </w:p>
        </w:tc>
        <w:tc>
          <w:tcPr>
            <w:tcW w:w="50" w:type="pct"/>
            <w:shd w:val="clear" w:color="auto" w:fill="auto"/>
          </w:tcPr>
          <w:p w14:paraId="40CB0B94" w14:textId="77777777" w:rsidR="00584FB3" w:rsidRDefault="00584FB3">
            <w:pPr>
              <w:rPr>
                <w:rFonts w:ascii="宋体"/>
              </w:rPr>
            </w:pPr>
          </w:p>
        </w:tc>
        <w:tc>
          <w:tcPr>
            <w:tcW w:w="757" w:type="pct"/>
            <w:shd w:val="clear" w:color="auto" w:fill="auto"/>
          </w:tcPr>
          <w:p w14:paraId="40CB0B95" w14:textId="77777777" w:rsidR="00584FB3" w:rsidRDefault="00584FB3">
            <w:pPr>
              <w:rPr>
                <w:rFonts w:ascii="宋体"/>
              </w:rPr>
            </w:pPr>
          </w:p>
        </w:tc>
        <w:tc>
          <w:tcPr>
            <w:tcW w:w="5" w:type="pct"/>
            <w:shd w:val="clear" w:color="auto" w:fill="auto"/>
          </w:tcPr>
          <w:p w14:paraId="40CB0B96" w14:textId="77777777" w:rsidR="00584FB3" w:rsidRDefault="00584FB3">
            <w:pPr>
              <w:rPr>
                <w:rFonts w:ascii="宋体"/>
              </w:rPr>
            </w:pPr>
          </w:p>
        </w:tc>
        <w:tc>
          <w:tcPr>
            <w:tcW w:w="5" w:type="pct"/>
            <w:shd w:val="clear" w:color="auto" w:fill="auto"/>
          </w:tcPr>
          <w:p w14:paraId="40CB0B97" w14:textId="77777777" w:rsidR="00584FB3" w:rsidRDefault="00584FB3">
            <w:pPr>
              <w:rPr>
                <w:rFonts w:ascii="宋体"/>
              </w:rPr>
            </w:pPr>
          </w:p>
        </w:tc>
        <w:tc>
          <w:tcPr>
            <w:tcW w:w="19" w:type="pct"/>
            <w:shd w:val="clear" w:color="auto" w:fill="auto"/>
          </w:tcPr>
          <w:p w14:paraId="40CB0B98" w14:textId="77777777" w:rsidR="00584FB3" w:rsidRDefault="00584FB3">
            <w:pPr>
              <w:rPr>
                <w:rFonts w:ascii="宋体"/>
              </w:rPr>
            </w:pPr>
          </w:p>
        </w:tc>
        <w:tc>
          <w:tcPr>
            <w:tcW w:w="5" w:type="pct"/>
            <w:shd w:val="clear" w:color="auto" w:fill="auto"/>
          </w:tcPr>
          <w:p w14:paraId="40CB0B99" w14:textId="77777777" w:rsidR="00584FB3" w:rsidRDefault="00584FB3">
            <w:pPr>
              <w:rPr>
                <w:rFonts w:ascii="宋体"/>
              </w:rPr>
            </w:pPr>
          </w:p>
        </w:tc>
        <w:tc>
          <w:tcPr>
            <w:tcW w:w="50" w:type="pct"/>
            <w:shd w:val="clear" w:color="auto" w:fill="auto"/>
          </w:tcPr>
          <w:p w14:paraId="40CB0B9A" w14:textId="77777777" w:rsidR="00584FB3" w:rsidRDefault="00584FB3">
            <w:pPr>
              <w:rPr>
                <w:rFonts w:ascii="宋体"/>
              </w:rPr>
            </w:pPr>
          </w:p>
        </w:tc>
        <w:tc>
          <w:tcPr>
            <w:tcW w:w="757" w:type="pct"/>
            <w:shd w:val="clear" w:color="auto" w:fill="auto"/>
          </w:tcPr>
          <w:p w14:paraId="40CB0B9B" w14:textId="77777777" w:rsidR="00584FB3" w:rsidRDefault="00584FB3">
            <w:pPr>
              <w:rPr>
                <w:rFonts w:ascii="宋体"/>
              </w:rPr>
            </w:pPr>
          </w:p>
        </w:tc>
        <w:tc>
          <w:tcPr>
            <w:tcW w:w="5" w:type="pct"/>
            <w:shd w:val="clear" w:color="auto" w:fill="auto"/>
          </w:tcPr>
          <w:p w14:paraId="40CB0B9C" w14:textId="77777777" w:rsidR="00584FB3" w:rsidRDefault="00584FB3">
            <w:pPr>
              <w:rPr>
                <w:rFonts w:ascii="宋体"/>
              </w:rPr>
            </w:pPr>
          </w:p>
        </w:tc>
        <w:tc>
          <w:tcPr>
            <w:tcW w:w="5" w:type="pct"/>
            <w:shd w:val="clear" w:color="auto" w:fill="auto"/>
          </w:tcPr>
          <w:p w14:paraId="40CB0B9D" w14:textId="77777777" w:rsidR="00584FB3" w:rsidRDefault="00584FB3">
            <w:pPr>
              <w:rPr>
                <w:rFonts w:ascii="宋体"/>
              </w:rPr>
            </w:pPr>
          </w:p>
        </w:tc>
        <w:tc>
          <w:tcPr>
            <w:tcW w:w="19" w:type="pct"/>
            <w:shd w:val="clear" w:color="auto" w:fill="auto"/>
          </w:tcPr>
          <w:p w14:paraId="40CB0B9E" w14:textId="77777777" w:rsidR="00584FB3" w:rsidRDefault="00584FB3">
            <w:pPr>
              <w:rPr>
                <w:rFonts w:ascii="宋体"/>
              </w:rPr>
            </w:pPr>
          </w:p>
        </w:tc>
        <w:tc>
          <w:tcPr>
            <w:tcW w:w="5" w:type="pct"/>
            <w:shd w:val="clear" w:color="auto" w:fill="auto"/>
          </w:tcPr>
          <w:p w14:paraId="40CB0B9F" w14:textId="77777777" w:rsidR="00584FB3" w:rsidRDefault="00584FB3">
            <w:pPr>
              <w:rPr>
                <w:rFonts w:ascii="宋体"/>
              </w:rPr>
            </w:pPr>
          </w:p>
        </w:tc>
        <w:tc>
          <w:tcPr>
            <w:tcW w:w="50" w:type="pct"/>
            <w:shd w:val="clear" w:color="auto" w:fill="auto"/>
          </w:tcPr>
          <w:p w14:paraId="40CB0BA0" w14:textId="77777777" w:rsidR="00584FB3" w:rsidRDefault="00584FB3">
            <w:pPr>
              <w:rPr>
                <w:rFonts w:ascii="宋体"/>
              </w:rPr>
            </w:pPr>
          </w:p>
        </w:tc>
        <w:tc>
          <w:tcPr>
            <w:tcW w:w="757" w:type="pct"/>
            <w:shd w:val="clear" w:color="auto" w:fill="auto"/>
          </w:tcPr>
          <w:p w14:paraId="40CB0BA1" w14:textId="77777777" w:rsidR="00584FB3" w:rsidRDefault="00584FB3">
            <w:pPr>
              <w:rPr>
                <w:rFonts w:ascii="宋体"/>
              </w:rPr>
            </w:pPr>
          </w:p>
        </w:tc>
        <w:tc>
          <w:tcPr>
            <w:tcW w:w="5" w:type="pct"/>
            <w:shd w:val="clear" w:color="auto" w:fill="auto"/>
          </w:tcPr>
          <w:p w14:paraId="40CB0BA2" w14:textId="77777777" w:rsidR="00584FB3" w:rsidRDefault="00584FB3">
            <w:pPr>
              <w:rPr>
                <w:rFonts w:ascii="宋体"/>
              </w:rPr>
            </w:pPr>
          </w:p>
        </w:tc>
      </w:tr>
      <w:tr w:rsidR="00584FB3" w14:paraId="40CB0BA8" w14:textId="77777777">
        <w:trPr>
          <w:jc w:val="center"/>
        </w:trPr>
        <w:tc>
          <w:tcPr>
            <w:tcW w:w="0" w:type="auto"/>
            <w:gridSpan w:val="3"/>
            <w:shd w:val="clear" w:color="auto" w:fill="auto"/>
            <w:tcMar>
              <w:top w:w="0" w:type="dxa"/>
              <w:left w:w="20" w:type="dxa"/>
              <w:bottom w:w="0" w:type="dxa"/>
              <w:right w:w="20" w:type="dxa"/>
            </w:tcMar>
          </w:tcPr>
          <w:p w14:paraId="40CB0BA4"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BA5" w14:textId="77777777" w:rsidR="00584FB3" w:rsidRDefault="00786180">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tcPr>
          <w:p w14:paraId="40CB0BA6"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0BA7" w14:textId="77777777" w:rsidR="00584FB3" w:rsidRDefault="00786180">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584FB3" w14:paraId="40CB0BB1" w14:textId="77777777">
        <w:trPr>
          <w:jc w:val="center"/>
        </w:trPr>
        <w:tc>
          <w:tcPr>
            <w:tcW w:w="0" w:type="auto"/>
            <w:gridSpan w:val="3"/>
            <w:shd w:val="clear" w:color="auto" w:fill="auto"/>
            <w:tcMar>
              <w:top w:w="0" w:type="dxa"/>
              <w:left w:w="20" w:type="dxa"/>
              <w:bottom w:w="0" w:type="dxa"/>
              <w:right w:w="20" w:type="dxa"/>
            </w:tcMar>
          </w:tcPr>
          <w:p w14:paraId="40CB0BA9"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AA"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BAB"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AC" w14:textId="77777777" w:rsidR="00584FB3" w:rsidRDefault="00786180">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40CB0BA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AE"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BAF"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B0"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0BBA" w14:textId="77777777">
        <w:trPr>
          <w:jc w:val="center"/>
        </w:trPr>
        <w:tc>
          <w:tcPr>
            <w:tcW w:w="0" w:type="auto"/>
            <w:gridSpan w:val="3"/>
            <w:shd w:val="clear" w:color="auto" w:fill="D7E4BC"/>
            <w:tcMar>
              <w:top w:w="40" w:type="dxa"/>
              <w:left w:w="20" w:type="dxa"/>
              <w:bottom w:w="40" w:type="dxa"/>
              <w:right w:w="20" w:type="dxa"/>
            </w:tcMar>
            <w:vAlign w:val="bottom"/>
          </w:tcPr>
          <w:p w14:paraId="40CB0BB2" w14:textId="77777777" w:rsidR="00584FB3" w:rsidRDefault="00786180">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tcPr>
          <w:p w14:paraId="40CB0BB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B4"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BB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B6"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BB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BB8"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BB9" w14:textId="77777777" w:rsidR="00584FB3" w:rsidRDefault="00584FB3">
            <w:pPr>
              <w:rPr>
                <w:rFonts w:ascii="宋体"/>
              </w:rPr>
            </w:pPr>
          </w:p>
        </w:tc>
      </w:tr>
      <w:tr w:rsidR="00584FB3" w14:paraId="40CB0BCB" w14:textId="77777777">
        <w:trPr>
          <w:jc w:val="center"/>
        </w:trPr>
        <w:tc>
          <w:tcPr>
            <w:tcW w:w="0" w:type="auto"/>
            <w:gridSpan w:val="3"/>
            <w:shd w:val="clear" w:color="auto" w:fill="FFFFFF"/>
            <w:tcMar>
              <w:top w:w="40" w:type="dxa"/>
              <w:left w:w="155" w:type="dxa"/>
              <w:bottom w:w="40" w:type="dxa"/>
              <w:right w:w="20" w:type="dxa"/>
            </w:tcMar>
            <w:vAlign w:val="bottom"/>
          </w:tcPr>
          <w:p w14:paraId="40CB0BBB" w14:textId="77777777" w:rsidR="00584FB3" w:rsidRDefault="00786180">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40CB0BBC"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BBD" w14:textId="77777777" w:rsidR="00584FB3" w:rsidRDefault="00786180">
            <w:pPr>
              <w:jc w:val="right"/>
              <w:textAlignment w:val="bottom"/>
            </w:pPr>
            <w:r>
              <w:rPr>
                <w:rFonts w:ascii="Times New Roman" w:eastAsia="宋体" w:hAnsi="Times New Roman"/>
                <w:color w:val="000000"/>
                <w:sz w:val="20"/>
                <w:szCs w:val="20"/>
              </w:rPr>
              <w:t>782.7 </w:t>
            </w:r>
          </w:p>
        </w:tc>
        <w:tc>
          <w:tcPr>
            <w:tcW w:w="0" w:type="auto"/>
            <w:shd w:val="clear" w:color="auto" w:fill="FFFFFF"/>
            <w:tcMar>
              <w:top w:w="40" w:type="dxa"/>
              <w:left w:w="0" w:type="dxa"/>
              <w:bottom w:w="40" w:type="dxa"/>
              <w:right w:w="20" w:type="dxa"/>
            </w:tcMar>
            <w:vAlign w:val="bottom"/>
          </w:tcPr>
          <w:p w14:paraId="40CB0BB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BBF"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BC0"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BC1" w14:textId="77777777" w:rsidR="00584FB3" w:rsidRDefault="00786180">
            <w:pPr>
              <w:jc w:val="right"/>
              <w:textAlignment w:val="bottom"/>
            </w:pPr>
            <w:r>
              <w:rPr>
                <w:rFonts w:ascii="Times New Roman" w:eastAsia="宋体" w:hAnsi="Times New Roman"/>
                <w:color w:val="000000"/>
                <w:sz w:val="20"/>
                <w:szCs w:val="20"/>
              </w:rPr>
              <w:t>785.6 </w:t>
            </w:r>
          </w:p>
        </w:tc>
        <w:tc>
          <w:tcPr>
            <w:tcW w:w="0" w:type="auto"/>
            <w:shd w:val="clear" w:color="auto" w:fill="FFFFFF"/>
            <w:tcMar>
              <w:top w:w="40" w:type="dxa"/>
              <w:left w:w="0" w:type="dxa"/>
              <w:bottom w:w="40" w:type="dxa"/>
              <w:right w:w="20" w:type="dxa"/>
            </w:tcMar>
            <w:vAlign w:val="bottom"/>
          </w:tcPr>
          <w:p w14:paraId="40CB0BC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BC3"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BC4"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BC5" w14:textId="77777777" w:rsidR="00584FB3" w:rsidRDefault="00786180">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40CB0BC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BC7"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BC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BC9" w14:textId="77777777" w:rsidR="00584FB3" w:rsidRDefault="00786180">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40CB0BCA" w14:textId="77777777" w:rsidR="00584FB3" w:rsidRDefault="00584FB3">
            <w:pPr>
              <w:jc w:val="right"/>
              <w:rPr>
                <w:rFonts w:ascii="宋体"/>
              </w:rPr>
            </w:pPr>
          </w:p>
        </w:tc>
      </w:tr>
    </w:tbl>
    <w:p w14:paraId="40CB0BCC" w14:textId="77777777" w:rsidR="00584FB3" w:rsidRDefault="00786180">
      <w:pPr>
        <w:spacing w:before="12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in </w:t>
      </w:r>
      <w:hyperlink r:id="rId84" w:anchor="i11706e4b673c41db9f2dcbdb897203bb_67"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Equity.</w:t>
      </w:r>
    </w:p>
    <w:p w14:paraId="40CB0BCD" w14:textId="77777777" w:rsidR="00584FB3" w:rsidRDefault="00786180">
      <w:pPr>
        <w:jc w:val="center"/>
      </w:pPr>
      <w:r>
        <w:rPr>
          <w:rFonts w:ascii="Times New Roman" w:eastAsia="宋体" w:hAnsi="Times New Roman"/>
          <w:color w:val="000000"/>
          <w:sz w:val="20"/>
          <w:szCs w:val="20"/>
        </w:rPr>
        <w:t>13</w:t>
      </w:r>
    </w:p>
    <w:p w14:paraId="40CB0BCE" w14:textId="77777777" w:rsidR="00584FB3" w:rsidRDefault="00786180">
      <w:r>
        <w:pict w14:anchorId="40CB2A42">
          <v:rect id="_x0000_i1037" style="width:415.3pt;height:1.5pt" o:hralign="center" o:hrstd="t" o:hr="t" fillcolor="#a0a0a0" stroked="f"/>
        </w:pict>
      </w:r>
    </w:p>
    <w:p w14:paraId="40CB0BCF" w14:textId="77777777" w:rsidR="00584FB3" w:rsidRDefault="00786180">
      <w:hyperlink r:id="rId85" w:anchor="i11706e4b673c41db9f2dcbdb897203bb_7" w:history="1">
        <w:r>
          <w:rPr>
            <w:rStyle w:val="a5"/>
            <w:rFonts w:ascii="Times New Roman" w:eastAsia="宋体" w:hAnsi="Times New Roman"/>
            <w:sz w:val="20"/>
            <w:szCs w:val="20"/>
          </w:rPr>
          <w:t>Table of Contents</w:t>
        </w:r>
      </w:hyperlink>
    </w:p>
    <w:p w14:paraId="40CB0BD0" w14:textId="77777777" w:rsidR="00584FB3" w:rsidRDefault="00786180">
      <w:pPr>
        <w:spacing w:before="120"/>
      </w:pPr>
      <w:r>
        <w:rPr>
          <w:rFonts w:ascii="Times New Roman" w:eastAsia="宋体" w:hAnsi="Times New Roman"/>
          <w:b/>
          <w:bCs/>
          <w:color w:val="000000"/>
          <w:sz w:val="20"/>
          <w:szCs w:val="20"/>
        </w:rPr>
        <w:t>Note 3: Fair Value Measurements</w:t>
      </w:r>
    </w:p>
    <w:p w14:paraId="40CB0BD1" w14:textId="77777777" w:rsidR="00584FB3" w:rsidRDefault="00786180">
      <w:pPr>
        <w:spacing w:before="120"/>
      </w:pPr>
      <w:r>
        <w:rPr>
          <w:rFonts w:ascii="Times New Roman" w:eastAsia="宋体" w:hAnsi="Times New Roman"/>
          <w:color w:val="000000"/>
          <w:sz w:val="20"/>
          <w:szCs w:val="20"/>
        </w:rPr>
        <w:t>Assets and liabilities measured at fair value on a recurring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6"/>
        <w:gridCol w:w="2440"/>
        <w:gridCol w:w="38"/>
        <w:gridCol w:w="120"/>
        <w:gridCol w:w="1131"/>
        <w:gridCol w:w="36"/>
        <w:gridCol w:w="36"/>
        <w:gridCol w:w="36"/>
        <w:gridCol w:w="36"/>
        <w:gridCol w:w="121"/>
        <w:gridCol w:w="1131"/>
        <w:gridCol w:w="37"/>
        <w:gridCol w:w="37"/>
        <w:gridCol w:w="37"/>
        <w:gridCol w:w="37"/>
        <w:gridCol w:w="120"/>
        <w:gridCol w:w="1131"/>
        <w:gridCol w:w="36"/>
        <w:gridCol w:w="36"/>
        <w:gridCol w:w="36"/>
        <w:gridCol w:w="36"/>
        <w:gridCol w:w="121"/>
        <w:gridCol w:w="1443"/>
        <w:gridCol w:w="36"/>
      </w:tblGrid>
      <w:tr w:rsidR="00584FB3" w14:paraId="40CB0BEA" w14:textId="77777777">
        <w:tc>
          <w:tcPr>
            <w:tcW w:w="50" w:type="pct"/>
            <w:shd w:val="clear" w:color="auto" w:fill="auto"/>
          </w:tcPr>
          <w:p w14:paraId="40CB0BD2" w14:textId="77777777" w:rsidR="00584FB3" w:rsidRDefault="00584FB3">
            <w:pPr>
              <w:rPr>
                <w:rFonts w:ascii="宋体"/>
              </w:rPr>
            </w:pPr>
          </w:p>
        </w:tc>
        <w:tc>
          <w:tcPr>
            <w:tcW w:w="1606" w:type="pct"/>
            <w:shd w:val="clear" w:color="auto" w:fill="auto"/>
          </w:tcPr>
          <w:p w14:paraId="40CB0BD3" w14:textId="77777777" w:rsidR="00584FB3" w:rsidRDefault="00584FB3">
            <w:pPr>
              <w:rPr>
                <w:rFonts w:ascii="宋体"/>
              </w:rPr>
            </w:pPr>
          </w:p>
        </w:tc>
        <w:tc>
          <w:tcPr>
            <w:tcW w:w="5" w:type="pct"/>
            <w:shd w:val="clear" w:color="auto" w:fill="auto"/>
          </w:tcPr>
          <w:p w14:paraId="40CB0BD4" w14:textId="77777777" w:rsidR="00584FB3" w:rsidRDefault="00584FB3">
            <w:pPr>
              <w:rPr>
                <w:rFonts w:ascii="宋体"/>
              </w:rPr>
            </w:pPr>
          </w:p>
        </w:tc>
        <w:tc>
          <w:tcPr>
            <w:tcW w:w="50" w:type="pct"/>
            <w:shd w:val="clear" w:color="auto" w:fill="auto"/>
          </w:tcPr>
          <w:p w14:paraId="40CB0BD5" w14:textId="77777777" w:rsidR="00584FB3" w:rsidRDefault="00584FB3">
            <w:pPr>
              <w:rPr>
                <w:rFonts w:ascii="宋体"/>
              </w:rPr>
            </w:pPr>
          </w:p>
        </w:tc>
        <w:tc>
          <w:tcPr>
            <w:tcW w:w="757" w:type="pct"/>
            <w:shd w:val="clear" w:color="auto" w:fill="auto"/>
          </w:tcPr>
          <w:p w14:paraId="40CB0BD6" w14:textId="77777777" w:rsidR="00584FB3" w:rsidRDefault="00584FB3">
            <w:pPr>
              <w:rPr>
                <w:rFonts w:ascii="宋体"/>
              </w:rPr>
            </w:pPr>
          </w:p>
        </w:tc>
        <w:tc>
          <w:tcPr>
            <w:tcW w:w="5" w:type="pct"/>
            <w:shd w:val="clear" w:color="auto" w:fill="auto"/>
          </w:tcPr>
          <w:p w14:paraId="40CB0BD7" w14:textId="77777777" w:rsidR="00584FB3" w:rsidRDefault="00584FB3">
            <w:pPr>
              <w:rPr>
                <w:rFonts w:ascii="宋体"/>
              </w:rPr>
            </w:pPr>
          </w:p>
        </w:tc>
        <w:tc>
          <w:tcPr>
            <w:tcW w:w="5" w:type="pct"/>
            <w:shd w:val="clear" w:color="auto" w:fill="auto"/>
          </w:tcPr>
          <w:p w14:paraId="40CB0BD8" w14:textId="77777777" w:rsidR="00584FB3" w:rsidRDefault="00584FB3">
            <w:pPr>
              <w:rPr>
                <w:rFonts w:ascii="宋体"/>
              </w:rPr>
            </w:pPr>
          </w:p>
        </w:tc>
        <w:tc>
          <w:tcPr>
            <w:tcW w:w="19" w:type="pct"/>
            <w:shd w:val="clear" w:color="auto" w:fill="auto"/>
          </w:tcPr>
          <w:p w14:paraId="40CB0BD9" w14:textId="77777777" w:rsidR="00584FB3" w:rsidRDefault="00584FB3">
            <w:pPr>
              <w:rPr>
                <w:rFonts w:ascii="宋体"/>
              </w:rPr>
            </w:pPr>
          </w:p>
        </w:tc>
        <w:tc>
          <w:tcPr>
            <w:tcW w:w="5" w:type="pct"/>
            <w:shd w:val="clear" w:color="auto" w:fill="auto"/>
          </w:tcPr>
          <w:p w14:paraId="40CB0BDA" w14:textId="77777777" w:rsidR="00584FB3" w:rsidRDefault="00584FB3">
            <w:pPr>
              <w:rPr>
                <w:rFonts w:ascii="宋体"/>
              </w:rPr>
            </w:pPr>
          </w:p>
        </w:tc>
        <w:tc>
          <w:tcPr>
            <w:tcW w:w="50" w:type="pct"/>
            <w:shd w:val="clear" w:color="auto" w:fill="auto"/>
          </w:tcPr>
          <w:p w14:paraId="40CB0BDB" w14:textId="77777777" w:rsidR="00584FB3" w:rsidRDefault="00584FB3">
            <w:pPr>
              <w:rPr>
                <w:rFonts w:ascii="宋体"/>
              </w:rPr>
            </w:pPr>
          </w:p>
        </w:tc>
        <w:tc>
          <w:tcPr>
            <w:tcW w:w="757" w:type="pct"/>
            <w:shd w:val="clear" w:color="auto" w:fill="auto"/>
          </w:tcPr>
          <w:p w14:paraId="40CB0BDC" w14:textId="77777777" w:rsidR="00584FB3" w:rsidRDefault="00584FB3">
            <w:pPr>
              <w:rPr>
                <w:rFonts w:ascii="宋体"/>
              </w:rPr>
            </w:pPr>
          </w:p>
        </w:tc>
        <w:tc>
          <w:tcPr>
            <w:tcW w:w="5" w:type="pct"/>
            <w:shd w:val="clear" w:color="auto" w:fill="auto"/>
          </w:tcPr>
          <w:p w14:paraId="40CB0BDD" w14:textId="77777777" w:rsidR="00584FB3" w:rsidRDefault="00584FB3">
            <w:pPr>
              <w:rPr>
                <w:rFonts w:ascii="宋体"/>
              </w:rPr>
            </w:pPr>
          </w:p>
        </w:tc>
        <w:tc>
          <w:tcPr>
            <w:tcW w:w="5" w:type="pct"/>
            <w:shd w:val="clear" w:color="auto" w:fill="auto"/>
          </w:tcPr>
          <w:p w14:paraId="40CB0BDE" w14:textId="77777777" w:rsidR="00584FB3" w:rsidRDefault="00584FB3">
            <w:pPr>
              <w:rPr>
                <w:rFonts w:ascii="宋体"/>
              </w:rPr>
            </w:pPr>
          </w:p>
        </w:tc>
        <w:tc>
          <w:tcPr>
            <w:tcW w:w="19" w:type="pct"/>
            <w:shd w:val="clear" w:color="auto" w:fill="auto"/>
          </w:tcPr>
          <w:p w14:paraId="40CB0BDF" w14:textId="77777777" w:rsidR="00584FB3" w:rsidRDefault="00584FB3">
            <w:pPr>
              <w:rPr>
                <w:rFonts w:ascii="宋体"/>
              </w:rPr>
            </w:pPr>
          </w:p>
        </w:tc>
        <w:tc>
          <w:tcPr>
            <w:tcW w:w="5" w:type="pct"/>
            <w:shd w:val="clear" w:color="auto" w:fill="auto"/>
          </w:tcPr>
          <w:p w14:paraId="40CB0BE0" w14:textId="77777777" w:rsidR="00584FB3" w:rsidRDefault="00584FB3">
            <w:pPr>
              <w:rPr>
                <w:rFonts w:ascii="宋体"/>
              </w:rPr>
            </w:pPr>
          </w:p>
        </w:tc>
        <w:tc>
          <w:tcPr>
            <w:tcW w:w="50" w:type="pct"/>
            <w:shd w:val="clear" w:color="auto" w:fill="auto"/>
          </w:tcPr>
          <w:p w14:paraId="40CB0BE1" w14:textId="77777777" w:rsidR="00584FB3" w:rsidRDefault="00584FB3">
            <w:pPr>
              <w:rPr>
                <w:rFonts w:ascii="宋体"/>
              </w:rPr>
            </w:pPr>
          </w:p>
        </w:tc>
        <w:tc>
          <w:tcPr>
            <w:tcW w:w="757" w:type="pct"/>
            <w:shd w:val="clear" w:color="auto" w:fill="auto"/>
          </w:tcPr>
          <w:p w14:paraId="40CB0BE2" w14:textId="77777777" w:rsidR="00584FB3" w:rsidRDefault="00584FB3">
            <w:pPr>
              <w:rPr>
                <w:rFonts w:ascii="宋体"/>
              </w:rPr>
            </w:pPr>
          </w:p>
        </w:tc>
        <w:tc>
          <w:tcPr>
            <w:tcW w:w="5" w:type="pct"/>
            <w:shd w:val="clear" w:color="auto" w:fill="auto"/>
          </w:tcPr>
          <w:p w14:paraId="40CB0BE3" w14:textId="77777777" w:rsidR="00584FB3" w:rsidRDefault="00584FB3">
            <w:pPr>
              <w:rPr>
                <w:rFonts w:ascii="宋体"/>
              </w:rPr>
            </w:pPr>
          </w:p>
        </w:tc>
        <w:tc>
          <w:tcPr>
            <w:tcW w:w="5" w:type="pct"/>
            <w:shd w:val="clear" w:color="auto" w:fill="auto"/>
          </w:tcPr>
          <w:p w14:paraId="40CB0BE4" w14:textId="77777777" w:rsidR="00584FB3" w:rsidRDefault="00584FB3">
            <w:pPr>
              <w:rPr>
                <w:rFonts w:ascii="宋体"/>
              </w:rPr>
            </w:pPr>
          </w:p>
        </w:tc>
        <w:tc>
          <w:tcPr>
            <w:tcW w:w="19" w:type="pct"/>
            <w:shd w:val="clear" w:color="auto" w:fill="auto"/>
          </w:tcPr>
          <w:p w14:paraId="40CB0BE5" w14:textId="77777777" w:rsidR="00584FB3" w:rsidRDefault="00584FB3">
            <w:pPr>
              <w:rPr>
                <w:rFonts w:ascii="宋体"/>
              </w:rPr>
            </w:pPr>
          </w:p>
        </w:tc>
        <w:tc>
          <w:tcPr>
            <w:tcW w:w="5" w:type="pct"/>
            <w:shd w:val="clear" w:color="auto" w:fill="auto"/>
          </w:tcPr>
          <w:p w14:paraId="40CB0BE6" w14:textId="77777777" w:rsidR="00584FB3" w:rsidRDefault="00584FB3">
            <w:pPr>
              <w:rPr>
                <w:rFonts w:ascii="宋体"/>
              </w:rPr>
            </w:pPr>
          </w:p>
        </w:tc>
        <w:tc>
          <w:tcPr>
            <w:tcW w:w="50" w:type="pct"/>
            <w:shd w:val="clear" w:color="auto" w:fill="auto"/>
          </w:tcPr>
          <w:p w14:paraId="40CB0BE7" w14:textId="77777777" w:rsidR="00584FB3" w:rsidRDefault="00584FB3">
            <w:pPr>
              <w:rPr>
                <w:rFonts w:ascii="宋体"/>
              </w:rPr>
            </w:pPr>
          </w:p>
        </w:tc>
        <w:tc>
          <w:tcPr>
            <w:tcW w:w="757" w:type="pct"/>
            <w:shd w:val="clear" w:color="auto" w:fill="auto"/>
          </w:tcPr>
          <w:p w14:paraId="40CB0BE8" w14:textId="77777777" w:rsidR="00584FB3" w:rsidRDefault="00584FB3">
            <w:pPr>
              <w:rPr>
                <w:rFonts w:ascii="宋体"/>
              </w:rPr>
            </w:pPr>
          </w:p>
        </w:tc>
        <w:tc>
          <w:tcPr>
            <w:tcW w:w="5" w:type="pct"/>
            <w:shd w:val="clear" w:color="auto" w:fill="auto"/>
          </w:tcPr>
          <w:p w14:paraId="40CB0BE9" w14:textId="77777777" w:rsidR="00584FB3" w:rsidRDefault="00584FB3">
            <w:pPr>
              <w:rPr>
                <w:rFonts w:ascii="宋体"/>
              </w:rPr>
            </w:pPr>
          </w:p>
        </w:tc>
      </w:tr>
      <w:tr w:rsidR="00584FB3" w14:paraId="40CB0BEF" w14:textId="77777777">
        <w:tc>
          <w:tcPr>
            <w:tcW w:w="0" w:type="auto"/>
            <w:gridSpan w:val="3"/>
            <w:shd w:val="clear" w:color="auto" w:fill="auto"/>
            <w:tcMar>
              <w:top w:w="40" w:type="dxa"/>
              <w:left w:w="20" w:type="dxa"/>
              <w:bottom w:w="40" w:type="dxa"/>
              <w:right w:w="20" w:type="dxa"/>
            </w:tcMar>
            <w:vAlign w:val="bottom"/>
          </w:tcPr>
          <w:p w14:paraId="40CB0BEB"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0CB0BEC"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B0BED" w14:textId="77777777" w:rsidR="00584FB3" w:rsidRDefault="00584FB3">
            <w:pPr>
              <w:rPr>
                <w:rFonts w:ascii="宋体"/>
              </w:rPr>
            </w:pPr>
          </w:p>
        </w:tc>
        <w:tc>
          <w:tcPr>
            <w:tcW w:w="0" w:type="auto"/>
            <w:gridSpan w:val="15"/>
            <w:shd w:val="clear" w:color="auto" w:fill="00704A"/>
            <w:tcMar>
              <w:top w:w="40" w:type="dxa"/>
              <w:left w:w="20" w:type="dxa"/>
              <w:bottom w:w="40" w:type="dxa"/>
              <w:right w:w="20" w:type="dxa"/>
            </w:tcMar>
            <w:vAlign w:val="bottom"/>
          </w:tcPr>
          <w:p w14:paraId="40CB0BEE" w14:textId="77777777" w:rsidR="00584FB3" w:rsidRDefault="00786180">
            <w:pPr>
              <w:jc w:val="center"/>
              <w:textAlignment w:val="bottom"/>
            </w:pPr>
            <w:r>
              <w:rPr>
                <w:rFonts w:ascii="Times New Roman" w:eastAsia="宋体" w:hAnsi="Times New Roman"/>
                <w:b/>
                <w:bCs/>
                <w:color w:val="FFFFFF"/>
                <w:sz w:val="16"/>
                <w:szCs w:val="16"/>
              </w:rPr>
              <w:t>Fair Value Measurements at Reporting Date Using</w:t>
            </w:r>
          </w:p>
        </w:tc>
      </w:tr>
      <w:tr w:rsidR="00584FB3" w14:paraId="40CB0C01" w14:textId="77777777">
        <w:tc>
          <w:tcPr>
            <w:tcW w:w="0" w:type="auto"/>
            <w:gridSpan w:val="3"/>
            <w:shd w:val="clear" w:color="auto" w:fill="auto"/>
            <w:tcMar>
              <w:top w:w="40" w:type="dxa"/>
              <w:left w:w="20" w:type="dxa"/>
              <w:bottom w:w="40" w:type="dxa"/>
              <w:right w:w="20" w:type="dxa"/>
            </w:tcMar>
            <w:vAlign w:val="bottom"/>
          </w:tcPr>
          <w:p w14:paraId="40CB0BF0"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0BF1" w14:textId="77777777" w:rsidR="00584FB3" w:rsidRDefault="00786180">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December 27, 2020</w:t>
            </w:r>
          </w:p>
        </w:tc>
        <w:tc>
          <w:tcPr>
            <w:tcW w:w="0" w:type="auto"/>
            <w:gridSpan w:val="3"/>
            <w:shd w:val="clear" w:color="auto" w:fill="auto"/>
            <w:tcMar>
              <w:top w:w="0" w:type="dxa"/>
              <w:left w:w="20" w:type="dxa"/>
              <w:bottom w:w="0" w:type="dxa"/>
              <w:right w:w="20" w:type="dxa"/>
            </w:tcMar>
          </w:tcPr>
          <w:p w14:paraId="40CB0BF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F3" w14:textId="77777777" w:rsidR="00584FB3" w:rsidRDefault="00786180">
            <w:pPr>
              <w:jc w:val="center"/>
              <w:textAlignment w:val="bottom"/>
            </w:pPr>
            <w:r>
              <w:rPr>
                <w:rFonts w:ascii="Times New Roman" w:eastAsia="宋体" w:hAnsi="Times New Roman"/>
                <w:b/>
                <w:bCs/>
                <w:color w:val="FFFFFF"/>
                <w:sz w:val="16"/>
                <w:szCs w:val="16"/>
              </w:rPr>
              <w:t>Quoted Prices</w:t>
            </w:r>
          </w:p>
          <w:p w14:paraId="40CB0BF4" w14:textId="77777777" w:rsidR="00584FB3" w:rsidRDefault="00786180">
            <w:pPr>
              <w:jc w:val="center"/>
              <w:textAlignment w:val="bottom"/>
            </w:pPr>
            <w:r>
              <w:rPr>
                <w:rFonts w:ascii="Times New Roman" w:eastAsia="宋体" w:hAnsi="Times New Roman"/>
                <w:b/>
                <w:bCs/>
                <w:color w:val="FFFFFF"/>
                <w:sz w:val="16"/>
                <w:szCs w:val="16"/>
              </w:rPr>
              <w:t>in Active</w:t>
            </w:r>
          </w:p>
          <w:p w14:paraId="40CB0BF5" w14:textId="77777777" w:rsidR="00584FB3" w:rsidRDefault="00786180">
            <w:pPr>
              <w:jc w:val="center"/>
              <w:textAlignment w:val="bottom"/>
            </w:pPr>
            <w:r>
              <w:rPr>
                <w:rFonts w:ascii="Times New Roman" w:eastAsia="宋体" w:hAnsi="Times New Roman"/>
                <w:b/>
                <w:bCs/>
                <w:color w:val="FFFFFF"/>
                <w:sz w:val="16"/>
                <w:szCs w:val="16"/>
              </w:rPr>
              <w:t>Markets for </w:t>
            </w:r>
          </w:p>
          <w:p w14:paraId="40CB0BF6" w14:textId="77777777" w:rsidR="00584FB3" w:rsidRDefault="00786180">
            <w:pPr>
              <w:jc w:val="center"/>
              <w:textAlignment w:val="bottom"/>
            </w:pPr>
            <w:r>
              <w:rPr>
                <w:rFonts w:ascii="Times New Roman" w:eastAsia="宋体" w:hAnsi="Times New Roman"/>
                <w:b/>
                <w:bCs/>
                <w:color w:val="FFFFFF"/>
                <w:sz w:val="16"/>
                <w:szCs w:val="16"/>
              </w:rPr>
              <w:t>Identical Assets</w:t>
            </w:r>
          </w:p>
          <w:p w14:paraId="40CB0BF7" w14:textId="77777777" w:rsidR="00584FB3" w:rsidRDefault="00786180">
            <w:pPr>
              <w:jc w:val="center"/>
              <w:textAlignment w:val="bottom"/>
            </w:pPr>
            <w:r>
              <w:rPr>
                <w:rFonts w:ascii="Times New Roman" w:eastAsia="宋体" w:hAnsi="Times New Roman"/>
                <w:b/>
                <w:bCs/>
                <w:color w:val="FFFFFF"/>
                <w:sz w:val="16"/>
                <w:szCs w:val="16"/>
              </w:rPr>
              <w:t>(Level 1)</w:t>
            </w:r>
          </w:p>
        </w:tc>
        <w:tc>
          <w:tcPr>
            <w:tcW w:w="0" w:type="auto"/>
            <w:gridSpan w:val="3"/>
            <w:shd w:val="clear" w:color="auto" w:fill="auto"/>
            <w:tcMar>
              <w:top w:w="0" w:type="dxa"/>
              <w:left w:w="20" w:type="dxa"/>
              <w:bottom w:w="0" w:type="dxa"/>
              <w:right w:w="20" w:type="dxa"/>
            </w:tcMar>
          </w:tcPr>
          <w:p w14:paraId="40CB0BF8"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F9" w14:textId="77777777" w:rsidR="00584FB3" w:rsidRDefault="00786180">
            <w:pPr>
              <w:jc w:val="center"/>
              <w:textAlignment w:val="bottom"/>
            </w:pPr>
            <w:r>
              <w:rPr>
                <w:rFonts w:ascii="Times New Roman" w:eastAsia="宋体" w:hAnsi="Times New Roman"/>
                <w:b/>
                <w:bCs/>
                <w:color w:val="FFFFFF"/>
                <w:sz w:val="16"/>
                <w:szCs w:val="16"/>
              </w:rPr>
              <w:t>Significant </w:t>
            </w:r>
          </w:p>
          <w:p w14:paraId="40CB0BFA" w14:textId="77777777" w:rsidR="00584FB3" w:rsidRDefault="00786180">
            <w:pPr>
              <w:jc w:val="center"/>
              <w:textAlignment w:val="bottom"/>
            </w:pPr>
            <w:r>
              <w:rPr>
                <w:rFonts w:ascii="Times New Roman" w:eastAsia="宋体" w:hAnsi="Times New Roman"/>
                <w:b/>
                <w:bCs/>
                <w:color w:val="FFFFFF"/>
                <w:sz w:val="16"/>
                <w:szCs w:val="16"/>
              </w:rPr>
              <w:t>Other Observable </w:t>
            </w:r>
          </w:p>
          <w:p w14:paraId="40CB0BFB" w14:textId="77777777" w:rsidR="00584FB3" w:rsidRDefault="00786180">
            <w:pPr>
              <w:jc w:val="center"/>
              <w:textAlignment w:val="bottom"/>
            </w:pPr>
            <w:r>
              <w:rPr>
                <w:rFonts w:ascii="Times New Roman" w:eastAsia="宋体" w:hAnsi="Times New Roman"/>
                <w:b/>
                <w:bCs/>
                <w:color w:val="FFFFFF"/>
                <w:sz w:val="16"/>
                <w:szCs w:val="16"/>
              </w:rPr>
              <w:t>Inputs</w:t>
            </w:r>
          </w:p>
          <w:p w14:paraId="40CB0BFC" w14:textId="77777777" w:rsidR="00584FB3" w:rsidRDefault="00786180">
            <w:pPr>
              <w:jc w:val="center"/>
              <w:textAlignment w:val="bottom"/>
            </w:pPr>
            <w:r>
              <w:rPr>
                <w:rFonts w:ascii="Times New Roman" w:eastAsia="宋体" w:hAnsi="Times New Roman"/>
                <w:b/>
                <w:bCs/>
                <w:color w:val="FFFFFF"/>
                <w:sz w:val="16"/>
                <w:szCs w:val="16"/>
              </w:rPr>
              <w:t>(Level 2)</w:t>
            </w:r>
          </w:p>
        </w:tc>
        <w:tc>
          <w:tcPr>
            <w:tcW w:w="0" w:type="auto"/>
            <w:gridSpan w:val="3"/>
            <w:shd w:val="clear" w:color="auto" w:fill="auto"/>
            <w:tcMar>
              <w:top w:w="0" w:type="dxa"/>
              <w:left w:w="20" w:type="dxa"/>
              <w:bottom w:w="0" w:type="dxa"/>
              <w:right w:w="20" w:type="dxa"/>
            </w:tcMar>
          </w:tcPr>
          <w:p w14:paraId="40CB0BF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BFE" w14:textId="77777777" w:rsidR="00584FB3" w:rsidRDefault="00786180">
            <w:pPr>
              <w:jc w:val="center"/>
              <w:textAlignment w:val="bottom"/>
            </w:pPr>
            <w:r>
              <w:rPr>
                <w:rFonts w:ascii="Times New Roman" w:eastAsia="宋体" w:hAnsi="Times New Roman"/>
                <w:b/>
                <w:bCs/>
                <w:color w:val="FFFFFF"/>
                <w:sz w:val="16"/>
                <w:szCs w:val="16"/>
              </w:rPr>
              <w:t>Significant</w:t>
            </w:r>
          </w:p>
          <w:p w14:paraId="40CB0BFF" w14:textId="77777777" w:rsidR="00584FB3" w:rsidRDefault="00786180">
            <w:pPr>
              <w:jc w:val="center"/>
              <w:textAlignment w:val="bottom"/>
            </w:pPr>
            <w:r>
              <w:rPr>
                <w:rFonts w:ascii="Times New Roman" w:eastAsia="宋体" w:hAnsi="Times New Roman"/>
                <w:b/>
                <w:bCs/>
                <w:color w:val="FFFFFF"/>
                <w:sz w:val="16"/>
                <w:szCs w:val="16"/>
              </w:rPr>
              <w:t>Unobservable  Inputs</w:t>
            </w:r>
          </w:p>
          <w:p w14:paraId="40CB0C00" w14:textId="77777777" w:rsidR="00584FB3" w:rsidRDefault="00786180">
            <w:pPr>
              <w:jc w:val="center"/>
              <w:textAlignment w:val="bottom"/>
            </w:pPr>
            <w:r>
              <w:rPr>
                <w:rFonts w:ascii="Times New Roman" w:eastAsia="宋体" w:hAnsi="Times New Roman"/>
                <w:b/>
                <w:bCs/>
                <w:color w:val="FFFFFF"/>
                <w:sz w:val="16"/>
                <w:szCs w:val="16"/>
              </w:rPr>
              <w:t>(Level 3)</w:t>
            </w:r>
          </w:p>
        </w:tc>
      </w:tr>
      <w:tr w:rsidR="00584FB3" w14:paraId="40CB0C0A" w14:textId="77777777">
        <w:tc>
          <w:tcPr>
            <w:tcW w:w="0" w:type="auto"/>
            <w:gridSpan w:val="3"/>
            <w:shd w:val="clear" w:color="auto" w:fill="D7E4BC"/>
            <w:tcMar>
              <w:top w:w="40" w:type="dxa"/>
              <w:left w:w="20" w:type="dxa"/>
              <w:bottom w:w="40" w:type="dxa"/>
              <w:right w:w="20" w:type="dxa"/>
            </w:tcMar>
          </w:tcPr>
          <w:p w14:paraId="40CB0C02" w14:textId="77777777" w:rsidR="00584FB3" w:rsidRDefault="00786180">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40CB0C0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04"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C0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06"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C0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08"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C09" w14:textId="77777777" w:rsidR="00584FB3" w:rsidRDefault="00584FB3">
            <w:pPr>
              <w:rPr>
                <w:rFonts w:ascii="宋体"/>
              </w:rPr>
            </w:pPr>
          </w:p>
        </w:tc>
      </w:tr>
      <w:tr w:rsidR="00584FB3" w14:paraId="40CB0C1B" w14:textId="77777777">
        <w:tc>
          <w:tcPr>
            <w:tcW w:w="0" w:type="auto"/>
            <w:gridSpan w:val="3"/>
            <w:shd w:val="clear" w:color="auto" w:fill="FFFFFF"/>
            <w:tcMar>
              <w:top w:w="40" w:type="dxa"/>
              <w:left w:w="20" w:type="dxa"/>
              <w:bottom w:w="40" w:type="dxa"/>
              <w:right w:w="20" w:type="dxa"/>
            </w:tcMar>
            <w:vAlign w:val="bottom"/>
          </w:tcPr>
          <w:p w14:paraId="40CB0C0B" w14:textId="77777777" w:rsidR="00584FB3" w:rsidRDefault="00786180">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40CB0C0C"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C0D" w14:textId="77777777" w:rsidR="00584FB3" w:rsidRDefault="00786180">
            <w:pPr>
              <w:jc w:val="right"/>
              <w:textAlignment w:val="bottom"/>
            </w:pPr>
            <w:r>
              <w:rPr>
                <w:rFonts w:ascii="Times New Roman" w:eastAsia="宋体" w:hAnsi="Times New Roman"/>
                <w:color w:val="000000"/>
                <w:sz w:val="20"/>
                <w:szCs w:val="20"/>
              </w:rPr>
              <w:t>5,028.1 </w:t>
            </w:r>
          </w:p>
        </w:tc>
        <w:tc>
          <w:tcPr>
            <w:tcW w:w="0" w:type="auto"/>
            <w:shd w:val="clear" w:color="auto" w:fill="FFFFFF"/>
            <w:tcMar>
              <w:top w:w="40" w:type="dxa"/>
              <w:left w:w="0" w:type="dxa"/>
              <w:bottom w:w="40" w:type="dxa"/>
              <w:right w:w="20" w:type="dxa"/>
            </w:tcMar>
            <w:vAlign w:val="bottom"/>
          </w:tcPr>
          <w:p w14:paraId="40CB0C0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0F"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C10"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C11" w14:textId="77777777" w:rsidR="00584FB3" w:rsidRDefault="00786180">
            <w:pPr>
              <w:jc w:val="right"/>
              <w:textAlignment w:val="bottom"/>
            </w:pPr>
            <w:r>
              <w:rPr>
                <w:rFonts w:ascii="Times New Roman" w:eastAsia="宋体" w:hAnsi="Times New Roman"/>
                <w:color w:val="000000"/>
                <w:sz w:val="20"/>
                <w:szCs w:val="20"/>
              </w:rPr>
              <w:t>5,028.1 </w:t>
            </w:r>
          </w:p>
        </w:tc>
        <w:tc>
          <w:tcPr>
            <w:tcW w:w="0" w:type="auto"/>
            <w:shd w:val="clear" w:color="auto" w:fill="FFFFFF"/>
            <w:tcMar>
              <w:top w:w="40" w:type="dxa"/>
              <w:left w:w="0" w:type="dxa"/>
              <w:bottom w:w="40" w:type="dxa"/>
              <w:right w:w="20" w:type="dxa"/>
            </w:tcMar>
            <w:vAlign w:val="bottom"/>
          </w:tcPr>
          <w:p w14:paraId="40CB0C1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13"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C14"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C1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1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17"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C1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C19"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1A" w14:textId="77777777" w:rsidR="00584FB3" w:rsidRDefault="00584FB3">
            <w:pPr>
              <w:jc w:val="right"/>
              <w:rPr>
                <w:rFonts w:ascii="宋体"/>
              </w:rPr>
            </w:pPr>
          </w:p>
        </w:tc>
      </w:tr>
      <w:tr w:rsidR="00584FB3" w14:paraId="40CB0C24" w14:textId="77777777">
        <w:tc>
          <w:tcPr>
            <w:tcW w:w="0" w:type="auto"/>
            <w:gridSpan w:val="3"/>
            <w:shd w:val="clear" w:color="auto" w:fill="D7E4BC"/>
            <w:tcMar>
              <w:top w:w="40" w:type="dxa"/>
              <w:left w:w="20" w:type="dxa"/>
              <w:bottom w:w="40" w:type="dxa"/>
              <w:right w:w="20" w:type="dxa"/>
            </w:tcMar>
            <w:vAlign w:val="bottom"/>
          </w:tcPr>
          <w:p w14:paraId="40CB0C1C" w14:textId="77777777" w:rsidR="00584FB3" w:rsidRDefault="00786180">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tcPr>
          <w:p w14:paraId="40CB0C1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1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1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2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2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2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23" w14:textId="77777777" w:rsidR="00584FB3" w:rsidRDefault="00584FB3">
            <w:pPr>
              <w:rPr>
                <w:rFonts w:ascii="宋体"/>
              </w:rPr>
            </w:pPr>
          </w:p>
        </w:tc>
      </w:tr>
      <w:tr w:rsidR="00584FB3" w14:paraId="40CB0C2D" w14:textId="77777777">
        <w:tc>
          <w:tcPr>
            <w:tcW w:w="0" w:type="auto"/>
            <w:gridSpan w:val="3"/>
            <w:shd w:val="clear" w:color="auto" w:fill="FFFFFF"/>
            <w:tcMar>
              <w:top w:w="40" w:type="dxa"/>
              <w:left w:w="380" w:type="dxa"/>
              <w:bottom w:w="40" w:type="dxa"/>
              <w:right w:w="20" w:type="dxa"/>
            </w:tcMar>
            <w:vAlign w:val="bottom"/>
          </w:tcPr>
          <w:p w14:paraId="40CB0C25" w14:textId="77777777" w:rsidR="00584FB3" w:rsidRDefault="00786180">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40CB0C2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27"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2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29"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2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2B"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2C" w14:textId="77777777" w:rsidR="00584FB3" w:rsidRDefault="00584FB3">
            <w:pPr>
              <w:rPr>
                <w:rFonts w:ascii="宋体"/>
              </w:rPr>
            </w:pPr>
          </w:p>
        </w:tc>
      </w:tr>
      <w:tr w:rsidR="00584FB3" w14:paraId="40CB0C36" w14:textId="77777777">
        <w:trPr>
          <w:hidden/>
        </w:trPr>
        <w:tc>
          <w:tcPr>
            <w:tcW w:w="0" w:type="auto"/>
            <w:gridSpan w:val="3"/>
            <w:shd w:val="clear" w:color="auto" w:fill="auto"/>
          </w:tcPr>
          <w:p w14:paraId="40CB0C2E" w14:textId="77777777" w:rsidR="00584FB3" w:rsidRDefault="00584FB3">
            <w:pPr>
              <w:rPr>
                <w:rFonts w:ascii="宋体"/>
                <w:vanish/>
              </w:rPr>
            </w:pPr>
          </w:p>
        </w:tc>
        <w:tc>
          <w:tcPr>
            <w:tcW w:w="0" w:type="auto"/>
            <w:gridSpan w:val="3"/>
            <w:shd w:val="clear" w:color="auto" w:fill="auto"/>
          </w:tcPr>
          <w:p w14:paraId="40CB0C2F" w14:textId="77777777" w:rsidR="00584FB3" w:rsidRDefault="00584FB3">
            <w:pPr>
              <w:rPr>
                <w:rFonts w:ascii="宋体"/>
                <w:vanish/>
              </w:rPr>
            </w:pPr>
          </w:p>
        </w:tc>
        <w:tc>
          <w:tcPr>
            <w:tcW w:w="0" w:type="auto"/>
            <w:gridSpan w:val="3"/>
            <w:shd w:val="clear" w:color="auto" w:fill="auto"/>
          </w:tcPr>
          <w:p w14:paraId="40CB0C30" w14:textId="77777777" w:rsidR="00584FB3" w:rsidRDefault="00584FB3">
            <w:pPr>
              <w:rPr>
                <w:rFonts w:ascii="宋体"/>
                <w:vanish/>
              </w:rPr>
            </w:pPr>
          </w:p>
        </w:tc>
        <w:tc>
          <w:tcPr>
            <w:tcW w:w="0" w:type="auto"/>
            <w:gridSpan w:val="3"/>
            <w:shd w:val="clear" w:color="auto" w:fill="auto"/>
          </w:tcPr>
          <w:p w14:paraId="40CB0C31" w14:textId="77777777" w:rsidR="00584FB3" w:rsidRDefault="00584FB3">
            <w:pPr>
              <w:rPr>
                <w:rFonts w:ascii="宋体"/>
                <w:vanish/>
              </w:rPr>
            </w:pPr>
          </w:p>
        </w:tc>
        <w:tc>
          <w:tcPr>
            <w:tcW w:w="0" w:type="auto"/>
            <w:gridSpan w:val="3"/>
            <w:shd w:val="clear" w:color="auto" w:fill="auto"/>
          </w:tcPr>
          <w:p w14:paraId="40CB0C32" w14:textId="77777777" w:rsidR="00584FB3" w:rsidRDefault="00584FB3">
            <w:pPr>
              <w:rPr>
                <w:rFonts w:ascii="宋体"/>
                <w:vanish/>
              </w:rPr>
            </w:pPr>
          </w:p>
        </w:tc>
        <w:tc>
          <w:tcPr>
            <w:tcW w:w="0" w:type="auto"/>
            <w:gridSpan w:val="3"/>
            <w:shd w:val="clear" w:color="auto" w:fill="auto"/>
          </w:tcPr>
          <w:p w14:paraId="40CB0C33" w14:textId="77777777" w:rsidR="00584FB3" w:rsidRDefault="00584FB3">
            <w:pPr>
              <w:rPr>
                <w:rFonts w:ascii="宋体"/>
                <w:vanish/>
              </w:rPr>
            </w:pPr>
          </w:p>
        </w:tc>
        <w:tc>
          <w:tcPr>
            <w:tcW w:w="0" w:type="auto"/>
            <w:gridSpan w:val="3"/>
            <w:shd w:val="clear" w:color="auto" w:fill="auto"/>
          </w:tcPr>
          <w:p w14:paraId="40CB0C34" w14:textId="77777777" w:rsidR="00584FB3" w:rsidRDefault="00584FB3">
            <w:pPr>
              <w:rPr>
                <w:rFonts w:ascii="宋体"/>
                <w:vanish/>
              </w:rPr>
            </w:pPr>
          </w:p>
        </w:tc>
        <w:tc>
          <w:tcPr>
            <w:tcW w:w="0" w:type="auto"/>
            <w:gridSpan w:val="3"/>
            <w:shd w:val="clear" w:color="auto" w:fill="auto"/>
          </w:tcPr>
          <w:p w14:paraId="40CB0C35" w14:textId="77777777" w:rsidR="00584FB3" w:rsidRDefault="00584FB3">
            <w:pPr>
              <w:rPr>
                <w:rFonts w:ascii="宋体"/>
                <w:vanish/>
              </w:rPr>
            </w:pPr>
          </w:p>
        </w:tc>
      </w:tr>
      <w:tr w:rsidR="00584FB3" w14:paraId="40CB0C43" w14:textId="77777777">
        <w:tc>
          <w:tcPr>
            <w:tcW w:w="0" w:type="auto"/>
            <w:gridSpan w:val="3"/>
            <w:shd w:val="clear" w:color="auto" w:fill="D7E4BC"/>
            <w:tcMar>
              <w:top w:w="40" w:type="dxa"/>
              <w:left w:w="740" w:type="dxa"/>
              <w:bottom w:w="40" w:type="dxa"/>
              <w:right w:w="20" w:type="dxa"/>
            </w:tcMar>
            <w:vAlign w:val="bottom"/>
          </w:tcPr>
          <w:p w14:paraId="40CB0C37" w14:textId="77777777" w:rsidR="00584FB3" w:rsidRDefault="00786180">
            <w:pPr>
              <w:textAlignment w:val="bottom"/>
            </w:pPr>
            <w:r>
              <w:rPr>
                <w:rFonts w:ascii="Times New Roman" w:eastAsia="宋体" w:hAnsi="Times New Roman"/>
                <w:color w:val="000000"/>
                <w:sz w:val="20"/>
                <w:szCs w:val="20"/>
              </w:rPr>
              <w:t>Certificates of deposit</w:t>
            </w:r>
          </w:p>
        </w:tc>
        <w:tc>
          <w:tcPr>
            <w:tcW w:w="0" w:type="auto"/>
            <w:gridSpan w:val="2"/>
            <w:shd w:val="clear" w:color="auto" w:fill="D7E4BC"/>
            <w:tcMar>
              <w:top w:w="40" w:type="dxa"/>
              <w:left w:w="20" w:type="dxa"/>
              <w:bottom w:w="40" w:type="dxa"/>
              <w:right w:w="0" w:type="dxa"/>
            </w:tcMar>
            <w:vAlign w:val="bottom"/>
          </w:tcPr>
          <w:p w14:paraId="40CB0C38"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40CB0C3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3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3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3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3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3E"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40CB0C3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4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41"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42" w14:textId="77777777" w:rsidR="00584FB3" w:rsidRDefault="00584FB3">
            <w:pPr>
              <w:jc w:val="right"/>
              <w:rPr>
                <w:rFonts w:ascii="宋体"/>
              </w:rPr>
            </w:pPr>
          </w:p>
        </w:tc>
      </w:tr>
      <w:tr w:rsidR="00584FB3" w14:paraId="40CB0C50" w14:textId="77777777">
        <w:tc>
          <w:tcPr>
            <w:tcW w:w="0" w:type="auto"/>
            <w:gridSpan w:val="3"/>
            <w:shd w:val="clear" w:color="auto" w:fill="FFFFFF"/>
            <w:tcMar>
              <w:top w:w="40" w:type="dxa"/>
              <w:left w:w="740" w:type="dxa"/>
              <w:bottom w:w="40" w:type="dxa"/>
              <w:right w:w="20" w:type="dxa"/>
            </w:tcMar>
            <w:vAlign w:val="bottom"/>
          </w:tcPr>
          <w:p w14:paraId="40CB0C44" w14:textId="77777777" w:rsidR="00584FB3" w:rsidRDefault="00786180">
            <w:pPr>
              <w:textAlignment w:val="bottom"/>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40CB0C45" w14:textId="77777777" w:rsidR="00584FB3" w:rsidRDefault="00786180">
            <w:pPr>
              <w:jc w:val="right"/>
              <w:textAlignment w:val="bottom"/>
            </w:pPr>
            <w:r>
              <w:rPr>
                <w:rFonts w:ascii="Times New Roman" w:eastAsia="宋体" w:hAnsi="Times New Roman"/>
                <w:color w:val="000000"/>
                <w:sz w:val="20"/>
                <w:szCs w:val="20"/>
              </w:rPr>
              <w:t>71.8 </w:t>
            </w:r>
          </w:p>
        </w:tc>
        <w:tc>
          <w:tcPr>
            <w:tcW w:w="0" w:type="auto"/>
            <w:shd w:val="clear" w:color="auto" w:fill="FFFFFF"/>
            <w:tcMar>
              <w:top w:w="40" w:type="dxa"/>
              <w:left w:w="0" w:type="dxa"/>
              <w:bottom w:w="40" w:type="dxa"/>
              <w:right w:w="20" w:type="dxa"/>
            </w:tcMar>
            <w:vAlign w:val="bottom"/>
          </w:tcPr>
          <w:p w14:paraId="40CB0C4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4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48"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4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4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4B" w14:textId="77777777" w:rsidR="00584FB3" w:rsidRDefault="00786180">
            <w:pPr>
              <w:jc w:val="right"/>
              <w:textAlignment w:val="bottom"/>
            </w:pPr>
            <w:r>
              <w:rPr>
                <w:rFonts w:ascii="Times New Roman" w:eastAsia="宋体" w:hAnsi="Times New Roman"/>
                <w:color w:val="000000"/>
                <w:sz w:val="20"/>
                <w:szCs w:val="20"/>
              </w:rPr>
              <w:t>71.8 </w:t>
            </w:r>
          </w:p>
        </w:tc>
        <w:tc>
          <w:tcPr>
            <w:tcW w:w="0" w:type="auto"/>
            <w:shd w:val="clear" w:color="auto" w:fill="FFFFFF"/>
            <w:tcMar>
              <w:top w:w="40" w:type="dxa"/>
              <w:left w:w="0" w:type="dxa"/>
              <w:bottom w:w="40" w:type="dxa"/>
              <w:right w:w="20" w:type="dxa"/>
            </w:tcMar>
            <w:vAlign w:val="bottom"/>
          </w:tcPr>
          <w:p w14:paraId="40CB0C4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4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4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4F" w14:textId="77777777" w:rsidR="00584FB3" w:rsidRDefault="00584FB3">
            <w:pPr>
              <w:jc w:val="right"/>
              <w:rPr>
                <w:rFonts w:ascii="宋体"/>
              </w:rPr>
            </w:pPr>
          </w:p>
        </w:tc>
      </w:tr>
      <w:tr w:rsidR="00584FB3" w14:paraId="40CB0C5D" w14:textId="77777777">
        <w:tc>
          <w:tcPr>
            <w:tcW w:w="0" w:type="auto"/>
            <w:gridSpan w:val="3"/>
            <w:shd w:val="clear" w:color="auto" w:fill="D7E4BC"/>
            <w:tcMar>
              <w:top w:w="40" w:type="dxa"/>
              <w:left w:w="740" w:type="dxa"/>
              <w:bottom w:w="40" w:type="dxa"/>
              <w:right w:w="20" w:type="dxa"/>
            </w:tcMar>
            <w:vAlign w:val="bottom"/>
          </w:tcPr>
          <w:p w14:paraId="40CB0C51" w14:textId="77777777" w:rsidR="00584FB3" w:rsidRDefault="00786180">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40CB0C52" w14:textId="77777777" w:rsidR="00584FB3" w:rsidRDefault="00786180">
            <w:pPr>
              <w:jc w:val="right"/>
              <w:textAlignment w:val="bottom"/>
            </w:pPr>
            <w:r>
              <w:rPr>
                <w:rFonts w:ascii="Times New Roman" w:eastAsia="宋体" w:hAnsi="Times New Roman"/>
                <w:color w:val="000000"/>
                <w:sz w:val="20"/>
                <w:szCs w:val="20"/>
              </w:rPr>
              <w:t>78.5 </w:t>
            </w:r>
          </w:p>
        </w:tc>
        <w:tc>
          <w:tcPr>
            <w:tcW w:w="0" w:type="auto"/>
            <w:shd w:val="clear" w:color="auto" w:fill="D7E4BC"/>
            <w:tcMar>
              <w:top w:w="40" w:type="dxa"/>
              <w:left w:w="0" w:type="dxa"/>
              <w:bottom w:w="40" w:type="dxa"/>
              <w:right w:w="20" w:type="dxa"/>
            </w:tcMar>
            <w:vAlign w:val="bottom"/>
          </w:tcPr>
          <w:p w14:paraId="40CB0C5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5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5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5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5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58" w14:textId="77777777" w:rsidR="00584FB3" w:rsidRDefault="00786180">
            <w:pPr>
              <w:jc w:val="right"/>
              <w:textAlignment w:val="bottom"/>
            </w:pPr>
            <w:r>
              <w:rPr>
                <w:rFonts w:ascii="Times New Roman" w:eastAsia="宋体" w:hAnsi="Times New Roman"/>
                <w:color w:val="000000"/>
                <w:sz w:val="20"/>
                <w:szCs w:val="20"/>
              </w:rPr>
              <w:t>78.5 </w:t>
            </w:r>
          </w:p>
        </w:tc>
        <w:tc>
          <w:tcPr>
            <w:tcW w:w="0" w:type="auto"/>
            <w:shd w:val="clear" w:color="auto" w:fill="D7E4BC"/>
            <w:tcMar>
              <w:top w:w="40" w:type="dxa"/>
              <w:left w:w="0" w:type="dxa"/>
              <w:bottom w:w="40" w:type="dxa"/>
              <w:right w:w="20" w:type="dxa"/>
            </w:tcMar>
            <w:vAlign w:val="bottom"/>
          </w:tcPr>
          <w:p w14:paraId="40CB0C5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5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5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5C" w14:textId="77777777" w:rsidR="00584FB3" w:rsidRDefault="00584FB3">
            <w:pPr>
              <w:jc w:val="right"/>
              <w:rPr>
                <w:rFonts w:ascii="宋体"/>
              </w:rPr>
            </w:pPr>
          </w:p>
        </w:tc>
      </w:tr>
      <w:tr w:rsidR="00584FB3" w14:paraId="40CB0C66" w14:textId="77777777">
        <w:trPr>
          <w:hidden/>
        </w:trPr>
        <w:tc>
          <w:tcPr>
            <w:tcW w:w="0" w:type="auto"/>
            <w:gridSpan w:val="3"/>
            <w:shd w:val="clear" w:color="auto" w:fill="auto"/>
          </w:tcPr>
          <w:p w14:paraId="40CB0C5E" w14:textId="77777777" w:rsidR="00584FB3" w:rsidRDefault="00584FB3">
            <w:pPr>
              <w:rPr>
                <w:rFonts w:ascii="宋体"/>
                <w:vanish/>
              </w:rPr>
            </w:pPr>
          </w:p>
        </w:tc>
        <w:tc>
          <w:tcPr>
            <w:tcW w:w="0" w:type="auto"/>
            <w:gridSpan w:val="3"/>
            <w:shd w:val="clear" w:color="auto" w:fill="auto"/>
          </w:tcPr>
          <w:p w14:paraId="40CB0C5F" w14:textId="77777777" w:rsidR="00584FB3" w:rsidRDefault="00584FB3">
            <w:pPr>
              <w:rPr>
                <w:rFonts w:ascii="宋体"/>
                <w:vanish/>
              </w:rPr>
            </w:pPr>
          </w:p>
        </w:tc>
        <w:tc>
          <w:tcPr>
            <w:tcW w:w="0" w:type="auto"/>
            <w:gridSpan w:val="3"/>
            <w:shd w:val="clear" w:color="auto" w:fill="auto"/>
          </w:tcPr>
          <w:p w14:paraId="40CB0C60" w14:textId="77777777" w:rsidR="00584FB3" w:rsidRDefault="00584FB3">
            <w:pPr>
              <w:rPr>
                <w:rFonts w:ascii="宋体"/>
                <w:vanish/>
              </w:rPr>
            </w:pPr>
          </w:p>
        </w:tc>
        <w:tc>
          <w:tcPr>
            <w:tcW w:w="0" w:type="auto"/>
            <w:gridSpan w:val="3"/>
            <w:shd w:val="clear" w:color="auto" w:fill="auto"/>
          </w:tcPr>
          <w:p w14:paraId="40CB0C61" w14:textId="77777777" w:rsidR="00584FB3" w:rsidRDefault="00584FB3">
            <w:pPr>
              <w:rPr>
                <w:rFonts w:ascii="宋体"/>
                <w:vanish/>
              </w:rPr>
            </w:pPr>
          </w:p>
        </w:tc>
        <w:tc>
          <w:tcPr>
            <w:tcW w:w="0" w:type="auto"/>
            <w:gridSpan w:val="3"/>
            <w:shd w:val="clear" w:color="auto" w:fill="auto"/>
          </w:tcPr>
          <w:p w14:paraId="40CB0C62" w14:textId="77777777" w:rsidR="00584FB3" w:rsidRDefault="00584FB3">
            <w:pPr>
              <w:rPr>
                <w:rFonts w:ascii="宋体"/>
                <w:vanish/>
              </w:rPr>
            </w:pPr>
          </w:p>
        </w:tc>
        <w:tc>
          <w:tcPr>
            <w:tcW w:w="0" w:type="auto"/>
            <w:gridSpan w:val="3"/>
            <w:shd w:val="clear" w:color="auto" w:fill="auto"/>
          </w:tcPr>
          <w:p w14:paraId="40CB0C63" w14:textId="77777777" w:rsidR="00584FB3" w:rsidRDefault="00584FB3">
            <w:pPr>
              <w:rPr>
                <w:rFonts w:ascii="宋体"/>
                <w:vanish/>
              </w:rPr>
            </w:pPr>
          </w:p>
        </w:tc>
        <w:tc>
          <w:tcPr>
            <w:tcW w:w="0" w:type="auto"/>
            <w:gridSpan w:val="3"/>
            <w:shd w:val="clear" w:color="auto" w:fill="auto"/>
          </w:tcPr>
          <w:p w14:paraId="40CB0C64" w14:textId="77777777" w:rsidR="00584FB3" w:rsidRDefault="00584FB3">
            <w:pPr>
              <w:rPr>
                <w:rFonts w:ascii="宋体"/>
                <w:vanish/>
              </w:rPr>
            </w:pPr>
          </w:p>
        </w:tc>
        <w:tc>
          <w:tcPr>
            <w:tcW w:w="0" w:type="auto"/>
            <w:gridSpan w:val="3"/>
            <w:shd w:val="clear" w:color="auto" w:fill="auto"/>
          </w:tcPr>
          <w:p w14:paraId="40CB0C65" w14:textId="77777777" w:rsidR="00584FB3" w:rsidRDefault="00584FB3">
            <w:pPr>
              <w:rPr>
                <w:rFonts w:ascii="宋体"/>
                <w:vanish/>
              </w:rPr>
            </w:pPr>
          </w:p>
        </w:tc>
      </w:tr>
      <w:tr w:rsidR="00584FB3" w14:paraId="40CB0C73" w14:textId="77777777">
        <w:tc>
          <w:tcPr>
            <w:tcW w:w="0" w:type="auto"/>
            <w:gridSpan w:val="3"/>
            <w:shd w:val="clear" w:color="auto" w:fill="FFFFFF"/>
            <w:tcMar>
              <w:top w:w="40" w:type="dxa"/>
              <w:left w:w="740" w:type="dxa"/>
              <w:bottom w:w="40" w:type="dxa"/>
              <w:right w:w="20" w:type="dxa"/>
            </w:tcMar>
            <w:vAlign w:val="bottom"/>
          </w:tcPr>
          <w:p w14:paraId="40CB0C67" w14:textId="77777777" w:rsidR="00584FB3" w:rsidRDefault="00786180">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40CB0C68" w14:textId="77777777" w:rsidR="00584FB3" w:rsidRDefault="00786180">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40CB0C6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6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6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6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6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6E" w14:textId="77777777" w:rsidR="00584FB3" w:rsidRDefault="00786180">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40CB0C6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7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71"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72" w14:textId="77777777" w:rsidR="00584FB3" w:rsidRDefault="00584FB3">
            <w:pPr>
              <w:jc w:val="right"/>
              <w:rPr>
                <w:rFonts w:ascii="宋体"/>
              </w:rPr>
            </w:pPr>
          </w:p>
        </w:tc>
      </w:tr>
      <w:tr w:rsidR="00584FB3" w14:paraId="40CB0C80" w14:textId="77777777">
        <w:tc>
          <w:tcPr>
            <w:tcW w:w="0" w:type="auto"/>
            <w:gridSpan w:val="3"/>
            <w:shd w:val="clear" w:color="auto" w:fill="D7E4BC"/>
            <w:tcMar>
              <w:top w:w="40" w:type="dxa"/>
              <w:left w:w="740" w:type="dxa"/>
              <w:bottom w:w="40" w:type="dxa"/>
              <w:right w:w="20" w:type="dxa"/>
            </w:tcMar>
            <w:vAlign w:val="bottom"/>
          </w:tcPr>
          <w:p w14:paraId="40CB0C74" w14:textId="77777777" w:rsidR="00584FB3" w:rsidRDefault="00786180">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40CB0C75" w14:textId="77777777" w:rsidR="00584FB3" w:rsidRDefault="00786180">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40CB0C7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7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78"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7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7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7B" w14:textId="77777777" w:rsidR="00584FB3" w:rsidRDefault="00786180">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40CB0C7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7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7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7F" w14:textId="77777777" w:rsidR="00584FB3" w:rsidRDefault="00584FB3">
            <w:pPr>
              <w:jc w:val="right"/>
              <w:rPr>
                <w:rFonts w:ascii="宋体"/>
              </w:rPr>
            </w:pPr>
          </w:p>
        </w:tc>
      </w:tr>
      <w:tr w:rsidR="00584FB3" w14:paraId="40CB0C89" w14:textId="77777777">
        <w:trPr>
          <w:hidden/>
        </w:trPr>
        <w:tc>
          <w:tcPr>
            <w:tcW w:w="0" w:type="auto"/>
            <w:gridSpan w:val="3"/>
            <w:shd w:val="clear" w:color="auto" w:fill="auto"/>
          </w:tcPr>
          <w:p w14:paraId="40CB0C81" w14:textId="77777777" w:rsidR="00584FB3" w:rsidRDefault="00584FB3">
            <w:pPr>
              <w:rPr>
                <w:rFonts w:ascii="宋体"/>
                <w:vanish/>
              </w:rPr>
            </w:pPr>
          </w:p>
        </w:tc>
        <w:tc>
          <w:tcPr>
            <w:tcW w:w="0" w:type="auto"/>
            <w:gridSpan w:val="3"/>
            <w:shd w:val="clear" w:color="auto" w:fill="auto"/>
          </w:tcPr>
          <w:p w14:paraId="40CB0C82" w14:textId="77777777" w:rsidR="00584FB3" w:rsidRDefault="00584FB3">
            <w:pPr>
              <w:rPr>
                <w:rFonts w:ascii="宋体"/>
                <w:vanish/>
              </w:rPr>
            </w:pPr>
          </w:p>
        </w:tc>
        <w:tc>
          <w:tcPr>
            <w:tcW w:w="0" w:type="auto"/>
            <w:gridSpan w:val="3"/>
            <w:shd w:val="clear" w:color="auto" w:fill="auto"/>
          </w:tcPr>
          <w:p w14:paraId="40CB0C83" w14:textId="77777777" w:rsidR="00584FB3" w:rsidRDefault="00584FB3">
            <w:pPr>
              <w:rPr>
                <w:rFonts w:ascii="宋体"/>
                <w:vanish/>
              </w:rPr>
            </w:pPr>
          </w:p>
        </w:tc>
        <w:tc>
          <w:tcPr>
            <w:tcW w:w="0" w:type="auto"/>
            <w:gridSpan w:val="3"/>
            <w:shd w:val="clear" w:color="auto" w:fill="auto"/>
          </w:tcPr>
          <w:p w14:paraId="40CB0C84" w14:textId="77777777" w:rsidR="00584FB3" w:rsidRDefault="00584FB3">
            <w:pPr>
              <w:rPr>
                <w:rFonts w:ascii="宋体"/>
                <w:vanish/>
              </w:rPr>
            </w:pPr>
          </w:p>
        </w:tc>
        <w:tc>
          <w:tcPr>
            <w:tcW w:w="0" w:type="auto"/>
            <w:gridSpan w:val="3"/>
            <w:shd w:val="clear" w:color="auto" w:fill="auto"/>
          </w:tcPr>
          <w:p w14:paraId="40CB0C85" w14:textId="77777777" w:rsidR="00584FB3" w:rsidRDefault="00584FB3">
            <w:pPr>
              <w:rPr>
                <w:rFonts w:ascii="宋体"/>
                <w:vanish/>
              </w:rPr>
            </w:pPr>
          </w:p>
        </w:tc>
        <w:tc>
          <w:tcPr>
            <w:tcW w:w="0" w:type="auto"/>
            <w:gridSpan w:val="3"/>
            <w:shd w:val="clear" w:color="auto" w:fill="auto"/>
          </w:tcPr>
          <w:p w14:paraId="40CB0C86" w14:textId="77777777" w:rsidR="00584FB3" w:rsidRDefault="00584FB3">
            <w:pPr>
              <w:rPr>
                <w:rFonts w:ascii="宋体"/>
                <w:vanish/>
              </w:rPr>
            </w:pPr>
          </w:p>
        </w:tc>
        <w:tc>
          <w:tcPr>
            <w:tcW w:w="0" w:type="auto"/>
            <w:gridSpan w:val="3"/>
            <w:shd w:val="clear" w:color="auto" w:fill="auto"/>
          </w:tcPr>
          <w:p w14:paraId="40CB0C87" w14:textId="77777777" w:rsidR="00584FB3" w:rsidRDefault="00584FB3">
            <w:pPr>
              <w:rPr>
                <w:rFonts w:ascii="宋体"/>
                <w:vanish/>
              </w:rPr>
            </w:pPr>
          </w:p>
        </w:tc>
        <w:tc>
          <w:tcPr>
            <w:tcW w:w="0" w:type="auto"/>
            <w:gridSpan w:val="3"/>
            <w:shd w:val="clear" w:color="auto" w:fill="auto"/>
          </w:tcPr>
          <w:p w14:paraId="40CB0C88" w14:textId="77777777" w:rsidR="00584FB3" w:rsidRDefault="00584FB3">
            <w:pPr>
              <w:rPr>
                <w:rFonts w:ascii="宋体"/>
                <w:vanish/>
              </w:rPr>
            </w:pPr>
          </w:p>
        </w:tc>
      </w:tr>
      <w:tr w:rsidR="00584FB3" w14:paraId="40CB0C96" w14:textId="77777777">
        <w:tc>
          <w:tcPr>
            <w:tcW w:w="0" w:type="auto"/>
            <w:gridSpan w:val="3"/>
            <w:shd w:val="clear" w:color="auto" w:fill="FFFFFF"/>
            <w:tcMar>
              <w:top w:w="40" w:type="dxa"/>
              <w:left w:w="380" w:type="dxa"/>
              <w:bottom w:w="40" w:type="dxa"/>
              <w:right w:w="20" w:type="dxa"/>
            </w:tcMar>
            <w:vAlign w:val="bottom"/>
          </w:tcPr>
          <w:p w14:paraId="40CB0C8A" w14:textId="77777777" w:rsidR="00584FB3" w:rsidRDefault="00786180">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8B" w14:textId="77777777" w:rsidR="00584FB3" w:rsidRDefault="00786180">
            <w:pPr>
              <w:jc w:val="right"/>
              <w:textAlignment w:val="bottom"/>
            </w:pPr>
            <w:r>
              <w:rPr>
                <w:rFonts w:ascii="Times New Roman" w:eastAsia="宋体" w:hAnsi="Times New Roman"/>
                <w:color w:val="000000"/>
                <w:sz w:val="20"/>
                <w:szCs w:val="20"/>
              </w:rPr>
              <w:t>169.6 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8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8D"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8E"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8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90"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91" w14:textId="77777777" w:rsidR="00584FB3" w:rsidRDefault="00786180">
            <w:pPr>
              <w:jc w:val="right"/>
              <w:textAlignment w:val="bottom"/>
            </w:pPr>
            <w:r>
              <w:rPr>
                <w:rFonts w:ascii="Times New Roman" w:eastAsia="宋体" w:hAnsi="Times New Roman"/>
                <w:color w:val="000000"/>
                <w:sz w:val="20"/>
                <w:szCs w:val="20"/>
              </w:rPr>
              <w:t>169.6 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9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93"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94"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95" w14:textId="77777777" w:rsidR="00584FB3" w:rsidRDefault="00584FB3">
            <w:pPr>
              <w:jc w:val="right"/>
              <w:rPr>
                <w:rFonts w:ascii="宋体"/>
              </w:rPr>
            </w:pPr>
          </w:p>
        </w:tc>
      </w:tr>
      <w:tr w:rsidR="00584FB3" w14:paraId="40CB0CA3" w14:textId="77777777">
        <w:tc>
          <w:tcPr>
            <w:tcW w:w="0" w:type="auto"/>
            <w:gridSpan w:val="3"/>
            <w:shd w:val="clear" w:color="auto" w:fill="D7E4BC"/>
            <w:tcMar>
              <w:top w:w="40" w:type="dxa"/>
              <w:left w:w="740" w:type="dxa"/>
              <w:bottom w:w="40" w:type="dxa"/>
              <w:right w:w="20" w:type="dxa"/>
            </w:tcMar>
            <w:vAlign w:val="bottom"/>
          </w:tcPr>
          <w:p w14:paraId="40CB0C97" w14:textId="77777777" w:rsidR="00584FB3" w:rsidRDefault="00786180">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40CB0C98" w14:textId="77777777" w:rsidR="00584FB3" w:rsidRDefault="00786180">
            <w:pPr>
              <w:jc w:val="right"/>
              <w:textAlignment w:val="bottom"/>
            </w:pPr>
            <w:r>
              <w:rPr>
                <w:rFonts w:ascii="Times New Roman" w:eastAsia="宋体" w:hAnsi="Times New Roman"/>
                <w:color w:val="000000"/>
                <w:sz w:val="20"/>
                <w:szCs w:val="20"/>
              </w:rPr>
              <w:t>65.9 </w:t>
            </w:r>
          </w:p>
        </w:tc>
        <w:tc>
          <w:tcPr>
            <w:tcW w:w="0" w:type="auto"/>
            <w:shd w:val="clear" w:color="auto" w:fill="D7E4BC"/>
            <w:tcMar>
              <w:top w:w="40" w:type="dxa"/>
              <w:left w:w="0" w:type="dxa"/>
              <w:bottom w:w="40" w:type="dxa"/>
              <w:right w:w="20" w:type="dxa"/>
            </w:tcMar>
            <w:vAlign w:val="bottom"/>
          </w:tcPr>
          <w:p w14:paraId="40CB0C9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9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9B" w14:textId="77777777" w:rsidR="00584FB3" w:rsidRDefault="00786180">
            <w:pPr>
              <w:jc w:val="right"/>
              <w:textAlignment w:val="bottom"/>
            </w:pPr>
            <w:r>
              <w:rPr>
                <w:rFonts w:ascii="Times New Roman" w:eastAsia="宋体" w:hAnsi="Times New Roman"/>
                <w:color w:val="000000"/>
                <w:sz w:val="20"/>
                <w:szCs w:val="20"/>
              </w:rPr>
              <w:t>65.9 </w:t>
            </w:r>
          </w:p>
        </w:tc>
        <w:tc>
          <w:tcPr>
            <w:tcW w:w="0" w:type="auto"/>
            <w:shd w:val="clear" w:color="auto" w:fill="D7E4BC"/>
            <w:tcMar>
              <w:top w:w="40" w:type="dxa"/>
              <w:left w:w="0" w:type="dxa"/>
              <w:bottom w:w="40" w:type="dxa"/>
              <w:right w:w="20" w:type="dxa"/>
            </w:tcMar>
            <w:vAlign w:val="bottom"/>
          </w:tcPr>
          <w:p w14:paraId="40CB0C9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9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9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9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A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A1"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A2" w14:textId="77777777" w:rsidR="00584FB3" w:rsidRDefault="00584FB3">
            <w:pPr>
              <w:jc w:val="right"/>
              <w:rPr>
                <w:rFonts w:ascii="宋体"/>
              </w:rPr>
            </w:pPr>
          </w:p>
        </w:tc>
      </w:tr>
      <w:tr w:rsidR="00584FB3" w14:paraId="40CB0CB0" w14:textId="77777777">
        <w:tc>
          <w:tcPr>
            <w:tcW w:w="0" w:type="auto"/>
            <w:gridSpan w:val="3"/>
            <w:shd w:val="clear" w:color="auto" w:fill="FFFFFF"/>
            <w:tcMar>
              <w:top w:w="40" w:type="dxa"/>
              <w:left w:w="20" w:type="dxa"/>
              <w:bottom w:w="40" w:type="dxa"/>
              <w:right w:w="20" w:type="dxa"/>
            </w:tcMar>
            <w:vAlign w:val="bottom"/>
          </w:tcPr>
          <w:p w14:paraId="40CB0CA4" w14:textId="77777777" w:rsidR="00584FB3" w:rsidRDefault="00786180">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A5" w14:textId="77777777" w:rsidR="00584FB3" w:rsidRDefault="00786180">
            <w:pPr>
              <w:jc w:val="right"/>
              <w:textAlignment w:val="bottom"/>
            </w:pPr>
            <w:r>
              <w:rPr>
                <w:rFonts w:ascii="Times New Roman" w:eastAsia="宋体" w:hAnsi="Times New Roman"/>
                <w:color w:val="000000"/>
                <w:sz w:val="20"/>
                <w:szCs w:val="20"/>
              </w:rPr>
              <w:t>235.5 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A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A7"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A8" w14:textId="77777777" w:rsidR="00584FB3" w:rsidRDefault="00786180">
            <w:pPr>
              <w:jc w:val="right"/>
              <w:textAlignment w:val="bottom"/>
            </w:pPr>
            <w:r>
              <w:rPr>
                <w:rFonts w:ascii="Times New Roman" w:eastAsia="宋体" w:hAnsi="Times New Roman"/>
                <w:color w:val="000000"/>
                <w:sz w:val="20"/>
                <w:szCs w:val="20"/>
              </w:rPr>
              <w:t>65.9 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A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AA"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AB" w14:textId="77777777" w:rsidR="00584FB3" w:rsidRDefault="00786180">
            <w:pPr>
              <w:jc w:val="right"/>
              <w:textAlignment w:val="bottom"/>
            </w:pPr>
            <w:r>
              <w:rPr>
                <w:rFonts w:ascii="Times New Roman" w:eastAsia="宋体" w:hAnsi="Times New Roman"/>
                <w:color w:val="000000"/>
                <w:sz w:val="20"/>
                <w:szCs w:val="20"/>
              </w:rPr>
              <w:t>169.6 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A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AD"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CAE"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CAF" w14:textId="77777777" w:rsidR="00584FB3" w:rsidRDefault="00584FB3">
            <w:pPr>
              <w:jc w:val="right"/>
              <w:rPr>
                <w:rFonts w:ascii="宋体"/>
              </w:rPr>
            </w:pPr>
          </w:p>
        </w:tc>
      </w:tr>
      <w:tr w:rsidR="00584FB3" w14:paraId="40CB0CB9" w14:textId="77777777">
        <w:tc>
          <w:tcPr>
            <w:tcW w:w="0" w:type="auto"/>
            <w:gridSpan w:val="3"/>
            <w:shd w:val="clear" w:color="auto" w:fill="D7E4BC"/>
            <w:tcMar>
              <w:top w:w="40" w:type="dxa"/>
              <w:left w:w="20" w:type="dxa"/>
              <w:bottom w:w="40" w:type="dxa"/>
              <w:right w:w="20" w:type="dxa"/>
            </w:tcMar>
            <w:vAlign w:val="bottom"/>
          </w:tcPr>
          <w:p w14:paraId="40CB0CB1" w14:textId="77777777" w:rsidR="00584FB3" w:rsidRDefault="00786180">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40CB0CB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B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B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B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B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B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B8" w14:textId="77777777" w:rsidR="00584FB3" w:rsidRDefault="00584FB3">
            <w:pPr>
              <w:rPr>
                <w:rFonts w:ascii="宋体"/>
              </w:rPr>
            </w:pPr>
          </w:p>
        </w:tc>
      </w:tr>
      <w:tr w:rsidR="00584FB3" w14:paraId="40CB0CC6" w14:textId="77777777">
        <w:tc>
          <w:tcPr>
            <w:tcW w:w="0" w:type="auto"/>
            <w:gridSpan w:val="3"/>
            <w:shd w:val="clear" w:color="auto" w:fill="FFFFFF"/>
            <w:tcMar>
              <w:top w:w="40" w:type="dxa"/>
              <w:left w:w="380" w:type="dxa"/>
              <w:bottom w:w="40" w:type="dxa"/>
              <w:right w:w="20" w:type="dxa"/>
            </w:tcMar>
            <w:vAlign w:val="bottom"/>
          </w:tcPr>
          <w:p w14:paraId="40CB0CBA" w14:textId="77777777" w:rsidR="00584FB3" w:rsidRDefault="00786180">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40CB0CBB" w14:textId="77777777" w:rsidR="00584FB3" w:rsidRDefault="00786180">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40CB0CB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B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BE" w14:textId="77777777" w:rsidR="00584FB3" w:rsidRDefault="00786180">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40CB0CB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C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C1" w14:textId="77777777" w:rsidR="00584FB3" w:rsidRDefault="00786180">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40CB0CC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C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C4"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C5" w14:textId="77777777" w:rsidR="00584FB3" w:rsidRDefault="00584FB3">
            <w:pPr>
              <w:jc w:val="right"/>
              <w:rPr>
                <w:rFonts w:ascii="宋体"/>
              </w:rPr>
            </w:pPr>
          </w:p>
        </w:tc>
      </w:tr>
      <w:tr w:rsidR="00584FB3" w14:paraId="40CB0CCF" w14:textId="77777777">
        <w:tc>
          <w:tcPr>
            <w:tcW w:w="0" w:type="auto"/>
            <w:gridSpan w:val="3"/>
            <w:shd w:val="clear" w:color="auto" w:fill="D7E4BC"/>
            <w:tcMar>
              <w:top w:w="40" w:type="dxa"/>
              <w:left w:w="20" w:type="dxa"/>
              <w:bottom w:w="40" w:type="dxa"/>
              <w:right w:w="20" w:type="dxa"/>
            </w:tcMar>
            <w:vAlign w:val="bottom"/>
          </w:tcPr>
          <w:p w14:paraId="40CB0CC7" w14:textId="77777777" w:rsidR="00584FB3" w:rsidRDefault="00786180">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tcPr>
          <w:p w14:paraId="40CB0CC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C9"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CA"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C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C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C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CCE" w14:textId="77777777" w:rsidR="00584FB3" w:rsidRDefault="00584FB3">
            <w:pPr>
              <w:rPr>
                <w:rFonts w:ascii="宋体"/>
              </w:rPr>
            </w:pPr>
          </w:p>
        </w:tc>
      </w:tr>
      <w:tr w:rsidR="00584FB3" w14:paraId="40CB0CD8" w14:textId="77777777">
        <w:tc>
          <w:tcPr>
            <w:tcW w:w="0" w:type="auto"/>
            <w:gridSpan w:val="3"/>
            <w:shd w:val="clear" w:color="auto" w:fill="FFFFFF"/>
            <w:tcMar>
              <w:top w:w="40" w:type="dxa"/>
              <w:left w:w="380" w:type="dxa"/>
              <w:bottom w:w="40" w:type="dxa"/>
              <w:right w:w="20" w:type="dxa"/>
            </w:tcMar>
            <w:vAlign w:val="bottom"/>
          </w:tcPr>
          <w:p w14:paraId="40CB0CD0" w14:textId="77777777" w:rsidR="00584FB3" w:rsidRDefault="00786180">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40CB0CD1"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D2"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D3"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D4"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D5"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D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CD7" w14:textId="77777777" w:rsidR="00584FB3" w:rsidRDefault="00584FB3">
            <w:pPr>
              <w:rPr>
                <w:rFonts w:ascii="宋体"/>
              </w:rPr>
            </w:pPr>
          </w:p>
        </w:tc>
      </w:tr>
      <w:tr w:rsidR="00584FB3" w14:paraId="40CB0CE1" w14:textId="77777777">
        <w:trPr>
          <w:hidden/>
        </w:trPr>
        <w:tc>
          <w:tcPr>
            <w:tcW w:w="0" w:type="auto"/>
            <w:gridSpan w:val="3"/>
            <w:shd w:val="clear" w:color="auto" w:fill="auto"/>
          </w:tcPr>
          <w:p w14:paraId="40CB0CD9" w14:textId="77777777" w:rsidR="00584FB3" w:rsidRDefault="00584FB3">
            <w:pPr>
              <w:rPr>
                <w:rFonts w:ascii="宋体"/>
                <w:vanish/>
              </w:rPr>
            </w:pPr>
          </w:p>
        </w:tc>
        <w:tc>
          <w:tcPr>
            <w:tcW w:w="0" w:type="auto"/>
            <w:gridSpan w:val="3"/>
            <w:shd w:val="clear" w:color="auto" w:fill="auto"/>
          </w:tcPr>
          <w:p w14:paraId="40CB0CDA" w14:textId="77777777" w:rsidR="00584FB3" w:rsidRDefault="00584FB3">
            <w:pPr>
              <w:rPr>
                <w:rFonts w:ascii="宋体"/>
                <w:vanish/>
              </w:rPr>
            </w:pPr>
          </w:p>
        </w:tc>
        <w:tc>
          <w:tcPr>
            <w:tcW w:w="0" w:type="auto"/>
            <w:gridSpan w:val="3"/>
            <w:shd w:val="clear" w:color="auto" w:fill="auto"/>
          </w:tcPr>
          <w:p w14:paraId="40CB0CDB" w14:textId="77777777" w:rsidR="00584FB3" w:rsidRDefault="00584FB3">
            <w:pPr>
              <w:rPr>
                <w:rFonts w:ascii="宋体"/>
                <w:vanish/>
              </w:rPr>
            </w:pPr>
          </w:p>
        </w:tc>
        <w:tc>
          <w:tcPr>
            <w:tcW w:w="0" w:type="auto"/>
            <w:gridSpan w:val="3"/>
            <w:shd w:val="clear" w:color="auto" w:fill="auto"/>
          </w:tcPr>
          <w:p w14:paraId="40CB0CDC" w14:textId="77777777" w:rsidR="00584FB3" w:rsidRDefault="00584FB3">
            <w:pPr>
              <w:rPr>
                <w:rFonts w:ascii="宋体"/>
                <w:vanish/>
              </w:rPr>
            </w:pPr>
          </w:p>
        </w:tc>
        <w:tc>
          <w:tcPr>
            <w:tcW w:w="0" w:type="auto"/>
            <w:gridSpan w:val="3"/>
            <w:shd w:val="clear" w:color="auto" w:fill="auto"/>
          </w:tcPr>
          <w:p w14:paraId="40CB0CDD" w14:textId="77777777" w:rsidR="00584FB3" w:rsidRDefault="00584FB3">
            <w:pPr>
              <w:rPr>
                <w:rFonts w:ascii="宋体"/>
                <w:vanish/>
              </w:rPr>
            </w:pPr>
          </w:p>
        </w:tc>
        <w:tc>
          <w:tcPr>
            <w:tcW w:w="0" w:type="auto"/>
            <w:gridSpan w:val="3"/>
            <w:shd w:val="clear" w:color="auto" w:fill="auto"/>
          </w:tcPr>
          <w:p w14:paraId="40CB0CDE" w14:textId="77777777" w:rsidR="00584FB3" w:rsidRDefault="00584FB3">
            <w:pPr>
              <w:rPr>
                <w:rFonts w:ascii="宋体"/>
                <w:vanish/>
              </w:rPr>
            </w:pPr>
          </w:p>
        </w:tc>
        <w:tc>
          <w:tcPr>
            <w:tcW w:w="0" w:type="auto"/>
            <w:gridSpan w:val="3"/>
            <w:shd w:val="clear" w:color="auto" w:fill="auto"/>
          </w:tcPr>
          <w:p w14:paraId="40CB0CDF" w14:textId="77777777" w:rsidR="00584FB3" w:rsidRDefault="00584FB3">
            <w:pPr>
              <w:rPr>
                <w:rFonts w:ascii="宋体"/>
                <w:vanish/>
              </w:rPr>
            </w:pPr>
          </w:p>
        </w:tc>
        <w:tc>
          <w:tcPr>
            <w:tcW w:w="0" w:type="auto"/>
            <w:gridSpan w:val="3"/>
            <w:shd w:val="clear" w:color="auto" w:fill="auto"/>
          </w:tcPr>
          <w:p w14:paraId="40CB0CE0" w14:textId="77777777" w:rsidR="00584FB3" w:rsidRDefault="00584FB3">
            <w:pPr>
              <w:rPr>
                <w:rFonts w:ascii="宋体"/>
                <w:vanish/>
              </w:rPr>
            </w:pPr>
          </w:p>
        </w:tc>
      </w:tr>
      <w:tr w:rsidR="00584FB3" w14:paraId="40CB0CEE" w14:textId="77777777">
        <w:tc>
          <w:tcPr>
            <w:tcW w:w="0" w:type="auto"/>
            <w:gridSpan w:val="3"/>
            <w:shd w:val="clear" w:color="auto" w:fill="D7E4BC"/>
            <w:tcMar>
              <w:top w:w="40" w:type="dxa"/>
              <w:left w:w="740" w:type="dxa"/>
              <w:bottom w:w="40" w:type="dxa"/>
              <w:right w:w="20" w:type="dxa"/>
            </w:tcMar>
            <w:vAlign w:val="bottom"/>
          </w:tcPr>
          <w:p w14:paraId="40CB0CE2" w14:textId="77777777" w:rsidR="00584FB3" w:rsidRDefault="00786180">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40CB0CE3" w14:textId="77777777" w:rsidR="00584FB3" w:rsidRDefault="00786180">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40CB0CE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E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E6"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E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E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E9"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CE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CE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CEC" w14:textId="77777777" w:rsidR="00584FB3" w:rsidRDefault="00786180">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40CB0CED" w14:textId="77777777" w:rsidR="00584FB3" w:rsidRDefault="00584FB3">
            <w:pPr>
              <w:jc w:val="right"/>
              <w:rPr>
                <w:rFonts w:ascii="宋体"/>
              </w:rPr>
            </w:pPr>
          </w:p>
        </w:tc>
      </w:tr>
      <w:tr w:rsidR="00584FB3" w14:paraId="40CB0CF7" w14:textId="77777777">
        <w:trPr>
          <w:hidden/>
        </w:trPr>
        <w:tc>
          <w:tcPr>
            <w:tcW w:w="0" w:type="auto"/>
            <w:gridSpan w:val="3"/>
            <w:shd w:val="clear" w:color="auto" w:fill="auto"/>
          </w:tcPr>
          <w:p w14:paraId="40CB0CEF" w14:textId="77777777" w:rsidR="00584FB3" w:rsidRDefault="00584FB3">
            <w:pPr>
              <w:rPr>
                <w:rFonts w:ascii="宋体"/>
                <w:vanish/>
              </w:rPr>
            </w:pPr>
          </w:p>
        </w:tc>
        <w:tc>
          <w:tcPr>
            <w:tcW w:w="0" w:type="auto"/>
            <w:gridSpan w:val="3"/>
            <w:shd w:val="clear" w:color="auto" w:fill="auto"/>
          </w:tcPr>
          <w:p w14:paraId="40CB0CF0" w14:textId="77777777" w:rsidR="00584FB3" w:rsidRDefault="00584FB3">
            <w:pPr>
              <w:rPr>
                <w:rFonts w:ascii="宋体"/>
                <w:vanish/>
              </w:rPr>
            </w:pPr>
          </w:p>
        </w:tc>
        <w:tc>
          <w:tcPr>
            <w:tcW w:w="0" w:type="auto"/>
            <w:gridSpan w:val="3"/>
            <w:shd w:val="clear" w:color="auto" w:fill="auto"/>
          </w:tcPr>
          <w:p w14:paraId="40CB0CF1" w14:textId="77777777" w:rsidR="00584FB3" w:rsidRDefault="00584FB3">
            <w:pPr>
              <w:rPr>
                <w:rFonts w:ascii="宋体"/>
                <w:vanish/>
              </w:rPr>
            </w:pPr>
          </w:p>
        </w:tc>
        <w:tc>
          <w:tcPr>
            <w:tcW w:w="0" w:type="auto"/>
            <w:gridSpan w:val="3"/>
            <w:shd w:val="clear" w:color="auto" w:fill="auto"/>
          </w:tcPr>
          <w:p w14:paraId="40CB0CF2" w14:textId="77777777" w:rsidR="00584FB3" w:rsidRDefault="00584FB3">
            <w:pPr>
              <w:rPr>
                <w:rFonts w:ascii="宋体"/>
                <w:vanish/>
              </w:rPr>
            </w:pPr>
          </w:p>
        </w:tc>
        <w:tc>
          <w:tcPr>
            <w:tcW w:w="0" w:type="auto"/>
            <w:gridSpan w:val="3"/>
            <w:shd w:val="clear" w:color="auto" w:fill="auto"/>
          </w:tcPr>
          <w:p w14:paraId="40CB0CF3" w14:textId="77777777" w:rsidR="00584FB3" w:rsidRDefault="00584FB3">
            <w:pPr>
              <w:rPr>
                <w:rFonts w:ascii="宋体"/>
                <w:vanish/>
              </w:rPr>
            </w:pPr>
          </w:p>
        </w:tc>
        <w:tc>
          <w:tcPr>
            <w:tcW w:w="0" w:type="auto"/>
            <w:gridSpan w:val="3"/>
            <w:shd w:val="clear" w:color="auto" w:fill="auto"/>
          </w:tcPr>
          <w:p w14:paraId="40CB0CF4" w14:textId="77777777" w:rsidR="00584FB3" w:rsidRDefault="00584FB3">
            <w:pPr>
              <w:rPr>
                <w:rFonts w:ascii="宋体"/>
                <w:vanish/>
              </w:rPr>
            </w:pPr>
          </w:p>
        </w:tc>
        <w:tc>
          <w:tcPr>
            <w:tcW w:w="0" w:type="auto"/>
            <w:gridSpan w:val="3"/>
            <w:shd w:val="clear" w:color="auto" w:fill="auto"/>
          </w:tcPr>
          <w:p w14:paraId="40CB0CF5" w14:textId="77777777" w:rsidR="00584FB3" w:rsidRDefault="00584FB3">
            <w:pPr>
              <w:rPr>
                <w:rFonts w:ascii="宋体"/>
                <w:vanish/>
              </w:rPr>
            </w:pPr>
          </w:p>
        </w:tc>
        <w:tc>
          <w:tcPr>
            <w:tcW w:w="0" w:type="auto"/>
            <w:gridSpan w:val="3"/>
            <w:shd w:val="clear" w:color="auto" w:fill="auto"/>
          </w:tcPr>
          <w:p w14:paraId="40CB0CF6" w14:textId="77777777" w:rsidR="00584FB3" w:rsidRDefault="00584FB3">
            <w:pPr>
              <w:rPr>
                <w:rFonts w:ascii="宋体"/>
                <w:vanish/>
              </w:rPr>
            </w:pPr>
          </w:p>
        </w:tc>
      </w:tr>
      <w:tr w:rsidR="00584FB3" w14:paraId="40CB0D04" w14:textId="77777777">
        <w:tc>
          <w:tcPr>
            <w:tcW w:w="0" w:type="auto"/>
            <w:gridSpan w:val="3"/>
            <w:shd w:val="clear" w:color="auto" w:fill="FFFFFF"/>
            <w:tcMar>
              <w:top w:w="40" w:type="dxa"/>
              <w:left w:w="740" w:type="dxa"/>
              <w:bottom w:w="40" w:type="dxa"/>
              <w:right w:w="20" w:type="dxa"/>
            </w:tcMar>
            <w:vAlign w:val="bottom"/>
          </w:tcPr>
          <w:p w14:paraId="40CB0CF8" w14:textId="77777777" w:rsidR="00584FB3" w:rsidRDefault="00786180">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40CB0CF9" w14:textId="77777777" w:rsidR="00584FB3" w:rsidRDefault="00786180">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40CB0CF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F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FC"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CF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CF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CFF" w14:textId="77777777" w:rsidR="00584FB3" w:rsidRDefault="00786180">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40CB0D0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0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0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03" w14:textId="77777777" w:rsidR="00584FB3" w:rsidRDefault="00584FB3">
            <w:pPr>
              <w:jc w:val="right"/>
              <w:rPr>
                <w:rFonts w:ascii="宋体"/>
              </w:rPr>
            </w:pPr>
          </w:p>
        </w:tc>
      </w:tr>
      <w:tr w:rsidR="00584FB3" w14:paraId="40CB0D0D" w14:textId="77777777">
        <w:trPr>
          <w:hidden/>
        </w:trPr>
        <w:tc>
          <w:tcPr>
            <w:tcW w:w="0" w:type="auto"/>
            <w:gridSpan w:val="3"/>
            <w:shd w:val="clear" w:color="auto" w:fill="auto"/>
          </w:tcPr>
          <w:p w14:paraId="40CB0D05" w14:textId="77777777" w:rsidR="00584FB3" w:rsidRDefault="00584FB3">
            <w:pPr>
              <w:rPr>
                <w:rFonts w:ascii="宋体"/>
                <w:vanish/>
              </w:rPr>
            </w:pPr>
          </w:p>
        </w:tc>
        <w:tc>
          <w:tcPr>
            <w:tcW w:w="0" w:type="auto"/>
            <w:gridSpan w:val="3"/>
            <w:shd w:val="clear" w:color="auto" w:fill="auto"/>
          </w:tcPr>
          <w:p w14:paraId="40CB0D06" w14:textId="77777777" w:rsidR="00584FB3" w:rsidRDefault="00584FB3">
            <w:pPr>
              <w:rPr>
                <w:rFonts w:ascii="宋体"/>
                <w:vanish/>
              </w:rPr>
            </w:pPr>
          </w:p>
        </w:tc>
        <w:tc>
          <w:tcPr>
            <w:tcW w:w="0" w:type="auto"/>
            <w:gridSpan w:val="3"/>
            <w:shd w:val="clear" w:color="auto" w:fill="auto"/>
          </w:tcPr>
          <w:p w14:paraId="40CB0D07" w14:textId="77777777" w:rsidR="00584FB3" w:rsidRDefault="00584FB3">
            <w:pPr>
              <w:rPr>
                <w:rFonts w:ascii="宋体"/>
                <w:vanish/>
              </w:rPr>
            </w:pPr>
          </w:p>
        </w:tc>
        <w:tc>
          <w:tcPr>
            <w:tcW w:w="0" w:type="auto"/>
            <w:gridSpan w:val="3"/>
            <w:shd w:val="clear" w:color="auto" w:fill="auto"/>
          </w:tcPr>
          <w:p w14:paraId="40CB0D08" w14:textId="77777777" w:rsidR="00584FB3" w:rsidRDefault="00584FB3">
            <w:pPr>
              <w:rPr>
                <w:rFonts w:ascii="宋体"/>
                <w:vanish/>
              </w:rPr>
            </w:pPr>
          </w:p>
        </w:tc>
        <w:tc>
          <w:tcPr>
            <w:tcW w:w="0" w:type="auto"/>
            <w:gridSpan w:val="3"/>
            <w:shd w:val="clear" w:color="auto" w:fill="auto"/>
          </w:tcPr>
          <w:p w14:paraId="40CB0D09" w14:textId="77777777" w:rsidR="00584FB3" w:rsidRDefault="00584FB3">
            <w:pPr>
              <w:rPr>
                <w:rFonts w:ascii="宋体"/>
                <w:vanish/>
              </w:rPr>
            </w:pPr>
          </w:p>
        </w:tc>
        <w:tc>
          <w:tcPr>
            <w:tcW w:w="0" w:type="auto"/>
            <w:gridSpan w:val="3"/>
            <w:shd w:val="clear" w:color="auto" w:fill="auto"/>
          </w:tcPr>
          <w:p w14:paraId="40CB0D0A" w14:textId="77777777" w:rsidR="00584FB3" w:rsidRDefault="00584FB3">
            <w:pPr>
              <w:rPr>
                <w:rFonts w:ascii="宋体"/>
                <w:vanish/>
              </w:rPr>
            </w:pPr>
          </w:p>
        </w:tc>
        <w:tc>
          <w:tcPr>
            <w:tcW w:w="0" w:type="auto"/>
            <w:gridSpan w:val="3"/>
            <w:shd w:val="clear" w:color="auto" w:fill="auto"/>
          </w:tcPr>
          <w:p w14:paraId="40CB0D0B" w14:textId="77777777" w:rsidR="00584FB3" w:rsidRDefault="00584FB3">
            <w:pPr>
              <w:rPr>
                <w:rFonts w:ascii="宋体"/>
                <w:vanish/>
              </w:rPr>
            </w:pPr>
          </w:p>
        </w:tc>
        <w:tc>
          <w:tcPr>
            <w:tcW w:w="0" w:type="auto"/>
            <w:gridSpan w:val="3"/>
            <w:shd w:val="clear" w:color="auto" w:fill="auto"/>
          </w:tcPr>
          <w:p w14:paraId="40CB0D0C" w14:textId="77777777" w:rsidR="00584FB3" w:rsidRDefault="00584FB3">
            <w:pPr>
              <w:rPr>
                <w:rFonts w:ascii="宋体"/>
                <w:vanish/>
              </w:rPr>
            </w:pPr>
          </w:p>
        </w:tc>
      </w:tr>
      <w:tr w:rsidR="00584FB3" w14:paraId="40CB0D1A" w14:textId="77777777">
        <w:tc>
          <w:tcPr>
            <w:tcW w:w="0" w:type="auto"/>
            <w:gridSpan w:val="3"/>
            <w:shd w:val="clear" w:color="auto" w:fill="D7E4BC"/>
            <w:tcMar>
              <w:top w:w="40" w:type="dxa"/>
              <w:left w:w="740" w:type="dxa"/>
              <w:bottom w:w="40" w:type="dxa"/>
              <w:right w:w="20" w:type="dxa"/>
            </w:tcMar>
            <w:vAlign w:val="bottom"/>
          </w:tcPr>
          <w:p w14:paraId="40CB0D0E" w14:textId="77777777" w:rsidR="00584FB3" w:rsidRDefault="00786180">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40CB0D0F" w14:textId="77777777" w:rsidR="00584FB3" w:rsidRDefault="00786180">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left w:w="0" w:type="dxa"/>
              <w:bottom w:w="40" w:type="dxa"/>
              <w:right w:w="20" w:type="dxa"/>
            </w:tcMar>
            <w:vAlign w:val="bottom"/>
          </w:tcPr>
          <w:p w14:paraId="40CB0D1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1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D1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D1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1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D15" w14:textId="77777777" w:rsidR="00584FB3" w:rsidRDefault="00786180">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left w:w="0" w:type="dxa"/>
              <w:bottom w:w="40" w:type="dxa"/>
              <w:right w:w="20" w:type="dxa"/>
            </w:tcMar>
            <w:vAlign w:val="bottom"/>
          </w:tcPr>
          <w:p w14:paraId="40CB0D1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1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D18"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D19" w14:textId="77777777" w:rsidR="00584FB3" w:rsidRDefault="00584FB3">
            <w:pPr>
              <w:jc w:val="right"/>
              <w:rPr>
                <w:rFonts w:ascii="宋体"/>
              </w:rPr>
            </w:pPr>
          </w:p>
        </w:tc>
      </w:tr>
      <w:tr w:rsidR="00584FB3" w14:paraId="40CB0D27" w14:textId="77777777">
        <w:tc>
          <w:tcPr>
            <w:tcW w:w="0" w:type="auto"/>
            <w:gridSpan w:val="3"/>
            <w:shd w:val="clear" w:color="auto" w:fill="FFFFFF"/>
            <w:tcMar>
              <w:top w:w="40" w:type="dxa"/>
              <w:left w:w="740" w:type="dxa"/>
              <w:bottom w:w="40" w:type="dxa"/>
              <w:right w:w="20" w:type="dxa"/>
            </w:tcMar>
            <w:vAlign w:val="bottom"/>
          </w:tcPr>
          <w:p w14:paraId="40CB0D1B" w14:textId="77777777" w:rsidR="00584FB3" w:rsidRDefault="00786180">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40CB0D1C" w14:textId="77777777" w:rsidR="00584FB3" w:rsidRDefault="00786180">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40CB0D1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1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1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2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2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22" w14:textId="77777777" w:rsidR="00584FB3" w:rsidRDefault="00786180">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40CB0D2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2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2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26" w14:textId="77777777" w:rsidR="00584FB3" w:rsidRDefault="00584FB3">
            <w:pPr>
              <w:jc w:val="right"/>
              <w:rPr>
                <w:rFonts w:ascii="宋体"/>
              </w:rPr>
            </w:pPr>
          </w:p>
        </w:tc>
      </w:tr>
      <w:tr w:rsidR="00584FB3" w14:paraId="40CB0D34" w14:textId="77777777">
        <w:tc>
          <w:tcPr>
            <w:tcW w:w="0" w:type="auto"/>
            <w:gridSpan w:val="3"/>
            <w:shd w:val="clear" w:color="auto" w:fill="D7E4BC"/>
            <w:tcMar>
              <w:top w:w="40" w:type="dxa"/>
              <w:left w:w="740" w:type="dxa"/>
              <w:bottom w:w="40" w:type="dxa"/>
              <w:right w:w="20" w:type="dxa"/>
            </w:tcMar>
            <w:vAlign w:val="bottom"/>
          </w:tcPr>
          <w:p w14:paraId="40CB0D28" w14:textId="77777777" w:rsidR="00584FB3" w:rsidRDefault="00786180">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40CB0D29" w14:textId="77777777" w:rsidR="00584FB3" w:rsidRDefault="00786180">
            <w:pPr>
              <w:jc w:val="right"/>
              <w:textAlignment w:val="bottom"/>
            </w:pPr>
            <w:r>
              <w:rPr>
                <w:rFonts w:ascii="Times New Roman" w:eastAsia="宋体" w:hAnsi="Times New Roman"/>
                <w:color w:val="000000"/>
                <w:sz w:val="20"/>
                <w:szCs w:val="20"/>
              </w:rPr>
              <w:t>90.2 </w:t>
            </w:r>
          </w:p>
        </w:tc>
        <w:tc>
          <w:tcPr>
            <w:tcW w:w="0" w:type="auto"/>
            <w:shd w:val="clear" w:color="auto" w:fill="D7E4BC"/>
            <w:tcMar>
              <w:top w:w="40" w:type="dxa"/>
              <w:left w:w="0" w:type="dxa"/>
              <w:bottom w:w="40" w:type="dxa"/>
              <w:right w:w="20" w:type="dxa"/>
            </w:tcMar>
            <w:vAlign w:val="bottom"/>
          </w:tcPr>
          <w:p w14:paraId="40CB0D2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2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D2C" w14:textId="77777777" w:rsidR="00584FB3" w:rsidRDefault="00786180">
            <w:pPr>
              <w:jc w:val="right"/>
              <w:textAlignment w:val="bottom"/>
            </w:pPr>
            <w:r>
              <w:rPr>
                <w:rFonts w:ascii="Times New Roman" w:eastAsia="宋体" w:hAnsi="Times New Roman"/>
                <w:color w:val="000000"/>
                <w:sz w:val="20"/>
                <w:szCs w:val="20"/>
              </w:rPr>
              <w:t>90.2 </w:t>
            </w:r>
          </w:p>
        </w:tc>
        <w:tc>
          <w:tcPr>
            <w:tcW w:w="0" w:type="auto"/>
            <w:shd w:val="clear" w:color="auto" w:fill="D7E4BC"/>
            <w:tcMar>
              <w:top w:w="40" w:type="dxa"/>
              <w:left w:w="0" w:type="dxa"/>
              <w:bottom w:w="40" w:type="dxa"/>
              <w:right w:w="20" w:type="dxa"/>
            </w:tcMar>
            <w:vAlign w:val="bottom"/>
          </w:tcPr>
          <w:p w14:paraId="40CB0D2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2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D2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D3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3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D3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D33" w14:textId="77777777" w:rsidR="00584FB3" w:rsidRDefault="00584FB3">
            <w:pPr>
              <w:jc w:val="right"/>
              <w:rPr>
                <w:rFonts w:ascii="宋体"/>
              </w:rPr>
            </w:pPr>
          </w:p>
        </w:tc>
      </w:tr>
      <w:tr w:rsidR="00584FB3" w14:paraId="40CB0D41" w14:textId="77777777">
        <w:tc>
          <w:tcPr>
            <w:tcW w:w="0" w:type="auto"/>
            <w:gridSpan w:val="3"/>
            <w:shd w:val="clear" w:color="auto" w:fill="FFFFFF"/>
            <w:tcMar>
              <w:top w:w="40" w:type="dxa"/>
              <w:left w:w="20" w:type="dxa"/>
              <w:bottom w:w="40" w:type="dxa"/>
              <w:right w:w="20" w:type="dxa"/>
            </w:tcMar>
            <w:vAlign w:val="bottom"/>
          </w:tcPr>
          <w:p w14:paraId="40CB0D35" w14:textId="77777777" w:rsidR="00584FB3" w:rsidRDefault="00786180">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D36" w14:textId="77777777" w:rsidR="00584FB3" w:rsidRDefault="00786180">
            <w:pPr>
              <w:jc w:val="right"/>
              <w:textAlignment w:val="bottom"/>
            </w:pPr>
            <w:r>
              <w:rPr>
                <w:rFonts w:ascii="Times New Roman" w:eastAsia="宋体" w:hAnsi="Times New Roman"/>
                <w:color w:val="000000"/>
                <w:sz w:val="20"/>
                <w:szCs w:val="20"/>
              </w:rPr>
              <w:t>190.9 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D3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38"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D39" w14:textId="77777777" w:rsidR="00584FB3" w:rsidRDefault="00786180">
            <w:pPr>
              <w:jc w:val="right"/>
              <w:textAlignment w:val="bottom"/>
            </w:pPr>
            <w:r>
              <w:rPr>
                <w:rFonts w:ascii="Times New Roman" w:eastAsia="宋体" w:hAnsi="Times New Roman"/>
                <w:color w:val="000000"/>
                <w:sz w:val="20"/>
                <w:szCs w:val="20"/>
              </w:rPr>
              <w:t>90.2 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D3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3B"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D3C" w14:textId="77777777" w:rsidR="00584FB3" w:rsidRDefault="00786180">
            <w:pPr>
              <w:jc w:val="right"/>
              <w:textAlignment w:val="bottom"/>
            </w:pPr>
            <w:r>
              <w:rPr>
                <w:rFonts w:ascii="Times New Roman" w:eastAsia="宋体" w:hAnsi="Times New Roman"/>
                <w:color w:val="000000"/>
                <w:sz w:val="20"/>
                <w:szCs w:val="20"/>
              </w:rPr>
              <w:t>95.0 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D3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3E"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D3F" w14:textId="77777777" w:rsidR="00584FB3" w:rsidRDefault="00786180">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D40" w14:textId="77777777" w:rsidR="00584FB3" w:rsidRDefault="00584FB3">
            <w:pPr>
              <w:jc w:val="right"/>
              <w:rPr>
                <w:rFonts w:ascii="宋体"/>
              </w:rPr>
            </w:pPr>
          </w:p>
        </w:tc>
      </w:tr>
      <w:tr w:rsidR="00584FB3" w14:paraId="40CB0D4A" w14:textId="77777777">
        <w:tc>
          <w:tcPr>
            <w:tcW w:w="0" w:type="auto"/>
            <w:gridSpan w:val="3"/>
            <w:shd w:val="clear" w:color="auto" w:fill="D7E4BC"/>
            <w:tcMar>
              <w:top w:w="40" w:type="dxa"/>
              <w:left w:w="20" w:type="dxa"/>
              <w:bottom w:w="40" w:type="dxa"/>
              <w:right w:w="20" w:type="dxa"/>
            </w:tcMar>
            <w:vAlign w:val="bottom"/>
          </w:tcPr>
          <w:p w14:paraId="40CB0D42" w14:textId="77777777" w:rsidR="00584FB3" w:rsidRDefault="00786180">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40CB0D4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4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4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4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4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4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49" w14:textId="77777777" w:rsidR="00584FB3" w:rsidRDefault="00584FB3">
            <w:pPr>
              <w:rPr>
                <w:rFonts w:ascii="宋体"/>
              </w:rPr>
            </w:pPr>
          </w:p>
        </w:tc>
      </w:tr>
      <w:tr w:rsidR="00584FB3" w14:paraId="40CB0D57" w14:textId="77777777">
        <w:tc>
          <w:tcPr>
            <w:tcW w:w="0" w:type="auto"/>
            <w:gridSpan w:val="3"/>
            <w:shd w:val="clear" w:color="auto" w:fill="FFFFFF"/>
            <w:tcMar>
              <w:top w:w="40" w:type="dxa"/>
              <w:left w:w="380" w:type="dxa"/>
              <w:bottom w:w="40" w:type="dxa"/>
              <w:right w:w="20" w:type="dxa"/>
            </w:tcMar>
            <w:vAlign w:val="bottom"/>
          </w:tcPr>
          <w:p w14:paraId="40CB0D4B" w14:textId="77777777" w:rsidR="00584FB3" w:rsidRDefault="00786180">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40CB0D4C" w14:textId="77777777" w:rsidR="00584FB3" w:rsidRDefault="00786180">
            <w:pPr>
              <w:jc w:val="right"/>
              <w:textAlignment w:val="bottom"/>
            </w:pPr>
            <w:r>
              <w:rPr>
                <w:rFonts w:ascii="Times New Roman" w:eastAsia="宋体" w:hAnsi="Times New Roman"/>
                <w:color w:val="000000"/>
                <w:sz w:val="20"/>
                <w:szCs w:val="20"/>
              </w:rPr>
              <w:t>53.5 </w:t>
            </w:r>
          </w:p>
        </w:tc>
        <w:tc>
          <w:tcPr>
            <w:tcW w:w="0" w:type="auto"/>
            <w:shd w:val="clear" w:color="auto" w:fill="FFFFFF"/>
            <w:tcMar>
              <w:top w:w="40" w:type="dxa"/>
              <w:left w:w="0" w:type="dxa"/>
              <w:bottom w:w="40" w:type="dxa"/>
              <w:right w:w="20" w:type="dxa"/>
            </w:tcMar>
            <w:vAlign w:val="bottom"/>
          </w:tcPr>
          <w:p w14:paraId="40CB0D4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4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4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5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5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52" w14:textId="77777777" w:rsidR="00584FB3" w:rsidRDefault="00786180">
            <w:pPr>
              <w:jc w:val="right"/>
              <w:textAlignment w:val="bottom"/>
            </w:pPr>
            <w:r>
              <w:rPr>
                <w:rFonts w:ascii="Times New Roman" w:eastAsia="宋体" w:hAnsi="Times New Roman"/>
                <w:color w:val="000000"/>
                <w:sz w:val="20"/>
                <w:szCs w:val="20"/>
              </w:rPr>
              <w:t>53.5 </w:t>
            </w:r>
          </w:p>
        </w:tc>
        <w:tc>
          <w:tcPr>
            <w:tcW w:w="0" w:type="auto"/>
            <w:shd w:val="clear" w:color="auto" w:fill="FFFFFF"/>
            <w:tcMar>
              <w:top w:w="40" w:type="dxa"/>
              <w:left w:w="0" w:type="dxa"/>
              <w:bottom w:w="40" w:type="dxa"/>
              <w:right w:w="20" w:type="dxa"/>
            </w:tcMar>
            <w:vAlign w:val="bottom"/>
          </w:tcPr>
          <w:p w14:paraId="40CB0D5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5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5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56" w14:textId="77777777" w:rsidR="00584FB3" w:rsidRDefault="00584FB3">
            <w:pPr>
              <w:jc w:val="right"/>
              <w:rPr>
                <w:rFonts w:ascii="宋体"/>
              </w:rPr>
            </w:pPr>
          </w:p>
        </w:tc>
      </w:tr>
      <w:tr w:rsidR="00584FB3" w14:paraId="40CB0D68" w14:textId="77777777">
        <w:tc>
          <w:tcPr>
            <w:tcW w:w="0" w:type="auto"/>
            <w:gridSpan w:val="3"/>
            <w:shd w:val="clear" w:color="auto" w:fill="D7E4BC"/>
            <w:tcMar>
              <w:top w:w="40" w:type="dxa"/>
              <w:left w:w="20" w:type="dxa"/>
              <w:bottom w:w="40" w:type="dxa"/>
              <w:right w:w="20" w:type="dxa"/>
            </w:tcMar>
            <w:vAlign w:val="bottom"/>
          </w:tcPr>
          <w:p w14:paraId="40CB0D58" w14:textId="77777777" w:rsidR="00584FB3" w:rsidRDefault="00786180">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0D59"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D5A" w14:textId="77777777" w:rsidR="00584FB3" w:rsidRDefault="00786180">
            <w:pPr>
              <w:jc w:val="right"/>
              <w:textAlignment w:val="bottom"/>
            </w:pPr>
            <w:r>
              <w:rPr>
                <w:rFonts w:ascii="Times New Roman" w:eastAsia="宋体" w:hAnsi="Times New Roman"/>
                <w:color w:val="000000"/>
                <w:sz w:val="20"/>
                <w:szCs w:val="20"/>
              </w:rPr>
              <w:t>5,532.7 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D5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5C"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D5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D5E" w14:textId="77777777" w:rsidR="00584FB3" w:rsidRDefault="00786180">
            <w:pPr>
              <w:jc w:val="right"/>
              <w:textAlignment w:val="bottom"/>
            </w:pPr>
            <w:r>
              <w:rPr>
                <w:rFonts w:ascii="Times New Roman" w:eastAsia="宋体" w:hAnsi="Times New Roman"/>
                <w:color w:val="000000"/>
                <w:sz w:val="20"/>
                <w:szCs w:val="20"/>
              </w:rPr>
              <w:t>5,198.8 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D5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6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D6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D62" w14:textId="77777777" w:rsidR="00584FB3" w:rsidRDefault="00786180">
            <w:pPr>
              <w:jc w:val="right"/>
              <w:textAlignment w:val="bottom"/>
            </w:pPr>
            <w:r>
              <w:rPr>
                <w:rFonts w:ascii="Times New Roman" w:eastAsia="宋体" w:hAnsi="Times New Roman"/>
                <w:color w:val="000000"/>
                <w:sz w:val="20"/>
                <w:szCs w:val="20"/>
              </w:rPr>
              <w:t>328.2 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D6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64"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D6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D66" w14:textId="77777777" w:rsidR="00584FB3" w:rsidRDefault="00786180">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D67" w14:textId="77777777" w:rsidR="00584FB3" w:rsidRDefault="00584FB3">
            <w:pPr>
              <w:jc w:val="right"/>
              <w:rPr>
                <w:rFonts w:ascii="宋体"/>
              </w:rPr>
            </w:pPr>
          </w:p>
        </w:tc>
      </w:tr>
      <w:tr w:rsidR="00584FB3" w14:paraId="40CB0D71" w14:textId="77777777">
        <w:tc>
          <w:tcPr>
            <w:tcW w:w="0" w:type="auto"/>
            <w:gridSpan w:val="3"/>
            <w:shd w:val="clear" w:color="auto" w:fill="FFFFFF"/>
            <w:tcMar>
              <w:top w:w="40" w:type="dxa"/>
              <w:left w:w="20" w:type="dxa"/>
              <w:bottom w:w="40" w:type="dxa"/>
              <w:right w:w="20" w:type="dxa"/>
            </w:tcMar>
            <w:vAlign w:val="bottom"/>
          </w:tcPr>
          <w:p w14:paraId="40CB0D69" w14:textId="77777777" w:rsidR="00584FB3" w:rsidRDefault="00786180">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40CB0D6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D6B"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D6C"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D6D"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D6E"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D6F"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D70" w14:textId="77777777" w:rsidR="00584FB3" w:rsidRDefault="00584FB3">
            <w:pPr>
              <w:rPr>
                <w:rFonts w:ascii="宋体"/>
              </w:rPr>
            </w:pPr>
          </w:p>
        </w:tc>
      </w:tr>
      <w:tr w:rsidR="00584FB3" w14:paraId="40CB0D7A" w14:textId="77777777">
        <w:tc>
          <w:tcPr>
            <w:tcW w:w="0" w:type="auto"/>
            <w:gridSpan w:val="3"/>
            <w:shd w:val="clear" w:color="auto" w:fill="D7E4BC"/>
            <w:tcMar>
              <w:top w:w="40" w:type="dxa"/>
              <w:left w:w="20" w:type="dxa"/>
              <w:bottom w:w="40" w:type="dxa"/>
              <w:right w:w="20" w:type="dxa"/>
            </w:tcMar>
            <w:vAlign w:val="bottom"/>
          </w:tcPr>
          <w:p w14:paraId="40CB0D72" w14:textId="77777777" w:rsidR="00584FB3" w:rsidRDefault="00786180">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40CB0D7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7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7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7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7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7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79" w14:textId="77777777" w:rsidR="00584FB3" w:rsidRDefault="00584FB3">
            <w:pPr>
              <w:rPr>
                <w:rFonts w:ascii="宋体"/>
              </w:rPr>
            </w:pPr>
          </w:p>
        </w:tc>
      </w:tr>
      <w:tr w:rsidR="00584FB3" w14:paraId="40CB0D8B" w14:textId="77777777">
        <w:tc>
          <w:tcPr>
            <w:tcW w:w="0" w:type="auto"/>
            <w:gridSpan w:val="3"/>
            <w:shd w:val="clear" w:color="auto" w:fill="FFFFFF"/>
            <w:tcMar>
              <w:top w:w="40" w:type="dxa"/>
              <w:left w:w="380" w:type="dxa"/>
              <w:bottom w:w="40" w:type="dxa"/>
              <w:right w:w="20" w:type="dxa"/>
            </w:tcMar>
            <w:vAlign w:val="bottom"/>
          </w:tcPr>
          <w:p w14:paraId="40CB0D7B" w14:textId="77777777" w:rsidR="00584FB3" w:rsidRDefault="00786180">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40CB0D7C"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7D" w14:textId="77777777" w:rsidR="00584FB3" w:rsidRDefault="00786180">
            <w:pPr>
              <w:jc w:val="right"/>
              <w:textAlignment w:val="bottom"/>
            </w:pPr>
            <w:r>
              <w:rPr>
                <w:rFonts w:ascii="Times New Roman" w:eastAsia="宋体" w:hAnsi="Times New Roman"/>
                <w:color w:val="000000"/>
                <w:sz w:val="20"/>
                <w:szCs w:val="20"/>
              </w:rPr>
              <w:t>13.2 </w:t>
            </w:r>
          </w:p>
        </w:tc>
        <w:tc>
          <w:tcPr>
            <w:tcW w:w="0" w:type="auto"/>
            <w:shd w:val="clear" w:color="auto" w:fill="FFFFFF"/>
            <w:tcMar>
              <w:top w:w="40" w:type="dxa"/>
              <w:left w:w="0" w:type="dxa"/>
              <w:bottom w:w="40" w:type="dxa"/>
              <w:right w:w="20" w:type="dxa"/>
            </w:tcMar>
            <w:vAlign w:val="bottom"/>
          </w:tcPr>
          <w:p w14:paraId="40CB0D7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7F"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D80"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81" w14:textId="77777777" w:rsidR="00584FB3" w:rsidRDefault="00786180">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40CB0D8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83"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D84"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85" w14:textId="77777777" w:rsidR="00584FB3" w:rsidRDefault="00786180">
            <w:pPr>
              <w:jc w:val="right"/>
              <w:textAlignment w:val="bottom"/>
            </w:pPr>
            <w:r>
              <w:rPr>
                <w:rFonts w:ascii="Times New Roman" w:eastAsia="宋体" w:hAnsi="Times New Roman"/>
                <w:color w:val="000000"/>
                <w:sz w:val="20"/>
                <w:szCs w:val="20"/>
              </w:rPr>
              <w:t>12.4 </w:t>
            </w:r>
          </w:p>
        </w:tc>
        <w:tc>
          <w:tcPr>
            <w:tcW w:w="0" w:type="auto"/>
            <w:shd w:val="clear" w:color="auto" w:fill="FFFFFF"/>
            <w:tcMar>
              <w:top w:w="40" w:type="dxa"/>
              <w:left w:w="0" w:type="dxa"/>
              <w:bottom w:w="40" w:type="dxa"/>
              <w:right w:w="20" w:type="dxa"/>
            </w:tcMar>
            <w:vAlign w:val="bottom"/>
          </w:tcPr>
          <w:p w14:paraId="40CB0D8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87"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D8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89"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8A" w14:textId="77777777" w:rsidR="00584FB3" w:rsidRDefault="00584FB3">
            <w:pPr>
              <w:jc w:val="right"/>
              <w:rPr>
                <w:rFonts w:ascii="宋体"/>
              </w:rPr>
            </w:pPr>
          </w:p>
        </w:tc>
      </w:tr>
      <w:tr w:rsidR="00584FB3" w14:paraId="40CB0D94" w14:textId="77777777">
        <w:tc>
          <w:tcPr>
            <w:tcW w:w="0" w:type="auto"/>
            <w:gridSpan w:val="3"/>
            <w:shd w:val="clear" w:color="auto" w:fill="D7E4BC"/>
            <w:tcMar>
              <w:top w:w="40" w:type="dxa"/>
              <w:left w:w="20" w:type="dxa"/>
              <w:bottom w:w="40" w:type="dxa"/>
              <w:right w:w="20" w:type="dxa"/>
            </w:tcMar>
            <w:vAlign w:val="bottom"/>
          </w:tcPr>
          <w:p w14:paraId="40CB0D8C" w14:textId="77777777" w:rsidR="00584FB3" w:rsidRDefault="00786180">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40CB0D8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8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8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9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9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9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93" w14:textId="77777777" w:rsidR="00584FB3" w:rsidRDefault="00584FB3">
            <w:pPr>
              <w:rPr>
                <w:rFonts w:ascii="宋体"/>
              </w:rPr>
            </w:pPr>
          </w:p>
        </w:tc>
      </w:tr>
      <w:tr w:rsidR="00584FB3" w14:paraId="40CB0DA1" w14:textId="77777777">
        <w:tc>
          <w:tcPr>
            <w:tcW w:w="0" w:type="auto"/>
            <w:gridSpan w:val="3"/>
            <w:shd w:val="clear" w:color="auto" w:fill="FFFFFF"/>
            <w:tcMar>
              <w:top w:w="40" w:type="dxa"/>
              <w:left w:w="380" w:type="dxa"/>
              <w:bottom w:w="40" w:type="dxa"/>
              <w:right w:w="20" w:type="dxa"/>
            </w:tcMar>
            <w:vAlign w:val="bottom"/>
          </w:tcPr>
          <w:p w14:paraId="40CB0D95" w14:textId="77777777" w:rsidR="00584FB3" w:rsidRDefault="00786180">
            <w:pPr>
              <w:textAlignment w:val="bottom"/>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40CB0D96" w14:textId="77777777" w:rsidR="00584FB3" w:rsidRDefault="00786180">
            <w:pPr>
              <w:jc w:val="right"/>
              <w:textAlignment w:val="bottom"/>
            </w:pPr>
            <w:r>
              <w:rPr>
                <w:rFonts w:ascii="Times New Roman" w:eastAsia="宋体" w:hAnsi="Times New Roman"/>
                <w:color w:val="000000"/>
                <w:sz w:val="20"/>
                <w:szCs w:val="20"/>
              </w:rPr>
              <w:t>67.4 </w:t>
            </w:r>
          </w:p>
        </w:tc>
        <w:tc>
          <w:tcPr>
            <w:tcW w:w="0" w:type="auto"/>
            <w:shd w:val="clear" w:color="auto" w:fill="FFFFFF"/>
            <w:tcMar>
              <w:top w:w="40" w:type="dxa"/>
              <w:left w:w="0" w:type="dxa"/>
              <w:bottom w:w="40" w:type="dxa"/>
              <w:right w:w="20" w:type="dxa"/>
            </w:tcMar>
            <w:vAlign w:val="bottom"/>
          </w:tcPr>
          <w:p w14:paraId="40CB0D9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9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99"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9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9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9C" w14:textId="77777777" w:rsidR="00584FB3" w:rsidRDefault="00786180">
            <w:pPr>
              <w:jc w:val="right"/>
              <w:textAlignment w:val="bottom"/>
            </w:pPr>
            <w:r>
              <w:rPr>
                <w:rFonts w:ascii="Times New Roman" w:eastAsia="宋体" w:hAnsi="Times New Roman"/>
                <w:color w:val="000000"/>
                <w:sz w:val="20"/>
                <w:szCs w:val="20"/>
              </w:rPr>
              <w:t>67.4 </w:t>
            </w:r>
          </w:p>
        </w:tc>
        <w:tc>
          <w:tcPr>
            <w:tcW w:w="0" w:type="auto"/>
            <w:shd w:val="clear" w:color="auto" w:fill="FFFFFF"/>
            <w:tcMar>
              <w:top w:w="40" w:type="dxa"/>
              <w:left w:w="0" w:type="dxa"/>
              <w:bottom w:w="40" w:type="dxa"/>
              <w:right w:w="20" w:type="dxa"/>
            </w:tcMar>
            <w:vAlign w:val="bottom"/>
          </w:tcPr>
          <w:p w14:paraId="40CB0D9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9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D9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A0" w14:textId="77777777" w:rsidR="00584FB3" w:rsidRDefault="00584FB3">
            <w:pPr>
              <w:jc w:val="right"/>
              <w:rPr>
                <w:rFonts w:ascii="宋体"/>
              </w:rPr>
            </w:pPr>
          </w:p>
        </w:tc>
      </w:tr>
      <w:tr w:rsidR="00584FB3" w14:paraId="40CB0DB2" w14:textId="77777777">
        <w:tc>
          <w:tcPr>
            <w:tcW w:w="0" w:type="auto"/>
            <w:gridSpan w:val="3"/>
            <w:shd w:val="clear" w:color="auto" w:fill="D7E4BC"/>
            <w:tcMar>
              <w:top w:w="40" w:type="dxa"/>
              <w:left w:w="20" w:type="dxa"/>
              <w:bottom w:w="40" w:type="dxa"/>
              <w:right w:w="20" w:type="dxa"/>
            </w:tcMar>
            <w:vAlign w:val="bottom"/>
          </w:tcPr>
          <w:p w14:paraId="40CB0DA2" w14:textId="77777777" w:rsidR="00584FB3" w:rsidRDefault="00786180">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DA3"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DA4" w14:textId="77777777" w:rsidR="00584FB3" w:rsidRDefault="00786180">
            <w:pPr>
              <w:jc w:val="right"/>
              <w:textAlignment w:val="bottom"/>
            </w:pPr>
            <w:r>
              <w:rPr>
                <w:rFonts w:ascii="Times New Roman" w:eastAsia="宋体" w:hAnsi="Times New Roman"/>
                <w:color w:val="000000"/>
                <w:sz w:val="20"/>
                <w:szCs w:val="20"/>
              </w:rPr>
              <w:t>80.6 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DA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A6"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DA7"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DA8" w14:textId="77777777" w:rsidR="00584FB3" w:rsidRDefault="00786180">
            <w:pPr>
              <w:jc w:val="right"/>
              <w:textAlignment w:val="bottom"/>
            </w:pPr>
            <w:r>
              <w:rPr>
                <w:rFonts w:ascii="Times New Roman" w:eastAsia="宋体" w:hAnsi="Times New Roman"/>
                <w:color w:val="000000"/>
                <w:sz w:val="20"/>
                <w:szCs w:val="20"/>
              </w:rPr>
              <w:t>0.8 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DA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AA"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DAB"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DAC" w14:textId="77777777" w:rsidR="00584FB3" w:rsidRDefault="00786180">
            <w:pPr>
              <w:jc w:val="right"/>
              <w:textAlignment w:val="bottom"/>
            </w:pPr>
            <w:r>
              <w:rPr>
                <w:rFonts w:ascii="Times New Roman" w:eastAsia="宋体" w:hAnsi="Times New Roman"/>
                <w:color w:val="000000"/>
                <w:sz w:val="20"/>
                <w:szCs w:val="20"/>
              </w:rPr>
              <w:t>79.8 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DA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DAE"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DAF"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DB0"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DB1" w14:textId="77777777" w:rsidR="00584FB3" w:rsidRDefault="00584FB3">
            <w:pPr>
              <w:jc w:val="right"/>
              <w:rPr>
                <w:rFonts w:ascii="宋体"/>
              </w:rPr>
            </w:pPr>
          </w:p>
        </w:tc>
      </w:tr>
    </w:tbl>
    <w:p w14:paraId="40CB0DB3" w14:textId="77777777" w:rsidR="00584FB3" w:rsidRDefault="00584FB3"/>
    <w:p w14:paraId="40CB0DB4" w14:textId="77777777" w:rsidR="00584FB3" w:rsidRDefault="00786180">
      <w:pPr>
        <w:jc w:val="center"/>
      </w:pPr>
      <w:r>
        <w:rPr>
          <w:rFonts w:ascii="Times New Roman" w:eastAsia="宋体" w:hAnsi="Times New Roman"/>
          <w:color w:val="000000"/>
          <w:sz w:val="20"/>
          <w:szCs w:val="20"/>
        </w:rPr>
        <w:t>14</w:t>
      </w:r>
    </w:p>
    <w:p w14:paraId="40CB0DB5" w14:textId="77777777" w:rsidR="00584FB3" w:rsidRDefault="00786180">
      <w:r>
        <w:pict w14:anchorId="40CB2A43">
          <v:rect id="_x0000_i1038" style="width:415.3pt;height:1.5pt" o:hralign="center" o:hrstd="t" o:hr="t" fillcolor="#a0a0a0" stroked="f"/>
        </w:pict>
      </w:r>
    </w:p>
    <w:p w14:paraId="40CB0DB6" w14:textId="77777777" w:rsidR="00584FB3" w:rsidRDefault="00786180">
      <w:hyperlink r:id="rId86" w:anchor="i11706e4b673c41db9f2dcbdb897203bb_7" w:history="1">
        <w:r>
          <w:rPr>
            <w:rStyle w:val="a5"/>
            <w:rFonts w:ascii="Times New Roman" w:eastAsia="宋体" w:hAnsi="Times New Roman"/>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56"/>
        <w:gridCol w:w="2440"/>
        <w:gridCol w:w="38"/>
        <w:gridCol w:w="120"/>
        <w:gridCol w:w="1131"/>
        <w:gridCol w:w="36"/>
        <w:gridCol w:w="36"/>
        <w:gridCol w:w="36"/>
        <w:gridCol w:w="36"/>
        <w:gridCol w:w="121"/>
        <w:gridCol w:w="1131"/>
        <w:gridCol w:w="37"/>
        <w:gridCol w:w="37"/>
        <w:gridCol w:w="37"/>
        <w:gridCol w:w="37"/>
        <w:gridCol w:w="120"/>
        <w:gridCol w:w="1131"/>
        <w:gridCol w:w="36"/>
        <w:gridCol w:w="36"/>
        <w:gridCol w:w="36"/>
        <w:gridCol w:w="36"/>
        <w:gridCol w:w="121"/>
        <w:gridCol w:w="1443"/>
        <w:gridCol w:w="36"/>
      </w:tblGrid>
      <w:tr w:rsidR="00584FB3" w14:paraId="40CB0DCF" w14:textId="77777777">
        <w:tc>
          <w:tcPr>
            <w:tcW w:w="50" w:type="pct"/>
            <w:shd w:val="clear" w:color="auto" w:fill="auto"/>
          </w:tcPr>
          <w:p w14:paraId="40CB0DB7" w14:textId="77777777" w:rsidR="00584FB3" w:rsidRDefault="00584FB3">
            <w:pPr>
              <w:rPr>
                <w:rFonts w:ascii="宋体"/>
              </w:rPr>
            </w:pPr>
          </w:p>
        </w:tc>
        <w:tc>
          <w:tcPr>
            <w:tcW w:w="1606" w:type="pct"/>
            <w:shd w:val="clear" w:color="auto" w:fill="auto"/>
          </w:tcPr>
          <w:p w14:paraId="40CB0DB8" w14:textId="77777777" w:rsidR="00584FB3" w:rsidRDefault="00584FB3">
            <w:pPr>
              <w:rPr>
                <w:rFonts w:ascii="宋体"/>
              </w:rPr>
            </w:pPr>
          </w:p>
        </w:tc>
        <w:tc>
          <w:tcPr>
            <w:tcW w:w="5" w:type="pct"/>
            <w:shd w:val="clear" w:color="auto" w:fill="auto"/>
          </w:tcPr>
          <w:p w14:paraId="40CB0DB9" w14:textId="77777777" w:rsidR="00584FB3" w:rsidRDefault="00584FB3">
            <w:pPr>
              <w:rPr>
                <w:rFonts w:ascii="宋体"/>
              </w:rPr>
            </w:pPr>
          </w:p>
        </w:tc>
        <w:tc>
          <w:tcPr>
            <w:tcW w:w="50" w:type="pct"/>
            <w:shd w:val="clear" w:color="auto" w:fill="auto"/>
          </w:tcPr>
          <w:p w14:paraId="40CB0DBA" w14:textId="77777777" w:rsidR="00584FB3" w:rsidRDefault="00584FB3">
            <w:pPr>
              <w:rPr>
                <w:rFonts w:ascii="宋体"/>
              </w:rPr>
            </w:pPr>
          </w:p>
        </w:tc>
        <w:tc>
          <w:tcPr>
            <w:tcW w:w="757" w:type="pct"/>
            <w:shd w:val="clear" w:color="auto" w:fill="auto"/>
          </w:tcPr>
          <w:p w14:paraId="40CB0DBB" w14:textId="77777777" w:rsidR="00584FB3" w:rsidRDefault="00584FB3">
            <w:pPr>
              <w:rPr>
                <w:rFonts w:ascii="宋体"/>
              </w:rPr>
            </w:pPr>
          </w:p>
        </w:tc>
        <w:tc>
          <w:tcPr>
            <w:tcW w:w="5" w:type="pct"/>
            <w:shd w:val="clear" w:color="auto" w:fill="auto"/>
          </w:tcPr>
          <w:p w14:paraId="40CB0DBC" w14:textId="77777777" w:rsidR="00584FB3" w:rsidRDefault="00584FB3">
            <w:pPr>
              <w:rPr>
                <w:rFonts w:ascii="宋体"/>
              </w:rPr>
            </w:pPr>
          </w:p>
        </w:tc>
        <w:tc>
          <w:tcPr>
            <w:tcW w:w="5" w:type="pct"/>
            <w:shd w:val="clear" w:color="auto" w:fill="auto"/>
          </w:tcPr>
          <w:p w14:paraId="40CB0DBD" w14:textId="77777777" w:rsidR="00584FB3" w:rsidRDefault="00584FB3">
            <w:pPr>
              <w:rPr>
                <w:rFonts w:ascii="宋体"/>
              </w:rPr>
            </w:pPr>
          </w:p>
        </w:tc>
        <w:tc>
          <w:tcPr>
            <w:tcW w:w="19" w:type="pct"/>
            <w:shd w:val="clear" w:color="auto" w:fill="auto"/>
          </w:tcPr>
          <w:p w14:paraId="40CB0DBE" w14:textId="77777777" w:rsidR="00584FB3" w:rsidRDefault="00584FB3">
            <w:pPr>
              <w:rPr>
                <w:rFonts w:ascii="宋体"/>
              </w:rPr>
            </w:pPr>
          </w:p>
        </w:tc>
        <w:tc>
          <w:tcPr>
            <w:tcW w:w="5" w:type="pct"/>
            <w:shd w:val="clear" w:color="auto" w:fill="auto"/>
          </w:tcPr>
          <w:p w14:paraId="40CB0DBF" w14:textId="77777777" w:rsidR="00584FB3" w:rsidRDefault="00584FB3">
            <w:pPr>
              <w:rPr>
                <w:rFonts w:ascii="宋体"/>
              </w:rPr>
            </w:pPr>
          </w:p>
        </w:tc>
        <w:tc>
          <w:tcPr>
            <w:tcW w:w="50" w:type="pct"/>
            <w:shd w:val="clear" w:color="auto" w:fill="auto"/>
          </w:tcPr>
          <w:p w14:paraId="40CB0DC0" w14:textId="77777777" w:rsidR="00584FB3" w:rsidRDefault="00584FB3">
            <w:pPr>
              <w:rPr>
                <w:rFonts w:ascii="宋体"/>
              </w:rPr>
            </w:pPr>
          </w:p>
        </w:tc>
        <w:tc>
          <w:tcPr>
            <w:tcW w:w="757" w:type="pct"/>
            <w:shd w:val="clear" w:color="auto" w:fill="auto"/>
          </w:tcPr>
          <w:p w14:paraId="40CB0DC1" w14:textId="77777777" w:rsidR="00584FB3" w:rsidRDefault="00584FB3">
            <w:pPr>
              <w:rPr>
                <w:rFonts w:ascii="宋体"/>
              </w:rPr>
            </w:pPr>
          </w:p>
        </w:tc>
        <w:tc>
          <w:tcPr>
            <w:tcW w:w="5" w:type="pct"/>
            <w:shd w:val="clear" w:color="auto" w:fill="auto"/>
          </w:tcPr>
          <w:p w14:paraId="40CB0DC2" w14:textId="77777777" w:rsidR="00584FB3" w:rsidRDefault="00584FB3">
            <w:pPr>
              <w:rPr>
                <w:rFonts w:ascii="宋体"/>
              </w:rPr>
            </w:pPr>
          </w:p>
        </w:tc>
        <w:tc>
          <w:tcPr>
            <w:tcW w:w="5" w:type="pct"/>
            <w:shd w:val="clear" w:color="auto" w:fill="auto"/>
          </w:tcPr>
          <w:p w14:paraId="40CB0DC3" w14:textId="77777777" w:rsidR="00584FB3" w:rsidRDefault="00584FB3">
            <w:pPr>
              <w:rPr>
                <w:rFonts w:ascii="宋体"/>
              </w:rPr>
            </w:pPr>
          </w:p>
        </w:tc>
        <w:tc>
          <w:tcPr>
            <w:tcW w:w="19" w:type="pct"/>
            <w:shd w:val="clear" w:color="auto" w:fill="auto"/>
          </w:tcPr>
          <w:p w14:paraId="40CB0DC4" w14:textId="77777777" w:rsidR="00584FB3" w:rsidRDefault="00584FB3">
            <w:pPr>
              <w:rPr>
                <w:rFonts w:ascii="宋体"/>
              </w:rPr>
            </w:pPr>
          </w:p>
        </w:tc>
        <w:tc>
          <w:tcPr>
            <w:tcW w:w="5" w:type="pct"/>
            <w:shd w:val="clear" w:color="auto" w:fill="auto"/>
          </w:tcPr>
          <w:p w14:paraId="40CB0DC5" w14:textId="77777777" w:rsidR="00584FB3" w:rsidRDefault="00584FB3">
            <w:pPr>
              <w:rPr>
                <w:rFonts w:ascii="宋体"/>
              </w:rPr>
            </w:pPr>
          </w:p>
        </w:tc>
        <w:tc>
          <w:tcPr>
            <w:tcW w:w="50" w:type="pct"/>
            <w:shd w:val="clear" w:color="auto" w:fill="auto"/>
          </w:tcPr>
          <w:p w14:paraId="40CB0DC6" w14:textId="77777777" w:rsidR="00584FB3" w:rsidRDefault="00584FB3">
            <w:pPr>
              <w:rPr>
                <w:rFonts w:ascii="宋体"/>
              </w:rPr>
            </w:pPr>
          </w:p>
        </w:tc>
        <w:tc>
          <w:tcPr>
            <w:tcW w:w="757" w:type="pct"/>
            <w:shd w:val="clear" w:color="auto" w:fill="auto"/>
          </w:tcPr>
          <w:p w14:paraId="40CB0DC7" w14:textId="77777777" w:rsidR="00584FB3" w:rsidRDefault="00584FB3">
            <w:pPr>
              <w:rPr>
                <w:rFonts w:ascii="宋体"/>
              </w:rPr>
            </w:pPr>
          </w:p>
        </w:tc>
        <w:tc>
          <w:tcPr>
            <w:tcW w:w="5" w:type="pct"/>
            <w:shd w:val="clear" w:color="auto" w:fill="auto"/>
          </w:tcPr>
          <w:p w14:paraId="40CB0DC8" w14:textId="77777777" w:rsidR="00584FB3" w:rsidRDefault="00584FB3">
            <w:pPr>
              <w:rPr>
                <w:rFonts w:ascii="宋体"/>
              </w:rPr>
            </w:pPr>
          </w:p>
        </w:tc>
        <w:tc>
          <w:tcPr>
            <w:tcW w:w="5" w:type="pct"/>
            <w:shd w:val="clear" w:color="auto" w:fill="auto"/>
          </w:tcPr>
          <w:p w14:paraId="40CB0DC9" w14:textId="77777777" w:rsidR="00584FB3" w:rsidRDefault="00584FB3">
            <w:pPr>
              <w:rPr>
                <w:rFonts w:ascii="宋体"/>
              </w:rPr>
            </w:pPr>
          </w:p>
        </w:tc>
        <w:tc>
          <w:tcPr>
            <w:tcW w:w="19" w:type="pct"/>
            <w:shd w:val="clear" w:color="auto" w:fill="auto"/>
          </w:tcPr>
          <w:p w14:paraId="40CB0DCA" w14:textId="77777777" w:rsidR="00584FB3" w:rsidRDefault="00584FB3">
            <w:pPr>
              <w:rPr>
                <w:rFonts w:ascii="宋体"/>
              </w:rPr>
            </w:pPr>
          </w:p>
        </w:tc>
        <w:tc>
          <w:tcPr>
            <w:tcW w:w="5" w:type="pct"/>
            <w:shd w:val="clear" w:color="auto" w:fill="auto"/>
          </w:tcPr>
          <w:p w14:paraId="40CB0DCB" w14:textId="77777777" w:rsidR="00584FB3" w:rsidRDefault="00584FB3">
            <w:pPr>
              <w:rPr>
                <w:rFonts w:ascii="宋体"/>
              </w:rPr>
            </w:pPr>
          </w:p>
        </w:tc>
        <w:tc>
          <w:tcPr>
            <w:tcW w:w="50" w:type="pct"/>
            <w:shd w:val="clear" w:color="auto" w:fill="auto"/>
          </w:tcPr>
          <w:p w14:paraId="40CB0DCC" w14:textId="77777777" w:rsidR="00584FB3" w:rsidRDefault="00584FB3">
            <w:pPr>
              <w:rPr>
                <w:rFonts w:ascii="宋体"/>
              </w:rPr>
            </w:pPr>
          </w:p>
        </w:tc>
        <w:tc>
          <w:tcPr>
            <w:tcW w:w="757" w:type="pct"/>
            <w:shd w:val="clear" w:color="auto" w:fill="auto"/>
          </w:tcPr>
          <w:p w14:paraId="40CB0DCD" w14:textId="77777777" w:rsidR="00584FB3" w:rsidRDefault="00584FB3">
            <w:pPr>
              <w:rPr>
                <w:rFonts w:ascii="宋体"/>
              </w:rPr>
            </w:pPr>
          </w:p>
        </w:tc>
        <w:tc>
          <w:tcPr>
            <w:tcW w:w="5" w:type="pct"/>
            <w:shd w:val="clear" w:color="auto" w:fill="auto"/>
          </w:tcPr>
          <w:p w14:paraId="40CB0DCE" w14:textId="77777777" w:rsidR="00584FB3" w:rsidRDefault="00584FB3">
            <w:pPr>
              <w:rPr>
                <w:rFonts w:ascii="宋体"/>
              </w:rPr>
            </w:pPr>
          </w:p>
        </w:tc>
      </w:tr>
      <w:tr w:rsidR="00584FB3" w14:paraId="40CB0DD4" w14:textId="77777777">
        <w:tc>
          <w:tcPr>
            <w:tcW w:w="0" w:type="auto"/>
            <w:gridSpan w:val="3"/>
            <w:shd w:val="clear" w:color="auto" w:fill="auto"/>
            <w:tcMar>
              <w:top w:w="40" w:type="dxa"/>
              <w:left w:w="20" w:type="dxa"/>
              <w:bottom w:w="40" w:type="dxa"/>
              <w:right w:w="20" w:type="dxa"/>
            </w:tcMar>
            <w:vAlign w:val="bottom"/>
          </w:tcPr>
          <w:p w14:paraId="40CB0DD0"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0CB0DD1"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B0DD2" w14:textId="77777777" w:rsidR="00584FB3" w:rsidRDefault="00584FB3">
            <w:pPr>
              <w:rPr>
                <w:rFonts w:ascii="宋体"/>
              </w:rPr>
            </w:pPr>
          </w:p>
        </w:tc>
        <w:tc>
          <w:tcPr>
            <w:tcW w:w="0" w:type="auto"/>
            <w:gridSpan w:val="15"/>
            <w:shd w:val="clear" w:color="auto" w:fill="00704A"/>
            <w:tcMar>
              <w:top w:w="40" w:type="dxa"/>
              <w:left w:w="20" w:type="dxa"/>
              <w:bottom w:w="40" w:type="dxa"/>
              <w:right w:w="20" w:type="dxa"/>
            </w:tcMar>
            <w:vAlign w:val="bottom"/>
          </w:tcPr>
          <w:p w14:paraId="40CB0DD3" w14:textId="77777777" w:rsidR="00584FB3" w:rsidRDefault="00786180">
            <w:pPr>
              <w:jc w:val="center"/>
              <w:textAlignment w:val="bottom"/>
            </w:pPr>
            <w:r>
              <w:rPr>
                <w:rFonts w:ascii="Times New Roman" w:eastAsia="宋体" w:hAnsi="Times New Roman"/>
                <w:b/>
                <w:bCs/>
                <w:color w:val="FFFFFF"/>
                <w:sz w:val="16"/>
                <w:szCs w:val="16"/>
              </w:rPr>
              <w:t>Fair Value Measurements at Reporting Date Using</w:t>
            </w:r>
          </w:p>
        </w:tc>
      </w:tr>
      <w:tr w:rsidR="00584FB3" w14:paraId="40CB0DE6" w14:textId="77777777">
        <w:tc>
          <w:tcPr>
            <w:tcW w:w="0" w:type="auto"/>
            <w:gridSpan w:val="3"/>
            <w:shd w:val="clear" w:color="auto" w:fill="auto"/>
            <w:tcMar>
              <w:top w:w="40" w:type="dxa"/>
              <w:left w:w="20" w:type="dxa"/>
              <w:bottom w:w="40" w:type="dxa"/>
              <w:right w:w="20" w:type="dxa"/>
            </w:tcMar>
            <w:vAlign w:val="bottom"/>
          </w:tcPr>
          <w:p w14:paraId="40CB0DD5"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0DD6" w14:textId="77777777" w:rsidR="00584FB3" w:rsidRDefault="00786180">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September 27, 2020</w:t>
            </w:r>
          </w:p>
        </w:tc>
        <w:tc>
          <w:tcPr>
            <w:tcW w:w="0" w:type="auto"/>
            <w:gridSpan w:val="3"/>
            <w:shd w:val="clear" w:color="auto" w:fill="auto"/>
            <w:tcMar>
              <w:top w:w="0" w:type="dxa"/>
              <w:left w:w="20" w:type="dxa"/>
              <w:bottom w:w="0" w:type="dxa"/>
              <w:right w:w="20" w:type="dxa"/>
            </w:tcMar>
          </w:tcPr>
          <w:p w14:paraId="40CB0DD7"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DD8" w14:textId="77777777" w:rsidR="00584FB3" w:rsidRDefault="00786180">
            <w:pPr>
              <w:jc w:val="center"/>
              <w:textAlignment w:val="bottom"/>
            </w:pPr>
            <w:r>
              <w:rPr>
                <w:rFonts w:ascii="Times New Roman" w:eastAsia="宋体" w:hAnsi="Times New Roman"/>
                <w:b/>
                <w:bCs/>
                <w:color w:val="FFFFFF"/>
                <w:sz w:val="16"/>
                <w:szCs w:val="16"/>
              </w:rPr>
              <w:t>Quoted Prices</w:t>
            </w:r>
          </w:p>
          <w:p w14:paraId="40CB0DD9" w14:textId="77777777" w:rsidR="00584FB3" w:rsidRDefault="00786180">
            <w:pPr>
              <w:jc w:val="center"/>
              <w:textAlignment w:val="bottom"/>
            </w:pPr>
            <w:r>
              <w:rPr>
                <w:rFonts w:ascii="Times New Roman" w:eastAsia="宋体" w:hAnsi="Times New Roman"/>
                <w:b/>
                <w:bCs/>
                <w:color w:val="FFFFFF"/>
                <w:sz w:val="16"/>
                <w:szCs w:val="16"/>
              </w:rPr>
              <w:t>in Active</w:t>
            </w:r>
          </w:p>
          <w:p w14:paraId="40CB0DDA" w14:textId="77777777" w:rsidR="00584FB3" w:rsidRDefault="00786180">
            <w:pPr>
              <w:jc w:val="center"/>
              <w:textAlignment w:val="bottom"/>
            </w:pPr>
            <w:r>
              <w:rPr>
                <w:rFonts w:ascii="Times New Roman" w:eastAsia="宋体" w:hAnsi="Times New Roman"/>
                <w:b/>
                <w:bCs/>
                <w:color w:val="FFFFFF"/>
                <w:sz w:val="16"/>
                <w:szCs w:val="16"/>
              </w:rPr>
              <w:t>Markets for </w:t>
            </w:r>
          </w:p>
          <w:p w14:paraId="40CB0DDB" w14:textId="77777777" w:rsidR="00584FB3" w:rsidRDefault="00786180">
            <w:pPr>
              <w:jc w:val="center"/>
              <w:textAlignment w:val="bottom"/>
            </w:pPr>
            <w:r>
              <w:rPr>
                <w:rFonts w:ascii="Times New Roman" w:eastAsia="宋体" w:hAnsi="Times New Roman"/>
                <w:b/>
                <w:bCs/>
                <w:color w:val="FFFFFF"/>
                <w:sz w:val="16"/>
                <w:szCs w:val="16"/>
              </w:rPr>
              <w:t>Identical Assets</w:t>
            </w:r>
          </w:p>
          <w:p w14:paraId="40CB0DDC" w14:textId="77777777" w:rsidR="00584FB3" w:rsidRDefault="00786180">
            <w:pPr>
              <w:jc w:val="center"/>
              <w:textAlignment w:val="bottom"/>
            </w:pPr>
            <w:r>
              <w:rPr>
                <w:rFonts w:ascii="Times New Roman" w:eastAsia="宋体" w:hAnsi="Times New Roman"/>
                <w:b/>
                <w:bCs/>
                <w:color w:val="FFFFFF"/>
                <w:sz w:val="16"/>
                <w:szCs w:val="16"/>
              </w:rPr>
              <w:t>(Level 1)</w:t>
            </w:r>
          </w:p>
        </w:tc>
        <w:tc>
          <w:tcPr>
            <w:tcW w:w="0" w:type="auto"/>
            <w:gridSpan w:val="3"/>
            <w:shd w:val="clear" w:color="auto" w:fill="auto"/>
            <w:tcMar>
              <w:top w:w="0" w:type="dxa"/>
              <w:left w:w="20" w:type="dxa"/>
              <w:bottom w:w="0" w:type="dxa"/>
              <w:right w:w="20" w:type="dxa"/>
            </w:tcMar>
          </w:tcPr>
          <w:p w14:paraId="40CB0DD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DDE" w14:textId="77777777" w:rsidR="00584FB3" w:rsidRDefault="00786180">
            <w:pPr>
              <w:jc w:val="center"/>
              <w:textAlignment w:val="bottom"/>
            </w:pPr>
            <w:r>
              <w:rPr>
                <w:rFonts w:ascii="Times New Roman" w:eastAsia="宋体" w:hAnsi="Times New Roman"/>
                <w:b/>
                <w:bCs/>
                <w:color w:val="FFFFFF"/>
                <w:sz w:val="16"/>
                <w:szCs w:val="16"/>
              </w:rPr>
              <w:t>Significant </w:t>
            </w:r>
          </w:p>
          <w:p w14:paraId="40CB0DDF" w14:textId="77777777" w:rsidR="00584FB3" w:rsidRDefault="00786180">
            <w:pPr>
              <w:jc w:val="center"/>
              <w:textAlignment w:val="bottom"/>
            </w:pPr>
            <w:r>
              <w:rPr>
                <w:rFonts w:ascii="Times New Roman" w:eastAsia="宋体" w:hAnsi="Times New Roman"/>
                <w:b/>
                <w:bCs/>
                <w:color w:val="FFFFFF"/>
                <w:sz w:val="16"/>
                <w:szCs w:val="16"/>
              </w:rPr>
              <w:t>Other Observable </w:t>
            </w:r>
          </w:p>
          <w:p w14:paraId="40CB0DE0" w14:textId="77777777" w:rsidR="00584FB3" w:rsidRDefault="00786180">
            <w:pPr>
              <w:jc w:val="center"/>
              <w:textAlignment w:val="bottom"/>
            </w:pPr>
            <w:r>
              <w:rPr>
                <w:rFonts w:ascii="Times New Roman" w:eastAsia="宋体" w:hAnsi="Times New Roman"/>
                <w:b/>
                <w:bCs/>
                <w:color w:val="FFFFFF"/>
                <w:sz w:val="16"/>
                <w:szCs w:val="16"/>
              </w:rPr>
              <w:t>Inputs</w:t>
            </w:r>
          </w:p>
          <w:p w14:paraId="40CB0DE1" w14:textId="77777777" w:rsidR="00584FB3" w:rsidRDefault="00786180">
            <w:pPr>
              <w:jc w:val="center"/>
              <w:textAlignment w:val="bottom"/>
            </w:pPr>
            <w:r>
              <w:rPr>
                <w:rFonts w:ascii="Times New Roman" w:eastAsia="宋体" w:hAnsi="Times New Roman"/>
                <w:b/>
                <w:bCs/>
                <w:color w:val="FFFFFF"/>
                <w:sz w:val="16"/>
                <w:szCs w:val="16"/>
              </w:rPr>
              <w:t>(Level 2)</w:t>
            </w:r>
          </w:p>
        </w:tc>
        <w:tc>
          <w:tcPr>
            <w:tcW w:w="0" w:type="auto"/>
            <w:gridSpan w:val="3"/>
            <w:shd w:val="clear" w:color="auto" w:fill="auto"/>
            <w:tcMar>
              <w:top w:w="0" w:type="dxa"/>
              <w:left w:w="20" w:type="dxa"/>
              <w:bottom w:w="0" w:type="dxa"/>
              <w:right w:w="20" w:type="dxa"/>
            </w:tcMar>
          </w:tcPr>
          <w:p w14:paraId="40CB0DE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DE3" w14:textId="77777777" w:rsidR="00584FB3" w:rsidRDefault="00786180">
            <w:pPr>
              <w:jc w:val="center"/>
              <w:textAlignment w:val="bottom"/>
            </w:pPr>
            <w:r>
              <w:rPr>
                <w:rFonts w:ascii="Times New Roman" w:eastAsia="宋体" w:hAnsi="Times New Roman"/>
                <w:b/>
                <w:bCs/>
                <w:color w:val="FFFFFF"/>
                <w:sz w:val="16"/>
                <w:szCs w:val="16"/>
              </w:rPr>
              <w:t>Significant</w:t>
            </w:r>
          </w:p>
          <w:p w14:paraId="40CB0DE4" w14:textId="77777777" w:rsidR="00584FB3" w:rsidRDefault="00786180">
            <w:pPr>
              <w:jc w:val="center"/>
              <w:textAlignment w:val="bottom"/>
            </w:pPr>
            <w:r>
              <w:rPr>
                <w:rFonts w:ascii="Times New Roman" w:eastAsia="宋体" w:hAnsi="Times New Roman"/>
                <w:b/>
                <w:bCs/>
                <w:color w:val="FFFFFF"/>
                <w:sz w:val="16"/>
                <w:szCs w:val="16"/>
              </w:rPr>
              <w:t>Unobservable  Inputs</w:t>
            </w:r>
          </w:p>
          <w:p w14:paraId="40CB0DE5" w14:textId="77777777" w:rsidR="00584FB3" w:rsidRDefault="00786180">
            <w:pPr>
              <w:jc w:val="center"/>
              <w:textAlignment w:val="bottom"/>
            </w:pPr>
            <w:r>
              <w:rPr>
                <w:rFonts w:ascii="Times New Roman" w:eastAsia="宋体" w:hAnsi="Times New Roman"/>
                <w:b/>
                <w:bCs/>
                <w:color w:val="FFFFFF"/>
                <w:sz w:val="16"/>
                <w:szCs w:val="16"/>
              </w:rPr>
              <w:t>(Level 3)</w:t>
            </w:r>
          </w:p>
        </w:tc>
      </w:tr>
      <w:tr w:rsidR="00584FB3" w14:paraId="40CB0DEF" w14:textId="77777777">
        <w:tc>
          <w:tcPr>
            <w:tcW w:w="0" w:type="auto"/>
            <w:gridSpan w:val="3"/>
            <w:shd w:val="clear" w:color="auto" w:fill="D7E4BC"/>
            <w:tcMar>
              <w:top w:w="40" w:type="dxa"/>
              <w:left w:w="20" w:type="dxa"/>
              <w:bottom w:w="40" w:type="dxa"/>
              <w:right w:w="20" w:type="dxa"/>
            </w:tcMar>
          </w:tcPr>
          <w:p w14:paraId="40CB0DE7" w14:textId="77777777" w:rsidR="00584FB3" w:rsidRDefault="00786180">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40CB0DE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E9"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DEA"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EB"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DE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DED"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DEE" w14:textId="77777777" w:rsidR="00584FB3" w:rsidRDefault="00584FB3">
            <w:pPr>
              <w:rPr>
                <w:rFonts w:ascii="宋体"/>
              </w:rPr>
            </w:pPr>
          </w:p>
        </w:tc>
      </w:tr>
      <w:tr w:rsidR="00584FB3" w14:paraId="40CB0E00" w14:textId="77777777">
        <w:tc>
          <w:tcPr>
            <w:tcW w:w="0" w:type="auto"/>
            <w:gridSpan w:val="3"/>
            <w:shd w:val="clear" w:color="auto" w:fill="FFFFFF"/>
            <w:tcMar>
              <w:top w:w="40" w:type="dxa"/>
              <w:left w:w="20" w:type="dxa"/>
              <w:bottom w:w="40" w:type="dxa"/>
              <w:right w:w="20" w:type="dxa"/>
            </w:tcMar>
            <w:vAlign w:val="bottom"/>
          </w:tcPr>
          <w:p w14:paraId="40CB0DF0" w14:textId="77777777" w:rsidR="00584FB3" w:rsidRDefault="00786180">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40CB0DF1"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F2" w14:textId="77777777" w:rsidR="00584FB3" w:rsidRDefault="00786180">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40CB0DF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F4"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DF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F6" w14:textId="77777777" w:rsidR="00584FB3" w:rsidRDefault="00786180">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40CB0DF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F8"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DF9"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FA"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F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DFC"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DFD"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DF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DFF" w14:textId="77777777" w:rsidR="00584FB3" w:rsidRDefault="00584FB3">
            <w:pPr>
              <w:jc w:val="right"/>
              <w:rPr>
                <w:rFonts w:ascii="宋体"/>
              </w:rPr>
            </w:pPr>
          </w:p>
        </w:tc>
      </w:tr>
      <w:tr w:rsidR="00584FB3" w14:paraId="40CB0E09" w14:textId="77777777">
        <w:tc>
          <w:tcPr>
            <w:tcW w:w="0" w:type="auto"/>
            <w:gridSpan w:val="3"/>
            <w:shd w:val="clear" w:color="auto" w:fill="D7E4BC"/>
            <w:tcMar>
              <w:top w:w="40" w:type="dxa"/>
              <w:left w:w="20" w:type="dxa"/>
              <w:bottom w:w="40" w:type="dxa"/>
              <w:right w:w="20" w:type="dxa"/>
            </w:tcMar>
            <w:vAlign w:val="bottom"/>
          </w:tcPr>
          <w:p w14:paraId="40CB0E01" w14:textId="77777777" w:rsidR="00584FB3" w:rsidRDefault="00786180">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tcPr>
          <w:p w14:paraId="40CB0E0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0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0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0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0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0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08" w14:textId="77777777" w:rsidR="00584FB3" w:rsidRDefault="00584FB3">
            <w:pPr>
              <w:rPr>
                <w:rFonts w:ascii="宋体"/>
              </w:rPr>
            </w:pPr>
          </w:p>
        </w:tc>
      </w:tr>
      <w:tr w:rsidR="00584FB3" w14:paraId="40CB0E12" w14:textId="77777777">
        <w:tc>
          <w:tcPr>
            <w:tcW w:w="0" w:type="auto"/>
            <w:gridSpan w:val="3"/>
            <w:shd w:val="clear" w:color="auto" w:fill="FFFFFF"/>
            <w:tcMar>
              <w:top w:w="40" w:type="dxa"/>
              <w:left w:w="380" w:type="dxa"/>
              <w:bottom w:w="40" w:type="dxa"/>
              <w:right w:w="20" w:type="dxa"/>
            </w:tcMar>
            <w:vAlign w:val="bottom"/>
          </w:tcPr>
          <w:p w14:paraId="40CB0E0A" w14:textId="77777777" w:rsidR="00584FB3" w:rsidRDefault="00786180">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40CB0E0B"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0C"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0D"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0E"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0F"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1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11" w14:textId="77777777" w:rsidR="00584FB3" w:rsidRDefault="00584FB3">
            <w:pPr>
              <w:rPr>
                <w:rFonts w:ascii="宋体"/>
              </w:rPr>
            </w:pPr>
          </w:p>
        </w:tc>
      </w:tr>
      <w:tr w:rsidR="00584FB3" w14:paraId="40CB0E1F" w14:textId="77777777">
        <w:tc>
          <w:tcPr>
            <w:tcW w:w="0" w:type="auto"/>
            <w:gridSpan w:val="3"/>
            <w:shd w:val="clear" w:color="auto" w:fill="D7E4BC"/>
            <w:tcMar>
              <w:top w:w="40" w:type="dxa"/>
              <w:left w:w="740" w:type="dxa"/>
              <w:bottom w:w="40" w:type="dxa"/>
              <w:right w:w="20" w:type="dxa"/>
            </w:tcMar>
            <w:vAlign w:val="bottom"/>
          </w:tcPr>
          <w:p w14:paraId="40CB0E13" w14:textId="77777777" w:rsidR="00584FB3" w:rsidRDefault="00786180">
            <w:pPr>
              <w:textAlignment w:val="bottom"/>
            </w:pPr>
            <w:r>
              <w:rPr>
                <w:rFonts w:ascii="Times New Roman" w:eastAsia="宋体" w:hAnsi="Times New Roman"/>
                <w:color w:val="000000"/>
                <w:sz w:val="20"/>
                <w:szCs w:val="20"/>
              </w:rPr>
              <w:t>Certificates of deposit</w:t>
            </w:r>
          </w:p>
        </w:tc>
        <w:tc>
          <w:tcPr>
            <w:tcW w:w="0" w:type="auto"/>
            <w:gridSpan w:val="2"/>
            <w:shd w:val="clear" w:color="auto" w:fill="D7E4BC"/>
            <w:tcMar>
              <w:top w:w="40" w:type="dxa"/>
              <w:left w:w="20" w:type="dxa"/>
              <w:bottom w:w="40" w:type="dxa"/>
              <w:right w:w="0" w:type="dxa"/>
            </w:tcMar>
            <w:vAlign w:val="bottom"/>
          </w:tcPr>
          <w:p w14:paraId="40CB0E14"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40CB0E1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1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17"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1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1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1A"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40CB0E1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1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1D"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1E" w14:textId="77777777" w:rsidR="00584FB3" w:rsidRDefault="00584FB3">
            <w:pPr>
              <w:jc w:val="right"/>
              <w:rPr>
                <w:rFonts w:ascii="宋体"/>
              </w:rPr>
            </w:pPr>
          </w:p>
        </w:tc>
      </w:tr>
      <w:tr w:rsidR="00584FB3" w14:paraId="40CB0E2C" w14:textId="77777777">
        <w:tc>
          <w:tcPr>
            <w:tcW w:w="0" w:type="auto"/>
            <w:gridSpan w:val="3"/>
            <w:shd w:val="clear" w:color="auto" w:fill="FFFFFF"/>
            <w:tcMar>
              <w:top w:w="40" w:type="dxa"/>
              <w:left w:w="740" w:type="dxa"/>
              <w:bottom w:w="40" w:type="dxa"/>
              <w:right w:w="20" w:type="dxa"/>
            </w:tcMar>
            <w:vAlign w:val="bottom"/>
          </w:tcPr>
          <w:p w14:paraId="40CB0E20" w14:textId="77777777" w:rsidR="00584FB3" w:rsidRDefault="00786180">
            <w:pPr>
              <w:textAlignment w:val="bottom"/>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40CB0E21" w14:textId="77777777" w:rsidR="00584FB3" w:rsidRDefault="00786180">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40CB0E2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2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24"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2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2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27" w14:textId="77777777" w:rsidR="00584FB3" w:rsidRDefault="00786180">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40CB0E2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2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2A"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2B" w14:textId="77777777" w:rsidR="00584FB3" w:rsidRDefault="00584FB3">
            <w:pPr>
              <w:jc w:val="right"/>
              <w:rPr>
                <w:rFonts w:ascii="宋体"/>
              </w:rPr>
            </w:pPr>
          </w:p>
        </w:tc>
      </w:tr>
      <w:tr w:rsidR="00584FB3" w14:paraId="40CB0E39" w14:textId="77777777">
        <w:tc>
          <w:tcPr>
            <w:tcW w:w="0" w:type="auto"/>
            <w:gridSpan w:val="3"/>
            <w:shd w:val="clear" w:color="auto" w:fill="D7E4BC"/>
            <w:tcMar>
              <w:top w:w="40" w:type="dxa"/>
              <w:left w:w="740" w:type="dxa"/>
              <w:bottom w:w="40" w:type="dxa"/>
              <w:right w:w="20" w:type="dxa"/>
            </w:tcMar>
            <w:vAlign w:val="bottom"/>
          </w:tcPr>
          <w:p w14:paraId="40CB0E2D" w14:textId="77777777" w:rsidR="00584FB3" w:rsidRDefault="00786180">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40CB0E2E" w14:textId="77777777" w:rsidR="00584FB3" w:rsidRDefault="00786180">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40CB0E2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3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31"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3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3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34" w14:textId="77777777" w:rsidR="00584FB3" w:rsidRDefault="00786180">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40CB0E3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3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37"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38" w14:textId="77777777" w:rsidR="00584FB3" w:rsidRDefault="00584FB3">
            <w:pPr>
              <w:jc w:val="right"/>
              <w:rPr>
                <w:rFonts w:ascii="宋体"/>
              </w:rPr>
            </w:pPr>
          </w:p>
        </w:tc>
      </w:tr>
      <w:tr w:rsidR="00584FB3" w14:paraId="40CB0E45" w14:textId="77777777">
        <w:tc>
          <w:tcPr>
            <w:tcW w:w="0" w:type="auto"/>
            <w:gridSpan w:val="3"/>
            <w:shd w:val="clear" w:color="auto" w:fill="FFFFFF"/>
            <w:tcMar>
              <w:top w:w="40" w:type="dxa"/>
              <w:left w:w="740" w:type="dxa"/>
              <w:bottom w:w="40" w:type="dxa"/>
              <w:right w:w="20" w:type="dxa"/>
            </w:tcMar>
            <w:vAlign w:val="bottom"/>
          </w:tcPr>
          <w:p w14:paraId="40CB0E3A" w14:textId="77777777" w:rsidR="00584FB3" w:rsidRDefault="00786180">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40CB0E3B" w14:textId="77777777" w:rsidR="00584FB3" w:rsidRDefault="00786180">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40CB0E3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3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3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3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40"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0E41" w14:textId="77777777" w:rsidR="00584FB3" w:rsidRDefault="00786180">
            <w:pPr>
              <w:jc w:val="right"/>
              <w:textAlignment w:val="bottom"/>
            </w:pPr>
            <w:r>
              <w:rPr>
                <w:rFonts w:ascii="Times New Roman" w:eastAsia="宋体" w:hAnsi="Times New Roman"/>
                <w:color w:val="000000"/>
                <w:sz w:val="20"/>
                <w:szCs w:val="20"/>
              </w:rPr>
              <w:t>8.5</w:t>
            </w:r>
          </w:p>
        </w:tc>
        <w:tc>
          <w:tcPr>
            <w:tcW w:w="0" w:type="auto"/>
            <w:gridSpan w:val="3"/>
            <w:shd w:val="clear" w:color="auto" w:fill="FFFFFF"/>
            <w:tcMar>
              <w:top w:w="0" w:type="dxa"/>
              <w:left w:w="20" w:type="dxa"/>
              <w:bottom w:w="0" w:type="dxa"/>
              <w:right w:w="20" w:type="dxa"/>
            </w:tcMar>
          </w:tcPr>
          <w:p w14:paraId="40CB0E4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43"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44" w14:textId="77777777" w:rsidR="00584FB3" w:rsidRDefault="00584FB3">
            <w:pPr>
              <w:jc w:val="right"/>
              <w:rPr>
                <w:rFonts w:ascii="宋体"/>
              </w:rPr>
            </w:pPr>
          </w:p>
        </w:tc>
      </w:tr>
      <w:tr w:rsidR="00584FB3" w14:paraId="40CB0E52" w14:textId="77777777">
        <w:tc>
          <w:tcPr>
            <w:tcW w:w="0" w:type="auto"/>
            <w:gridSpan w:val="3"/>
            <w:shd w:val="clear" w:color="auto" w:fill="D7E4BC"/>
            <w:tcMar>
              <w:top w:w="40" w:type="dxa"/>
              <w:left w:w="740" w:type="dxa"/>
              <w:bottom w:w="40" w:type="dxa"/>
              <w:right w:w="20" w:type="dxa"/>
            </w:tcMar>
            <w:vAlign w:val="bottom"/>
          </w:tcPr>
          <w:p w14:paraId="40CB0E46" w14:textId="77777777" w:rsidR="00584FB3" w:rsidRDefault="00786180">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40CB0E47" w14:textId="77777777" w:rsidR="00584FB3" w:rsidRDefault="00786180">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40CB0E4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4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4A"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4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4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4D" w14:textId="77777777" w:rsidR="00584FB3" w:rsidRDefault="00786180">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40CB0E4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4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50"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51" w14:textId="77777777" w:rsidR="00584FB3" w:rsidRDefault="00584FB3">
            <w:pPr>
              <w:jc w:val="right"/>
              <w:rPr>
                <w:rFonts w:ascii="宋体"/>
              </w:rPr>
            </w:pPr>
          </w:p>
        </w:tc>
      </w:tr>
      <w:tr w:rsidR="00584FB3" w14:paraId="40CB0E5F" w14:textId="77777777">
        <w:tc>
          <w:tcPr>
            <w:tcW w:w="0" w:type="auto"/>
            <w:gridSpan w:val="3"/>
            <w:shd w:val="clear" w:color="auto" w:fill="FFFFFF"/>
            <w:tcMar>
              <w:top w:w="40" w:type="dxa"/>
              <w:left w:w="380" w:type="dxa"/>
              <w:bottom w:w="40" w:type="dxa"/>
              <w:right w:w="20" w:type="dxa"/>
            </w:tcMar>
            <w:vAlign w:val="bottom"/>
          </w:tcPr>
          <w:p w14:paraId="40CB0E53" w14:textId="77777777" w:rsidR="00584FB3" w:rsidRDefault="00786180">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54" w14:textId="77777777" w:rsidR="00584FB3" w:rsidRDefault="00786180">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E5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56"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57"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E5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59"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5A" w14:textId="77777777" w:rsidR="00584FB3" w:rsidRDefault="00786180">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E5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5C"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5D"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E5E" w14:textId="77777777" w:rsidR="00584FB3" w:rsidRDefault="00584FB3">
            <w:pPr>
              <w:jc w:val="right"/>
              <w:rPr>
                <w:rFonts w:ascii="宋体"/>
              </w:rPr>
            </w:pPr>
          </w:p>
        </w:tc>
      </w:tr>
      <w:tr w:rsidR="00584FB3" w14:paraId="40CB0E6C" w14:textId="77777777">
        <w:tc>
          <w:tcPr>
            <w:tcW w:w="0" w:type="auto"/>
            <w:gridSpan w:val="3"/>
            <w:shd w:val="clear" w:color="auto" w:fill="D7E4BC"/>
            <w:tcMar>
              <w:top w:w="40" w:type="dxa"/>
              <w:left w:w="740" w:type="dxa"/>
              <w:bottom w:w="40" w:type="dxa"/>
              <w:right w:w="20" w:type="dxa"/>
            </w:tcMar>
            <w:vAlign w:val="bottom"/>
          </w:tcPr>
          <w:p w14:paraId="40CB0E60" w14:textId="77777777" w:rsidR="00584FB3" w:rsidRDefault="00786180">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40CB0E61" w14:textId="77777777" w:rsidR="00584FB3" w:rsidRDefault="00786180">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40CB0E6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6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64" w14:textId="77777777" w:rsidR="00584FB3" w:rsidRDefault="00786180">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40CB0E6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6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67"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6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6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6A"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6B" w14:textId="77777777" w:rsidR="00584FB3" w:rsidRDefault="00584FB3">
            <w:pPr>
              <w:jc w:val="right"/>
              <w:rPr>
                <w:rFonts w:ascii="宋体"/>
              </w:rPr>
            </w:pPr>
          </w:p>
        </w:tc>
      </w:tr>
      <w:tr w:rsidR="00584FB3" w14:paraId="40CB0E79" w14:textId="77777777">
        <w:tc>
          <w:tcPr>
            <w:tcW w:w="0" w:type="auto"/>
            <w:gridSpan w:val="3"/>
            <w:shd w:val="clear" w:color="auto" w:fill="FFFFFF"/>
            <w:tcMar>
              <w:top w:w="40" w:type="dxa"/>
              <w:left w:w="20" w:type="dxa"/>
              <w:bottom w:w="40" w:type="dxa"/>
              <w:right w:w="20" w:type="dxa"/>
            </w:tcMar>
            <w:vAlign w:val="bottom"/>
          </w:tcPr>
          <w:p w14:paraId="40CB0E6D" w14:textId="77777777" w:rsidR="00584FB3" w:rsidRDefault="00786180">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6E" w14:textId="77777777" w:rsidR="00584FB3" w:rsidRDefault="00786180">
            <w:pPr>
              <w:jc w:val="right"/>
              <w:textAlignment w:val="bottom"/>
            </w:pPr>
            <w:r>
              <w:rPr>
                <w:rFonts w:ascii="Times New Roman" w:eastAsia="宋体" w:hAnsi="Times New Roman"/>
                <w:color w:val="000000"/>
                <w:sz w:val="20"/>
                <w:szCs w:val="20"/>
              </w:rPr>
              <w:t>281.2 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E6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70"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71" w14:textId="77777777" w:rsidR="00584FB3" w:rsidRDefault="00786180">
            <w:pPr>
              <w:jc w:val="right"/>
              <w:textAlignment w:val="bottom"/>
            </w:pPr>
            <w:r>
              <w:rPr>
                <w:rFonts w:ascii="Times New Roman" w:eastAsia="宋体" w:hAnsi="Times New Roman"/>
                <w:color w:val="000000"/>
                <w:sz w:val="20"/>
                <w:szCs w:val="20"/>
              </w:rPr>
              <w:t>64.9 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E7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73"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74" w14:textId="77777777" w:rsidR="00584FB3" w:rsidRDefault="00786180">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E7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76"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40CB0E77" w14:textId="77777777" w:rsidR="00584FB3" w:rsidRDefault="00786180">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tcPr>
          <w:p w14:paraId="40CB0E78" w14:textId="77777777" w:rsidR="00584FB3" w:rsidRDefault="00584FB3">
            <w:pPr>
              <w:jc w:val="right"/>
              <w:rPr>
                <w:rFonts w:ascii="宋体"/>
              </w:rPr>
            </w:pPr>
          </w:p>
        </w:tc>
      </w:tr>
      <w:tr w:rsidR="00584FB3" w14:paraId="40CB0E82" w14:textId="77777777">
        <w:tc>
          <w:tcPr>
            <w:tcW w:w="0" w:type="auto"/>
            <w:gridSpan w:val="3"/>
            <w:shd w:val="clear" w:color="auto" w:fill="D7E4BC"/>
            <w:tcMar>
              <w:top w:w="40" w:type="dxa"/>
              <w:left w:w="20" w:type="dxa"/>
              <w:bottom w:w="40" w:type="dxa"/>
              <w:right w:w="20" w:type="dxa"/>
            </w:tcMar>
            <w:vAlign w:val="bottom"/>
          </w:tcPr>
          <w:p w14:paraId="40CB0E7A" w14:textId="77777777" w:rsidR="00584FB3" w:rsidRDefault="00786180">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40CB0E7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7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7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7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7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8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81" w14:textId="77777777" w:rsidR="00584FB3" w:rsidRDefault="00584FB3">
            <w:pPr>
              <w:rPr>
                <w:rFonts w:ascii="宋体"/>
              </w:rPr>
            </w:pPr>
          </w:p>
        </w:tc>
      </w:tr>
      <w:tr w:rsidR="00584FB3" w14:paraId="40CB0E8F" w14:textId="77777777">
        <w:tc>
          <w:tcPr>
            <w:tcW w:w="0" w:type="auto"/>
            <w:gridSpan w:val="3"/>
            <w:shd w:val="clear" w:color="auto" w:fill="FFFFFF"/>
            <w:tcMar>
              <w:top w:w="40" w:type="dxa"/>
              <w:left w:w="380" w:type="dxa"/>
              <w:bottom w:w="40" w:type="dxa"/>
              <w:right w:w="20" w:type="dxa"/>
            </w:tcMar>
            <w:vAlign w:val="bottom"/>
          </w:tcPr>
          <w:p w14:paraId="40CB0E83" w14:textId="77777777" w:rsidR="00584FB3" w:rsidRDefault="00786180">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40CB0E84" w14:textId="77777777" w:rsidR="00584FB3" w:rsidRDefault="00786180">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40CB0E8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8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0E87" w14:textId="77777777" w:rsidR="00584FB3" w:rsidRDefault="00786180">
            <w:pPr>
              <w:jc w:val="right"/>
              <w:textAlignment w:val="top"/>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tcPr>
          <w:p w14:paraId="40CB0E8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8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8A" w14:textId="77777777" w:rsidR="00584FB3" w:rsidRDefault="00786180">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40CB0E8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8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0E8D" w14:textId="77777777" w:rsidR="00584FB3" w:rsidRDefault="00786180">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40CB0E8E" w14:textId="77777777" w:rsidR="00584FB3" w:rsidRDefault="00584FB3">
            <w:pPr>
              <w:jc w:val="right"/>
              <w:rPr>
                <w:rFonts w:ascii="宋体"/>
              </w:rPr>
            </w:pPr>
          </w:p>
        </w:tc>
      </w:tr>
      <w:tr w:rsidR="00584FB3" w14:paraId="40CB0E98" w14:textId="77777777">
        <w:tc>
          <w:tcPr>
            <w:tcW w:w="0" w:type="auto"/>
            <w:gridSpan w:val="3"/>
            <w:shd w:val="clear" w:color="auto" w:fill="D7E4BC"/>
            <w:tcMar>
              <w:top w:w="40" w:type="dxa"/>
              <w:left w:w="20" w:type="dxa"/>
              <w:bottom w:w="40" w:type="dxa"/>
              <w:right w:w="20" w:type="dxa"/>
            </w:tcMar>
            <w:vAlign w:val="bottom"/>
          </w:tcPr>
          <w:p w14:paraId="40CB0E90" w14:textId="77777777" w:rsidR="00584FB3" w:rsidRDefault="00786180">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tcPr>
          <w:p w14:paraId="40CB0E9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9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9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9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9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9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E97" w14:textId="77777777" w:rsidR="00584FB3" w:rsidRDefault="00584FB3">
            <w:pPr>
              <w:rPr>
                <w:rFonts w:ascii="宋体"/>
              </w:rPr>
            </w:pPr>
          </w:p>
        </w:tc>
      </w:tr>
      <w:tr w:rsidR="00584FB3" w14:paraId="40CB0EA1" w14:textId="77777777">
        <w:tc>
          <w:tcPr>
            <w:tcW w:w="0" w:type="auto"/>
            <w:gridSpan w:val="3"/>
            <w:shd w:val="clear" w:color="auto" w:fill="FFFFFF"/>
            <w:tcMar>
              <w:top w:w="40" w:type="dxa"/>
              <w:left w:w="380" w:type="dxa"/>
              <w:bottom w:w="40" w:type="dxa"/>
              <w:right w:w="20" w:type="dxa"/>
            </w:tcMar>
            <w:vAlign w:val="bottom"/>
          </w:tcPr>
          <w:p w14:paraId="40CB0E99" w14:textId="77777777" w:rsidR="00584FB3" w:rsidRDefault="00786180">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40CB0E9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9B"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9C"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9D"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9E"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9F"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EA0" w14:textId="77777777" w:rsidR="00584FB3" w:rsidRDefault="00584FB3">
            <w:pPr>
              <w:rPr>
                <w:rFonts w:ascii="宋体"/>
              </w:rPr>
            </w:pPr>
          </w:p>
        </w:tc>
      </w:tr>
      <w:tr w:rsidR="00584FB3" w14:paraId="40CB0EAA" w14:textId="77777777">
        <w:trPr>
          <w:hidden/>
        </w:trPr>
        <w:tc>
          <w:tcPr>
            <w:tcW w:w="0" w:type="auto"/>
            <w:gridSpan w:val="3"/>
            <w:shd w:val="clear" w:color="auto" w:fill="auto"/>
          </w:tcPr>
          <w:p w14:paraId="40CB0EA2" w14:textId="77777777" w:rsidR="00584FB3" w:rsidRDefault="00584FB3">
            <w:pPr>
              <w:rPr>
                <w:rFonts w:ascii="宋体"/>
                <w:vanish/>
              </w:rPr>
            </w:pPr>
          </w:p>
        </w:tc>
        <w:tc>
          <w:tcPr>
            <w:tcW w:w="0" w:type="auto"/>
            <w:gridSpan w:val="3"/>
            <w:shd w:val="clear" w:color="auto" w:fill="auto"/>
          </w:tcPr>
          <w:p w14:paraId="40CB0EA3" w14:textId="77777777" w:rsidR="00584FB3" w:rsidRDefault="00584FB3">
            <w:pPr>
              <w:rPr>
                <w:rFonts w:ascii="宋体"/>
                <w:vanish/>
              </w:rPr>
            </w:pPr>
          </w:p>
        </w:tc>
        <w:tc>
          <w:tcPr>
            <w:tcW w:w="0" w:type="auto"/>
            <w:gridSpan w:val="3"/>
            <w:shd w:val="clear" w:color="auto" w:fill="auto"/>
          </w:tcPr>
          <w:p w14:paraId="40CB0EA4" w14:textId="77777777" w:rsidR="00584FB3" w:rsidRDefault="00584FB3">
            <w:pPr>
              <w:rPr>
                <w:rFonts w:ascii="宋体"/>
                <w:vanish/>
              </w:rPr>
            </w:pPr>
          </w:p>
        </w:tc>
        <w:tc>
          <w:tcPr>
            <w:tcW w:w="0" w:type="auto"/>
            <w:gridSpan w:val="3"/>
            <w:shd w:val="clear" w:color="auto" w:fill="auto"/>
          </w:tcPr>
          <w:p w14:paraId="40CB0EA5" w14:textId="77777777" w:rsidR="00584FB3" w:rsidRDefault="00584FB3">
            <w:pPr>
              <w:rPr>
                <w:rFonts w:ascii="宋体"/>
                <w:vanish/>
              </w:rPr>
            </w:pPr>
          </w:p>
        </w:tc>
        <w:tc>
          <w:tcPr>
            <w:tcW w:w="0" w:type="auto"/>
            <w:gridSpan w:val="3"/>
            <w:shd w:val="clear" w:color="auto" w:fill="auto"/>
          </w:tcPr>
          <w:p w14:paraId="40CB0EA6" w14:textId="77777777" w:rsidR="00584FB3" w:rsidRDefault="00584FB3">
            <w:pPr>
              <w:rPr>
                <w:rFonts w:ascii="宋体"/>
                <w:vanish/>
              </w:rPr>
            </w:pPr>
          </w:p>
        </w:tc>
        <w:tc>
          <w:tcPr>
            <w:tcW w:w="0" w:type="auto"/>
            <w:gridSpan w:val="3"/>
            <w:shd w:val="clear" w:color="auto" w:fill="auto"/>
          </w:tcPr>
          <w:p w14:paraId="40CB0EA7" w14:textId="77777777" w:rsidR="00584FB3" w:rsidRDefault="00584FB3">
            <w:pPr>
              <w:rPr>
                <w:rFonts w:ascii="宋体"/>
                <w:vanish/>
              </w:rPr>
            </w:pPr>
          </w:p>
        </w:tc>
        <w:tc>
          <w:tcPr>
            <w:tcW w:w="0" w:type="auto"/>
            <w:gridSpan w:val="3"/>
            <w:shd w:val="clear" w:color="auto" w:fill="auto"/>
          </w:tcPr>
          <w:p w14:paraId="40CB0EA8" w14:textId="77777777" w:rsidR="00584FB3" w:rsidRDefault="00584FB3">
            <w:pPr>
              <w:rPr>
                <w:rFonts w:ascii="宋体"/>
                <w:vanish/>
              </w:rPr>
            </w:pPr>
          </w:p>
        </w:tc>
        <w:tc>
          <w:tcPr>
            <w:tcW w:w="0" w:type="auto"/>
            <w:gridSpan w:val="3"/>
            <w:shd w:val="clear" w:color="auto" w:fill="auto"/>
          </w:tcPr>
          <w:p w14:paraId="40CB0EA9" w14:textId="77777777" w:rsidR="00584FB3" w:rsidRDefault="00584FB3">
            <w:pPr>
              <w:rPr>
                <w:rFonts w:ascii="宋体"/>
                <w:vanish/>
              </w:rPr>
            </w:pPr>
          </w:p>
        </w:tc>
      </w:tr>
      <w:tr w:rsidR="00584FB3" w14:paraId="40CB0EB7" w14:textId="77777777">
        <w:tc>
          <w:tcPr>
            <w:tcW w:w="0" w:type="auto"/>
            <w:gridSpan w:val="3"/>
            <w:shd w:val="clear" w:color="auto" w:fill="D7E4BC"/>
            <w:tcMar>
              <w:top w:w="40" w:type="dxa"/>
              <w:left w:w="740" w:type="dxa"/>
              <w:bottom w:w="40" w:type="dxa"/>
              <w:right w:w="20" w:type="dxa"/>
            </w:tcMar>
            <w:vAlign w:val="bottom"/>
          </w:tcPr>
          <w:p w14:paraId="40CB0EAB" w14:textId="77777777" w:rsidR="00584FB3" w:rsidRDefault="00786180">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40CB0EAC" w14:textId="77777777" w:rsidR="00584FB3" w:rsidRDefault="00786180">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40CB0EA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A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A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B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B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B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B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B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B5" w14:textId="77777777" w:rsidR="00584FB3" w:rsidRDefault="00786180">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40CB0EB6" w14:textId="77777777" w:rsidR="00584FB3" w:rsidRDefault="00584FB3">
            <w:pPr>
              <w:jc w:val="right"/>
              <w:rPr>
                <w:rFonts w:ascii="宋体"/>
              </w:rPr>
            </w:pPr>
          </w:p>
        </w:tc>
      </w:tr>
      <w:tr w:rsidR="00584FB3" w14:paraId="40CB0EC0" w14:textId="77777777">
        <w:trPr>
          <w:hidden/>
        </w:trPr>
        <w:tc>
          <w:tcPr>
            <w:tcW w:w="0" w:type="auto"/>
            <w:gridSpan w:val="3"/>
            <w:shd w:val="clear" w:color="auto" w:fill="auto"/>
          </w:tcPr>
          <w:p w14:paraId="40CB0EB8" w14:textId="77777777" w:rsidR="00584FB3" w:rsidRDefault="00584FB3">
            <w:pPr>
              <w:rPr>
                <w:rFonts w:ascii="宋体"/>
                <w:vanish/>
              </w:rPr>
            </w:pPr>
          </w:p>
        </w:tc>
        <w:tc>
          <w:tcPr>
            <w:tcW w:w="0" w:type="auto"/>
            <w:gridSpan w:val="3"/>
            <w:shd w:val="clear" w:color="auto" w:fill="auto"/>
          </w:tcPr>
          <w:p w14:paraId="40CB0EB9" w14:textId="77777777" w:rsidR="00584FB3" w:rsidRDefault="00584FB3">
            <w:pPr>
              <w:rPr>
                <w:rFonts w:ascii="宋体"/>
                <w:vanish/>
              </w:rPr>
            </w:pPr>
          </w:p>
        </w:tc>
        <w:tc>
          <w:tcPr>
            <w:tcW w:w="0" w:type="auto"/>
            <w:gridSpan w:val="3"/>
            <w:shd w:val="clear" w:color="auto" w:fill="auto"/>
          </w:tcPr>
          <w:p w14:paraId="40CB0EBA" w14:textId="77777777" w:rsidR="00584FB3" w:rsidRDefault="00584FB3">
            <w:pPr>
              <w:rPr>
                <w:rFonts w:ascii="宋体"/>
                <w:vanish/>
              </w:rPr>
            </w:pPr>
          </w:p>
        </w:tc>
        <w:tc>
          <w:tcPr>
            <w:tcW w:w="0" w:type="auto"/>
            <w:gridSpan w:val="3"/>
            <w:shd w:val="clear" w:color="auto" w:fill="auto"/>
          </w:tcPr>
          <w:p w14:paraId="40CB0EBB" w14:textId="77777777" w:rsidR="00584FB3" w:rsidRDefault="00584FB3">
            <w:pPr>
              <w:rPr>
                <w:rFonts w:ascii="宋体"/>
                <w:vanish/>
              </w:rPr>
            </w:pPr>
          </w:p>
        </w:tc>
        <w:tc>
          <w:tcPr>
            <w:tcW w:w="0" w:type="auto"/>
            <w:gridSpan w:val="3"/>
            <w:shd w:val="clear" w:color="auto" w:fill="auto"/>
          </w:tcPr>
          <w:p w14:paraId="40CB0EBC" w14:textId="77777777" w:rsidR="00584FB3" w:rsidRDefault="00584FB3">
            <w:pPr>
              <w:rPr>
                <w:rFonts w:ascii="宋体"/>
                <w:vanish/>
              </w:rPr>
            </w:pPr>
          </w:p>
        </w:tc>
        <w:tc>
          <w:tcPr>
            <w:tcW w:w="0" w:type="auto"/>
            <w:gridSpan w:val="3"/>
            <w:shd w:val="clear" w:color="auto" w:fill="auto"/>
          </w:tcPr>
          <w:p w14:paraId="40CB0EBD" w14:textId="77777777" w:rsidR="00584FB3" w:rsidRDefault="00584FB3">
            <w:pPr>
              <w:rPr>
                <w:rFonts w:ascii="宋体"/>
                <w:vanish/>
              </w:rPr>
            </w:pPr>
          </w:p>
        </w:tc>
        <w:tc>
          <w:tcPr>
            <w:tcW w:w="0" w:type="auto"/>
            <w:gridSpan w:val="3"/>
            <w:shd w:val="clear" w:color="auto" w:fill="auto"/>
          </w:tcPr>
          <w:p w14:paraId="40CB0EBE" w14:textId="77777777" w:rsidR="00584FB3" w:rsidRDefault="00584FB3">
            <w:pPr>
              <w:rPr>
                <w:rFonts w:ascii="宋体"/>
                <w:vanish/>
              </w:rPr>
            </w:pPr>
          </w:p>
        </w:tc>
        <w:tc>
          <w:tcPr>
            <w:tcW w:w="0" w:type="auto"/>
            <w:gridSpan w:val="3"/>
            <w:shd w:val="clear" w:color="auto" w:fill="auto"/>
          </w:tcPr>
          <w:p w14:paraId="40CB0EBF" w14:textId="77777777" w:rsidR="00584FB3" w:rsidRDefault="00584FB3">
            <w:pPr>
              <w:rPr>
                <w:rFonts w:ascii="宋体"/>
                <w:vanish/>
              </w:rPr>
            </w:pPr>
          </w:p>
        </w:tc>
      </w:tr>
      <w:tr w:rsidR="00584FB3" w14:paraId="40CB0ECD" w14:textId="77777777">
        <w:tc>
          <w:tcPr>
            <w:tcW w:w="0" w:type="auto"/>
            <w:gridSpan w:val="3"/>
            <w:shd w:val="clear" w:color="auto" w:fill="FFFFFF"/>
            <w:tcMar>
              <w:top w:w="40" w:type="dxa"/>
              <w:left w:w="740" w:type="dxa"/>
              <w:bottom w:w="40" w:type="dxa"/>
              <w:right w:w="20" w:type="dxa"/>
            </w:tcMar>
            <w:vAlign w:val="bottom"/>
          </w:tcPr>
          <w:p w14:paraId="40CB0EC1" w14:textId="77777777" w:rsidR="00584FB3" w:rsidRDefault="00786180">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40CB0EC2" w14:textId="77777777" w:rsidR="00584FB3" w:rsidRDefault="00786180">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40CB0EC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C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C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C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C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C8" w14:textId="77777777" w:rsidR="00584FB3" w:rsidRDefault="00786180">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40CB0EC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C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C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CC" w14:textId="77777777" w:rsidR="00584FB3" w:rsidRDefault="00584FB3">
            <w:pPr>
              <w:jc w:val="right"/>
              <w:rPr>
                <w:rFonts w:ascii="宋体"/>
              </w:rPr>
            </w:pPr>
          </w:p>
        </w:tc>
      </w:tr>
      <w:tr w:rsidR="00584FB3" w14:paraId="40CB0ED6" w14:textId="77777777">
        <w:trPr>
          <w:hidden/>
        </w:trPr>
        <w:tc>
          <w:tcPr>
            <w:tcW w:w="0" w:type="auto"/>
            <w:gridSpan w:val="3"/>
            <w:shd w:val="clear" w:color="auto" w:fill="auto"/>
          </w:tcPr>
          <w:p w14:paraId="40CB0ECE" w14:textId="77777777" w:rsidR="00584FB3" w:rsidRDefault="00584FB3">
            <w:pPr>
              <w:rPr>
                <w:rFonts w:ascii="宋体"/>
                <w:vanish/>
              </w:rPr>
            </w:pPr>
          </w:p>
        </w:tc>
        <w:tc>
          <w:tcPr>
            <w:tcW w:w="0" w:type="auto"/>
            <w:gridSpan w:val="3"/>
            <w:shd w:val="clear" w:color="auto" w:fill="auto"/>
          </w:tcPr>
          <w:p w14:paraId="40CB0ECF" w14:textId="77777777" w:rsidR="00584FB3" w:rsidRDefault="00584FB3">
            <w:pPr>
              <w:rPr>
                <w:rFonts w:ascii="宋体"/>
                <w:vanish/>
              </w:rPr>
            </w:pPr>
          </w:p>
        </w:tc>
        <w:tc>
          <w:tcPr>
            <w:tcW w:w="0" w:type="auto"/>
            <w:gridSpan w:val="3"/>
            <w:shd w:val="clear" w:color="auto" w:fill="auto"/>
          </w:tcPr>
          <w:p w14:paraId="40CB0ED0" w14:textId="77777777" w:rsidR="00584FB3" w:rsidRDefault="00584FB3">
            <w:pPr>
              <w:rPr>
                <w:rFonts w:ascii="宋体"/>
                <w:vanish/>
              </w:rPr>
            </w:pPr>
          </w:p>
        </w:tc>
        <w:tc>
          <w:tcPr>
            <w:tcW w:w="0" w:type="auto"/>
            <w:gridSpan w:val="3"/>
            <w:shd w:val="clear" w:color="auto" w:fill="auto"/>
          </w:tcPr>
          <w:p w14:paraId="40CB0ED1" w14:textId="77777777" w:rsidR="00584FB3" w:rsidRDefault="00584FB3">
            <w:pPr>
              <w:rPr>
                <w:rFonts w:ascii="宋体"/>
                <w:vanish/>
              </w:rPr>
            </w:pPr>
          </w:p>
        </w:tc>
        <w:tc>
          <w:tcPr>
            <w:tcW w:w="0" w:type="auto"/>
            <w:gridSpan w:val="3"/>
            <w:shd w:val="clear" w:color="auto" w:fill="auto"/>
          </w:tcPr>
          <w:p w14:paraId="40CB0ED2" w14:textId="77777777" w:rsidR="00584FB3" w:rsidRDefault="00584FB3">
            <w:pPr>
              <w:rPr>
                <w:rFonts w:ascii="宋体"/>
                <w:vanish/>
              </w:rPr>
            </w:pPr>
          </w:p>
        </w:tc>
        <w:tc>
          <w:tcPr>
            <w:tcW w:w="0" w:type="auto"/>
            <w:gridSpan w:val="3"/>
            <w:shd w:val="clear" w:color="auto" w:fill="auto"/>
          </w:tcPr>
          <w:p w14:paraId="40CB0ED3" w14:textId="77777777" w:rsidR="00584FB3" w:rsidRDefault="00584FB3">
            <w:pPr>
              <w:rPr>
                <w:rFonts w:ascii="宋体"/>
                <w:vanish/>
              </w:rPr>
            </w:pPr>
          </w:p>
        </w:tc>
        <w:tc>
          <w:tcPr>
            <w:tcW w:w="0" w:type="auto"/>
            <w:gridSpan w:val="3"/>
            <w:shd w:val="clear" w:color="auto" w:fill="auto"/>
          </w:tcPr>
          <w:p w14:paraId="40CB0ED4" w14:textId="77777777" w:rsidR="00584FB3" w:rsidRDefault="00584FB3">
            <w:pPr>
              <w:rPr>
                <w:rFonts w:ascii="宋体"/>
                <w:vanish/>
              </w:rPr>
            </w:pPr>
          </w:p>
        </w:tc>
        <w:tc>
          <w:tcPr>
            <w:tcW w:w="0" w:type="auto"/>
            <w:gridSpan w:val="3"/>
            <w:shd w:val="clear" w:color="auto" w:fill="auto"/>
          </w:tcPr>
          <w:p w14:paraId="40CB0ED5" w14:textId="77777777" w:rsidR="00584FB3" w:rsidRDefault="00584FB3">
            <w:pPr>
              <w:rPr>
                <w:rFonts w:ascii="宋体"/>
                <w:vanish/>
              </w:rPr>
            </w:pPr>
          </w:p>
        </w:tc>
      </w:tr>
      <w:tr w:rsidR="00584FB3" w14:paraId="40CB0EE3" w14:textId="77777777">
        <w:tc>
          <w:tcPr>
            <w:tcW w:w="0" w:type="auto"/>
            <w:gridSpan w:val="3"/>
            <w:shd w:val="clear" w:color="auto" w:fill="D7E4BC"/>
            <w:tcMar>
              <w:top w:w="40" w:type="dxa"/>
              <w:left w:w="740" w:type="dxa"/>
              <w:bottom w:w="40" w:type="dxa"/>
              <w:right w:w="20" w:type="dxa"/>
            </w:tcMar>
            <w:vAlign w:val="bottom"/>
          </w:tcPr>
          <w:p w14:paraId="40CB0ED7" w14:textId="77777777" w:rsidR="00584FB3" w:rsidRDefault="00786180">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40CB0ED8" w14:textId="77777777" w:rsidR="00584FB3" w:rsidRDefault="00786180">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40CB0ED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D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D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D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D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DE" w14:textId="77777777" w:rsidR="00584FB3" w:rsidRDefault="00786180">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40CB0ED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E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E1"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E2" w14:textId="77777777" w:rsidR="00584FB3" w:rsidRDefault="00584FB3">
            <w:pPr>
              <w:jc w:val="right"/>
              <w:rPr>
                <w:rFonts w:ascii="宋体"/>
              </w:rPr>
            </w:pPr>
          </w:p>
        </w:tc>
      </w:tr>
      <w:tr w:rsidR="00584FB3" w14:paraId="40CB0EF0" w14:textId="77777777">
        <w:tc>
          <w:tcPr>
            <w:tcW w:w="0" w:type="auto"/>
            <w:gridSpan w:val="3"/>
            <w:shd w:val="clear" w:color="auto" w:fill="FFFFFF"/>
            <w:tcMar>
              <w:top w:w="40" w:type="dxa"/>
              <w:left w:w="740" w:type="dxa"/>
              <w:bottom w:w="40" w:type="dxa"/>
              <w:right w:w="20" w:type="dxa"/>
            </w:tcMar>
            <w:vAlign w:val="bottom"/>
          </w:tcPr>
          <w:p w14:paraId="40CB0EE4" w14:textId="77777777" w:rsidR="00584FB3" w:rsidRDefault="00786180">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40CB0EE5" w14:textId="77777777" w:rsidR="00584FB3" w:rsidRDefault="00786180">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40CB0EE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E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E8"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E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E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EB" w14:textId="77777777" w:rsidR="00584FB3" w:rsidRDefault="00786180">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40CB0EE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EE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EE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EEF" w14:textId="77777777" w:rsidR="00584FB3" w:rsidRDefault="00584FB3">
            <w:pPr>
              <w:jc w:val="right"/>
              <w:rPr>
                <w:rFonts w:ascii="宋体"/>
              </w:rPr>
            </w:pPr>
          </w:p>
        </w:tc>
      </w:tr>
      <w:tr w:rsidR="00584FB3" w14:paraId="40CB0EFD" w14:textId="77777777">
        <w:tc>
          <w:tcPr>
            <w:tcW w:w="0" w:type="auto"/>
            <w:gridSpan w:val="3"/>
            <w:shd w:val="clear" w:color="auto" w:fill="D7E4BC"/>
            <w:tcMar>
              <w:top w:w="40" w:type="dxa"/>
              <w:left w:w="740" w:type="dxa"/>
              <w:bottom w:w="40" w:type="dxa"/>
              <w:right w:w="20" w:type="dxa"/>
            </w:tcMar>
            <w:vAlign w:val="bottom"/>
          </w:tcPr>
          <w:p w14:paraId="40CB0EF1" w14:textId="77777777" w:rsidR="00584FB3" w:rsidRDefault="00786180">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40CB0EF2" w14:textId="77777777" w:rsidR="00584FB3" w:rsidRDefault="00786180">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40CB0EF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F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F5" w14:textId="77777777" w:rsidR="00584FB3" w:rsidRDefault="00786180">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40CB0EF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F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F8"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F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EF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EF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0EFC" w14:textId="77777777" w:rsidR="00584FB3" w:rsidRDefault="00584FB3">
            <w:pPr>
              <w:jc w:val="right"/>
              <w:rPr>
                <w:rFonts w:ascii="宋体"/>
              </w:rPr>
            </w:pPr>
          </w:p>
        </w:tc>
      </w:tr>
      <w:tr w:rsidR="00584FB3" w14:paraId="40CB0F0A" w14:textId="77777777">
        <w:tc>
          <w:tcPr>
            <w:tcW w:w="0" w:type="auto"/>
            <w:gridSpan w:val="3"/>
            <w:shd w:val="clear" w:color="auto" w:fill="FFFFFF"/>
            <w:tcMar>
              <w:top w:w="40" w:type="dxa"/>
              <w:left w:w="20" w:type="dxa"/>
              <w:bottom w:w="40" w:type="dxa"/>
              <w:right w:w="20" w:type="dxa"/>
            </w:tcMar>
            <w:vAlign w:val="bottom"/>
          </w:tcPr>
          <w:p w14:paraId="40CB0EFE" w14:textId="77777777" w:rsidR="00584FB3" w:rsidRDefault="00786180">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EFF" w14:textId="77777777" w:rsidR="00584FB3" w:rsidRDefault="00786180">
            <w:pPr>
              <w:jc w:val="right"/>
              <w:textAlignment w:val="bottom"/>
            </w:pPr>
            <w:r>
              <w:rPr>
                <w:rFonts w:ascii="Times New Roman" w:eastAsia="宋体" w:hAnsi="Times New Roman"/>
                <w:color w:val="000000"/>
                <w:sz w:val="20"/>
                <w:szCs w:val="20"/>
              </w:rPr>
              <w:t>206.1 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F0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01"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F02" w14:textId="77777777" w:rsidR="00584FB3" w:rsidRDefault="00786180">
            <w:pPr>
              <w:jc w:val="right"/>
              <w:textAlignment w:val="bottom"/>
            </w:pPr>
            <w:r>
              <w:rPr>
                <w:rFonts w:ascii="Times New Roman" w:eastAsia="宋体" w:hAnsi="Times New Roman"/>
                <w:color w:val="000000"/>
                <w:sz w:val="20"/>
                <w:szCs w:val="20"/>
              </w:rPr>
              <w:t>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F0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04"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F05" w14:textId="77777777" w:rsidR="00584FB3" w:rsidRDefault="00786180">
            <w:pPr>
              <w:jc w:val="right"/>
              <w:textAlignment w:val="bottom"/>
            </w:pPr>
            <w:r>
              <w:rPr>
                <w:rFonts w:ascii="Times New Roman" w:eastAsia="宋体" w:hAnsi="Times New Roman"/>
                <w:color w:val="000000"/>
                <w:sz w:val="20"/>
                <w:szCs w:val="20"/>
              </w:rPr>
              <w:t>105.5 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F0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07"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0F08" w14:textId="77777777" w:rsidR="00584FB3" w:rsidRDefault="00786180">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0F09" w14:textId="77777777" w:rsidR="00584FB3" w:rsidRDefault="00584FB3">
            <w:pPr>
              <w:jc w:val="right"/>
              <w:rPr>
                <w:rFonts w:ascii="宋体"/>
              </w:rPr>
            </w:pPr>
          </w:p>
        </w:tc>
      </w:tr>
      <w:tr w:rsidR="00584FB3" w14:paraId="40CB0F13" w14:textId="77777777">
        <w:tc>
          <w:tcPr>
            <w:tcW w:w="0" w:type="auto"/>
            <w:gridSpan w:val="3"/>
            <w:shd w:val="clear" w:color="auto" w:fill="D7E4BC"/>
            <w:tcMar>
              <w:top w:w="40" w:type="dxa"/>
              <w:left w:w="20" w:type="dxa"/>
              <w:bottom w:w="40" w:type="dxa"/>
              <w:right w:w="20" w:type="dxa"/>
            </w:tcMar>
            <w:vAlign w:val="bottom"/>
          </w:tcPr>
          <w:p w14:paraId="40CB0F0B" w14:textId="77777777" w:rsidR="00584FB3" w:rsidRDefault="00786180">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40CB0F0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0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0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0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1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1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12" w14:textId="77777777" w:rsidR="00584FB3" w:rsidRDefault="00584FB3">
            <w:pPr>
              <w:rPr>
                <w:rFonts w:ascii="宋体"/>
              </w:rPr>
            </w:pPr>
          </w:p>
        </w:tc>
      </w:tr>
      <w:tr w:rsidR="00584FB3" w14:paraId="40CB0F20" w14:textId="77777777">
        <w:tc>
          <w:tcPr>
            <w:tcW w:w="0" w:type="auto"/>
            <w:gridSpan w:val="3"/>
            <w:shd w:val="clear" w:color="auto" w:fill="FFFFFF"/>
            <w:tcMar>
              <w:top w:w="40" w:type="dxa"/>
              <w:left w:w="380" w:type="dxa"/>
              <w:bottom w:w="40" w:type="dxa"/>
              <w:right w:w="20" w:type="dxa"/>
            </w:tcMar>
            <w:vAlign w:val="bottom"/>
          </w:tcPr>
          <w:p w14:paraId="40CB0F14" w14:textId="77777777" w:rsidR="00584FB3" w:rsidRDefault="00786180">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40CB0F15" w14:textId="77777777" w:rsidR="00584FB3" w:rsidRDefault="00786180">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40CB0F1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1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18"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F1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1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1B" w14:textId="77777777" w:rsidR="00584FB3" w:rsidRDefault="00786180">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40CB0F1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1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1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F1F" w14:textId="77777777" w:rsidR="00584FB3" w:rsidRDefault="00584FB3">
            <w:pPr>
              <w:jc w:val="right"/>
              <w:rPr>
                <w:rFonts w:ascii="宋体"/>
              </w:rPr>
            </w:pPr>
          </w:p>
        </w:tc>
      </w:tr>
      <w:tr w:rsidR="00584FB3" w14:paraId="40CB0F31" w14:textId="77777777">
        <w:tc>
          <w:tcPr>
            <w:tcW w:w="0" w:type="auto"/>
            <w:gridSpan w:val="3"/>
            <w:shd w:val="clear" w:color="auto" w:fill="D7E4BC"/>
            <w:tcMar>
              <w:top w:w="40" w:type="dxa"/>
              <w:left w:w="20" w:type="dxa"/>
              <w:bottom w:w="40" w:type="dxa"/>
              <w:right w:w="20" w:type="dxa"/>
            </w:tcMar>
            <w:vAlign w:val="bottom"/>
          </w:tcPr>
          <w:p w14:paraId="40CB0F21" w14:textId="77777777" w:rsidR="00584FB3" w:rsidRDefault="00786180">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0F2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F23" w14:textId="77777777" w:rsidR="00584FB3" w:rsidRDefault="00786180">
            <w:pPr>
              <w:jc w:val="right"/>
              <w:textAlignment w:val="bottom"/>
            </w:pPr>
            <w:r>
              <w:rPr>
                <w:rFonts w:ascii="Times New Roman" w:eastAsia="宋体" w:hAnsi="Times New Roman"/>
                <w:color w:val="000000"/>
                <w:sz w:val="20"/>
                <w:szCs w:val="20"/>
              </w:rPr>
              <w:t>4,941.1 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F2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25"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F2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F27" w14:textId="77777777" w:rsidR="00584FB3" w:rsidRDefault="00786180">
            <w:pPr>
              <w:jc w:val="right"/>
              <w:textAlignment w:val="bottom"/>
            </w:pPr>
            <w:r>
              <w:rPr>
                <w:rFonts w:ascii="Times New Roman" w:eastAsia="宋体" w:hAnsi="Times New Roman"/>
                <w:color w:val="000000"/>
                <w:sz w:val="20"/>
                <w:szCs w:val="20"/>
              </w:rPr>
              <w:t>4,514.3 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F2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29"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F2A"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F2B" w14:textId="77777777" w:rsidR="00584FB3" w:rsidRDefault="00786180">
            <w:pPr>
              <w:jc w:val="right"/>
              <w:textAlignment w:val="bottom"/>
            </w:pPr>
            <w:r>
              <w:rPr>
                <w:rFonts w:ascii="Times New Roman" w:eastAsia="宋体" w:hAnsi="Times New Roman"/>
                <w:color w:val="000000"/>
                <w:sz w:val="20"/>
                <w:szCs w:val="20"/>
              </w:rPr>
              <w:t>421.1 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F2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2D"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F2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F2F" w14:textId="77777777" w:rsidR="00584FB3" w:rsidRDefault="00786180">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F30" w14:textId="77777777" w:rsidR="00584FB3" w:rsidRDefault="00584FB3">
            <w:pPr>
              <w:jc w:val="right"/>
              <w:rPr>
                <w:rFonts w:ascii="宋体"/>
              </w:rPr>
            </w:pPr>
          </w:p>
        </w:tc>
      </w:tr>
      <w:tr w:rsidR="00584FB3" w14:paraId="40CB0F3A" w14:textId="77777777">
        <w:tc>
          <w:tcPr>
            <w:tcW w:w="0" w:type="auto"/>
            <w:gridSpan w:val="3"/>
            <w:shd w:val="clear" w:color="auto" w:fill="FFFFFF"/>
            <w:tcMar>
              <w:top w:w="40" w:type="dxa"/>
              <w:left w:w="20" w:type="dxa"/>
              <w:bottom w:w="40" w:type="dxa"/>
              <w:right w:w="20" w:type="dxa"/>
            </w:tcMar>
          </w:tcPr>
          <w:p w14:paraId="40CB0F32" w14:textId="77777777" w:rsidR="00584FB3" w:rsidRDefault="00786180">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40CB0F33"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F34"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F35"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F36"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F37"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0F38"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0F39" w14:textId="77777777" w:rsidR="00584FB3" w:rsidRDefault="00584FB3">
            <w:pPr>
              <w:rPr>
                <w:rFonts w:ascii="宋体"/>
              </w:rPr>
            </w:pPr>
          </w:p>
        </w:tc>
      </w:tr>
      <w:tr w:rsidR="00584FB3" w14:paraId="40CB0F43" w14:textId="77777777">
        <w:tc>
          <w:tcPr>
            <w:tcW w:w="0" w:type="auto"/>
            <w:gridSpan w:val="3"/>
            <w:shd w:val="clear" w:color="auto" w:fill="D7E4BC"/>
            <w:tcMar>
              <w:top w:w="40" w:type="dxa"/>
              <w:left w:w="20" w:type="dxa"/>
              <w:bottom w:w="40" w:type="dxa"/>
              <w:right w:w="20" w:type="dxa"/>
            </w:tcMar>
            <w:vAlign w:val="bottom"/>
          </w:tcPr>
          <w:p w14:paraId="40CB0F3B" w14:textId="77777777" w:rsidR="00584FB3" w:rsidRDefault="00786180">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40CB0F3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3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3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3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4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4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42" w14:textId="77777777" w:rsidR="00584FB3" w:rsidRDefault="00584FB3">
            <w:pPr>
              <w:rPr>
                <w:rFonts w:ascii="宋体"/>
              </w:rPr>
            </w:pPr>
          </w:p>
        </w:tc>
      </w:tr>
      <w:tr w:rsidR="00584FB3" w14:paraId="40CB0F54" w14:textId="77777777">
        <w:tc>
          <w:tcPr>
            <w:tcW w:w="0" w:type="auto"/>
            <w:gridSpan w:val="3"/>
            <w:shd w:val="clear" w:color="auto" w:fill="FFFFFF"/>
            <w:tcMar>
              <w:top w:w="40" w:type="dxa"/>
              <w:left w:w="380" w:type="dxa"/>
              <w:bottom w:w="40" w:type="dxa"/>
              <w:right w:w="20" w:type="dxa"/>
            </w:tcMar>
            <w:vAlign w:val="bottom"/>
          </w:tcPr>
          <w:p w14:paraId="40CB0F44" w14:textId="77777777" w:rsidR="00584FB3" w:rsidRDefault="00786180">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40CB0F4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F46" w14:textId="77777777" w:rsidR="00584FB3" w:rsidRDefault="00786180">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bottom"/>
          </w:tcPr>
          <w:p w14:paraId="40CB0F4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48"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F49"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F4A" w14:textId="77777777" w:rsidR="00584FB3" w:rsidRDefault="00786180">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40CB0F4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4C"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F4D"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F4E" w14:textId="77777777" w:rsidR="00584FB3" w:rsidRDefault="00786180">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40CB0F4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50"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F51"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F5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F53" w14:textId="77777777" w:rsidR="00584FB3" w:rsidRDefault="00584FB3">
            <w:pPr>
              <w:jc w:val="right"/>
              <w:rPr>
                <w:rFonts w:ascii="宋体"/>
              </w:rPr>
            </w:pPr>
          </w:p>
        </w:tc>
      </w:tr>
      <w:tr w:rsidR="00584FB3" w14:paraId="40CB0F5D" w14:textId="77777777">
        <w:tc>
          <w:tcPr>
            <w:tcW w:w="0" w:type="auto"/>
            <w:gridSpan w:val="3"/>
            <w:shd w:val="clear" w:color="auto" w:fill="D7E4BC"/>
            <w:tcMar>
              <w:top w:w="40" w:type="dxa"/>
              <w:left w:w="20" w:type="dxa"/>
              <w:bottom w:w="40" w:type="dxa"/>
              <w:right w:w="20" w:type="dxa"/>
            </w:tcMar>
            <w:vAlign w:val="center"/>
          </w:tcPr>
          <w:p w14:paraId="40CB0F55" w14:textId="77777777" w:rsidR="00584FB3" w:rsidRDefault="00786180">
            <w:pPr>
              <w:textAlignment w:val="center"/>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40CB0F5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5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5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59"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5A"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5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5C" w14:textId="77777777" w:rsidR="00584FB3" w:rsidRDefault="00584FB3">
            <w:pPr>
              <w:rPr>
                <w:rFonts w:ascii="宋体"/>
              </w:rPr>
            </w:pPr>
          </w:p>
        </w:tc>
      </w:tr>
      <w:tr w:rsidR="00584FB3" w14:paraId="40CB0F6A" w14:textId="77777777">
        <w:tc>
          <w:tcPr>
            <w:tcW w:w="0" w:type="auto"/>
            <w:gridSpan w:val="3"/>
            <w:shd w:val="clear" w:color="auto" w:fill="FFFFFF"/>
            <w:tcMar>
              <w:top w:w="40" w:type="dxa"/>
              <w:left w:w="380" w:type="dxa"/>
              <w:bottom w:w="40" w:type="dxa"/>
              <w:right w:w="20" w:type="dxa"/>
            </w:tcMar>
            <w:vAlign w:val="center"/>
          </w:tcPr>
          <w:p w14:paraId="40CB0F5E" w14:textId="77777777" w:rsidR="00584FB3" w:rsidRDefault="00786180">
            <w:pPr>
              <w:textAlignment w:val="center"/>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40CB0F5F" w14:textId="77777777" w:rsidR="00584FB3" w:rsidRDefault="00786180">
            <w:pPr>
              <w:jc w:val="right"/>
              <w:textAlignment w:val="bottom"/>
            </w:pPr>
            <w:r>
              <w:rPr>
                <w:rFonts w:ascii="Times New Roman" w:eastAsia="宋体" w:hAnsi="Times New Roman"/>
                <w:color w:val="000000"/>
                <w:sz w:val="20"/>
                <w:szCs w:val="20"/>
              </w:rPr>
              <w:t>79.3 </w:t>
            </w:r>
          </w:p>
        </w:tc>
        <w:tc>
          <w:tcPr>
            <w:tcW w:w="0" w:type="auto"/>
            <w:shd w:val="clear" w:color="auto" w:fill="FFFFFF"/>
            <w:tcMar>
              <w:top w:w="40" w:type="dxa"/>
              <w:left w:w="0" w:type="dxa"/>
              <w:bottom w:w="40" w:type="dxa"/>
              <w:right w:w="20" w:type="dxa"/>
            </w:tcMar>
            <w:vAlign w:val="bottom"/>
          </w:tcPr>
          <w:p w14:paraId="40CB0F6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6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62"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40CB0F6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6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65" w14:textId="77777777" w:rsidR="00584FB3" w:rsidRDefault="00786180">
            <w:pPr>
              <w:jc w:val="right"/>
              <w:textAlignment w:val="bottom"/>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bottom"/>
          </w:tcPr>
          <w:p w14:paraId="40CB0F6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6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68"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0F69" w14:textId="77777777" w:rsidR="00584FB3" w:rsidRDefault="00584FB3">
            <w:pPr>
              <w:jc w:val="right"/>
              <w:rPr>
                <w:rFonts w:ascii="宋体"/>
              </w:rPr>
            </w:pPr>
          </w:p>
        </w:tc>
      </w:tr>
      <w:tr w:rsidR="00584FB3" w14:paraId="40CB0F7B" w14:textId="77777777">
        <w:tc>
          <w:tcPr>
            <w:tcW w:w="0" w:type="auto"/>
            <w:gridSpan w:val="3"/>
            <w:shd w:val="clear" w:color="auto" w:fill="D7E4BC"/>
            <w:tcMar>
              <w:top w:w="40" w:type="dxa"/>
              <w:left w:w="20" w:type="dxa"/>
              <w:bottom w:w="40" w:type="dxa"/>
              <w:right w:w="20" w:type="dxa"/>
            </w:tcMar>
            <w:vAlign w:val="center"/>
          </w:tcPr>
          <w:p w14:paraId="40CB0F6B" w14:textId="77777777" w:rsidR="00584FB3" w:rsidRDefault="00786180">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F6C"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F6D" w14:textId="77777777" w:rsidR="00584FB3" w:rsidRDefault="00786180">
            <w:pPr>
              <w:jc w:val="right"/>
              <w:textAlignment w:val="bottom"/>
            </w:pPr>
            <w:r>
              <w:rPr>
                <w:rFonts w:ascii="Times New Roman" w:eastAsia="宋体" w:hAnsi="Times New Roman"/>
                <w:color w:val="000000"/>
                <w:sz w:val="20"/>
                <w:szCs w:val="20"/>
              </w:rPr>
              <w:t>86.6 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F6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6F"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F70"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F71" w14:textId="77777777" w:rsidR="00584FB3" w:rsidRDefault="00786180">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F7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73"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F74"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F75" w14:textId="77777777" w:rsidR="00584FB3" w:rsidRDefault="00786180">
            <w:pPr>
              <w:jc w:val="right"/>
              <w:textAlignment w:val="bottom"/>
            </w:pPr>
            <w:r>
              <w:rPr>
                <w:rFonts w:ascii="Times New Roman" w:eastAsia="宋体" w:hAnsi="Times New Roman"/>
                <w:color w:val="000000"/>
                <w:sz w:val="20"/>
                <w:szCs w:val="20"/>
              </w:rPr>
              <w:t>84.6 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F7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77"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0F7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0F79"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0F7A" w14:textId="77777777" w:rsidR="00584FB3" w:rsidRDefault="00584FB3">
            <w:pPr>
              <w:jc w:val="right"/>
              <w:rPr>
                <w:rFonts w:ascii="宋体"/>
              </w:rPr>
            </w:pPr>
          </w:p>
        </w:tc>
      </w:tr>
    </w:tbl>
    <w:p w14:paraId="40CB0F7C" w14:textId="77777777" w:rsidR="00584FB3" w:rsidRDefault="00786180">
      <w:pPr>
        <w:spacing w:before="100"/>
      </w:pPr>
      <w:r>
        <w:rPr>
          <w:rFonts w:ascii="Times New Roman" w:eastAsia="宋体" w:hAnsi="Times New Roman"/>
          <w:color w:val="000000"/>
          <w:sz w:val="20"/>
          <w:szCs w:val="20"/>
        </w:rPr>
        <w:t xml:space="preserve">There were no material transfers between levels, and there was no significant activity within </w:t>
      </w:r>
      <w:r>
        <w:rPr>
          <w:rFonts w:ascii="Times New Roman" w:eastAsia="宋体" w:hAnsi="Times New Roman"/>
          <w:color w:val="000000"/>
          <w:sz w:val="20"/>
          <w:szCs w:val="20"/>
        </w:rPr>
        <w:t>Level 3 instruments during the periods presented. The fair values of any financial instruments presented above exclude the impact of netting assets and liabilities when a legally enforceable master netting agreement exists.</w:t>
      </w:r>
    </w:p>
    <w:p w14:paraId="40CB0F7D" w14:textId="77777777" w:rsidR="00584FB3" w:rsidRDefault="00786180">
      <w:pPr>
        <w:spacing w:before="100"/>
      </w:pPr>
      <w:r>
        <w:rPr>
          <w:rFonts w:ascii="Times New Roman" w:eastAsia="宋体" w:hAnsi="Times New Roman"/>
          <w:color w:val="000000"/>
          <w:sz w:val="20"/>
          <w:szCs w:val="20"/>
        </w:rPr>
        <w:t>Gross unrealized holding gains a</w:t>
      </w:r>
      <w:r>
        <w:rPr>
          <w:rFonts w:ascii="Times New Roman" w:eastAsia="宋体" w:hAnsi="Times New Roman"/>
          <w:color w:val="000000"/>
          <w:sz w:val="20"/>
          <w:szCs w:val="20"/>
        </w:rPr>
        <w:t xml:space="preserve">nd losses on available-for-sale debt securities and marketable equity securities were not material as of December 27, 2020 and September 27, 2020. </w:t>
      </w:r>
    </w:p>
    <w:p w14:paraId="40CB0F7E" w14:textId="77777777" w:rsidR="00584FB3" w:rsidRDefault="00786180">
      <w:pPr>
        <w:jc w:val="center"/>
      </w:pPr>
      <w:r>
        <w:rPr>
          <w:rFonts w:ascii="Times New Roman" w:eastAsia="宋体" w:hAnsi="Times New Roman"/>
          <w:color w:val="000000"/>
          <w:sz w:val="20"/>
          <w:szCs w:val="20"/>
        </w:rPr>
        <w:t>15</w:t>
      </w:r>
    </w:p>
    <w:p w14:paraId="40CB0F7F" w14:textId="77777777" w:rsidR="00584FB3" w:rsidRDefault="00786180">
      <w:r>
        <w:pict w14:anchorId="40CB2A44">
          <v:rect id="_x0000_i1039" style="width:415.3pt;height:1.5pt" o:hralign="center" o:hrstd="t" o:hr="t" fillcolor="#a0a0a0" stroked="f"/>
        </w:pict>
      </w:r>
    </w:p>
    <w:p w14:paraId="40CB0F80" w14:textId="77777777" w:rsidR="00584FB3" w:rsidRDefault="00786180">
      <w:hyperlink r:id="rId87" w:anchor="i11706e4b673c41db9f2dcbdb897203bb_7" w:history="1">
        <w:r>
          <w:rPr>
            <w:rStyle w:val="a5"/>
            <w:rFonts w:ascii="Times New Roman" w:eastAsia="宋体" w:hAnsi="Times New Roman"/>
            <w:sz w:val="20"/>
            <w:szCs w:val="20"/>
          </w:rPr>
          <w:t>Table of Contents</w:t>
        </w:r>
      </w:hyperlink>
    </w:p>
    <w:p w14:paraId="40CB0F81" w14:textId="77777777" w:rsidR="00584FB3" w:rsidRDefault="00786180">
      <w:pPr>
        <w:spacing w:before="180"/>
      </w:pPr>
      <w:r>
        <w:rPr>
          <w:rFonts w:ascii="Times New Roman" w:eastAsia="宋体" w:hAnsi="Times New Roman"/>
          <w:i/>
          <w:iCs/>
          <w:color w:val="000000"/>
          <w:sz w:val="20"/>
          <w:szCs w:val="20"/>
        </w:rPr>
        <w:t xml:space="preserve">Assets and Liabilities Measured at Fair Value on a Nonrecurring Basis </w:t>
      </w:r>
    </w:p>
    <w:p w14:paraId="40CB0F82" w14:textId="77777777" w:rsidR="00584FB3" w:rsidRDefault="00786180">
      <w:pPr>
        <w:spacing w:before="100"/>
      </w:pPr>
      <w:r>
        <w:rPr>
          <w:rFonts w:ascii="Times New Roman" w:eastAsia="宋体" w:hAnsi="Times New Roman"/>
          <w:color w:val="000000"/>
          <w:sz w:val="20"/>
          <w:szCs w:val="20"/>
        </w:rPr>
        <w:t>Assets and liabilities recognized or disclosed at fair value on the consolidated financial statements on a nonrecurri</w:t>
      </w:r>
      <w:r>
        <w:rPr>
          <w:rFonts w:ascii="Times New Roman" w:eastAsia="宋体" w:hAnsi="Times New Roman"/>
          <w:color w:val="000000"/>
          <w:sz w:val="20"/>
          <w:szCs w:val="20"/>
        </w:rPr>
        <w:t>ng basis include items such as property, plant and equipment, ROU assets, goodwill and other intangible assets and other assets. These assets are measured at fair value if determined to be impaired. During our first quarter of fiscal 2021, we recorded asse</w:t>
      </w:r>
      <w:r>
        <w:rPr>
          <w:rFonts w:ascii="Times New Roman" w:eastAsia="宋体" w:hAnsi="Times New Roman"/>
          <w:color w:val="000000"/>
          <w:sz w:val="20"/>
          <w:szCs w:val="20"/>
        </w:rPr>
        <w:t xml:space="preserve">t impairment charges, primarily related to restructuring efforts for our North America store portfolio. See </w:t>
      </w:r>
      <w:hyperlink r:id="rId88" w:anchor="i11706e4b673c41db9f2dcbdb897203bb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for further discussion.</w:t>
      </w:r>
    </w:p>
    <w:p w14:paraId="40CB0F83" w14:textId="77777777" w:rsidR="00584FB3" w:rsidRDefault="00786180">
      <w:pPr>
        <w:spacing w:before="180"/>
      </w:pPr>
      <w:r>
        <w:rPr>
          <w:rFonts w:ascii="Times New Roman" w:eastAsia="宋体" w:hAnsi="Times New Roman"/>
          <w:color w:val="000000"/>
          <w:sz w:val="20"/>
          <w:szCs w:val="20"/>
        </w:rPr>
        <w:t xml:space="preserve">The estimated fair value of our long-term debt based on the quoted market price (Level 2) is included at </w:t>
      </w:r>
      <w:hyperlink r:id="rId89" w:anchor="i11706e4b673c41db9f2dcbdb897203bb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Debt. There were no material fair value adjustments during the quarters ended December 27, 2020 and December 29, 2019. </w:t>
      </w:r>
    </w:p>
    <w:p w14:paraId="40CB0F84" w14:textId="77777777" w:rsidR="00584FB3" w:rsidRDefault="00786180">
      <w:pPr>
        <w:spacing w:before="120"/>
      </w:pPr>
      <w:r>
        <w:rPr>
          <w:rFonts w:ascii="Times New Roman" w:eastAsia="宋体" w:hAnsi="Times New Roman"/>
          <w:b/>
          <w:bCs/>
          <w:color w:val="000000"/>
          <w:sz w:val="20"/>
          <w:szCs w:val="20"/>
        </w:rPr>
        <w:t>Note 4: 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5436"/>
        <w:gridCol w:w="36"/>
        <w:gridCol w:w="120"/>
        <w:gridCol w:w="1218"/>
        <w:gridCol w:w="36"/>
        <w:gridCol w:w="36"/>
        <w:gridCol w:w="36"/>
        <w:gridCol w:w="36"/>
        <w:gridCol w:w="120"/>
        <w:gridCol w:w="1185"/>
        <w:gridCol w:w="36"/>
      </w:tblGrid>
      <w:tr w:rsidR="00584FB3" w14:paraId="40CB0F91" w14:textId="77777777">
        <w:tc>
          <w:tcPr>
            <w:tcW w:w="50" w:type="pct"/>
            <w:shd w:val="clear" w:color="auto" w:fill="auto"/>
          </w:tcPr>
          <w:p w14:paraId="40CB0F85" w14:textId="77777777" w:rsidR="00584FB3" w:rsidRDefault="00584FB3">
            <w:pPr>
              <w:rPr>
                <w:rFonts w:ascii="宋体"/>
              </w:rPr>
            </w:pPr>
          </w:p>
        </w:tc>
        <w:tc>
          <w:tcPr>
            <w:tcW w:w="3285" w:type="pct"/>
            <w:shd w:val="clear" w:color="auto" w:fill="auto"/>
          </w:tcPr>
          <w:p w14:paraId="40CB0F86" w14:textId="77777777" w:rsidR="00584FB3" w:rsidRDefault="00584FB3">
            <w:pPr>
              <w:rPr>
                <w:rFonts w:ascii="宋体"/>
              </w:rPr>
            </w:pPr>
          </w:p>
        </w:tc>
        <w:tc>
          <w:tcPr>
            <w:tcW w:w="5" w:type="pct"/>
            <w:shd w:val="clear" w:color="auto" w:fill="auto"/>
          </w:tcPr>
          <w:p w14:paraId="40CB0F87" w14:textId="77777777" w:rsidR="00584FB3" w:rsidRDefault="00584FB3">
            <w:pPr>
              <w:rPr>
                <w:rFonts w:ascii="宋体"/>
              </w:rPr>
            </w:pPr>
          </w:p>
        </w:tc>
        <w:tc>
          <w:tcPr>
            <w:tcW w:w="50" w:type="pct"/>
            <w:shd w:val="clear" w:color="auto" w:fill="auto"/>
          </w:tcPr>
          <w:p w14:paraId="40CB0F88" w14:textId="77777777" w:rsidR="00584FB3" w:rsidRDefault="00584FB3">
            <w:pPr>
              <w:rPr>
                <w:rFonts w:ascii="宋体"/>
              </w:rPr>
            </w:pPr>
          </w:p>
        </w:tc>
        <w:tc>
          <w:tcPr>
            <w:tcW w:w="756" w:type="pct"/>
            <w:shd w:val="clear" w:color="auto" w:fill="auto"/>
          </w:tcPr>
          <w:p w14:paraId="40CB0F89" w14:textId="77777777" w:rsidR="00584FB3" w:rsidRDefault="00584FB3">
            <w:pPr>
              <w:rPr>
                <w:rFonts w:ascii="宋体"/>
              </w:rPr>
            </w:pPr>
          </w:p>
        </w:tc>
        <w:tc>
          <w:tcPr>
            <w:tcW w:w="5" w:type="pct"/>
            <w:shd w:val="clear" w:color="auto" w:fill="auto"/>
          </w:tcPr>
          <w:p w14:paraId="40CB0F8A" w14:textId="77777777" w:rsidR="00584FB3" w:rsidRDefault="00584FB3">
            <w:pPr>
              <w:rPr>
                <w:rFonts w:ascii="宋体"/>
              </w:rPr>
            </w:pPr>
          </w:p>
        </w:tc>
        <w:tc>
          <w:tcPr>
            <w:tcW w:w="5" w:type="pct"/>
            <w:shd w:val="clear" w:color="auto" w:fill="auto"/>
          </w:tcPr>
          <w:p w14:paraId="40CB0F8B" w14:textId="77777777" w:rsidR="00584FB3" w:rsidRDefault="00584FB3">
            <w:pPr>
              <w:rPr>
                <w:rFonts w:ascii="宋体"/>
              </w:rPr>
            </w:pPr>
          </w:p>
        </w:tc>
        <w:tc>
          <w:tcPr>
            <w:tcW w:w="26" w:type="pct"/>
            <w:shd w:val="clear" w:color="auto" w:fill="auto"/>
          </w:tcPr>
          <w:p w14:paraId="40CB0F8C" w14:textId="77777777" w:rsidR="00584FB3" w:rsidRDefault="00584FB3">
            <w:pPr>
              <w:rPr>
                <w:rFonts w:ascii="宋体"/>
              </w:rPr>
            </w:pPr>
          </w:p>
        </w:tc>
        <w:tc>
          <w:tcPr>
            <w:tcW w:w="5" w:type="pct"/>
            <w:shd w:val="clear" w:color="auto" w:fill="auto"/>
          </w:tcPr>
          <w:p w14:paraId="40CB0F8D" w14:textId="77777777" w:rsidR="00584FB3" w:rsidRDefault="00584FB3">
            <w:pPr>
              <w:rPr>
                <w:rFonts w:ascii="宋体"/>
              </w:rPr>
            </w:pPr>
          </w:p>
        </w:tc>
        <w:tc>
          <w:tcPr>
            <w:tcW w:w="50" w:type="pct"/>
            <w:shd w:val="clear" w:color="auto" w:fill="auto"/>
          </w:tcPr>
          <w:p w14:paraId="40CB0F8E" w14:textId="77777777" w:rsidR="00584FB3" w:rsidRDefault="00584FB3">
            <w:pPr>
              <w:rPr>
                <w:rFonts w:ascii="宋体"/>
              </w:rPr>
            </w:pPr>
          </w:p>
        </w:tc>
        <w:tc>
          <w:tcPr>
            <w:tcW w:w="756" w:type="pct"/>
            <w:shd w:val="clear" w:color="auto" w:fill="auto"/>
          </w:tcPr>
          <w:p w14:paraId="40CB0F8F" w14:textId="77777777" w:rsidR="00584FB3" w:rsidRDefault="00584FB3">
            <w:pPr>
              <w:rPr>
                <w:rFonts w:ascii="宋体"/>
              </w:rPr>
            </w:pPr>
          </w:p>
        </w:tc>
        <w:tc>
          <w:tcPr>
            <w:tcW w:w="5" w:type="pct"/>
            <w:shd w:val="clear" w:color="auto" w:fill="auto"/>
          </w:tcPr>
          <w:p w14:paraId="40CB0F90" w14:textId="77777777" w:rsidR="00584FB3" w:rsidRDefault="00584FB3">
            <w:pPr>
              <w:rPr>
                <w:rFonts w:ascii="宋体"/>
              </w:rPr>
            </w:pPr>
          </w:p>
        </w:tc>
      </w:tr>
      <w:tr w:rsidR="00584FB3" w14:paraId="40CB0F96" w14:textId="77777777">
        <w:tc>
          <w:tcPr>
            <w:tcW w:w="0" w:type="auto"/>
            <w:gridSpan w:val="3"/>
            <w:shd w:val="clear" w:color="auto" w:fill="auto"/>
            <w:tcMar>
              <w:top w:w="0" w:type="dxa"/>
              <w:left w:w="20" w:type="dxa"/>
              <w:bottom w:w="0" w:type="dxa"/>
              <w:right w:w="20" w:type="dxa"/>
            </w:tcMar>
          </w:tcPr>
          <w:p w14:paraId="40CB0F9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F93"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F9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F95"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0F9B" w14:textId="77777777">
        <w:tc>
          <w:tcPr>
            <w:tcW w:w="0" w:type="auto"/>
            <w:gridSpan w:val="3"/>
            <w:shd w:val="clear" w:color="auto" w:fill="D7E4BC"/>
            <w:tcMar>
              <w:top w:w="40" w:type="dxa"/>
              <w:left w:w="20" w:type="dxa"/>
              <w:bottom w:w="40" w:type="dxa"/>
              <w:right w:w="20" w:type="dxa"/>
            </w:tcMar>
          </w:tcPr>
          <w:p w14:paraId="40CB0F97" w14:textId="77777777" w:rsidR="00584FB3" w:rsidRDefault="00786180">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tcPr>
          <w:p w14:paraId="40CB0F9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0F99"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0F9A" w14:textId="77777777" w:rsidR="00584FB3" w:rsidRDefault="00584FB3">
            <w:pPr>
              <w:rPr>
                <w:rFonts w:ascii="宋体"/>
              </w:rPr>
            </w:pPr>
          </w:p>
        </w:tc>
      </w:tr>
      <w:tr w:rsidR="00584FB3" w14:paraId="40CB0FA4" w14:textId="77777777">
        <w:tc>
          <w:tcPr>
            <w:tcW w:w="0" w:type="auto"/>
            <w:gridSpan w:val="3"/>
            <w:shd w:val="clear" w:color="auto" w:fill="FFFFFF"/>
            <w:tcMar>
              <w:top w:w="40" w:type="dxa"/>
              <w:left w:w="380" w:type="dxa"/>
              <w:bottom w:w="40" w:type="dxa"/>
              <w:right w:w="20" w:type="dxa"/>
            </w:tcMar>
          </w:tcPr>
          <w:p w14:paraId="40CB0F9C" w14:textId="77777777" w:rsidR="00584FB3" w:rsidRDefault="00786180">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40CB0F9D"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F9E" w14:textId="77777777" w:rsidR="00584FB3" w:rsidRDefault="00786180">
            <w:pPr>
              <w:jc w:val="right"/>
              <w:textAlignment w:val="bottom"/>
            </w:pPr>
            <w:r>
              <w:rPr>
                <w:rFonts w:ascii="Times New Roman" w:eastAsia="宋体" w:hAnsi="Times New Roman"/>
                <w:color w:val="000000"/>
                <w:sz w:val="20"/>
                <w:szCs w:val="20"/>
              </w:rPr>
              <w:t>625.8 </w:t>
            </w:r>
          </w:p>
        </w:tc>
        <w:tc>
          <w:tcPr>
            <w:tcW w:w="0" w:type="auto"/>
            <w:shd w:val="clear" w:color="auto" w:fill="FFFFFF"/>
            <w:tcMar>
              <w:top w:w="40" w:type="dxa"/>
              <w:left w:w="0" w:type="dxa"/>
              <w:bottom w:w="40" w:type="dxa"/>
              <w:right w:w="20" w:type="dxa"/>
            </w:tcMar>
            <w:vAlign w:val="bottom"/>
          </w:tcPr>
          <w:p w14:paraId="40CB0F9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A0"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0FA1"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0FA2" w14:textId="77777777" w:rsidR="00584FB3" w:rsidRDefault="00786180">
            <w:pPr>
              <w:jc w:val="right"/>
              <w:textAlignment w:val="bottom"/>
            </w:pPr>
            <w:r>
              <w:rPr>
                <w:rFonts w:ascii="Times New Roman" w:eastAsia="宋体" w:hAnsi="Times New Roman"/>
                <w:color w:val="000000"/>
                <w:sz w:val="20"/>
                <w:szCs w:val="20"/>
              </w:rPr>
              <w:t>664.7 </w:t>
            </w:r>
          </w:p>
        </w:tc>
        <w:tc>
          <w:tcPr>
            <w:tcW w:w="0" w:type="auto"/>
            <w:shd w:val="clear" w:color="auto" w:fill="FFFFFF"/>
            <w:tcMar>
              <w:top w:w="40" w:type="dxa"/>
              <w:left w:w="0" w:type="dxa"/>
              <w:bottom w:w="40" w:type="dxa"/>
              <w:right w:w="20" w:type="dxa"/>
            </w:tcMar>
            <w:vAlign w:val="bottom"/>
          </w:tcPr>
          <w:p w14:paraId="40CB0FA3" w14:textId="77777777" w:rsidR="00584FB3" w:rsidRDefault="00584FB3">
            <w:pPr>
              <w:jc w:val="right"/>
              <w:rPr>
                <w:rFonts w:ascii="宋体"/>
              </w:rPr>
            </w:pPr>
          </w:p>
        </w:tc>
      </w:tr>
      <w:tr w:rsidR="00584FB3" w14:paraId="40CB0FAB" w14:textId="77777777">
        <w:tc>
          <w:tcPr>
            <w:tcW w:w="0" w:type="auto"/>
            <w:gridSpan w:val="3"/>
            <w:shd w:val="clear" w:color="auto" w:fill="D7E4BC"/>
            <w:tcMar>
              <w:top w:w="40" w:type="dxa"/>
              <w:left w:w="380" w:type="dxa"/>
              <w:bottom w:w="40" w:type="dxa"/>
              <w:right w:w="20" w:type="dxa"/>
            </w:tcMar>
          </w:tcPr>
          <w:p w14:paraId="40CB0FA5" w14:textId="77777777" w:rsidR="00584FB3" w:rsidRDefault="00786180">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40CB0FA6" w14:textId="77777777" w:rsidR="00584FB3" w:rsidRDefault="00786180">
            <w:pPr>
              <w:jc w:val="right"/>
              <w:textAlignment w:val="bottom"/>
            </w:pPr>
            <w:r>
              <w:rPr>
                <w:rFonts w:ascii="Times New Roman" w:eastAsia="宋体" w:hAnsi="Times New Roman"/>
                <w:color w:val="000000"/>
                <w:sz w:val="20"/>
                <w:szCs w:val="20"/>
              </w:rPr>
              <w:t>226.9 </w:t>
            </w:r>
          </w:p>
        </w:tc>
        <w:tc>
          <w:tcPr>
            <w:tcW w:w="0" w:type="auto"/>
            <w:shd w:val="clear" w:color="auto" w:fill="D7E4BC"/>
            <w:tcMar>
              <w:top w:w="40" w:type="dxa"/>
              <w:left w:w="0" w:type="dxa"/>
              <w:bottom w:w="40" w:type="dxa"/>
              <w:right w:w="20" w:type="dxa"/>
            </w:tcMar>
            <w:vAlign w:val="bottom"/>
          </w:tcPr>
          <w:p w14:paraId="40CB0FA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A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FA9" w14:textId="77777777" w:rsidR="00584FB3" w:rsidRDefault="00786180">
            <w:pPr>
              <w:jc w:val="right"/>
              <w:textAlignment w:val="bottom"/>
            </w:pPr>
            <w:r>
              <w:rPr>
                <w:rFonts w:ascii="Times New Roman" w:eastAsia="宋体" w:hAnsi="Times New Roman"/>
                <w:color w:val="000000"/>
                <w:sz w:val="20"/>
                <w:szCs w:val="20"/>
              </w:rPr>
              <w:t>223.5 </w:t>
            </w:r>
          </w:p>
        </w:tc>
        <w:tc>
          <w:tcPr>
            <w:tcW w:w="0" w:type="auto"/>
            <w:shd w:val="clear" w:color="auto" w:fill="D7E4BC"/>
            <w:tcMar>
              <w:top w:w="40" w:type="dxa"/>
              <w:left w:w="0" w:type="dxa"/>
              <w:bottom w:w="40" w:type="dxa"/>
              <w:right w:w="20" w:type="dxa"/>
            </w:tcMar>
            <w:vAlign w:val="bottom"/>
          </w:tcPr>
          <w:p w14:paraId="40CB0FAA" w14:textId="77777777" w:rsidR="00584FB3" w:rsidRDefault="00584FB3">
            <w:pPr>
              <w:jc w:val="right"/>
              <w:rPr>
                <w:rFonts w:ascii="宋体"/>
              </w:rPr>
            </w:pPr>
          </w:p>
        </w:tc>
      </w:tr>
      <w:tr w:rsidR="00584FB3" w14:paraId="40CB0FB2" w14:textId="77777777">
        <w:tc>
          <w:tcPr>
            <w:tcW w:w="0" w:type="auto"/>
            <w:gridSpan w:val="3"/>
            <w:shd w:val="clear" w:color="auto" w:fill="FFFFFF"/>
            <w:tcMar>
              <w:top w:w="40" w:type="dxa"/>
              <w:left w:w="20" w:type="dxa"/>
              <w:bottom w:w="40" w:type="dxa"/>
              <w:right w:w="20" w:type="dxa"/>
            </w:tcMar>
          </w:tcPr>
          <w:p w14:paraId="40CB0FAC" w14:textId="77777777" w:rsidR="00584FB3" w:rsidRDefault="00786180">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40CB0FAD" w14:textId="77777777" w:rsidR="00584FB3" w:rsidRDefault="00786180">
            <w:pPr>
              <w:jc w:val="right"/>
              <w:textAlignment w:val="bottom"/>
            </w:pPr>
            <w:r>
              <w:rPr>
                <w:rFonts w:ascii="Times New Roman" w:eastAsia="宋体" w:hAnsi="Times New Roman"/>
                <w:color w:val="000000"/>
                <w:sz w:val="20"/>
                <w:szCs w:val="20"/>
              </w:rPr>
              <w:t>282.0 </w:t>
            </w:r>
          </w:p>
        </w:tc>
        <w:tc>
          <w:tcPr>
            <w:tcW w:w="0" w:type="auto"/>
            <w:shd w:val="clear" w:color="auto" w:fill="FFFFFF"/>
            <w:tcMar>
              <w:top w:w="40" w:type="dxa"/>
              <w:left w:w="0" w:type="dxa"/>
              <w:bottom w:w="40" w:type="dxa"/>
              <w:right w:w="20" w:type="dxa"/>
            </w:tcMar>
            <w:vAlign w:val="bottom"/>
          </w:tcPr>
          <w:p w14:paraId="40CB0FA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A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B0" w14:textId="77777777" w:rsidR="00584FB3" w:rsidRDefault="00786180">
            <w:pPr>
              <w:jc w:val="right"/>
              <w:textAlignment w:val="bottom"/>
            </w:pPr>
            <w:r>
              <w:rPr>
                <w:rFonts w:ascii="Times New Roman" w:eastAsia="宋体" w:hAnsi="Times New Roman"/>
                <w:color w:val="000000"/>
                <w:sz w:val="20"/>
                <w:szCs w:val="20"/>
              </w:rPr>
              <w:t>293.9 </w:t>
            </w:r>
          </w:p>
        </w:tc>
        <w:tc>
          <w:tcPr>
            <w:tcW w:w="0" w:type="auto"/>
            <w:shd w:val="clear" w:color="auto" w:fill="FFFFFF"/>
            <w:tcMar>
              <w:top w:w="40" w:type="dxa"/>
              <w:left w:w="0" w:type="dxa"/>
              <w:bottom w:w="40" w:type="dxa"/>
              <w:right w:w="20" w:type="dxa"/>
            </w:tcMar>
            <w:vAlign w:val="bottom"/>
          </w:tcPr>
          <w:p w14:paraId="40CB0FB1" w14:textId="77777777" w:rsidR="00584FB3" w:rsidRDefault="00584FB3">
            <w:pPr>
              <w:jc w:val="right"/>
              <w:rPr>
                <w:rFonts w:ascii="宋体"/>
              </w:rPr>
            </w:pPr>
          </w:p>
        </w:tc>
      </w:tr>
      <w:tr w:rsidR="00584FB3" w14:paraId="40CB0FB9" w14:textId="77777777">
        <w:tc>
          <w:tcPr>
            <w:tcW w:w="0" w:type="auto"/>
            <w:gridSpan w:val="3"/>
            <w:shd w:val="clear" w:color="auto" w:fill="D7E4BC"/>
            <w:tcMar>
              <w:top w:w="40" w:type="dxa"/>
              <w:left w:w="20" w:type="dxa"/>
              <w:bottom w:w="40" w:type="dxa"/>
              <w:right w:w="20" w:type="dxa"/>
            </w:tcMar>
          </w:tcPr>
          <w:p w14:paraId="40CB0FB3" w14:textId="77777777" w:rsidR="00584FB3" w:rsidRDefault="00786180">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40CB0FB4" w14:textId="77777777" w:rsidR="00584FB3" w:rsidRDefault="00786180">
            <w:pPr>
              <w:jc w:val="right"/>
              <w:textAlignment w:val="bottom"/>
            </w:pPr>
            <w:r>
              <w:rPr>
                <w:rFonts w:ascii="Times New Roman" w:eastAsia="宋体" w:hAnsi="Times New Roman"/>
                <w:color w:val="000000"/>
                <w:sz w:val="20"/>
                <w:szCs w:val="20"/>
              </w:rPr>
              <w:t>336.8 </w:t>
            </w:r>
          </w:p>
        </w:tc>
        <w:tc>
          <w:tcPr>
            <w:tcW w:w="0" w:type="auto"/>
            <w:shd w:val="clear" w:color="auto" w:fill="D7E4BC"/>
            <w:tcMar>
              <w:top w:w="40" w:type="dxa"/>
              <w:left w:w="0" w:type="dxa"/>
              <w:bottom w:w="40" w:type="dxa"/>
              <w:right w:w="20" w:type="dxa"/>
            </w:tcMar>
            <w:vAlign w:val="bottom"/>
          </w:tcPr>
          <w:p w14:paraId="40CB0FB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B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FB7" w14:textId="77777777" w:rsidR="00584FB3" w:rsidRDefault="00786180">
            <w:pPr>
              <w:jc w:val="right"/>
              <w:textAlignment w:val="bottom"/>
            </w:pPr>
            <w:r>
              <w:rPr>
                <w:rFonts w:ascii="Times New Roman" w:eastAsia="宋体" w:hAnsi="Times New Roman"/>
                <w:color w:val="000000"/>
                <w:sz w:val="20"/>
                <w:szCs w:val="20"/>
              </w:rPr>
              <w:t>369.3 </w:t>
            </w:r>
          </w:p>
        </w:tc>
        <w:tc>
          <w:tcPr>
            <w:tcW w:w="0" w:type="auto"/>
            <w:shd w:val="clear" w:color="auto" w:fill="D7E4BC"/>
            <w:tcMar>
              <w:top w:w="40" w:type="dxa"/>
              <w:left w:w="0" w:type="dxa"/>
              <w:bottom w:w="40" w:type="dxa"/>
              <w:right w:w="20" w:type="dxa"/>
            </w:tcMar>
            <w:vAlign w:val="bottom"/>
          </w:tcPr>
          <w:p w14:paraId="40CB0FB8" w14:textId="77777777" w:rsidR="00584FB3" w:rsidRDefault="00584FB3">
            <w:pPr>
              <w:jc w:val="right"/>
              <w:rPr>
                <w:rFonts w:ascii="宋体"/>
              </w:rPr>
            </w:pPr>
          </w:p>
        </w:tc>
      </w:tr>
      <w:tr w:rsidR="00584FB3" w14:paraId="40CB0FC2" w14:textId="77777777">
        <w:tc>
          <w:tcPr>
            <w:tcW w:w="0" w:type="auto"/>
            <w:gridSpan w:val="3"/>
            <w:shd w:val="clear" w:color="auto" w:fill="FFFFFF"/>
            <w:tcMar>
              <w:top w:w="40" w:type="dxa"/>
              <w:left w:w="20" w:type="dxa"/>
              <w:bottom w:w="40" w:type="dxa"/>
              <w:right w:w="20" w:type="dxa"/>
            </w:tcMar>
          </w:tcPr>
          <w:p w14:paraId="40CB0FBA" w14:textId="77777777" w:rsidR="00584FB3" w:rsidRDefault="0078618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0FBB"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0FBC" w14:textId="77777777" w:rsidR="00584FB3" w:rsidRDefault="00786180">
            <w:pPr>
              <w:jc w:val="right"/>
              <w:textAlignment w:val="bottom"/>
            </w:pPr>
            <w:r>
              <w:rPr>
                <w:rFonts w:ascii="Times New Roman" w:eastAsia="宋体" w:hAnsi="Times New Roman"/>
                <w:color w:val="000000"/>
                <w:sz w:val="20"/>
                <w:szCs w:val="20"/>
              </w:rPr>
              <w:t>1,471.5 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0FB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BE"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0FBF"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0FC0" w14:textId="77777777" w:rsidR="00584FB3" w:rsidRDefault="00786180">
            <w:pPr>
              <w:jc w:val="right"/>
              <w:textAlignment w:val="bottom"/>
            </w:pPr>
            <w:r>
              <w:rPr>
                <w:rFonts w:ascii="Times New Roman" w:eastAsia="宋体" w:hAnsi="Times New Roman"/>
                <w:color w:val="000000"/>
                <w:sz w:val="20"/>
                <w:szCs w:val="20"/>
              </w:rPr>
              <w:t>1,551.4 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0FC1" w14:textId="77777777" w:rsidR="00584FB3" w:rsidRDefault="00584FB3">
            <w:pPr>
              <w:jc w:val="right"/>
              <w:rPr>
                <w:rFonts w:ascii="宋体"/>
              </w:rPr>
            </w:pPr>
          </w:p>
        </w:tc>
      </w:tr>
    </w:tbl>
    <w:p w14:paraId="40CB0FC3" w14:textId="77777777" w:rsidR="00584FB3" w:rsidRDefault="00786180">
      <w:pPr>
        <w:spacing w:before="120"/>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merchandise held for sale includes, among other items, serveware, food and tea. Inventory levels vary due to seasonality, commodity market supply and price fluctuations.</w:t>
      </w:r>
    </w:p>
    <w:p w14:paraId="40CB0FC4" w14:textId="77777777" w:rsidR="00584FB3" w:rsidRDefault="00786180">
      <w:pPr>
        <w:spacing w:before="120"/>
      </w:pPr>
      <w:r>
        <w:rPr>
          <w:rFonts w:ascii="Times New Roman" w:eastAsia="宋体" w:hAnsi="Times New Roman"/>
          <w:color w:val="000000"/>
          <w:sz w:val="20"/>
          <w:szCs w:val="20"/>
        </w:rPr>
        <w:t>As of December 27, 2020, we had committed to purchasing green coffee totaling $809 mil</w:t>
      </w:r>
      <w:r>
        <w:rPr>
          <w:rFonts w:ascii="Times New Roman" w:eastAsia="宋体" w:hAnsi="Times New Roman"/>
          <w:color w:val="000000"/>
          <w:sz w:val="20"/>
          <w:szCs w:val="20"/>
        </w:rPr>
        <w:t>lion under fixed-price contracts and an estimated $554 million under price-to-be-fixed contracts. We expect to take physical delivery for these contracts. A portion of our price-to-be-fixed contracts are effectively fixed through the use of futures. Price-</w:t>
      </w:r>
      <w:r>
        <w:rPr>
          <w:rFonts w:ascii="Times New Roman" w:eastAsia="宋体" w:hAnsi="Times New Roman"/>
          <w:color w:val="000000"/>
          <w:sz w:val="20"/>
          <w:szCs w:val="20"/>
        </w:rPr>
        <w:t>to-be-fixed contracts are purchase commitments whereby the quality, quantity, delivery period and other negotiated terms are agreed upon, but the date, and therefore the price, at which the base “C” coffee commodity price component will be fixed has not ye</w:t>
      </w:r>
      <w:r>
        <w:rPr>
          <w:rFonts w:ascii="Times New Roman" w:eastAsia="宋体" w:hAnsi="Times New Roman"/>
          <w:color w:val="000000"/>
          <w:sz w:val="20"/>
          <w:szCs w:val="20"/>
        </w:rPr>
        <w:t>t been established. For most contracts, either Starbucks or the seller has the option to “fix” the base “C” coffee commodity price prior to the delivery date. For other contracts, Starbucks and the seller may agree upon pricing parameters determined by the</w:t>
      </w:r>
      <w:r>
        <w:rPr>
          <w:rFonts w:ascii="Times New Roman" w:eastAsia="宋体" w:hAnsi="Times New Roman"/>
          <w:color w:val="000000"/>
          <w:sz w:val="20"/>
          <w:szCs w:val="20"/>
        </w:rPr>
        <w:t xml:space="preserve"> base “C” coffee commodity price. Until prices are fixed, we estimate the total cost of these purchase commitments. We believe, based on relationships established with our suppliers in the past and continuous monitoring, the risk of non-delivery on these p</w:t>
      </w:r>
      <w:r>
        <w:rPr>
          <w:rFonts w:ascii="Times New Roman" w:eastAsia="宋体" w:hAnsi="Times New Roman"/>
          <w:color w:val="000000"/>
          <w:sz w:val="20"/>
          <w:szCs w:val="20"/>
        </w:rPr>
        <w:t>urchase commitments is remote.</w:t>
      </w:r>
    </w:p>
    <w:p w14:paraId="40CB0FC5" w14:textId="77777777" w:rsidR="00584FB3" w:rsidRDefault="00786180">
      <w:pPr>
        <w:spacing w:before="120"/>
      </w:pPr>
      <w:r>
        <w:rPr>
          <w:rFonts w:ascii="Times New Roman" w:eastAsia="宋体" w:hAnsi="Times New Roman"/>
          <w:b/>
          <w:bCs/>
          <w:color w:val="000000"/>
          <w:sz w:val="20"/>
          <w:szCs w:val="20"/>
        </w:rPr>
        <w:t>Note 5: Supplemental Balance Sheet and Statement of Earnings Information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b/>
          <w:bCs/>
          <w:color w:val="000000"/>
          <w:sz w:val="20"/>
          <w:szCs w:val="20"/>
        </w:rPr>
        <w:t>:</w:t>
      </w:r>
    </w:p>
    <w:p w14:paraId="40CB0FC6" w14:textId="77777777" w:rsidR="00584FB3" w:rsidRDefault="00786180">
      <w:pPr>
        <w:spacing w:before="120"/>
      </w:pPr>
      <w:r>
        <w:rPr>
          <w:rFonts w:ascii="Times New Roman" w:eastAsia="宋体" w:hAnsi="Times New Roman"/>
          <w:b/>
          <w:bCs/>
          <w:i/>
          <w:iCs/>
          <w:color w:val="000000"/>
          <w:sz w:val="20"/>
          <w:szCs w:val="20"/>
        </w:rPr>
        <w:t>Prepaid Expenses and Other Current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36"/>
        <w:gridCol w:w="37"/>
        <w:gridCol w:w="120"/>
        <w:gridCol w:w="1218"/>
        <w:gridCol w:w="36"/>
        <w:gridCol w:w="36"/>
        <w:gridCol w:w="36"/>
        <w:gridCol w:w="36"/>
        <w:gridCol w:w="120"/>
        <w:gridCol w:w="1184"/>
        <w:gridCol w:w="36"/>
      </w:tblGrid>
      <w:tr w:rsidR="00584FB3" w14:paraId="40CB0FD3" w14:textId="77777777">
        <w:trPr>
          <w:jc w:val="center"/>
        </w:trPr>
        <w:tc>
          <w:tcPr>
            <w:tcW w:w="50" w:type="pct"/>
            <w:shd w:val="clear" w:color="auto" w:fill="auto"/>
          </w:tcPr>
          <w:p w14:paraId="40CB0FC7" w14:textId="77777777" w:rsidR="00584FB3" w:rsidRDefault="00584FB3">
            <w:pPr>
              <w:rPr>
                <w:rFonts w:ascii="宋体"/>
              </w:rPr>
            </w:pPr>
          </w:p>
        </w:tc>
        <w:tc>
          <w:tcPr>
            <w:tcW w:w="3285" w:type="pct"/>
            <w:shd w:val="clear" w:color="auto" w:fill="auto"/>
          </w:tcPr>
          <w:p w14:paraId="40CB0FC8" w14:textId="77777777" w:rsidR="00584FB3" w:rsidRDefault="00584FB3">
            <w:pPr>
              <w:rPr>
                <w:rFonts w:ascii="宋体"/>
              </w:rPr>
            </w:pPr>
          </w:p>
        </w:tc>
        <w:tc>
          <w:tcPr>
            <w:tcW w:w="5" w:type="pct"/>
            <w:shd w:val="clear" w:color="auto" w:fill="auto"/>
          </w:tcPr>
          <w:p w14:paraId="40CB0FC9" w14:textId="77777777" w:rsidR="00584FB3" w:rsidRDefault="00584FB3">
            <w:pPr>
              <w:rPr>
                <w:rFonts w:ascii="宋体"/>
              </w:rPr>
            </w:pPr>
          </w:p>
        </w:tc>
        <w:tc>
          <w:tcPr>
            <w:tcW w:w="50" w:type="pct"/>
            <w:shd w:val="clear" w:color="auto" w:fill="auto"/>
          </w:tcPr>
          <w:p w14:paraId="40CB0FCA" w14:textId="77777777" w:rsidR="00584FB3" w:rsidRDefault="00584FB3">
            <w:pPr>
              <w:rPr>
                <w:rFonts w:ascii="宋体"/>
              </w:rPr>
            </w:pPr>
          </w:p>
        </w:tc>
        <w:tc>
          <w:tcPr>
            <w:tcW w:w="756" w:type="pct"/>
            <w:shd w:val="clear" w:color="auto" w:fill="auto"/>
          </w:tcPr>
          <w:p w14:paraId="40CB0FCB" w14:textId="77777777" w:rsidR="00584FB3" w:rsidRDefault="00584FB3">
            <w:pPr>
              <w:rPr>
                <w:rFonts w:ascii="宋体"/>
              </w:rPr>
            </w:pPr>
          </w:p>
        </w:tc>
        <w:tc>
          <w:tcPr>
            <w:tcW w:w="5" w:type="pct"/>
            <w:shd w:val="clear" w:color="auto" w:fill="auto"/>
          </w:tcPr>
          <w:p w14:paraId="40CB0FCC" w14:textId="77777777" w:rsidR="00584FB3" w:rsidRDefault="00584FB3">
            <w:pPr>
              <w:rPr>
                <w:rFonts w:ascii="宋体"/>
              </w:rPr>
            </w:pPr>
          </w:p>
        </w:tc>
        <w:tc>
          <w:tcPr>
            <w:tcW w:w="5" w:type="pct"/>
            <w:shd w:val="clear" w:color="auto" w:fill="auto"/>
          </w:tcPr>
          <w:p w14:paraId="40CB0FCD" w14:textId="77777777" w:rsidR="00584FB3" w:rsidRDefault="00584FB3">
            <w:pPr>
              <w:rPr>
                <w:rFonts w:ascii="宋体"/>
              </w:rPr>
            </w:pPr>
          </w:p>
        </w:tc>
        <w:tc>
          <w:tcPr>
            <w:tcW w:w="26" w:type="pct"/>
            <w:shd w:val="clear" w:color="auto" w:fill="auto"/>
          </w:tcPr>
          <w:p w14:paraId="40CB0FCE" w14:textId="77777777" w:rsidR="00584FB3" w:rsidRDefault="00584FB3">
            <w:pPr>
              <w:rPr>
                <w:rFonts w:ascii="宋体"/>
              </w:rPr>
            </w:pPr>
          </w:p>
        </w:tc>
        <w:tc>
          <w:tcPr>
            <w:tcW w:w="5" w:type="pct"/>
            <w:shd w:val="clear" w:color="auto" w:fill="auto"/>
          </w:tcPr>
          <w:p w14:paraId="40CB0FCF" w14:textId="77777777" w:rsidR="00584FB3" w:rsidRDefault="00584FB3">
            <w:pPr>
              <w:rPr>
                <w:rFonts w:ascii="宋体"/>
              </w:rPr>
            </w:pPr>
          </w:p>
        </w:tc>
        <w:tc>
          <w:tcPr>
            <w:tcW w:w="50" w:type="pct"/>
            <w:shd w:val="clear" w:color="auto" w:fill="auto"/>
          </w:tcPr>
          <w:p w14:paraId="40CB0FD0" w14:textId="77777777" w:rsidR="00584FB3" w:rsidRDefault="00584FB3">
            <w:pPr>
              <w:rPr>
                <w:rFonts w:ascii="宋体"/>
              </w:rPr>
            </w:pPr>
          </w:p>
        </w:tc>
        <w:tc>
          <w:tcPr>
            <w:tcW w:w="756" w:type="pct"/>
            <w:shd w:val="clear" w:color="auto" w:fill="auto"/>
          </w:tcPr>
          <w:p w14:paraId="40CB0FD1" w14:textId="77777777" w:rsidR="00584FB3" w:rsidRDefault="00584FB3">
            <w:pPr>
              <w:rPr>
                <w:rFonts w:ascii="宋体"/>
              </w:rPr>
            </w:pPr>
          </w:p>
        </w:tc>
        <w:tc>
          <w:tcPr>
            <w:tcW w:w="5" w:type="pct"/>
            <w:shd w:val="clear" w:color="auto" w:fill="auto"/>
          </w:tcPr>
          <w:p w14:paraId="40CB0FD2" w14:textId="77777777" w:rsidR="00584FB3" w:rsidRDefault="00584FB3">
            <w:pPr>
              <w:rPr>
                <w:rFonts w:ascii="宋体"/>
              </w:rPr>
            </w:pPr>
          </w:p>
        </w:tc>
      </w:tr>
      <w:tr w:rsidR="00584FB3" w14:paraId="40CB0FD8" w14:textId="77777777">
        <w:trPr>
          <w:jc w:val="center"/>
        </w:trPr>
        <w:tc>
          <w:tcPr>
            <w:tcW w:w="0" w:type="auto"/>
            <w:gridSpan w:val="3"/>
            <w:shd w:val="clear" w:color="auto" w:fill="auto"/>
            <w:tcMar>
              <w:top w:w="0" w:type="dxa"/>
              <w:left w:w="20" w:type="dxa"/>
              <w:bottom w:w="0" w:type="dxa"/>
              <w:right w:w="20" w:type="dxa"/>
            </w:tcMar>
          </w:tcPr>
          <w:p w14:paraId="40CB0FD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FD5"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0FD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0FD7"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0FE1" w14:textId="77777777">
        <w:trPr>
          <w:jc w:val="center"/>
        </w:trPr>
        <w:tc>
          <w:tcPr>
            <w:tcW w:w="0" w:type="auto"/>
            <w:gridSpan w:val="3"/>
            <w:shd w:val="clear" w:color="auto" w:fill="D7E4BC"/>
            <w:tcMar>
              <w:top w:w="40" w:type="dxa"/>
              <w:left w:w="20" w:type="dxa"/>
              <w:bottom w:w="40" w:type="dxa"/>
              <w:right w:w="20" w:type="dxa"/>
            </w:tcMar>
          </w:tcPr>
          <w:p w14:paraId="40CB0FD9" w14:textId="77777777" w:rsidR="00584FB3" w:rsidRDefault="00786180">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0FDA"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FDB" w14:textId="77777777" w:rsidR="00584FB3" w:rsidRDefault="00786180">
            <w:pPr>
              <w:jc w:val="right"/>
              <w:textAlignment w:val="bottom"/>
            </w:pPr>
            <w:r>
              <w:rPr>
                <w:rFonts w:ascii="Times New Roman" w:eastAsia="宋体" w:hAnsi="Times New Roman"/>
                <w:color w:val="000000"/>
                <w:sz w:val="20"/>
                <w:szCs w:val="20"/>
              </w:rPr>
              <w:t>332.6 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FD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DD"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0FD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0FDF" w14:textId="77777777" w:rsidR="00584FB3" w:rsidRDefault="00786180">
            <w:pPr>
              <w:jc w:val="right"/>
              <w:textAlignment w:val="bottom"/>
            </w:pPr>
            <w:r>
              <w:rPr>
                <w:rFonts w:ascii="Times New Roman" w:eastAsia="宋体" w:hAnsi="Times New Roman"/>
                <w:color w:val="000000"/>
                <w:sz w:val="20"/>
                <w:szCs w:val="20"/>
              </w:rPr>
              <w:t>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0FE0" w14:textId="77777777" w:rsidR="00584FB3" w:rsidRDefault="00584FB3">
            <w:pPr>
              <w:jc w:val="right"/>
              <w:rPr>
                <w:rFonts w:ascii="宋体"/>
              </w:rPr>
            </w:pPr>
          </w:p>
        </w:tc>
      </w:tr>
      <w:tr w:rsidR="00584FB3" w14:paraId="40CB0FE8" w14:textId="77777777">
        <w:trPr>
          <w:jc w:val="center"/>
        </w:trPr>
        <w:tc>
          <w:tcPr>
            <w:tcW w:w="0" w:type="auto"/>
            <w:gridSpan w:val="3"/>
            <w:shd w:val="clear" w:color="auto" w:fill="FFFFFF"/>
            <w:tcMar>
              <w:top w:w="40" w:type="dxa"/>
              <w:left w:w="20" w:type="dxa"/>
              <w:bottom w:w="40" w:type="dxa"/>
              <w:right w:w="20" w:type="dxa"/>
            </w:tcMar>
          </w:tcPr>
          <w:p w14:paraId="40CB0FE2" w14:textId="77777777" w:rsidR="00584FB3" w:rsidRDefault="00786180">
            <w:pPr>
              <w:textAlignment w:val="top"/>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40CB0FE3" w14:textId="77777777" w:rsidR="00584FB3" w:rsidRDefault="00786180">
            <w:pPr>
              <w:jc w:val="right"/>
              <w:textAlignment w:val="bottom"/>
            </w:pPr>
            <w:r>
              <w:rPr>
                <w:rFonts w:ascii="Times New Roman" w:eastAsia="宋体" w:hAnsi="Times New Roman"/>
                <w:color w:val="000000"/>
                <w:sz w:val="20"/>
                <w:szCs w:val="20"/>
              </w:rPr>
              <w:t>149.3 </w:t>
            </w:r>
          </w:p>
        </w:tc>
        <w:tc>
          <w:tcPr>
            <w:tcW w:w="0" w:type="auto"/>
            <w:shd w:val="clear" w:color="auto" w:fill="FFFFFF"/>
            <w:tcMar>
              <w:top w:w="40" w:type="dxa"/>
              <w:left w:w="0" w:type="dxa"/>
              <w:bottom w:w="40" w:type="dxa"/>
              <w:right w:w="20" w:type="dxa"/>
            </w:tcMar>
            <w:vAlign w:val="bottom"/>
          </w:tcPr>
          <w:p w14:paraId="40CB0FE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E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0FE6" w14:textId="77777777" w:rsidR="00584FB3" w:rsidRDefault="00786180">
            <w:pPr>
              <w:jc w:val="right"/>
              <w:textAlignment w:val="bottom"/>
            </w:pPr>
            <w:r>
              <w:rPr>
                <w:rFonts w:ascii="Times New Roman" w:eastAsia="宋体" w:hAnsi="Times New Roman"/>
                <w:color w:val="000000"/>
                <w:sz w:val="20"/>
                <w:szCs w:val="20"/>
              </w:rPr>
              <w:t>155.1 </w:t>
            </w:r>
          </w:p>
        </w:tc>
        <w:tc>
          <w:tcPr>
            <w:tcW w:w="0" w:type="auto"/>
            <w:shd w:val="clear" w:color="auto" w:fill="FFFFFF"/>
            <w:tcMar>
              <w:top w:w="40" w:type="dxa"/>
              <w:left w:w="0" w:type="dxa"/>
              <w:bottom w:w="40" w:type="dxa"/>
              <w:right w:w="20" w:type="dxa"/>
            </w:tcMar>
            <w:vAlign w:val="bottom"/>
          </w:tcPr>
          <w:p w14:paraId="40CB0FE7" w14:textId="77777777" w:rsidR="00584FB3" w:rsidRDefault="00584FB3">
            <w:pPr>
              <w:jc w:val="right"/>
              <w:rPr>
                <w:rFonts w:ascii="宋体"/>
              </w:rPr>
            </w:pPr>
          </w:p>
        </w:tc>
      </w:tr>
      <w:tr w:rsidR="00584FB3" w14:paraId="40CB0FEF" w14:textId="77777777">
        <w:trPr>
          <w:jc w:val="center"/>
        </w:trPr>
        <w:tc>
          <w:tcPr>
            <w:tcW w:w="0" w:type="auto"/>
            <w:gridSpan w:val="3"/>
            <w:shd w:val="clear" w:color="auto" w:fill="D7E4BC"/>
            <w:tcMar>
              <w:top w:w="40" w:type="dxa"/>
              <w:left w:w="20" w:type="dxa"/>
              <w:bottom w:w="40" w:type="dxa"/>
              <w:right w:w="20" w:type="dxa"/>
            </w:tcMar>
          </w:tcPr>
          <w:p w14:paraId="40CB0FE9" w14:textId="77777777" w:rsidR="00584FB3" w:rsidRDefault="00786180">
            <w:pPr>
              <w:textAlignment w:val="top"/>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40CB0FEA" w14:textId="77777777" w:rsidR="00584FB3" w:rsidRDefault="00786180">
            <w:pPr>
              <w:jc w:val="right"/>
              <w:textAlignment w:val="bottom"/>
            </w:pPr>
            <w:r>
              <w:rPr>
                <w:rFonts w:ascii="Times New Roman" w:eastAsia="宋体" w:hAnsi="Times New Roman"/>
                <w:color w:val="000000"/>
                <w:sz w:val="20"/>
                <w:szCs w:val="20"/>
              </w:rPr>
              <w:t>252.5 </w:t>
            </w:r>
          </w:p>
        </w:tc>
        <w:tc>
          <w:tcPr>
            <w:tcW w:w="0" w:type="auto"/>
            <w:shd w:val="clear" w:color="auto" w:fill="D7E4BC"/>
            <w:tcMar>
              <w:top w:w="40" w:type="dxa"/>
              <w:left w:w="0" w:type="dxa"/>
              <w:bottom w:w="40" w:type="dxa"/>
              <w:right w:w="20" w:type="dxa"/>
            </w:tcMar>
            <w:vAlign w:val="bottom"/>
          </w:tcPr>
          <w:p w14:paraId="40CB0FE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0FE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0FED" w14:textId="77777777" w:rsidR="00584FB3" w:rsidRDefault="00786180">
            <w:pPr>
              <w:jc w:val="right"/>
              <w:textAlignment w:val="bottom"/>
            </w:pPr>
            <w:r>
              <w:rPr>
                <w:rFonts w:ascii="Times New Roman" w:eastAsia="宋体" w:hAnsi="Times New Roman"/>
                <w:color w:val="000000"/>
                <w:sz w:val="20"/>
                <w:szCs w:val="20"/>
              </w:rPr>
              <w:t>227.5 </w:t>
            </w:r>
          </w:p>
        </w:tc>
        <w:tc>
          <w:tcPr>
            <w:tcW w:w="0" w:type="auto"/>
            <w:shd w:val="clear" w:color="auto" w:fill="D7E4BC"/>
            <w:tcMar>
              <w:top w:w="40" w:type="dxa"/>
              <w:left w:w="0" w:type="dxa"/>
              <w:bottom w:w="40" w:type="dxa"/>
              <w:right w:w="20" w:type="dxa"/>
            </w:tcMar>
            <w:vAlign w:val="bottom"/>
          </w:tcPr>
          <w:p w14:paraId="40CB0FEE" w14:textId="77777777" w:rsidR="00584FB3" w:rsidRDefault="00584FB3">
            <w:pPr>
              <w:jc w:val="right"/>
              <w:rPr>
                <w:rFonts w:ascii="宋体"/>
              </w:rPr>
            </w:pPr>
          </w:p>
        </w:tc>
      </w:tr>
      <w:tr w:rsidR="00584FB3" w14:paraId="40CB0FF8" w14:textId="77777777">
        <w:trPr>
          <w:jc w:val="center"/>
        </w:trPr>
        <w:tc>
          <w:tcPr>
            <w:tcW w:w="0" w:type="auto"/>
            <w:gridSpan w:val="3"/>
            <w:shd w:val="clear" w:color="auto" w:fill="FFFFFF"/>
            <w:tcMar>
              <w:top w:w="40" w:type="dxa"/>
              <w:left w:w="20" w:type="dxa"/>
              <w:bottom w:w="40" w:type="dxa"/>
              <w:right w:w="20" w:type="dxa"/>
            </w:tcMar>
          </w:tcPr>
          <w:p w14:paraId="40CB0FF0" w14:textId="77777777" w:rsidR="00584FB3" w:rsidRDefault="00786180">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0FF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0FF2" w14:textId="77777777" w:rsidR="00584FB3" w:rsidRDefault="00786180">
            <w:pPr>
              <w:jc w:val="right"/>
              <w:textAlignment w:val="bottom"/>
            </w:pPr>
            <w:r>
              <w:rPr>
                <w:rFonts w:ascii="Times New Roman" w:eastAsia="宋体" w:hAnsi="Times New Roman"/>
                <w:color w:val="000000"/>
                <w:sz w:val="20"/>
                <w:szCs w:val="20"/>
              </w:rPr>
              <w:t>734.4 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0FF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0FF4"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0FF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0FF6" w14:textId="77777777" w:rsidR="00584FB3" w:rsidRDefault="00786180">
            <w:pPr>
              <w:jc w:val="right"/>
              <w:textAlignment w:val="bottom"/>
            </w:pPr>
            <w:r>
              <w:rPr>
                <w:rFonts w:ascii="Times New Roman" w:eastAsia="宋体" w:hAnsi="Times New Roman"/>
                <w:color w:val="000000"/>
                <w:sz w:val="20"/>
                <w:szCs w:val="20"/>
              </w:rPr>
              <w:t>739.5 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0FF7" w14:textId="77777777" w:rsidR="00584FB3" w:rsidRDefault="00584FB3">
            <w:pPr>
              <w:jc w:val="right"/>
              <w:rPr>
                <w:rFonts w:ascii="宋体"/>
              </w:rPr>
            </w:pPr>
          </w:p>
        </w:tc>
      </w:tr>
    </w:tbl>
    <w:p w14:paraId="40CB0FF9" w14:textId="77777777" w:rsidR="00584FB3" w:rsidRDefault="00584FB3">
      <w:pPr>
        <w:spacing w:before="120"/>
      </w:pPr>
    </w:p>
    <w:p w14:paraId="40CB0FFA" w14:textId="77777777" w:rsidR="00584FB3" w:rsidRDefault="00786180">
      <w:pPr>
        <w:jc w:val="center"/>
      </w:pPr>
      <w:r>
        <w:rPr>
          <w:rFonts w:ascii="Times New Roman" w:eastAsia="宋体" w:hAnsi="Times New Roman"/>
          <w:color w:val="000000"/>
          <w:sz w:val="20"/>
          <w:szCs w:val="20"/>
        </w:rPr>
        <w:t>16</w:t>
      </w:r>
    </w:p>
    <w:p w14:paraId="40CB0FFB" w14:textId="77777777" w:rsidR="00584FB3" w:rsidRDefault="00786180">
      <w:r>
        <w:pict w14:anchorId="40CB2A45">
          <v:rect id="_x0000_i1040" style="width:415.3pt;height:1.5pt" o:hralign="center" o:hrstd="t" o:hr="t" fillcolor="#a0a0a0" stroked="f"/>
        </w:pict>
      </w:r>
    </w:p>
    <w:p w14:paraId="40CB0FFC" w14:textId="77777777" w:rsidR="00584FB3" w:rsidRDefault="00786180">
      <w:hyperlink r:id="rId90" w:anchor="i11706e4b673c41db9f2dcbdb897203bb_7" w:history="1">
        <w:r>
          <w:rPr>
            <w:rStyle w:val="a5"/>
            <w:rFonts w:ascii="Times New Roman" w:eastAsia="宋体" w:hAnsi="Times New Roman"/>
            <w:sz w:val="20"/>
            <w:szCs w:val="20"/>
          </w:rPr>
          <w:t>Table of Contents</w:t>
        </w:r>
      </w:hyperlink>
    </w:p>
    <w:p w14:paraId="40CB0FFD" w14:textId="77777777" w:rsidR="00584FB3" w:rsidRDefault="00786180">
      <w:pPr>
        <w:spacing w:before="120"/>
      </w:pPr>
      <w:r>
        <w:rPr>
          <w:rFonts w:ascii="Times New Roman" w:eastAsia="宋体" w:hAnsi="Times New Roman"/>
          <w:b/>
          <w:bCs/>
          <w:i/>
          <w:iCs/>
          <w:color w:val="000000"/>
          <w:sz w:val="20"/>
          <w:szCs w:val="20"/>
        </w:rPr>
        <w:t>Property, Plant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41"/>
        <w:gridCol w:w="5436"/>
        <w:gridCol w:w="36"/>
        <w:gridCol w:w="120"/>
        <w:gridCol w:w="1218"/>
        <w:gridCol w:w="36"/>
        <w:gridCol w:w="36"/>
        <w:gridCol w:w="36"/>
        <w:gridCol w:w="36"/>
        <w:gridCol w:w="120"/>
        <w:gridCol w:w="1185"/>
        <w:gridCol w:w="36"/>
      </w:tblGrid>
      <w:tr w:rsidR="00584FB3" w14:paraId="40CB100A" w14:textId="77777777">
        <w:tc>
          <w:tcPr>
            <w:tcW w:w="50" w:type="pct"/>
            <w:shd w:val="clear" w:color="auto" w:fill="auto"/>
          </w:tcPr>
          <w:p w14:paraId="40CB0FFE" w14:textId="77777777" w:rsidR="00584FB3" w:rsidRDefault="00584FB3">
            <w:pPr>
              <w:rPr>
                <w:rFonts w:ascii="宋体"/>
              </w:rPr>
            </w:pPr>
          </w:p>
        </w:tc>
        <w:tc>
          <w:tcPr>
            <w:tcW w:w="3285" w:type="pct"/>
            <w:shd w:val="clear" w:color="auto" w:fill="auto"/>
          </w:tcPr>
          <w:p w14:paraId="40CB0FFF" w14:textId="77777777" w:rsidR="00584FB3" w:rsidRDefault="00584FB3">
            <w:pPr>
              <w:rPr>
                <w:rFonts w:ascii="宋体"/>
              </w:rPr>
            </w:pPr>
          </w:p>
        </w:tc>
        <w:tc>
          <w:tcPr>
            <w:tcW w:w="5" w:type="pct"/>
            <w:shd w:val="clear" w:color="auto" w:fill="auto"/>
          </w:tcPr>
          <w:p w14:paraId="40CB1000" w14:textId="77777777" w:rsidR="00584FB3" w:rsidRDefault="00584FB3">
            <w:pPr>
              <w:rPr>
                <w:rFonts w:ascii="宋体"/>
              </w:rPr>
            </w:pPr>
          </w:p>
        </w:tc>
        <w:tc>
          <w:tcPr>
            <w:tcW w:w="50" w:type="pct"/>
            <w:shd w:val="clear" w:color="auto" w:fill="auto"/>
          </w:tcPr>
          <w:p w14:paraId="40CB1001" w14:textId="77777777" w:rsidR="00584FB3" w:rsidRDefault="00584FB3">
            <w:pPr>
              <w:rPr>
                <w:rFonts w:ascii="宋体"/>
              </w:rPr>
            </w:pPr>
          </w:p>
        </w:tc>
        <w:tc>
          <w:tcPr>
            <w:tcW w:w="756" w:type="pct"/>
            <w:shd w:val="clear" w:color="auto" w:fill="auto"/>
          </w:tcPr>
          <w:p w14:paraId="40CB1002" w14:textId="77777777" w:rsidR="00584FB3" w:rsidRDefault="00584FB3">
            <w:pPr>
              <w:rPr>
                <w:rFonts w:ascii="宋体"/>
              </w:rPr>
            </w:pPr>
          </w:p>
        </w:tc>
        <w:tc>
          <w:tcPr>
            <w:tcW w:w="5" w:type="pct"/>
            <w:shd w:val="clear" w:color="auto" w:fill="auto"/>
          </w:tcPr>
          <w:p w14:paraId="40CB1003" w14:textId="77777777" w:rsidR="00584FB3" w:rsidRDefault="00584FB3">
            <w:pPr>
              <w:rPr>
                <w:rFonts w:ascii="宋体"/>
              </w:rPr>
            </w:pPr>
          </w:p>
        </w:tc>
        <w:tc>
          <w:tcPr>
            <w:tcW w:w="5" w:type="pct"/>
            <w:shd w:val="clear" w:color="auto" w:fill="auto"/>
          </w:tcPr>
          <w:p w14:paraId="40CB1004" w14:textId="77777777" w:rsidR="00584FB3" w:rsidRDefault="00584FB3">
            <w:pPr>
              <w:rPr>
                <w:rFonts w:ascii="宋体"/>
              </w:rPr>
            </w:pPr>
          </w:p>
        </w:tc>
        <w:tc>
          <w:tcPr>
            <w:tcW w:w="26" w:type="pct"/>
            <w:shd w:val="clear" w:color="auto" w:fill="auto"/>
          </w:tcPr>
          <w:p w14:paraId="40CB1005" w14:textId="77777777" w:rsidR="00584FB3" w:rsidRDefault="00584FB3">
            <w:pPr>
              <w:rPr>
                <w:rFonts w:ascii="宋体"/>
              </w:rPr>
            </w:pPr>
          </w:p>
        </w:tc>
        <w:tc>
          <w:tcPr>
            <w:tcW w:w="5" w:type="pct"/>
            <w:shd w:val="clear" w:color="auto" w:fill="auto"/>
          </w:tcPr>
          <w:p w14:paraId="40CB1006" w14:textId="77777777" w:rsidR="00584FB3" w:rsidRDefault="00584FB3">
            <w:pPr>
              <w:rPr>
                <w:rFonts w:ascii="宋体"/>
              </w:rPr>
            </w:pPr>
          </w:p>
        </w:tc>
        <w:tc>
          <w:tcPr>
            <w:tcW w:w="50" w:type="pct"/>
            <w:shd w:val="clear" w:color="auto" w:fill="auto"/>
          </w:tcPr>
          <w:p w14:paraId="40CB1007" w14:textId="77777777" w:rsidR="00584FB3" w:rsidRDefault="00584FB3">
            <w:pPr>
              <w:rPr>
                <w:rFonts w:ascii="宋体"/>
              </w:rPr>
            </w:pPr>
          </w:p>
        </w:tc>
        <w:tc>
          <w:tcPr>
            <w:tcW w:w="756" w:type="pct"/>
            <w:shd w:val="clear" w:color="auto" w:fill="auto"/>
          </w:tcPr>
          <w:p w14:paraId="40CB1008" w14:textId="77777777" w:rsidR="00584FB3" w:rsidRDefault="00584FB3">
            <w:pPr>
              <w:rPr>
                <w:rFonts w:ascii="宋体"/>
              </w:rPr>
            </w:pPr>
          </w:p>
        </w:tc>
        <w:tc>
          <w:tcPr>
            <w:tcW w:w="5" w:type="pct"/>
            <w:shd w:val="clear" w:color="auto" w:fill="auto"/>
          </w:tcPr>
          <w:p w14:paraId="40CB1009" w14:textId="77777777" w:rsidR="00584FB3" w:rsidRDefault="00584FB3">
            <w:pPr>
              <w:rPr>
                <w:rFonts w:ascii="宋体"/>
              </w:rPr>
            </w:pPr>
          </w:p>
        </w:tc>
      </w:tr>
      <w:tr w:rsidR="00584FB3" w14:paraId="40CB100F" w14:textId="77777777">
        <w:tc>
          <w:tcPr>
            <w:tcW w:w="0" w:type="auto"/>
            <w:gridSpan w:val="3"/>
            <w:shd w:val="clear" w:color="auto" w:fill="auto"/>
            <w:tcMar>
              <w:top w:w="0" w:type="dxa"/>
              <w:left w:w="20" w:type="dxa"/>
              <w:bottom w:w="0" w:type="dxa"/>
              <w:right w:w="20" w:type="dxa"/>
            </w:tcMar>
          </w:tcPr>
          <w:p w14:paraId="40CB100B"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00C"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00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00E"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1018" w14:textId="77777777">
        <w:tc>
          <w:tcPr>
            <w:tcW w:w="0" w:type="auto"/>
            <w:gridSpan w:val="3"/>
            <w:shd w:val="clear" w:color="auto" w:fill="D7E4BC"/>
            <w:tcMar>
              <w:top w:w="40" w:type="dxa"/>
              <w:left w:w="20" w:type="dxa"/>
              <w:bottom w:w="40" w:type="dxa"/>
              <w:right w:w="20" w:type="dxa"/>
            </w:tcMar>
          </w:tcPr>
          <w:p w14:paraId="40CB1010" w14:textId="77777777" w:rsidR="00584FB3" w:rsidRDefault="00786180">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01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012" w14:textId="77777777" w:rsidR="00584FB3" w:rsidRDefault="00786180">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01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14"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01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016" w14:textId="77777777" w:rsidR="00584FB3" w:rsidRDefault="00786180">
            <w:pPr>
              <w:jc w:val="right"/>
              <w:textAlignment w:val="bottom"/>
            </w:pPr>
            <w:r>
              <w:rPr>
                <w:rFonts w:ascii="Times New Roman" w:eastAsia="宋体" w:hAnsi="Times New Roman"/>
                <w:color w:val="000000"/>
                <w:sz w:val="20"/>
                <w:szCs w:val="20"/>
              </w:rPr>
              <w:t>46.0 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017" w14:textId="77777777" w:rsidR="00584FB3" w:rsidRDefault="00584FB3">
            <w:pPr>
              <w:jc w:val="right"/>
              <w:rPr>
                <w:rFonts w:ascii="宋体"/>
              </w:rPr>
            </w:pPr>
          </w:p>
        </w:tc>
      </w:tr>
      <w:tr w:rsidR="00584FB3" w14:paraId="40CB101F" w14:textId="77777777">
        <w:tc>
          <w:tcPr>
            <w:tcW w:w="0" w:type="auto"/>
            <w:gridSpan w:val="3"/>
            <w:shd w:val="clear" w:color="auto" w:fill="FFFFFF"/>
            <w:tcMar>
              <w:top w:w="40" w:type="dxa"/>
              <w:left w:w="20" w:type="dxa"/>
              <w:bottom w:w="40" w:type="dxa"/>
              <w:right w:w="20" w:type="dxa"/>
            </w:tcMar>
          </w:tcPr>
          <w:p w14:paraId="40CB1019" w14:textId="77777777" w:rsidR="00584FB3" w:rsidRDefault="00786180">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40CB101A" w14:textId="77777777" w:rsidR="00584FB3" w:rsidRDefault="00786180">
            <w:pPr>
              <w:jc w:val="right"/>
              <w:textAlignment w:val="bottom"/>
            </w:pPr>
            <w:r>
              <w:rPr>
                <w:rFonts w:ascii="Times New Roman" w:eastAsia="宋体" w:hAnsi="Times New Roman"/>
                <w:color w:val="000000"/>
                <w:sz w:val="20"/>
                <w:szCs w:val="20"/>
              </w:rPr>
              <w:t>597.4 </w:t>
            </w:r>
          </w:p>
        </w:tc>
        <w:tc>
          <w:tcPr>
            <w:tcW w:w="0" w:type="auto"/>
            <w:shd w:val="clear" w:color="auto" w:fill="FFFFFF"/>
            <w:tcMar>
              <w:top w:w="40" w:type="dxa"/>
              <w:left w:w="0" w:type="dxa"/>
              <w:bottom w:w="40" w:type="dxa"/>
              <w:right w:w="20" w:type="dxa"/>
            </w:tcMar>
            <w:vAlign w:val="bottom"/>
          </w:tcPr>
          <w:p w14:paraId="40CB101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1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01D" w14:textId="77777777" w:rsidR="00584FB3" w:rsidRDefault="00786180">
            <w:pPr>
              <w:jc w:val="right"/>
              <w:textAlignment w:val="bottom"/>
            </w:pPr>
            <w:r>
              <w:rPr>
                <w:rFonts w:ascii="Times New Roman" w:eastAsia="宋体" w:hAnsi="Times New Roman"/>
                <w:color w:val="000000"/>
                <w:sz w:val="20"/>
                <w:szCs w:val="20"/>
              </w:rPr>
              <w:t>586.8 </w:t>
            </w:r>
          </w:p>
        </w:tc>
        <w:tc>
          <w:tcPr>
            <w:tcW w:w="0" w:type="auto"/>
            <w:shd w:val="clear" w:color="auto" w:fill="FFFFFF"/>
            <w:tcMar>
              <w:top w:w="40" w:type="dxa"/>
              <w:left w:w="0" w:type="dxa"/>
              <w:bottom w:w="40" w:type="dxa"/>
              <w:right w:w="20" w:type="dxa"/>
            </w:tcMar>
            <w:vAlign w:val="bottom"/>
          </w:tcPr>
          <w:p w14:paraId="40CB101E" w14:textId="77777777" w:rsidR="00584FB3" w:rsidRDefault="00584FB3">
            <w:pPr>
              <w:jc w:val="right"/>
              <w:rPr>
                <w:rFonts w:ascii="宋体"/>
              </w:rPr>
            </w:pPr>
          </w:p>
        </w:tc>
      </w:tr>
      <w:tr w:rsidR="00584FB3" w14:paraId="40CB1026" w14:textId="77777777">
        <w:tc>
          <w:tcPr>
            <w:tcW w:w="0" w:type="auto"/>
            <w:gridSpan w:val="3"/>
            <w:shd w:val="clear" w:color="auto" w:fill="D7E4BC"/>
            <w:tcMar>
              <w:top w:w="40" w:type="dxa"/>
              <w:left w:w="20" w:type="dxa"/>
              <w:bottom w:w="40" w:type="dxa"/>
              <w:right w:w="20" w:type="dxa"/>
            </w:tcMar>
          </w:tcPr>
          <w:p w14:paraId="40CB1020" w14:textId="77777777" w:rsidR="00584FB3" w:rsidRDefault="00786180">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40CB1021" w14:textId="77777777" w:rsidR="00584FB3" w:rsidRDefault="00786180">
            <w:pPr>
              <w:jc w:val="right"/>
              <w:textAlignment w:val="bottom"/>
            </w:pPr>
            <w:r>
              <w:rPr>
                <w:rFonts w:ascii="Times New Roman" w:eastAsia="宋体" w:hAnsi="Times New Roman"/>
                <w:color w:val="000000"/>
                <w:sz w:val="20"/>
                <w:szCs w:val="20"/>
              </w:rPr>
              <w:t>8,231.7 </w:t>
            </w:r>
          </w:p>
        </w:tc>
        <w:tc>
          <w:tcPr>
            <w:tcW w:w="0" w:type="auto"/>
            <w:shd w:val="clear" w:color="auto" w:fill="D7E4BC"/>
            <w:tcMar>
              <w:top w:w="40" w:type="dxa"/>
              <w:left w:w="0" w:type="dxa"/>
              <w:bottom w:w="40" w:type="dxa"/>
              <w:right w:w="20" w:type="dxa"/>
            </w:tcMar>
            <w:vAlign w:val="bottom"/>
          </w:tcPr>
          <w:p w14:paraId="40CB102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2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024" w14:textId="77777777" w:rsidR="00584FB3" w:rsidRDefault="00786180">
            <w:pPr>
              <w:jc w:val="right"/>
              <w:textAlignment w:val="bottom"/>
            </w:pPr>
            <w:r>
              <w:rPr>
                <w:rFonts w:ascii="Times New Roman" w:eastAsia="宋体" w:hAnsi="Times New Roman"/>
                <w:color w:val="000000"/>
                <w:sz w:val="20"/>
                <w:szCs w:val="20"/>
              </w:rPr>
              <w:t>8,262.6 </w:t>
            </w:r>
          </w:p>
        </w:tc>
        <w:tc>
          <w:tcPr>
            <w:tcW w:w="0" w:type="auto"/>
            <w:shd w:val="clear" w:color="auto" w:fill="D7E4BC"/>
            <w:tcMar>
              <w:top w:w="40" w:type="dxa"/>
              <w:left w:w="0" w:type="dxa"/>
              <w:bottom w:w="40" w:type="dxa"/>
              <w:right w:w="20" w:type="dxa"/>
            </w:tcMar>
            <w:vAlign w:val="bottom"/>
          </w:tcPr>
          <w:p w14:paraId="40CB1025" w14:textId="77777777" w:rsidR="00584FB3" w:rsidRDefault="00584FB3">
            <w:pPr>
              <w:jc w:val="right"/>
              <w:rPr>
                <w:rFonts w:ascii="宋体"/>
              </w:rPr>
            </w:pPr>
          </w:p>
        </w:tc>
      </w:tr>
      <w:tr w:rsidR="00584FB3" w14:paraId="40CB102D" w14:textId="77777777">
        <w:tc>
          <w:tcPr>
            <w:tcW w:w="0" w:type="auto"/>
            <w:gridSpan w:val="3"/>
            <w:shd w:val="clear" w:color="auto" w:fill="FFFFFF"/>
            <w:tcMar>
              <w:top w:w="40" w:type="dxa"/>
              <w:left w:w="20" w:type="dxa"/>
              <w:bottom w:w="40" w:type="dxa"/>
              <w:right w:w="20" w:type="dxa"/>
            </w:tcMar>
          </w:tcPr>
          <w:p w14:paraId="40CB1027" w14:textId="77777777" w:rsidR="00584FB3" w:rsidRDefault="00786180">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40CB1028" w14:textId="77777777" w:rsidR="00584FB3" w:rsidRDefault="00786180">
            <w:pPr>
              <w:jc w:val="right"/>
              <w:textAlignment w:val="bottom"/>
            </w:pPr>
            <w:r>
              <w:rPr>
                <w:rFonts w:ascii="Times New Roman" w:eastAsia="宋体" w:hAnsi="Times New Roman"/>
                <w:color w:val="000000"/>
                <w:sz w:val="20"/>
                <w:szCs w:val="20"/>
              </w:rPr>
              <w:t>2,817.0 </w:t>
            </w:r>
          </w:p>
        </w:tc>
        <w:tc>
          <w:tcPr>
            <w:tcW w:w="0" w:type="auto"/>
            <w:shd w:val="clear" w:color="auto" w:fill="FFFFFF"/>
            <w:tcMar>
              <w:top w:w="40" w:type="dxa"/>
              <w:left w:w="0" w:type="dxa"/>
              <w:bottom w:w="40" w:type="dxa"/>
              <w:right w:w="20" w:type="dxa"/>
            </w:tcMar>
            <w:vAlign w:val="bottom"/>
          </w:tcPr>
          <w:p w14:paraId="40CB102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2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02B" w14:textId="77777777" w:rsidR="00584FB3" w:rsidRDefault="00786180">
            <w:pPr>
              <w:jc w:val="right"/>
              <w:textAlignment w:val="bottom"/>
            </w:pPr>
            <w:r>
              <w:rPr>
                <w:rFonts w:ascii="Times New Roman" w:eastAsia="宋体" w:hAnsi="Times New Roman"/>
                <w:color w:val="000000"/>
                <w:sz w:val="20"/>
                <w:szCs w:val="20"/>
              </w:rPr>
              <w:t>2,800.3 </w:t>
            </w:r>
          </w:p>
        </w:tc>
        <w:tc>
          <w:tcPr>
            <w:tcW w:w="0" w:type="auto"/>
            <w:shd w:val="clear" w:color="auto" w:fill="FFFFFF"/>
            <w:tcMar>
              <w:top w:w="40" w:type="dxa"/>
              <w:left w:w="0" w:type="dxa"/>
              <w:bottom w:w="40" w:type="dxa"/>
              <w:right w:w="20" w:type="dxa"/>
            </w:tcMar>
            <w:vAlign w:val="bottom"/>
          </w:tcPr>
          <w:p w14:paraId="40CB102C" w14:textId="77777777" w:rsidR="00584FB3" w:rsidRDefault="00584FB3">
            <w:pPr>
              <w:jc w:val="right"/>
              <w:rPr>
                <w:rFonts w:ascii="宋体"/>
              </w:rPr>
            </w:pPr>
          </w:p>
        </w:tc>
      </w:tr>
      <w:tr w:rsidR="00584FB3" w14:paraId="40CB1034" w14:textId="77777777">
        <w:tc>
          <w:tcPr>
            <w:tcW w:w="0" w:type="auto"/>
            <w:gridSpan w:val="3"/>
            <w:shd w:val="clear" w:color="auto" w:fill="D7E4BC"/>
            <w:tcMar>
              <w:top w:w="40" w:type="dxa"/>
              <w:left w:w="20" w:type="dxa"/>
              <w:bottom w:w="40" w:type="dxa"/>
              <w:right w:w="20" w:type="dxa"/>
            </w:tcMar>
          </w:tcPr>
          <w:p w14:paraId="40CB102E" w14:textId="77777777" w:rsidR="00584FB3" w:rsidRDefault="00786180">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40CB102F" w14:textId="77777777" w:rsidR="00584FB3" w:rsidRDefault="00786180">
            <w:pPr>
              <w:jc w:val="right"/>
              <w:textAlignment w:val="bottom"/>
            </w:pPr>
            <w:r>
              <w:rPr>
                <w:rFonts w:ascii="Times New Roman" w:eastAsia="宋体" w:hAnsi="Times New Roman"/>
                <w:color w:val="000000"/>
                <w:sz w:val="20"/>
                <w:szCs w:val="20"/>
              </w:rPr>
              <w:t>805.6 </w:t>
            </w:r>
          </w:p>
        </w:tc>
        <w:tc>
          <w:tcPr>
            <w:tcW w:w="0" w:type="auto"/>
            <w:shd w:val="clear" w:color="auto" w:fill="D7E4BC"/>
            <w:tcMar>
              <w:top w:w="40" w:type="dxa"/>
              <w:left w:w="0" w:type="dxa"/>
              <w:bottom w:w="40" w:type="dxa"/>
              <w:right w:w="20" w:type="dxa"/>
            </w:tcMar>
            <w:vAlign w:val="bottom"/>
          </w:tcPr>
          <w:p w14:paraId="40CB103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3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032" w14:textId="77777777" w:rsidR="00584FB3" w:rsidRDefault="00786180">
            <w:pPr>
              <w:jc w:val="right"/>
              <w:textAlignment w:val="bottom"/>
            </w:pPr>
            <w:r>
              <w:rPr>
                <w:rFonts w:ascii="Times New Roman" w:eastAsia="宋体" w:hAnsi="Times New Roman"/>
                <w:color w:val="000000"/>
                <w:sz w:val="20"/>
                <w:szCs w:val="20"/>
              </w:rPr>
              <w:t>796.6 </w:t>
            </w:r>
          </w:p>
        </w:tc>
        <w:tc>
          <w:tcPr>
            <w:tcW w:w="0" w:type="auto"/>
            <w:shd w:val="clear" w:color="auto" w:fill="D7E4BC"/>
            <w:tcMar>
              <w:top w:w="40" w:type="dxa"/>
              <w:left w:w="0" w:type="dxa"/>
              <w:bottom w:w="40" w:type="dxa"/>
              <w:right w:w="20" w:type="dxa"/>
            </w:tcMar>
            <w:vAlign w:val="bottom"/>
          </w:tcPr>
          <w:p w14:paraId="40CB1033" w14:textId="77777777" w:rsidR="00584FB3" w:rsidRDefault="00584FB3">
            <w:pPr>
              <w:jc w:val="right"/>
              <w:rPr>
                <w:rFonts w:ascii="宋体"/>
              </w:rPr>
            </w:pPr>
          </w:p>
        </w:tc>
      </w:tr>
      <w:tr w:rsidR="00584FB3" w14:paraId="40CB103B" w14:textId="77777777">
        <w:tc>
          <w:tcPr>
            <w:tcW w:w="0" w:type="auto"/>
            <w:gridSpan w:val="3"/>
            <w:shd w:val="clear" w:color="auto" w:fill="FFFFFF"/>
            <w:tcMar>
              <w:top w:w="40" w:type="dxa"/>
              <w:left w:w="20" w:type="dxa"/>
              <w:bottom w:w="40" w:type="dxa"/>
              <w:right w:w="20" w:type="dxa"/>
            </w:tcMar>
          </w:tcPr>
          <w:p w14:paraId="40CB1035" w14:textId="77777777" w:rsidR="00584FB3" w:rsidRDefault="00786180">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40CB1036" w14:textId="77777777" w:rsidR="00584FB3" w:rsidRDefault="00786180">
            <w:pPr>
              <w:jc w:val="right"/>
              <w:textAlignment w:val="bottom"/>
            </w:pPr>
            <w:r>
              <w:rPr>
                <w:rFonts w:ascii="Times New Roman" w:eastAsia="宋体" w:hAnsi="Times New Roman"/>
                <w:color w:val="000000"/>
                <w:sz w:val="20"/>
                <w:szCs w:val="20"/>
              </w:rPr>
              <w:t>1,274.7 </w:t>
            </w:r>
          </w:p>
        </w:tc>
        <w:tc>
          <w:tcPr>
            <w:tcW w:w="0" w:type="auto"/>
            <w:shd w:val="clear" w:color="auto" w:fill="FFFFFF"/>
            <w:tcMar>
              <w:top w:w="40" w:type="dxa"/>
              <w:left w:w="0" w:type="dxa"/>
              <w:bottom w:w="40" w:type="dxa"/>
              <w:right w:w="20" w:type="dxa"/>
            </w:tcMar>
            <w:vAlign w:val="bottom"/>
          </w:tcPr>
          <w:p w14:paraId="40CB103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3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039" w14:textId="77777777" w:rsidR="00584FB3" w:rsidRDefault="00786180">
            <w:pPr>
              <w:jc w:val="right"/>
              <w:textAlignment w:val="bottom"/>
            </w:pPr>
            <w:r>
              <w:rPr>
                <w:rFonts w:ascii="Times New Roman" w:eastAsia="宋体" w:hAnsi="Times New Roman"/>
                <w:color w:val="000000"/>
                <w:sz w:val="20"/>
                <w:szCs w:val="20"/>
              </w:rPr>
              <w:t>1,285.7 </w:t>
            </w:r>
          </w:p>
        </w:tc>
        <w:tc>
          <w:tcPr>
            <w:tcW w:w="0" w:type="auto"/>
            <w:shd w:val="clear" w:color="auto" w:fill="FFFFFF"/>
            <w:tcMar>
              <w:top w:w="40" w:type="dxa"/>
              <w:left w:w="0" w:type="dxa"/>
              <w:bottom w:w="40" w:type="dxa"/>
              <w:right w:w="20" w:type="dxa"/>
            </w:tcMar>
            <w:vAlign w:val="bottom"/>
          </w:tcPr>
          <w:p w14:paraId="40CB103A" w14:textId="77777777" w:rsidR="00584FB3" w:rsidRDefault="00584FB3">
            <w:pPr>
              <w:jc w:val="right"/>
              <w:rPr>
                <w:rFonts w:ascii="宋体"/>
              </w:rPr>
            </w:pPr>
          </w:p>
        </w:tc>
      </w:tr>
      <w:tr w:rsidR="00584FB3" w14:paraId="40CB1042" w14:textId="77777777">
        <w:tc>
          <w:tcPr>
            <w:tcW w:w="0" w:type="auto"/>
            <w:gridSpan w:val="3"/>
            <w:shd w:val="clear" w:color="auto" w:fill="D7E4BC"/>
            <w:tcMar>
              <w:top w:w="40" w:type="dxa"/>
              <w:left w:w="20" w:type="dxa"/>
              <w:bottom w:w="40" w:type="dxa"/>
              <w:right w:w="20" w:type="dxa"/>
            </w:tcMar>
          </w:tcPr>
          <w:p w14:paraId="40CB103C" w14:textId="77777777" w:rsidR="00584FB3" w:rsidRDefault="00786180">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40CB103D" w14:textId="77777777" w:rsidR="00584FB3" w:rsidRDefault="00786180">
            <w:pPr>
              <w:jc w:val="right"/>
              <w:textAlignment w:val="bottom"/>
            </w:pPr>
            <w:r>
              <w:rPr>
                <w:rFonts w:ascii="Times New Roman" w:eastAsia="宋体" w:hAnsi="Times New Roman"/>
                <w:color w:val="000000"/>
                <w:sz w:val="20"/>
                <w:szCs w:val="20"/>
              </w:rPr>
              <w:t>335.8 </w:t>
            </w:r>
          </w:p>
        </w:tc>
        <w:tc>
          <w:tcPr>
            <w:tcW w:w="0" w:type="auto"/>
            <w:shd w:val="clear" w:color="auto" w:fill="D7E4BC"/>
            <w:tcMar>
              <w:top w:w="40" w:type="dxa"/>
              <w:left w:w="0" w:type="dxa"/>
              <w:bottom w:w="40" w:type="dxa"/>
              <w:right w:w="20" w:type="dxa"/>
            </w:tcMar>
            <w:vAlign w:val="bottom"/>
          </w:tcPr>
          <w:p w14:paraId="40CB103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3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040" w14:textId="77777777" w:rsidR="00584FB3" w:rsidRDefault="00786180">
            <w:pPr>
              <w:jc w:val="right"/>
              <w:textAlignment w:val="bottom"/>
            </w:pPr>
            <w:r>
              <w:rPr>
                <w:rFonts w:ascii="Times New Roman" w:eastAsia="宋体" w:hAnsi="Times New Roman"/>
                <w:color w:val="000000"/>
                <w:sz w:val="20"/>
                <w:szCs w:val="20"/>
              </w:rPr>
              <w:t>377.3 </w:t>
            </w:r>
          </w:p>
        </w:tc>
        <w:tc>
          <w:tcPr>
            <w:tcW w:w="0" w:type="auto"/>
            <w:shd w:val="clear" w:color="auto" w:fill="D7E4BC"/>
            <w:tcMar>
              <w:top w:w="40" w:type="dxa"/>
              <w:left w:w="0" w:type="dxa"/>
              <w:bottom w:w="40" w:type="dxa"/>
              <w:right w:w="20" w:type="dxa"/>
            </w:tcMar>
            <w:vAlign w:val="bottom"/>
          </w:tcPr>
          <w:p w14:paraId="40CB1041" w14:textId="77777777" w:rsidR="00584FB3" w:rsidRDefault="00584FB3">
            <w:pPr>
              <w:jc w:val="right"/>
              <w:rPr>
                <w:rFonts w:ascii="宋体"/>
              </w:rPr>
            </w:pPr>
          </w:p>
        </w:tc>
      </w:tr>
      <w:tr w:rsidR="00584FB3" w14:paraId="40CB1049" w14:textId="77777777">
        <w:tc>
          <w:tcPr>
            <w:tcW w:w="0" w:type="auto"/>
            <w:gridSpan w:val="3"/>
            <w:shd w:val="clear" w:color="auto" w:fill="FFFFFF"/>
            <w:tcMar>
              <w:top w:w="40" w:type="dxa"/>
              <w:left w:w="20" w:type="dxa"/>
              <w:bottom w:w="40" w:type="dxa"/>
              <w:right w:w="20" w:type="dxa"/>
            </w:tcMar>
          </w:tcPr>
          <w:p w14:paraId="40CB1043" w14:textId="77777777" w:rsidR="00584FB3" w:rsidRDefault="00786180">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044" w14:textId="77777777" w:rsidR="00584FB3" w:rsidRDefault="00786180">
            <w:pPr>
              <w:jc w:val="right"/>
              <w:textAlignment w:val="bottom"/>
            </w:pPr>
            <w:r>
              <w:rPr>
                <w:rFonts w:ascii="Times New Roman" w:eastAsia="宋体" w:hAnsi="Times New Roman"/>
                <w:color w:val="000000"/>
                <w:sz w:val="20"/>
                <w:szCs w:val="20"/>
              </w:rPr>
              <w:t>14,108.4 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04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46"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047" w14:textId="77777777" w:rsidR="00584FB3" w:rsidRDefault="00786180">
            <w:pPr>
              <w:jc w:val="right"/>
              <w:textAlignment w:val="bottom"/>
            </w:pPr>
            <w:r>
              <w:rPr>
                <w:rFonts w:ascii="Times New Roman" w:eastAsia="宋体" w:hAnsi="Times New Roman"/>
                <w:color w:val="000000"/>
                <w:sz w:val="20"/>
                <w:szCs w:val="20"/>
              </w:rPr>
              <w:t>14,155.3 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048" w14:textId="77777777" w:rsidR="00584FB3" w:rsidRDefault="00584FB3">
            <w:pPr>
              <w:jc w:val="right"/>
              <w:rPr>
                <w:rFonts w:ascii="宋体"/>
              </w:rPr>
            </w:pPr>
          </w:p>
        </w:tc>
      </w:tr>
      <w:tr w:rsidR="00584FB3" w14:paraId="40CB1050" w14:textId="77777777">
        <w:tc>
          <w:tcPr>
            <w:tcW w:w="0" w:type="auto"/>
            <w:gridSpan w:val="3"/>
            <w:shd w:val="clear" w:color="auto" w:fill="D7E4BC"/>
            <w:tcMar>
              <w:top w:w="40" w:type="dxa"/>
              <w:left w:w="20" w:type="dxa"/>
              <w:bottom w:w="40" w:type="dxa"/>
              <w:right w:w="20" w:type="dxa"/>
            </w:tcMar>
          </w:tcPr>
          <w:p w14:paraId="40CB104A" w14:textId="77777777" w:rsidR="00584FB3" w:rsidRDefault="00786180">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40CB104B" w14:textId="77777777" w:rsidR="00584FB3" w:rsidRDefault="00786180">
            <w:pPr>
              <w:jc w:val="right"/>
              <w:textAlignment w:val="bottom"/>
            </w:pPr>
            <w:r>
              <w:rPr>
                <w:rFonts w:ascii="Times New Roman" w:eastAsia="宋体" w:hAnsi="Times New Roman"/>
                <w:color w:val="000000"/>
                <w:sz w:val="20"/>
                <w:szCs w:val="20"/>
              </w:rPr>
              <w:t>(7,930.5)</w:t>
            </w:r>
          </w:p>
        </w:tc>
        <w:tc>
          <w:tcPr>
            <w:tcW w:w="0" w:type="auto"/>
            <w:shd w:val="clear" w:color="auto" w:fill="D7E4BC"/>
            <w:tcMar>
              <w:top w:w="40" w:type="dxa"/>
              <w:left w:w="0" w:type="dxa"/>
              <w:bottom w:w="40" w:type="dxa"/>
              <w:right w:w="20" w:type="dxa"/>
            </w:tcMar>
            <w:vAlign w:val="bottom"/>
          </w:tcPr>
          <w:p w14:paraId="40CB104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4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04E" w14:textId="77777777" w:rsidR="00584FB3" w:rsidRDefault="00786180">
            <w:pPr>
              <w:jc w:val="right"/>
              <w:textAlignment w:val="bottom"/>
            </w:pPr>
            <w:r>
              <w:rPr>
                <w:rFonts w:ascii="Times New Roman" w:eastAsia="宋体" w:hAnsi="Times New Roman"/>
                <w:color w:val="000000"/>
                <w:sz w:val="20"/>
                <w:szCs w:val="20"/>
              </w:rPr>
              <w:t>(7,913.9)</w:t>
            </w:r>
          </w:p>
        </w:tc>
        <w:tc>
          <w:tcPr>
            <w:tcW w:w="0" w:type="auto"/>
            <w:shd w:val="clear" w:color="auto" w:fill="D7E4BC"/>
            <w:tcMar>
              <w:top w:w="40" w:type="dxa"/>
              <w:left w:w="0" w:type="dxa"/>
              <w:bottom w:w="40" w:type="dxa"/>
              <w:right w:w="20" w:type="dxa"/>
            </w:tcMar>
            <w:vAlign w:val="bottom"/>
          </w:tcPr>
          <w:p w14:paraId="40CB104F" w14:textId="77777777" w:rsidR="00584FB3" w:rsidRDefault="00584FB3">
            <w:pPr>
              <w:jc w:val="right"/>
              <w:rPr>
                <w:rFonts w:ascii="宋体"/>
              </w:rPr>
            </w:pPr>
          </w:p>
        </w:tc>
      </w:tr>
      <w:tr w:rsidR="00584FB3" w14:paraId="40CB1059" w14:textId="77777777">
        <w:tc>
          <w:tcPr>
            <w:tcW w:w="0" w:type="auto"/>
            <w:gridSpan w:val="3"/>
            <w:shd w:val="clear" w:color="auto" w:fill="FFFFFF"/>
            <w:tcMar>
              <w:top w:w="40" w:type="dxa"/>
              <w:left w:w="20" w:type="dxa"/>
              <w:bottom w:w="40" w:type="dxa"/>
              <w:right w:w="20" w:type="dxa"/>
            </w:tcMar>
          </w:tcPr>
          <w:p w14:paraId="40CB1051" w14:textId="77777777" w:rsidR="00584FB3" w:rsidRDefault="00786180">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05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053" w14:textId="77777777" w:rsidR="00584FB3" w:rsidRDefault="00786180">
            <w:pPr>
              <w:jc w:val="right"/>
              <w:textAlignment w:val="bottom"/>
            </w:pPr>
            <w:r>
              <w:rPr>
                <w:rFonts w:ascii="Times New Roman" w:eastAsia="宋体" w:hAnsi="Times New Roman"/>
                <w:color w:val="000000"/>
                <w:sz w:val="20"/>
                <w:szCs w:val="20"/>
              </w:rPr>
              <w:t>6,177.9 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05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55"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05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057" w14:textId="77777777" w:rsidR="00584FB3" w:rsidRDefault="00786180">
            <w:pPr>
              <w:jc w:val="right"/>
              <w:textAlignment w:val="bottom"/>
            </w:pPr>
            <w:r>
              <w:rPr>
                <w:rFonts w:ascii="Times New Roman" w:eastAsia="宋体" w:hAnsi="Times New Roman"/>
                <w:color w:val="000000"/>
                <w:sz w:val="20"/>
                <w:szCs w:val="20"/>
              </w:rPr>
              <w:t>6,241.4 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058" w14:textId="77777777" w:rsidR="00584FB3" w:rsidRDefault="00584FB3">
            <w:pPr>
              <w:jc w:val="right"/>
              <w:rPr>
                <w:rFonts w:ascii="宋体"/>
              </w:rPr>
            </w:pPr>
          </w:p>
        </w:tc>
      </w:tr>
    </w:tbl>
    <w:p w14:paraId="40CB105A" w14:textId="77777777" w:rsidR="00584FB3" w:rsidRDefault="00786180">
      <w:pPr>
        <w:spacing w:before="120"/>
      </w:pPr>
      <w:r>
        <w:rPr>
          <w:rFonts w:ascii="Times New Roman" w:eastAsia="宋体" w:hAnsi="Times New Roman"/>
          <w:b/>
          <w:bCs/>
          <w:i/>
          <w:iCs/>
          <w:color w:val="000000"/>
          <w:sz w:val="20"/>
          <w:szCs w:val="20"/>
        </w:rPr>
        <w:t>Accrued Liabilities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36"/>
        <w:gridCol w:w="38"/>
        <w:gridCol w:w="120"/>
        <w:gridCol w:w="1218"/>
        <w:gridCol w:w="36"/>
        <w:gridCol w:w="36"/>
        <w:gridCol w:w="36"/>
        <w:gridCol w:w="36"/>
        <w:gridCol w:w="120"/>
        <w:gridCol w:w="1183"/>
        <w:gridCol w:w="36"/>
      </w:tblGrid>
      <w:tr w:rsidR="00584FB3" w14:paraId="40CB1067" w14:textId="77777777">
        <w:trPr>
          <w:jc w:val="center"/>
        </w:trPr>
        <w:tc>
          <w:tcPr>
            <w:tcW w:w="50" w:type="pct"/>
            <w:shd w:val="clear" w:color="auto" w:fill="auto"/>
          </w:tcPr>
          <w:p w14:paraId="40CB105B" w14:textId="77777777" w:rsidR="00584FB3" w:rsidRDefault="00584FB3">
            <w:pPr>
              <w:rPr>
                <w:rFonts w:ascii="宋体"/>
              </w:rPr>
            </w:pPr>
          </w:p>
        </w:tc>
        <w:tc>
          <w:tcPr>
            <w:tcW w:w="3285" w:type="pct"/>
            <w:shd w:val="clear" w:color="auto" w:fill="auto"/>
          </w:tcPr>
          <w:p w14:paraId="40CB105C" w14:textId="77777777" w:rsidR="00584FB3" w:rsidRDefault="00584FB3">
            <w:pPr>
              <w:rPr>
                <w:rFonts w:ascii="宋体"/>
              </w:rPr>
            </w:pPr>
          </w:p>
        </w:tc>
        <w:tc>
          <w:tcPr>
            <w:tcW w:w="5" w:type="pct"/>
            <w:shd w:val="clear" w:color="auto" w:fill="auto"/>
          </w:tcPr>
          <w:p w14:paraId="40CB105D" w14:textId="77777777" w:rsidR="00584FB3" w:rsidRDefault="00584FB3">
            <w:pPr>
              <w:rPr>
                <w:rFonts w:ascii="宋体"/>
              </w:rPr>
            </w:pPr>
          </w:p>
        </w:tc>
        <w:tc>
          <w:tcPr>
            <w:tcW w:w="50" w:type="pct"/>
            <w:shd w:val="clear" w:color="auto" w:fill="auto"/>
          </w:tcPr>
          <w:p w14:paraId="40CB105E" w14:textId="77777777" w:rsidR="00584FB3" w:rsidRDefault="00584FB3">
            <w:pPr>
              <w:rPr>
                <w:rFonts w:ascii="宋体"/>
              </w:rPr>
            </w:pPr>
          </w:p>
        </w:tc>
        <w:tc>
          <w:tcPr>
            <w:tcW w:w="756" w:type="pct"/>
            <w:shd w:val="clear" w:color="auto" w:fill="auto"/>
          </w:tcPr>
          <w:p w14:paraId="40CB105F" w14:textId="77777777" w:rsidR="00584FB3" w:rsidRDefault="00584FB3">
            <w:pPr>
              <w:rPr>
                <w:rFonts w:ascii="宋体"/>
              </w:rPr>
            </w:pPr>
          </w:p>
        </w:tc>
        <w:tc>
          <w:tcPr>
            <w:tcW w:w="5" w:type="pct"/>
            <w:shd w:val="clear" w:color="auto" w:fill="auto"/>
          </w:tcPr>
          <w:p w14:paraId="40CB1060" w14:textId="77777777" w:rsidR="00584FB3" w:rsidRDefault="00584FB3">
            <w:pPr>
              <w:rPr>
                <w:rFonts w:ascii="宋体"/>
              </w:rPr>
            </w:pPr>
          </w:p>
        </w:tc>
        <w:tc>
          <w:tcPr>
            <w:tcW w:w="5" w:type="pct"/>
            <w:shd w:val="clear" w:color="auto" w:fill="auto"/>
          </w:tcPr>
          <w:p w14:paraId="40CB1061" w14:textId="77777777" w:rsidR="00584FB3" w:rsidRDefault="00584FB3">
            <w:pPr>
              <w:rPr>
                <w:rFonts w:ascii="宋体"/>
              </w:rPr>
            </w:pPr>
          </w:p>
        </w:tc>
        <w:tc>
          <w:tcPr>
            <w:tcW w:w="26" w:type="pct"/>
            <w:shd w:val="clear" w:color="auto" w:fill="auto"/>
          </w:tcPr>
          <w:p w14:paraId="40CB1062" w14:textId="77777777" w:rsidR="00584FB3" w:rsidRDefault="00584FB3">
            <w:pPr>
              <w:rPr>
                <w:rFonts w:ascii="宋体"/>
              </w:rPr>
            </w:pPr>
          </w:p>
        </w:tc>
        <w:tc>
          <w:tcPr>
            <w:tcW w:w="5" w:type="pct"/>
            <w:shd w:val="clear" w:color="auto" w:fill="auto"/>
          </w:tcPr>
          <w:p w14:paraId="40CB1063" w14:textId="77777777" w:rsidR="00584FB3" w:rsidRDefault="00584FB3">
            <w:pPr>
              <w:rPr>
                <w:rFonts w:ascii="宋体"/>
              </w:rPr>
            </w:pPr>
          </w:p>
        </w:tc>
        <w:tc>
          <w:tcPr>
            <w:tcW w:w="50" w:type="pct"/>
            <w:shd w:val="clear" w:color="auto" w:fill="auto"/>
          </w:tcPr>
          <w:p w14:paraId="40CB1064" w14:textId="77777777" w:rsidR="00584FB3" w:rsidRDefault="00584FB3">
            <w:pPr>
              <w:rPr>
                <w:rFonts w:ascii="宋体"/>
              </w:rPr>
            </w:pPr>
          </w:p>
        </w:tc>
        <w:tc>
          <w:tcPr>
            <w:tcW w:w="756" w:type="pct"/>
            <w:shd w:val="clear" w:color="auto" w:fill="auto"/>
          </w:tcPr>
          <w:p w14:paraId="40CB1065" w14:textId="77777777" w:rsidR="00584FB3" w:rsidRDefault="00584FB3">
            <w:pPr>
              <w:rPr>
                <w:rFonts w:ascii="宋体"/>
              </w:rPr>
            </w:pPr>
          </w:p>
        </w:tc>
        <w:tc>
          <w:tcPr>
            <w:tcW w:w="5" w:type="pct"/>
            <w:shd w:val="clear" w:color="auto" w:fill="auto"/>
          </w:tcPr>
          <w:p w14:paraId="40CB1066" w14:textId="77777777" w:rsidR="00584FB3" w:rsidRDefault="00584FB3">
            <w:pPr>
              <w:rPr>
                <w:rFonts w:ascii="宋体"/>
              </w:rPr>
            </w:pPr>
          </w:p>
        </w:tc>
      </w:tr>
      <w:tr w:rsidR="00584FB3" w14:paraId="40CB106C" w14:textId="77777777">
        <w:trPr>
          <w:jc w:val="center"/>
        </w:trPr>
        <w:tc>
          <w:tcPr>
            <w:tcW w:w="0" w:type="auto"/>
            <w:gridSpan w:val="3"/>
            <w:shd w:val="clear" w:color="auto" w:fill="FFFFFF"/>
            <w:tcMar>
              <w:top w:w="0" w:type="dxa"/>
              <w:left w:w="20" w:type="dxa"/>
              <w:bottom w:w="0" w:type="dxa"/>
              <w:right w:w="20" w:type="dxa"/>
            </w:tcMar>
          </w:tcPr>
          <w:p w14:paraId="40CB1068"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069"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FFFFFF"/>
            <w:tcMar>
              <w:top w:w="0" w:type="dxa"/>
              <w:left w:w="20" w:type="dxa"/>
              <w:bottom w:w="0" w:type="dxa"/>
              <w:right w:w="20" w:type="dxa"/>
            </w:tcMar>
          </w:tcPr>
          <w:p w14:paraId="40CB106A"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06B"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1075" w14:textId="77777777">
        <w:trPr>
          <w:jc w:val="center"/>
        </w:trPr>
        <w:tc>
          <w:tcPr>
            <w:tcW w:w="0" w:type="auto"/>
            <w:gridSpan w:val="3"/>
            <w:shd w:val="clear" w:color="auto" w:fill="D7E4BC"/>
            <w:tcMar>
              <w:top w:w="40" w:type="dxa"/>
              <w:left w:w="20" w:type="dxa"/>
              <w:bottom w:w="40" w:type="dxa"/>
              <w:right w:w="20" w:type="dxa"/>
            </w:tcMar>
          </w:tcPr>
          <w:p w14:paraId="40CB106D" w14:textId="77777777" w:rsidR="00584FB3" w:rsidRDefault="00786180">
            <w:pPr>
              <w:textAlignment w:val="top"/>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06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06F" w14:textId="77777777" w:rsidR="00584FB3" w:rsidRDefault="00786180">
            <w:pPr>
              <w:jc w:val="right"/>
              <w:textAlignment w:val="bottom"/>
            </w:pPr>
            <w:r>
              <w:rPr>
                <w:rFonts w:ascii="Times New Roman" w:eastAsia="宋体" w:hAnsi="Times New Roman"/>
                <w:color w:val="000000"/>
                <w:sz w:val="20"/>
                <w:szCs w:val="20"/>
              </w:rPr>
              <w:t>79.9 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07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71"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07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073" w14:textId="77777777" w:rsidR="00584FB3" w:rsidRDefault="00786180">
            <w:pPr>
              <w:jc w:val="right"/>
              <w:textAlignment w:val="bottom"/>
            </w:pPr>
            <w:r>
              <w:rPr>
                <w:rFonts w:ascii="Times New Roman" w:eastAsia="宋体" w:hAnsi="Times New Roman"/>
                <w:color w:val="000000"/>
                <w:sz w:val="20"/>
                <w:szCs w:val="20"/>
              </w:rPr>
              <w:t>76.9 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074" w14:textId="77777777" w:rsidR="00584FB3" w:rsidRDefault="00584FB3">
            <w:pPr>
              <w:jc w:val="right"/>
              <w:rPr>
                <w:rFonts w:ascii="宋体"/>
              </w:rPr>
            </w:pPr>
          </w:p>
        </w:tc>
      </w:tr>
      <w:tr w:rsidR="00584FB3" w14:paraId="40CB107C" w14:textId="77777777">
        <w:trPr>
          <w:jc w:val="center"/>
        </w:trPr>
        <w:tc>
          <w:tcPr>
            <w:tcW w:w="0" w:type="auto"/>
            <w:gridSpan w:val="3"/>
            <w:shd w:val="clear" w:color="auto" w:fill="FFFFFF"/>
            <w:tcMar>
              <w:top w:w="40" w:type="dxa"/>
              <w:left w:w="20" w:type="dxa"/>
              <w:bottom w:w="40" w:type="dxa"/>
              <w:right w:w="20" w:type="dxa"/>
            </w:tcMar>
          </w:tcPr>
          <w:p w14:paraId="40CB1076" w14:textId="77777777" w:rsidR="00584FB3" w:rsidRDefault="00786180">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40CB1077" w14:textId="77777777" w:rsidR="00584FB3" w:rsidRDefault="00786180">
            <w:pPr>
              <w:jc w:val="right"/>
              <w:textAlignment w:val="bottom"/>
            </w:pPr>
            <w:r>
              <w:rPr>
                <w:rFonts w:ascii="Times New Roman" w:eastAsia="宋体" w:hAnsi="Times New Roman"/>
                <w:color w:val="000000"/>
                <w:sz w:val="20"/>
                <w:szCs w:val="20"/>
              </w:rPr>
              <w:t>529.7 </w:t>
            </w:r>
          </w:p>
        </w:tc>
        <w:tc>
          <w:tcPr>
            <w:tcW w:w="0" w:type="auto"/>
            <w:shd w:val="clear" w:color="auto" w:fill="FFFFFF"/>
            <w:tcMar>
              <w:top w:w="40" w:type="dxa"/>
              <w:left w:w="0" w:type="dxa"/>
              <w:bottom w:w="40" w:type="dxa"/>
              <w:right w:w="20" w:type="dxa"/>
            </w:tcMar>
            <w:vAlign w:val="bottom"/>
          </w:tcPr>
          <w:p w14:paraId="40CB107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7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07A"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07B" w14:textId="77777777" w:rsidR="00584FB3" w:rsidRDefault="00584FB3">
            <w:pPr>
              <w:jc w:val="right"/>
              <w:rPr>
                <w:rFonts w:ascii="宋体"/>
              </w:rPr>
            </w:pPr>
          </w:p>
        </w:tc>
      </w:tr>
      <w:tr w:rsidR="00584FB3" w14:paraId="40CB1083" w14:textId="77777777">
        <w:trPr>
          <w:jc w:val="center"/>
        </w:trPr>
        <w:tc>
          <w:tcPr>
            <w:tcW w:w="0" w:type="auto"/>
            <w:gridSpan w:val="3"/>
            <w:shd w:val="clear" w:color="auto" w:fill="D7E4BC"/>
            <w:tcMar>
              <w:top w:w="40" w:type="dxa"/>
              <w:left w:w="20" w:type="dxa"/>
              <w:bottom w:w="40" w:type="dxa"/>
              <w:right w:w="20" w:type="dxa"/>
            </w:tcMar>
          </w:tcPr>
          <w:p w14:paraId="40CB107D" w14:textId="77777777" w:rsidR="00584FB3" w:rsidRDefault="00786180">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40CB107E" w14:textId="77777777" w:rsidR="00584FB3" w:rsidRDefault="00786180">
            <w:pPr>
              <w:jc w:val="right"/>
              <w:textAlignment w:val="bottom"/>
            </w:pPr>
            <w:r>
              <w:rPr>
                <w:rFonts w:ascii="Times New Roman" w:eastAsia="宋体" w:hAnsi="Times New Roman"/>
                <w:color w:val="000000"/>
                <w:sz w:val="20"/>
                <w:szCs w:val="20"/>
              </w:rPr>
              <w:t>629.2 </w:t>
            </w:r>
          </w:p>
        </w:tc>
        <w:tc>
          <w:tcPr>
            <w:tcW w:w="0" w:type="auto"/>
            <w:shd w:val="clear" w:color="auto" w:fill="D7E4BC"/>
            <w:tcMar>
              <w:top w:w="40" w:type="dxa"/>
              <w:left w:w="0" w:type="dxa"/>
              <w:bottom w:w="40" w:type="dxa"/>
              <w:right w:w="20" w:type="dxa"/>
            </w:tcMar>
            <w:vAlign w:val="bottom"/>
          </w:tcPr>
          <w:p w14:paraId="40CB107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8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081" w14:textId="77777777" w:rsidR="00584FB3" w:rsidRDefault="00786180">
            <w:pPr>
              <w:jc w:val="right"/>
              <w:textAlignment w:val="bottom"/>
            </w:pPr>
            <w:r>
              <w:rPr>
                <w:rFonts w:ascii="Times New Roman" w:eastAsia="宋体" w:hAnsi="Times New Roman"/>
                <w:color w:val="000000"/>
                <w:sz w:val="20"/>
                <w:szCs w:val="20"/>
              </w:rPr>
              <w:t>677.2 </w:t>
            </w:r>
          </w:p>
        </w:tc>
        <w:tc>
          <w:tcPr>
            <w:tcW w:w="0" w:type="auto"/>
            <w:shd w:val="clear" w:color="auto" w:fill="D7E4BC"/>
            <w:tcMar>
              <w:top w:w="40" w:type="dxa"/>
              <w:left w:w="0" w:type="dxa"/>
              <w:bottom w:w="40" w:type="dxa"/>
              <w:right w:w="20" w:type="dxa"/>
            </w:tcMar>
            <w:vAlign w:val="bottom"/>
          </w:tcPr>
          <w:p w14:paraId="40CB1082" w14:textId="77777777" w:rsidR="00584FB3" w:rsidRDefault="00584FB3">
            <w:pPr>
              <w:jc w:val="right"/>
              <w:rPr>
                <w:rFonts w:ascii="宋体"/>
              </w:rPr>
            </w:pPr>
          </w:p>
        </w:tc>
      </w:tr>
      <w:tr w:rsidR="00584FB3" w14:paraId="40CB108A" w14:textId="77777777">
        <w:trPr>
          <w:jc w:val="center"/>
        </w:trPr>
        <w:tc>
          <w:tcPr>
            <w:tcW w:w="0" w:type="auto"/>
            <w:gridSpan w:val="3"/>
            <w:shd w:val="clear" w:color="auto" w:fill="FFFFFF"/>
            <w:tcMar>
              <w:top w:w="40" w:type="dxa"/>
              <w:left w:w="20" w:type="dxa"/>
              <w:bottom w:w="40" w:type="dxa"/>
              <w:right w:w="20" w:type="dxa"/>
            </w:tcMar>
          </w:tcPr>
          <w:p w14:paraId="40CB1084" w14:textId="77777777" w:rsidR="00584FB3" w:rsidRDefault="00786180">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40CB1085" w14:textId="77777777" w:rsidR="00584FB3" w:rsidRDefault="00786180">
            <w:pPr>
              <w:jc w:val="right"/>
              <w:textAlignment w:val="bottom"/>
            </w:pPr>
            <w:r>
              <w:rPr>
                <w:rFonts w:ascii="Times New Roman" w:eastAsia="宋体" w:hAnsi="Times New Roman"/>
                <w:color w:val="000000"/>
                <w:sz w:val="20"/>
                <w:szCs w:val="20"/>
              </w:rPr>
              <w:t>221.2 </w:t>
            </w:r>
          </w:p>
        </w:tc>
        <w:tc>
          <w:tcPr>
            <w:tcW w:w="0" w:type="auto"/>
            <w:shd w:val="clear" w:color="auto" w:fill="FFFFFF"/>
            <w:tcMar>
              <w:top w:w="40" w:type="dxa"/>
              <w:left w:w="0" w:type="dxa"/>
              <w:bottom w:w="40" w:type="dxa"/>
              <w:right w:w="20" w:type="dxa"/>
            </w:tcMar>
            <w:vAlign w:val="bottom"/>
          </w:tcPr>
          <w:p w14:paraId="40CB108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8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088" w14:textId="77777777" w:rsidR="00584FB3" w:rsidRDefault="00786180">
            <w:pPr>
              <w:jc w:val="right"/>
              <w:textAlignment w:val="bottom"/>
            </w:pPr>
            <w:r>
              <w:rPr>
                <w:rFonts w:ascii="Times New Roman" w:eastAsia="宋体" w:hAnsi="Times New Roman"/>
                <w:color w:val="000000"/>
                <w:sz w:val="20"/>
                <w:szCs w:val="20"/>
              </w:rPr>
              <w:t>243.9 </w:t>
            </w:r>
          </w:p>
        </w:tc>
        <w:tc>
          <w:tcPr>
            <w:tcW w:w="0" w:type="auto"/>
            <w:shd w:val="clear" w:color="auto" w:fill="FFFFFF"/>
            <w:tcMar>
              <w:top w:w="40" w:type="dxa"/>
              <w:left w:w="0" w:type="dxa"/>
              <w:bottom w:w="40" w:type="dxa"/>
              <w:right w:w="20" w:type="dxa"/>
            </w:tcMar>
            <w:vAlign w:val="bottom"/>
          </w:tcPr>
          <w:p w14:paraId="40CB1089" w14:textId="77777777" w:rsidR="00584FB3" w:rsidRDefault="00584FB3">
            <w:pPr>
              <w:jc w:val="right"/>
              <w:rPr>
                <w:rFonts w:ascii="宋体"/>
              </w:rPr>
            </w:pPr>
          </w:p>
        </w:tc>
      </w:tr>
      <w:tr w:rsidR="00584FB3" w14:paraId="40CB1091" w14:textId="77777777">
        <w:trPr>
          <w:jc w:val="center"/>
        </w:trPr>
        <w:tc>
          <w:tcPr>
            <w:tcW w:w="0" w:type="auto"/>
            <w:gridSpan w:val="3"/>
            <w:shd w:val="clear" w:color="auto" w:fill="D7E4BC"/>
            <w:tcMar>
              <w:top w:w="40" w:type="dxa"/>
              <w:left w:w="20" w:type="dxa"/>
              <w:bottom w:w="40" w:type="dxa"/>
              <w:right w:w="20" w:type="dxa"/>
            </w:tcMar>
          </w:tcPr>
          <w:p w14:paraId="40CB108B" w14:textId="77777777" w:rsidR="00584FB3" w:rsidRDefault="00786180">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40CB108C" w14:textId="77777777" w:rsidR="00584FB3" w:rsidRDefault="00786180">
            <w:pPr>
              <w:jc w:val="right"/>
              <w:textAlignment w:val="bottom"/>
            </w:pPr>
            <w:r>
              <w:rPr>
                <w:rFonts w:ascii="Times New Roman" w:eastAsia="宋体" w:hAnsi="Times New Roman"/>
                <w:color w:val="000000"/>
                <w:sz w:val="20"/>
                <w:szCs w:val="20"/>
              </w:rPr>
              <w:t>156.9 </w:t>
            </w:r>
          </w:p>
        </w:tc>
        <w:tc>
          <w:tcPr>
            <w:tcW w:w="0" w:type="auto"/>
            <w:shd w:val="clear" w:color="auto" w:fill="D7E4BC"/>
            <w:tcMar>
              <w:top w:w="40" w:type="dxa"/>
              <w:left w:w="0" w:type="dxa"/>
              <w:bottom w:w="40" w:type="dxa"/>
              <w:right w:w="20" w:type="dxa"/>
            </w:tcMar>
            <w:vAlign w:val="bottom"/>
          </w:tcPr>
          <w:p w14:paraId="40CB108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8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08F" w14:textId="77777777" w:rsidR="00584FB3" w:rsidRDefault="00786180">
            <w:pPr>
              <w:jc w:val="right"/>
              <w:textAlignment w:val="bottom"/>
            </w:pPr>
            <w:r>
              <w:rPr>
                <w:rFonts w:ascii="Times New Roman" w:eastAsia="宋体" w:hAnsi="Times New Roman"/>
                <w:color w:val="000000"/>
                <w:sz w:val="20"/>
                <w:szCs w:val="20"/>
              </w:rPr>
              <w:t>162.7 </w:t>
            </w:r>
          </w:p>
        </w:tc>
        <w:tc>
          <w:tcPr>
            <w:tcW w:w="0" w:type="auto"/>
            <w:shd w:val="clear" w:color="auto" w:fill="D7E4BC"/>
            <w:tcMar>
              <w:top w:w="40" w:type="dxa"/>
              <w:left w:w="0" w:type="dxa"/>
              <w:bottom w:w="40" w:type="dxa"/>
              <w:right w:w="20" w:type="dxa"/>
            </w:tcMar>
            <w:vAlign w:val="bottom"/>
          </w:tcPr>
          <w:p w14:paraId="40CB1090" w14:textId="77777777" w:rsidR="00584FB3" w:rsidRDefault="00584FB3">
            <w:pPr>
              <w:jc w:val="right"/>
              <w:rPr>
                <w:rFonts w:ascii="宋体"/>
              </w:rPr>
            </w:pPr>
          </w:p>
        </w:tc>
      </w:tr>
      <w:tr w:rsidR="00584FB3" w14:paraId="40CB109A" w14:textId="77777777">
        <w:trPr>
          <w:jc w:val="center"/>
        </w:trPr>
        <w:tc>
          <w:tcPr>
            <w:tcW w:w="0" w:type="auto"/>
            <w:gridSpan w:val="3"/>
            <w:shd w:val="clear" w:color="auto" w:fill="FFFFFF"/>
            <w:tcMar>
              <w:top w:w="40" w:type="dxa"/>
              <w:left w:w="20" w:type="dxa"/>
              <w:bottom w:w="40" w:type="dxa"/>
              <w:right w:w="20" w:type="dxa"/>
            </w:tcMar>
          </w:tcPr>
          <w:p w14:paraId="40CB1092" w14:textId="77777777" w:rsidR="00584FB3" w:rsidRDefault="00786180">
            <w:pPr>
              <w:textAlignment w:val="top"/>
            </w:pPr>
            <w:r>
              <w:rPr>
                <w:rFonts w:ascii="Times New Roman" w:eastAsia="宋体" w:hAnsi="Times New Roman"/>
                <w:color w:val="000000"/>
                <w:sz w:val="20"/>
                <w:szCs w:val="20"/>
              </w:rPr>
              <w:t xml:space="preserve">Total accrued </w:t>
            </w:r>
            <w:r>
              <w:rPr>
                <w:rFonts w:ascii="Times New Roman" w:eastAsia="宋体" w:hAnsi="Times New Roman"/>
                <w:color w:val="000000"/>
                <w:sz w:val="20"/>
                <w:szCs w:val="20"/>
              </w:rPr>
              <w:t>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093"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094" w14:textId="77777777" w:rsidR="00584FB3" w:rsidRDefault="00786180">
            <w:pPr>
              <w:jc w:val="right"/>
              <w:textAlignment w:val="bottom"/>
            </w:pPr>
            <w:r>
              <w:rPr>
                <w:rFonts w:ascii="Times New Roman" w:eastAsia="宋体" w:hAnsi="Times New Roman"/>
                <w:color w:val="000000"/>
                <w:sz w:val="20"/>
                <w:szCs w:val="20"/>
              </w:rPr>
              <w:t>1,616.9 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09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96"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097"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098" w14:textId="77777777" w:rsidR="00584FB3" w:rsidRDefault="00786180">
            <w:pPr>
              <w:jc w:val="right"/>
              <w:textAlignment w:val="bottom"/>
            </w:pPr>
            <w:r>
              <w:rPr>
                <w:rFonts w:ascii="Times New Roman" w:eastAsia="宋体" w:hAnsi="Times New Roman"/>
                <w:color w:val="000000"/>
                <w:sz w:val="20"/>
                <w:szCs w:val="20"/>
              </w:rPr>
              <w:t>1,160.7 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099" w14:textId="77777777" w:rsidR="00584FB3" w:rsidRDefault="00584FB3">
            <w:pPr>
              <w:jc w:val="right"/>
              <w:rPr>
                <w:rFonts w:ascii="宋体"/>
              </w:rPr>
            </w:pPr>
          </w:p>
        </w:tc>
      </w:tr>
    </w:tbl>
    <w:p w14:paraId="40CB109B" w14:textId="77777777" w:rsidR="00584FB3" w:rsidRDefault="00584FB3">
      <w:pPr>
        <w:jc w:val="center"/>
      </w:pPr>
    </w:p>
    <w:p w14:paraId="40CB109C" w14:textId="77777777" w:rsidR="00584FB3" w:rsidRDefault="00786180">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244"/>
        <w:gridCol w:w="37"/>
        <w:gridCol w:w="120"/>
        <w:gridCol w:w="1173"/>
        <w:gridCol w:w="36"/>
        <w:gridCol w:w="36"/>
        <w:gridCol w:w="36"/>
        <w:gridCol w:w="36"/>
        <w:gridCol w:w="120"/>
        <w:gridCol w:w="1136"/>
        <w:gridCol w:w="36"/>
        <w:gridCol w:w="36"/>
        <w:gridCol w:w="36"/>
        <w:gridCol w:w="36"/>
        <w:gridCol w:w="36"/>
        <w:gridCol w:w="36"/>
        <w:gridCol w:w="36"/>
        <w:gridCol w:w="36"/>
        <w:gridCol w:w="36"/>
      </w:tblGrid>
      <w:tr w:rsidR="00584FB3" w14:paraId="40CB10AD" w14:textId="77777777">
        <w:tc>
          <w:tcPr>
            <w:tcW w:w="50" w:type="pct"/>
            <w:shd w:val="clear" w:color="auto" w:fill="auto"/>
          </w:tcPr>
          <w:p w14:paraId="40CB109D" w14:textId="77777777" w:rsidR="00584FB3" w:rsidRDefault="00584FB3">
            <w:pPr>
              <w:rPr>
                <w:rFonts w:ascii="宋体"/>
              </w:rPr>
            </w:pPr>
          </w:p>
        </w:tc>
        <w:tc>
          <w:tcPr>
            <w:tcW w:w="3285" w:type="pct"/>
            <w:shd w:val="clear" w:color="auto" w:fill="auto"/>
          </w:tcPr>
          <w:p w14:paraId="40CB109E" w14:textId="77777777" w:rsidR="00584FB3" w:rsidRDefault="00584FB3">
            <w:pPr>
              <w:rPr>
                <w:rFonts w:ascii="宋体"/>
              </w:rPr>
            </w:pPr>
          </w:p>
        </w:tc>
        <w:tc>
          <w:tcPr>
            <w:tcW w:w="5" w:type="pct"/>
            <w:shd w:val="clear" w:color="auto" w:fill="auto"/>
          </w:tcPr>
          <w:p w14:paraId="40CB109F" w14:textId="77777777" w:rsidR="00584FB3" w:rsidRDefault="00584FB3">
            <w:pPr>
              <w:rPr>
                <w:rFonts w:ascii="宋体"/>
              </w:rPr>
            </w:pPr>
          </w:p>
        </w:tc>
        <w:tc>
          <w:tcPr>
            <w:tcW w:w="50" w:type="pct"/>
            <w:shd w:val="clear" w:color="auto" w:fill="auto"/>
          </w:tcPr>
          <w:p w14:paraId="40CB10A0" w14:textId="77777777" w:rsidR="00584FB3" w:rsidRDefault="00584FB3">
            <w:pPr>
              <w:rPr>
                <w:rFonts w:ascii="宋体"/>
              </w:rPr>
            </w:pPr>
          </w:p>
        </w:tc>
        <w:tc>
          <w:tcPr>
            <w:tcW w:w="756" w:type="pct"/>
            <w:shd w:val="clear" w:color="auto" w:fill="auto"/>
          </w:tcPr>
          <w:p w14:paraId="40CB10A1" w14:textId="77777777" w:rsidR="00584FB3" w:rsidRDefault="00584FB3">
            <w:pPr>
              <w:rPr>
                <w:rFonts w:ascii="宋体"/>
              </w:rPr>
            </w:pPr>
          </w:p>
        </w:tc>
        <w:tc>
          <w:tcPr>
            <w:tcW w:w="5" w:type="pct"/>
            <w:shd w:val="clear" w:color="auto" w:fill="auto"/>
          </w:tcPr>
          <w:p w14:paraId="40CB10A2" w14:textId="77777777" w:rsidR="00584FB3" w:rsidRDefault="00584FB3">
            <w:pPr>
              <w:rPr>
                <w:rFonts w:ascii="宋体"/>
              </w:rPr>
            </w:pPr>
          </w:p>
        </w:tc>
        <w:tc>
          <w:tcPr>
            <w:tcW w:w="5" w:type="pct"/>
            <w:shd w:val="clear" w:color="auto" w:fill="auto"/>
          </w:tcPr>
          <w:p w14:paraId="40CB10A3" w14:textId="77777777" w:rsidR="00584FB3" w:rsidRDefault="00584FB3">
            <w:pPr>
              <w:rPr>
                <w:rFonts w:ascii="宋体"/>
              </w:rPr>
            </w:pPr>
          </w:p>
        </w:tc>
        <w:tc>
          <w:tcPr>
            <w:tcW w:w="26" w:type="pct"/>
            <w:shd w:val="clear" w:color="auto" w:fill="auto"/>
          </w:tcPr>
          <w:p w14:paraId="40CB10A4" w14:textId="77777777" w:rsidR="00584FB3" w:rsidRDefault="00584FB3">
            <w:pPr>
              <w:rPr>
                <w:rFonts w:ascii="宋体"/>
              </w:rPr>
            </w:pPr>
          </w:p>
        </w:tc>
        <w:tc>
          <w:tcPr>
            <w:tcW w:w="5" w:type="pct"/>
            <w:shd w:val="clear" w:color="auto" w:fill="auto"/>
          </w:tcPr>
          <w:p w14:paraId="40CB10A5" w14:textId="77777777" w:rsidR="00584FB3" w:rsidRDefault="00584FB3">
            <w:pPr>
              <w:rPr>
                <w:rFonts w:ascii="宋体"/>
              </w:rPr>
            </w:pPr>
          </w:p>
        </w:tc>
        <w:tc>
          <w:tcPr>
            <w:tcW w:w="50" w:type="pct"/>
            <w:shd w:val="clear" w:color="auto" w:fill="auto"/>
          </w:tcPr>
          <w:p w14:paraId="40CB10A6" w14:textId="77777777" w:rsidR="00584FB3" w:rsidRDefault="00584FB3">
            <w:pPr>
              <w:rPr>
                <w:rFonts w:ascii="宋体"/>
              </w:rPr>
            </w:pPr>
          </w:p>
        </w:tc>
        <w:tc>
          <w:tcPr>
            <w:tcW w:w="756" w:type="pct"/>
            <w:shd w:val="clear" w:color="auto" w:fill="auto"/>
          </w:tcPr>
          <w:p w14:paraId="40CB10A7" w14:textId="77777777" w:rsidR="00584FB3" w:rsidRDefault="00584FB3">
            <w:pPr>
              <w:rPr>
                <w:rFonts w:ascii="宋体"/>
              </w:rPr>
            </w:pPr>
          </w:p>
        </w:tc>
        <w:tc>
          <w:tcPr>
            <w:tcW w:w="5" w:type="pct"/>
            <w:shd w:val="clear" w:color="auto" w:fill="auto"/>
          </w:tcPr>
          <w:p w14:paraId="40CB10A8" w14:textId="77777777" w:rsidR="00584FB3" w:rsidRDefault="00584FB3">
            <w:pPr>
              <w:rPr>
                <w:rFonts w:ascii="宋体"/>
              </w:rPr>
            </w:pPr>
          </w:p>
        </w:tc>
        <w:tc>
          <w:tcPr>
            <w:tcW w:w="0" w:type="auto"/>
            <w:shd w:val="clear" w:color="auto" w:fill="auto"/>
          </w:tcPr>
          <w:p w14:paraId="40CB10A9" w14:textId="77777777" w:rsidR="00584FB3" w:rsidRDefault="00584FB3">
            <w:pPr>
              <w:rPr>
                <w:rFonts w:ascii="宋体"/>
                <w:vanish/>
              </w:rPr>
            </w:pPr>
          </w:p>
        </w:tc>
        <w:tc>
          <w:tcPr>
            <w:tcW w:w="0" w:type="auto"/>
            <w:shd w:val="clear" w:color="auto" w:fill="auto"/>
          </w:tcPr>
          <w:p w14:paraId="40CB10AA" w14:textId="77777777" w:rsidR="00584FB3" w:rsidRDefault="00584FB3">
            <w:pPr>
              <w:rPr>
                <w:rFonts w:ascii="宋体"/>
                <w:vanish/>
              </w:rPr>
            </w:pPr>
          </w:p>
        </w:tc>
        <w:tc>
          <w:tcPr>
            <w:tcW w:w="0" w:type="auto"/>
            <w:gridSpan w:val="3"/>
            <w:shd w:val="clear" w:color="auto" w:fill="auto"/>
          </w:tcPr>
          <w:p w14:paraId="40CB10AB" w14:textId="77777777" w:rsidR="00584FB3" w:rsidRDefault="00584FB3">
            <w:pPr>
              <w:rPr>
                <w:rFonts w:ascii="宋体"/>
                <w:vanish/>
              </w:rPr>
            </w:pPr>
          </w:p>
        </w:tc>
        <w:tc>
          <w:tcPr>
            <w:tcW w:w="0" w:type="auto"/>
            <w:gridSpan w:val="3"/>
            <w:shd w:val="clear" w:color="auto" w:fill="auto"/>
          </w:tcPr>
          <w:p w14:paraId="40CB10AC" w14:textId="77777777" w:rsidR="00584FB3" w:rsidRDefault="00584FB3">
            <w:pPr>
              <w:rPr>
                <w:rFonts w:ascii="宋体"/>
                <w:vanish/>
              </w:rPr>
            </w:pPr>
          </w:p>
        </w:tc>
      </w:tr>
      <w:tr w:rsidR="00584FB3" w14:paraId="40CB10B8" w14:textId="77777777">
        <w:tc>
          <w:tcPr>
            <w:tcW w:w="0" w:type="auto"/>
            <w:gridSpan w:val="3"/>
            <w:shd w:val="clear" w:color="auto" w:fill="auto"/>
            <w:tcMar>
              <w:top w:w="0" w:type="dxa"/>
              <w:left w:w="20" w:type="dxa"/>
              <w:bottom w:w="0" w:type="dxa"/>
              <w:right w:w="20" w:type="dxa"/>
            </w:tcMar>
          </w:tcPr>
          <w:p w14:paraId="40CB10AE"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10AF"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0B0" w14:textId="77777777" w:rsidR="00584FB3" w:rsidRDefault="00584FB3">
            <w:pPr>
              <w:rPr>
                <w:rFonts w:ascii="宋体"/>
                <w:vanish/>
              </w:rPr>
            </w:pPr>
          </w:p>
        </w:tc>
        <w:tc>
          <w:tcPr>
            <w:tcW w:w="0" w:type="auto"/>
            <w:shd w:val="clear" w:color="auto" w:fill="auto"/>
          </w:tcPr>
          <w:p w14:paraId="40CB10B1" w14:textId="77777777" w:rsidR="00584FB3" w:rsidRDefault="00584FB3">
            <w:pPr>
              <w:rPr>
                <w:rFonts w:ascii="宋体"/>
                <w:vanish/>
              </w:rPr>
            </w:pPr>
          </w:p>
        </w:tc>
        <w:tc>
          <w:tcPr>
            <w:tcW w:w="0" w:type="auto"/>
            <w:shd w:val="clear" w:color="auto" w:fill="auto"/>
          </w:tcPr>
          <w:p w14:paraId="40CB10B2" w14:textId="77777777" w:rsidR="00584FB3" w:rsidRDefault="00584FB3">
            <w:pPr>
              <w:rPr>
                <w:rFonts w:ascii="宋体"/>
              </w:rPr>
            </w:pPr>
          </w:p>
        </w:tc>
        <w:tc>
          <w:tcPr>
            <w:tcW w:w="0" w:type="auto"/>
            <w:shd w:val="clear" w:color="auto" w:fill="auto"/>
          </w:tcPr>
          <w:p w14:paraId="40CB10B3" w14:textId="77777777" w:rsidR="00584FB3" w:rsidRDefault="00584FB3">
            <w:pPr>
              <w:rPr>
                <w:rFonts w:ascii="宋体"/>
              </w:rPr>
            </w:pPr>
          </w:p>
        </w:tc>
        <w:tc>
          <w:tcPr>
            <w:tcW w:w="0" w:type="auto"/>
            <w:shd w:val="clear" w:color="auto" w:fill="auto"/>
          </w:tcPr>
          <w:p w14:paraId="40CB10B4" w14:textId="77777777" w:rsidR="00584FB3" w:rsidRDefault="00584FB3">
            <w:pPr>
              <w:rPr>
                <w:rFonts w:ascii="宋体"/>
              </w:rPr>
            </w:pPr>
          </w:p>
        </w:tc>
        <w:tc>
          <w:tcPr>
            <w:tcW w:w="0" w:type="auto"/>
            <w:shd w:val="clear" w:color="auto" w:fill="auto"/>
          </w:tcPr>
          <w:p w14:paraId="40CB10B5" w14:textId="77777777" w:rsidR="00584FB3" w:rsidRDefault="00584FB3">
            <w:pPr>
              <w:rPr>
                <w:rFonts w:ascii="宋体"/>
              </w:rPr>
            </w:pPr>
          </w:p>
        </w:tc>
        <w:tc>
          <w:tcPr>
            <w:tcW w:w="0" w:type="auto"/>
            <w:shd w:val="clear" w:color="auto" w:fill="auto"/>
          </w:tcPr>
          <w:p w14:paraId="40CB10B6" w14:textId="77777777" w:rsidR="00584FB3" w:rsidRDefault="00584FB3">
            <w:pPr>
              <w:rPr>
                <w:rFonts w:ascii="宋体"/>
              </w:rPr>
            </w:pPr>
          </w:p>
        </w:tc>
        <w:tc>
          <w:tcPr>
            <w:tcW w:w="0" w:type="auto"/>
            <w:shd w:val="clear" w:color="auto" w:fill="auto"/>
          </w:tcPr>
          <w:p w14:paraId="40CB10B7" w14:textId="77777777" w:rsidR="00584FB3" w:rsidRDefault="00584FB3">
            <w:pPr>
              <w:rPr>
                <w:rFonts w:ascii="宋体"/>
              </w:rPr>
            </w:pPr>
          </w:p>
        </w:tc>
      </w:tr>
      <w:tr w:rsidR="00584FB3" w14:paraId="40CB10C1" w14:textId="77777777">
        <w:tc>
          <w:tcPr>
            <w:tcW w:w="0" w:type="auto"/>
            <w:gridSpan w:val="3"/>
            <w:shd w:val="clear" w:color="auto" w:fill="auto"/>
            <w:tcMar>
              <w:top w:w="0" w:type="dxa"/>
              <w:left w:w="20" w:type="dxa"/>
              <w:bottom w:w="0" w:type="dxa"/>
              <w:right w:w="20" w:type="dxa"/>
            </w:tcMar>
          </w:tcPr>
          <w:p w14:paraId="40CB10B9"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0BA"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0BB"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0BC"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shd w:val="clear" w:color="auto" w:fill="auto"/>
          </w:tcPr>
          <w:p w14:paraId="40CB10BD" w14:textId="77777777" w:rsidR="00584FB3" w:rsidRDefault="00584FB3">
            <w:pPr>
              <w:rPr>
                <w:rFonts w:ascii="宋体"/>
                <w:vanish/>
              </w:rPr>
            </w:pPr>
          </w:p>
        </w:tc>
        <w:tc>
          <w:tcPr>
            <w:tcW w:w="0" w:type="auto"/>
            <w:shd w:val="clear" w:color="auto" w:fill="auto"/>
          </w:tcPr>
          <w:p w14:paraId="40CB10BE" w14:textId="77777777" w:rsidR="00584FB3" w:rsidRDefault="00584FB3">
            <w:pPr>
              <w:rPr>
                <w:rFonts w:ascii="宋体"/>
                <w:vanish/>
              </w:rPr>
            </w:pPr>
          </w:p>
        </w:tc>
        <w:tc>
          <w:tcPr>
            <w:tcW w:w="0" w:type="auto"/>
            <w:gridSpan w:val="3"/>
            <w:shd w:val="clear" w:color="auto" w:fill="auto"/>
          </w:tcPr>
          <w:p w14:paraId="40CB10BF" w14:textId="77777777" w:rsidR="00584FB3" w:rsidRDefault="00584FB3">
            <w:pPr>
              <w:rPr>
                <w:rFonts w:ascii="宋体"/>
                <w:vanish/>
              </w:rPr>
            </w:pPr>
          </w:p>
        </w:tc>
        <w:tc>
          <w:tcPr>
            <w:tcW w:w="0" w:type="auto"/>
            <w:gridSpan w:val="3"/>
            <w:shd w:val="clear" w:color="auto" w:fill="auto"/>
          </w:tcPr>
          <w:p w14:paraId="40CB10C0" w14:textId="77777777" w:rsidR="00584FB3" w:rsidRDefault="00584FB3">
            <w:pPr>
              <w:rPr>
                <w:rFonts w:ascii="宋体"/>
                <w:vanish/>
              </w:rPr>
            </w:pPr>
          </w:p>
        </w:tc>
      </w:tr>
      <w:tr w:rsidR="00584FB3" w14:paraId="40CB10CE" w14:textId="77777777">
        <w:tc>
          <w:tcPr>
            <w:tcW w:w="0" w:type="auto"/>
            <w:gridSpan w:val="3"/>
            <w:shd w:val="clear" w:color="auto" w:fill="D7E4BC"/>
            <w:tcMar>
              <w:top w:w="40" w:type="dxa"/>
              <w:left w:w="20" w:type="dxa"/>
              <w:bottom w:w="40" w:type="dxa"/>
              <w:right w:w="20" w:type="dxa"/>
            </w:tcMar>
          </w:tcPr>
          <w:p w14:paraId="40CB10C2" w14:textId="77777777" w:rsidR="00584FB3" w:rsidRDefault="00786180">
            <w:pPr>
              <w:textAlignment w:val="top"/>
            </w:pPr>
            <w:r>
              <w:rPr>
                <w:rFonts w:ascii="Times New Roman" w:eastAsia="宋体" w:hAnsi="Times New Roman"/>
                <w:color w:val="000000"/>
                <w:sz w:val="20"/>
                <w:szCs w:val="20"/>
              </w:rPr>
              <w:t>Wages and benefits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0C3"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0C4" w14:textId="77777777" w:rsidR="00584FB3" w:rsidRDefault="00786180">
            <w:pPr>
              <w:jc w:val="right"/>
              <w:textAlignment w:val="bottom"/>
            </w:pPr>
            <w:r>
              <w:rPr>
                <w:rFonts w:ascii="Times New Roman" w:eastAsia="宋体" w:hAnsi="Times New Roman"/>
                <w:color w:val="000000"/>
                <w:sz w:val="20"/>
                <w:szCs w:val="20"/>
              </w:rPr>
              <w:t>1,606.2 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0C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C6"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0C7"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0C8" w14:textId="77777777" w:rsidR="00584FB3" w:rsidRDefault="00786180">
            <w:pPr>
              <w:jc w:val="right"/>
              <w:textAlignment w:val="bottom"/>
            </w:pPr>
            <w:r>
              <w:rPr>
                <w:rFonts w:ascii="Times New Roman" w:eastAsia="宋体" w:hAnsi="Times New Roman"/>
                <w:color w:val="000000"/>
                <w:sz w:val="20"/>
                <w:szCs w:val="20"/>
              </w:rPr>
              <w:t>1,598.0 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0C9" w14:textId="77777777" w:rsidR="00584FB3" w:rsidRDefault="00584FB3">
            <w:pPr>
              <w:jc w:val="right"/>
              <w:rPr>
                <w:rFonts w:ascii="宋体"/>
              </w:rPr>
            </w:pPr>
          </w:p>
        </w:tc>
        <w:tc>
          <w:tcPr>
            <w:tcW w:w="0" w:type="auto"/>
            <w:shd w:val="clear" w:color="auto" w:fill="auto"/>
          </w:tcPr>
          <w:p w14:paraId="40CB10CA" w14:textId="77777777" w:rsidR="00584FB3" w:rsidRDefault="00584FB3">
            <w:pPr>
              <w:rPr>
                <w:rFonts w:ascii="宋体"/>
                <w:vanish/>
              </w:rPr>
            </w:pPr>
          </w:p>
        </w:tc>
        <w:tc>
          <w:tcPr>
            <w:tcW w:w="0" w:type="auto"/>
            <w:shd w:val="clear" w:color="auto" w:fill="auto"/>
          </w:tcPr>
          <w:p w14:paraId="40CB10CB" w14:textId="77777777" w:rsidR="00584FB3" w:rsidRDefault="00584FB3">
            <w:pPr>
              <w:rPr>
                <w:rFonts w:ascii="宋体"/>
                <w:vanish/>
              </w:rPr>
            </w:pPr>
          </w:p>
        </w:tc>
        <w:tc>
          <w:tcPr>
            <w:tcW w:w="0" w:type="auto"/>
            <w:gridSpan w:val="3"/>
            <w:shd w:val="clear" w:color="auto" w:fill="auto"/>
          </w:tcPr>
          <w:p w14:paraId="40CB10CC" w14:textId="77777777" w:rsidR="00584FB3" w:rsidRDefault="00584FB3">
            <w:pPr>
              <w:rPr>
                <w:rFonts w:ascii="宋体"/>
                <w:vanish/>
              </w:rPr>
            </w:pPr>
          </w:p>
        </w:tc>
        <w:tc>
          <w:tcPr>
            <w:tcW w:w="0" w:type="auto"/>
            <w:gridSpan w:val="3"/>
            <w:shd w:val="clear" w:color="auto" w:fill="auto"/>
          </w:tcPr>
          <w:p w14:paraId="40CB10CD" w14:textId="77777777" w:rsidR="00584FB3" w:rsidRDefault="00584FB3">
            <w:pPr>
              <w:rPr>
                <w:rFonts w:ascii="宋体"/>
                <w:vanish/>
              </w:rPr>
            </w:pPr>
          </w:p>
        </w:tc>
      </w:tr>
      <w:tr w:rsidR="00584FB3" w14:paraId="40CB10D9" w14:textId="77777777">
        <w:tc>
          <w:tcPr>
            <w:tcW w:w="0" w:type="auto"/>
            <w:gridSpan w:val="3"/>
            <w:shd w:val="clear" w:color="auto" w:fill="FFFFFF"/>
            <w:tcMar>
              <w:top w:w="40" w:type="dxa"/>
              <w:left w:w="20" w:type="dxa"/>
              <w:bottom w:w="40" w:type="dxa"/>
              <w:right w:w="20" w:type="dxa"/>
            </w:tcMar>
          </w:tcPr>
          <w:p w14:paraId="40CB10CF" w14:textId="77777777" w:rsidR="00584FB3" w:rsidRDefault="00786180">
            <w:pPr>
              <w:textAlignment w:val="top"/>
            </w:pPr>
            <w:r>
              <w:rPr>
                <w:rFonts w:ascii="Times New Roman" w:eastAsia="宋体" w:hAnsi="Times New Roman"/>
                <w:color w:val="000000"/>
                <w:sz w:val="20"/>
                <w:szCs w:val="20"/>
              </w:rPr>
              <w:t>Occupancy costs</w:t>
            </w:r>
          </w:p>
        </w:tc>
        <w:tc>
          <w:tcPr>
            <w:tcW w:w="0" w:type="auto"/>
            <w:gridSpan w:val="2"/>
            <w:shd w:val="clear" w:color="auto" w:fill="FFFFFF"/>
            <w:tcMar>
              <w:top w:w="40" w:type="dxa"/>
              <w:left w:w="20" w:type="dxa"/>
              <w:bottom w:w="40" w:type="dxa"/>
              <w:right w:w="0" w:type="dxa"/>
            </w:tcMar>
            <w:vAlign w:val="bottom"/>
          </w:tcPr>
          <w:p w14:paraId="40CB10D0" w14:textId="77777777" w:rsidR="00584FB3" w:rsidRDefault="00786180">
            <w:pPr>
              <w:jc w:val="right"/>
              <w:textAlignment w:val="bottom"/>
            </w:pPr>
            <w:r>
              <w:rPr>
                <w:rFonts w:ascii="Times New Roman" w:eastAsia="宋体" w:hAnsi="Times New Roman"/>
                <w:color w:val="000000"/>
                <w:sz w:val="20"/>
                <w:szCs w:val="20"/>
              </w:rPr>
              <w:t>628.1 </w:t>
            </w:r>
          </w:p>
        </w:tc>
        <w:tc>
          <w:tcPr>
            <w:tcW w:w="0" w:type="auto"/>
            <w:shd w:val="clear" w:color="auto" w:fill="FFFFFF"/>
            <w:tcMar>
              <w:top w:w="40" w:type="dxa"/>
              <w:left w:w="0" w:type="dxa"/>
              <w:bottom w:w="40" w:type="dxa"/>
              <w:right w:w="20" w:type="dxa"/>
            </w:tcMar>
            <w:vAlign w:val="bottom"/>
          </w:tcPr>
          <w:p w14:paraId="40CB10D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D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0D3" w14:textId="77777777" w:rsidR="00584FB3" w:rsidRDefault="00786180">
            <w:pPr>
              <w:jc w:val="right"/>
              <w:textAlignment w:val="bottom"/>
            </w:pPr>
            <w:r>
              <w:rPr>
                <w:rFonts w:ascii="Times New Roman" w:eastAsia="宋体" w:hAnsi="Times New Roman"/>
                <w:color w:val="000000"/>
                <w:sz w:val="20"/>
                <w:szCs w:val="20"/>
              </w:rPr>
              <w:t>618.7 </w:t>
            </w:r>
          </w:p>
        </w:tc>
        <w:tc>
          <w:tcPr>
            <w:tcW w:w="0" w:type="auto"/>
            <w:shd w:val="clear" w:color="auto" w:fill="FFFFFF"/>
            <w:tcMar>
              <w:top w:w="40" w:type="dxa"/>
              <w:left w:w="0" w:type="dxa"/>
              <w:bottom w:w="40" w:type="dxa"/>
              <w:right w:w="20" w:type="dxa"/>
            </w:tcMar>
            <w:vAlign w:val="bottom"/>
          </w:tcPr>
          <w:p w14:paraId="40CB10D4" w14:textId="77777777" w:rsidR="00584FB3" w:rsidRDefault="00584FB3">
            <w:pPr>
              <w:jc w:val="right"/>
              <w:rPr>
                <w:rFonts w:ascii="宋体"/>
              </w:rPr>
            </w:pPr>
          </w:p>
        </w:tc>
        <w:tc>
          <w:tcPr>
            <w:tcW w:w="0" w:type="auto"/>
            <w:shd w:val="clear" w:color="auto" w:fill="auto"/>
          </w:tcPr>
          <w:p w14:paraId="40CB10D5" w14:textId="77777777" w:rsidR="00584FB3" w:rsidRDefault="00584FB3">
            <w:pPr>
              <w:rPr>
                <w:rFonts w:ascii="宋体"/>
                <w:vanish/>
              </w:rPr>
            </w:pPr>
          </w:p>
        </w:tc>
        <w:tc>
          <w:tcPr>
            <w:tcW w:w="0" w:type="auto"/>
            <w:shd w:val="clear" w:color="auto" w:fill="auto"/>
          </w:tcPr>
          <w:p w14:paraId="40CB10D6" w14:textId="77777777" w:rsidR="00584FB3" w:rsidRDefault="00584FB3">
            <w:pPr>
              <w:rPr>
                <w:rFonts w:ascii="宋体"/>
                <w:vanish/>
              </w:rPr>
            </w:pPr>
          </w:p>
        </w:tc>
        <w:tc>
          <w:tcPr>
            <w:tcW w:w="0" w:type="auto"/>
            <w:gridSpan w:val="3"/>
            <w:shd w:val="clear" w:color="auto" w:fill="auto"/>
          </w:tcPr>
          <w:p w14:paraId="40CB10D7" w14:textId="77777777" w:rsidR="00584FB3" w:rsidRDefault="00584FB3">
            <w:pPr>
              <w:rPr>
                <w:rFonts w:ascii="宋体"/>
                <w:vanish/>
              </w:rPr>
            </w:pPr>
          </w:p>
        </w:tc>
        <w:tc>
          <w:tcPr>
            <w:tcW w:w="0" w:type="auto"/>
            <w:gridSpan w:val="3"/>
            <w:shd w:val="clear" w:color="auto" w:fill="auto"/>
          </w:tcPr>
          <w:p w14:paraId="40CB10D8" w14:textId="77777777" w:rsidR="00584FB3" w:rsidRDefault="00584FB3">
            <w:pPr>
              <w:rPr>
                <w:rFonts w:ascii="宋体"/>
                <w:vanish/>
              </w:rPr>
            </w:pPr>
          </w:p>
        </w:tc>
      </w:tr>
      <w:tr w:rsidR="00584FB3" w14:paraId="40CB10E4" w14:textId="77777777">
        <w:tc>
          <w:tcPr>
            <w:tcW w:w="0" w:type="auto"/>
            <w:gridSpan w:val="3"/>
            <w:shd w:val="clear" w:color="auto" w:fill="D7E4BC"/>
            <w:tcMar>
              <w:top w:w="40" w:type="dxa"/>
              <w:left w:w="20" w:type="dxa"/>
              <w:bottom w:w="40" w:type="dxa"/>
              <w:right w:w="20" w:type="dxa"/>
            </w:tcMar>
          </w:tcPr>
          <w:p w14:paraId="40CB10DA" w14:textId="77777777" w:rsidR="00584FB3" w:rsidRDefault="00786180">
            <w:pPr>
              <w:textAlignment w:val="top"/>
            </w:pPr>
            <w:r>
              <w:rPr>
                <w:rFonts w:ascii="Times New Roman" w:eastAsia="宋体" w:hAnsi="Times New Roman"/>
                <w:color w:val="000000"/>
                <w:sz w:val="20"/>
                <w:szCs w:val="20"/>
              </w:rPr>
              <w:t>Other expenses</w:t>
            </w:r>
          </w:p>
        </w:tc>
        <w:tc>
          <w:tcPr>
            <w:tcW w:w="0" w:type="auto"/>
            <w:gridSpan w:val="2"/>
            <w:shd w:val="clear" w:color="auto" w:fill="D7E4BC"/>
            <w:tcMar>
              <w:top w:w="40" w:type="dxa"/>
              <w:left w:w="20" w:type="dxa"/>
              <w:bottom w:w="40" w:type="dxa"/>
              <w:right w:w="0" w:type="dxa"/>
            </w:tcMar>
            <w:vAlign w:val="bottom"/>
          </w:tcPr>
          <w:p w14:paraId="40CB10DB" w14:textId="77777777" w:rsidR="00584FB3" w:rsidRDefault="00786180">
            <w:pPr>
              <w:jc w:val="right"/>
              <w:textAlignment w:val="bottom"/>
            </w:pPr>
            <w:r>
              <w:rPr>
                <w:rFonts w:ascii="Times New Roman" w:eastAsia="宋体" w:hAnsi="Times New Roman"/>
                <w:color w:val="000000"/>
                <w:sz w:val="20"/>
                <w:szCs w:val="20"/>
              </w:rPr>
              <w:t>633.0 </w:t>
            </w:r>
          </w:p>
        </w:tc>
        <w:tc>
          <w:tcPr>
            <w:tcW w:w="0" w:type="auto"/>
            <w:shd w:val="clear" w:color="auto" w:fill="D7E4BC"/>
            <w:tcMar>
              <w:top w:w="40" w:type="dxa"/>
              <w:left w:w="0" w:type="dxa"/>
              <w:bottom w:w="40" w:type="dxa"/>
              <w:right w:w="20" w:type="dxa"/>
            </w:tcMar>
            <w:vAlign w:val="bottom"/>
          </w:tcPr>
          <w:p w14:paraId="40CB10D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0D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0DE" w14:textId="77777777" w:rsidR="00584FB3" w:rsidRDefault="00786180">
            <w:pPr>
              <w:jc w:val="right"/>
              <w:textAlignment w:val="bottom"/>
            </w:pPr>
            <w:r>
              <w:rPr>
                <w:rFonts w:ascii="Times New Roman" w:eastAsia="宋体" w:hAnsi="Times New Roman"/>
                <w:color w:val="000000"/>
                <w:sz w:val="20"/>
                <w:szCs w:val="20"/>
              </w:rPr>
              <w:t>604.8 </w:t>
            </w:r>
          </w:p>
        </w:tc>
        <w:tc>
          <w:tcPr>
            <w:tcW w:w="0" w:type="auto"/>
            <w:shd w:val="clear" w:color="auto" w:fill="D7E4BC"/>
            <w:tcMar>
              <w:top w:w="40" w:type="dxa"/>
              <w:left w:w="0" w:type="dxa"/>
              <w:bottom w:w="40" w:type="dxa"/>
              <w:right w:w="20" w:type="dxa"/>
            </w:tcMar>
            <w:vAlign w:val="bottom"/>
          </w:tcPr>
          <w:p w14:paraId="40CB10DF" w14:textId="77777777" w:rsidR="00584FB3" w:rsidRDefault="00584FB3">
            <w:pPr>
              <w:jc w:val="right"/>
              <w:rPr>
                <w:rFonts w:ascii="宋体"/>
              </w:rPr>
            </w:pPr>
          </w:p>
        </w:tc>
        <w:tc>
          <w:tcPr>
            <w:tcW w:w="0" w:type="auto"/>
            <w:shd w:val="clear" w:color="auto" w:fill="auto"/>
          </w:tcPr>
          <w:p w14:paraId="40CB10E0" w14:textId="77777777" w:rsidR="00584FB3" w:rsidRDefault="00584FB3">
            <w:pPr>
              <w:rPr>
                <w:rFonts w:ascii="宋体"/>
                <w:vanish/>
              </w:rPr>
            </w:pPr>
          </w:p>
        </w:tc>
        <w:tc>
          <w:tcPr>
            <w:tcW w:w="0" w:type="auto"/>
            <w:shd w:val="clear" w:color="auto" w:fill="auto"/>
          </w:tcPr>
          <w:p w14:paraId="40CB10E1" w14:textId="77777777" w:rsidR="00584FB3" w:rsidRDefault="00584FB3">
            <w:pPr>
              <w:rPr>
                <w:rFonts w:ascii="宋体"/>
                <w:vanish/>
              </w:rPr>
            </w:pPr>
          </w:p>
        </w:tc>
        <w:tc>
          <w:tcPr>
            <w:tcW w:w="0" w:type="auto"/>
            <w:gridSpan w:val="3"/>
            <w:shd w:val="clear" w:color="auto" w:fill="auto"/>
          </w:tcPr>
          <w:p w14:paraId="40CB10E2" w14:textId="77777777" w:rsidR="00584FB3" w:rsidRDefault="00584FB3">
            <w:pPr>
              <w:rPr>
                <w:rFonts w:ascii="宋体"/>
                <w:vanish/>
              </w:rPr>
            </w:pPr>
          </w:p>
        </w:tc>
        <w:tc>
          <w:tcPr>
            <w:tcW w:w="0" w:type="auto"/>
            <w:gridSpan w:val="3"/>
            <w:shd w:val="clear" w:color="auto" w:fill="auto"/>
          </w:tcPr>
          <w:p w14:paraId="40CB10E3" w14:textId="77777777" w:rsidR="00584FB3" w:rsidRDefault="00584FB3">
            <w:pPr>
              <w:rPr>
                <w:rFonts w:ascii="宋体"/>
                <w:vanish/>
              </w:rPr>
            </w:pPr>
          </w:p>
        </w:tc>
      </w:tr>
      <w:tr w:rsidR="00584FB3" w14:paraId="40CB10F1" w14:textId="77777777">
        <w:tc>
          <w:tcPr>
            <w:tcW w:w="0" w:type="auto"/>
            <w:gridSpan w:val="3"/>
            <w:shd w:val="clear" w:color="auto" w:fill="FFFFFF"/>
            <w:tcMar>
              <w:top w:w="40" w:type="dxa"/>
              <w:left w:w="20" w:type="dxa"/>
              <w:bottom w:w="40" w:type="dxa"/>
              <w:right w:w="20" w:type="dxa"/>
            </w:tcMar>
          </w:tcPr>
          <w:p w14:paraId="40CB10E5" w14:textId="77777777" w:rsidR="00584FB3" w:rsidRDefault="00786180">
            <w:pPr>
              <w:textAlignment w:val="top"/>
            </w:pPr>
            <w:r>
              <w:rPr>
                <w:rFonts w:ascii="Times New Roman" w:eastAsia="宋体" w:hAnsi="Times New Roman"/>
                <w:color w:val="000000"/>
                <w:sz w:val="20"/>
                <w:szCs w:val="20"/>
              </w:rPr>
              <w:t>Total store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0E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0E7" w14:textId="77777777" w:rsidR="00584FB3" w:rsidRDefault="00786180">
            <w:pPr>
              <w:jc w:val="right"/>
              <w:textAlignment w:val="bottom"/>
            </w:pPr>
            <w:r>
              <w:rPr>
                <w:rFonts w:ascii="Times New Roman" w:eastAsia="宋体" w:hAnsi="Times New Roman"/>
                <w:color w:val="000000"/>
                <w:sz w:val="20"/>
                <w:szCs w:val="20"/>
              </w:rPr>
              <w:t>2,867.3 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0E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0E9"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0EA"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0EB" w14:textId="77777777" w:rsidR="00584FB3" w:rsidRDefault="00786180">
            <w:pPr>
              <w:jc w:val="right"/>
              <w:textAlignment w:val="bottom"/>
            </w:pPr>
            <w:r>
              <w:rPr>
                <w:rFonts w:ascii="Times New Roman" w:eastAsia="宋体" w:hAnsi="Times New Roman"/>
                <w:color w:val="000000"/>
                <w:sz w:val="20"/>
                <w:szCs w:val="20"/>
              </w:rPr>
              <w:t>2,821.5 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0EC" w14:textId="77777777" w:rsidR="00584FB3" w:rsidRDefault="00584FB3">
            <w:pPr>
              <w:jc w:val="right"/>
              <w:rPr>
                <w:rFonts w:ascii="宋体"/>
              </w:rPr>
            </w:pPr>
          </w:p>
        </w:tc>
        <w:tc>
          <w:tcPr>
            <w:tcW w:w="0" w:type="auto"/>
            <w:shd w:val="clear" w:color="auto" w:fill="auto"/>
          </w:tcPr>
          <w:p w14:paraId="40CB10ED" w14:textId="77777777" w:rsidR="00584FB3" w:rsidRDefault="00584FB3">
            <w:pPr>
              <w:rPr>
                <w:rFonts w:ascii="宋体"/>
                <w:vanish/>
              </w:rPr>
            </w:pPr>
          </w:p>
        </w:tc>
        <w:tc>
          <w:tcPr>
            <w:tcW w:w="0" w:type="auto"/>
            <w:shd w:val="clear" w:color="auto" w:fill="auto"/>
          </w:tcPr>
          <w:p w14:paraId="40CB10EE" w14:textId="77777777" w:rsidR="00584FB3" w:rsidRDefault="00584FB3">
            <w:pPr>
              <w:rPr>
                <w:rFonts w:ascii="宋体"/>
                <w:vanish/>
              </w:rPr>
            </w:pPr>
          </w:p>
        </w:tc>
        <w:tc>
          <w:tcPr>
            <w:tcW w:w="0" w:type="auto"/>
            <w:gridSpan w:val="3"/>
            <w:shd w:val="clear" w:color="auto" w:fill="auto"/>
          </w:tcPr>
          <w:p w14:paraId="40CB10EF" w14:textId="77777777" w:rsidR="00584FB3" w:rsidRDefault="00584FB3">
            <w:pPr>
              <w:rPr>
                <w:rFonts w:ascii="宋体"/>
                <w:vanish/>
              </w:rPr>
            </w:pPr>
          </w:p>
        </w:tc>
        <w:tc>
          <w:tcPr>
            <w:tcW w:w="0" w:type="auto"/>
            <w:gridSpan w:val="3"/>
            <w:shd w:val="clear" w:color="auto" w:fill="auto"/>
          </w:tcPr>
          <w:p w14:paraId="40CB10F0" w14:textId="77777777" w:rsidR="00584FB3" w:rsidRDefault="00584FB3">
            <w:pPr>
              <w:rPr>
                <w:rFonts w:ascii="宋体"/>
                <w:vanish/>
              </w:rPr>
            </w:pPr>
          </w:p>
        </w:tc>
      </w:tr>
    </w:tbl>
    <w:p w14:paraId="40CB10F2" w14:textId="77777777" w:rsidR="00584FB3" w:rsidRDefault="00584FB3">
      <w:pPr>
        <w:spacing w:before="120"/>
      </w:pPr>
    </w:p>
    <w:p w14:paraId="40CB10F3" w14:textId="77777777" w:rsidR="00584FB3" w:rsidRDefault="00786180">
      <w:pPr>
        <w:spacing w:before="120"/>
      </w:pPr>
      <w:r>
        <w:rPr>
          <w:rFonts w:ascii="Times New Roman" w:eastAsia="宋体" w:hAnsi="Times New Roman"/>
          <w:b/>
          <w:bCs/>
          <w:color w:val="000000"/>
          <w:sz w:val="20"/>
          <w:szCs w:val="20"/>
        </w:rPr>
        <w:t>Note 6:</w:t>
      </w:r>
      <w:r>
        <w:rPr>
          <w:rFonts w:ascii="Times New Roman" w:eastAsia="宋体" w:hAnsi="Times New Roman"/>
          <w:b/>
          <w:bCs/>
          <w:color w:val="000000"/>
          <w:sz w:val="20"/>
          <w:szCs w:val="20"/>
        </w:rPr>
        <w:t xml:space="preserve"> Other Intangible Assets and Goodwill</w:t>
      </w:r>
    </w:p>
    <w:p w14:paraId="40CB10F4" w14:textId="77777777" w:rsidR="00584FB3" w:rsidRDefault="00786180">
      <w:pPr>
        <w:spacing w:before="120"/>
      </w:pPr>
      <w:r>
        <w:rPr>
          <w:rFonts w:ascii="Times New Roman" w:eastAsia="宋体" w:hAnsi="Times New Roman"/>
          <w:b/>
          <w:bCs/>
          <w:i/>
          <w:iCs/>
          <w:color w:val="000000"/>
          <w:sz w:val="20"/>
          <w:szCs w:val="20"/>
        </w:rPr>
        <w:t>Indefinite-Lived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36"/>
        <w:gridCol w:w="37"/>
        <w:gridCol w:w="120"/>
        <w:gridCol w:w="1218"/>
        <w:gridCol w:w="36"/>
        <w:gridCol w:w="36"/>
        <w:gridCol w:w="36"/>
        <w:gridCol w:w="36"/>
        <w:gridCol w:w="120"/>
        <w:gridCol w:w="1184"/>
        <w:gridCol w:w="36"/>
      </w:tblGrid>
      <w:tr w:rsidR="00584FB3" w14:paraId="40CB1101" w14:textId="77777777">
        <w:trPr>
          <w:jc w:val="center"/>
        </w:trPr>
        <w:tc>
          <w:tcPr>
            <w:tcW w:w="50" w:type="pct"/>
            <w:shd w:val="clear" w:color="auto" w:fill="auto"/>
          </w:tcPr>
          <w:p w14:paraId="40CB10F5" w14:textId="77777777" w:rsidR="00584FB3" w:rsidRDefault="00584FB3">
            <w:pPr>
              <w:rPr>
                <w:rFonts w:ascii="宋体"/>
              </w:rPr>
            </w:pPr>
          </w:p>
        </w:tc>
        <w:tc>
          <w:tcPr>
            <w:tcW w:w="3285" w:type="pct"/>
            <w:shd w:val="clear" w:color="auto" w:fill="auto"/>
          </w:tcPr>
          <w:p w14:paraId="40CB10F6" w14:textId="77777777" w:rsidR="00584FB3" w:rsidRDefault="00584FB3">
            <w:pPr>
              <w:rPr>
                <w:rFonts w:ascii="宋体"/>
              </w:rPr>
            </w:pPr>
          </w:p>
        </w:tc>
        <w:tc>
          <w:tcPr>
            <w:tcW w:w="5" w:type="pct"/>
            <w:shd w:val="clear" w:color="auto" w:fill="auto"/>
          </w:tcPr>
          <w:p w14:paraId="40CB10F7" w14:textId="77777777" w:rsidR="00584FB3" w:rsidRDefault="00584FB3">
            <w:pPr>
              <w:rPr>
                <w:rFonts w:ascii="宋体"/>
              </w:rPr>
            </w:pPr>
          </w:p>
        </w:tc>
        <w:tc>
          <w:tcPr>
            <w:tcW w:w="50" w:type="pct"/>
            <w:shd w:val="clear" w:color="auto" w:fill="auto"/>
          </w:tcPr>
          <w:p w14:paraId="40CB10F8" w14:textId="77777777" w:rsidR="00584FB3" w:rsidRDefault="00584FB3">
            <w:pPr>
              <w:rPr>
                <w:rFonts w:ascii="宋体"/>
              </w:rPr>
            </w:pPr>
          </w:p>
        </w:tc>
        <w:tc>
          <w:tcPr>
            <w:tcW w:w="756" w:type="pct"/>
            <w:shd w:val="clear" w:color="auto" w:fill="auto"/>
          </w:tcPr>
          <w:p w14:paraId="40CB10F9" w14:textId="77777777" w:rsidR="00584FB3" w:rsidRDefault="00584FB3">
            <w:pPr>
              <w:rPr>
                <w:rFonts w:ascii="宋体"/>
              </w:rPr>
            </w:pPr>
          </w:p>
        </w:tc>
        <w:tc>
          <w:tcPr>
            <w:tcW w:w="5" w:type="pct"/>
            <w:shd w:val="clear" w:color="auto" w:fill="auto"/>
          </w:tcPr>
          <w:p w14:paraId="40CB10FA" w14:textId="77777777" w:rsidR="00584FB3" w:rsidRDefault="00584FB3">
            <w:pPr>
              <w:rPr>
                <w:rFonts w:ascii="宋体"/>
              </w:rPr>
            </w:pPr>
          </w:p>
        </w:tc>
        <w:tc>
          <w:tcPr>
            <w:tcW w:w="5" w:type="pct"/>
            <w:shd w:val="clear" w:color="auto" w:fill="auto"/>
          </w:tcPr>
          <w:p w14:paraId="40CB10FB" w14:textId="77777777" w:rsidR="00584FB3" w:rsidRDefault="00584FB3">
            <w:pPr>
              <w:rPr>
                <w:rFonts w:ascii="宋体"/>
              </w:rPr>
            </w:pPr>
          </w:p>
        </w:tc>
        <w:tc>
          <w:tcPr>
            <w:tcW w:w="26" w:type="pct"/>
            <w:shd w:val="clear" w:color="auto" w:fill="auto"/>
          </w:tcPr>
          <w:p w14:paraId="40CB10FC" w14:textId="77777777" w:rsidR="00584FB3" w:rsidRDefault="00584FB3">
            <w:pPr>
              <w:rPr>
                <w:rFonts w:ascii="宋体"/>
              </w:rPr>
            </w:pPr>
          </w:p>
        </w:tc>
        <w:tc>
          <w:tcPr>
            <w:tcW w:w="5" w:type="pct"/>
            <w:shd w:val="clear" w:color="auto" w:fill="auto"/>
          </w:tcPr>
          <w:p w14:paraId="40CB10FD" w14:textId="77777777" w:rsidR="00584FB3" w:rsidRDefault="00584FB3">
            <w:pPr>
              <w:rPr>
                <w:rFonts w:ascii="宋体"/>
              </w:rPr>
            </w:pPr>
          </w:p>
        </w:tc>
        <w:tc>
          <w:tcPr>
            <w:tcW w:w="50" w:type="pct"/>
            <w:shd w:val="clear" w:color="auto" w:fill="auto"/>
          </w:tcPr>
          <w:p w14:paraId="40CB10FE" w14:textId="77777777" w:rsidR="00584FB3" w:rsidRDefault="00584FB3">
            <w:pPr>
              <w:rPr>
                <w:rFonts w:ascii="宋体"/>
              </w:rPr>
            </w:pPr>
          </w:p>
        </w:tc>
        <w:tc>
          <w:tcPr>
            <w:tcW w:w="756" w:type="pct"/>
            <w:shd w:val="clear" w:color="auto" w:fill="auto"/>
          </w:tcPr>
          <w:p w14:paraId="40CB10FF" w14:textId="77777777" w:rsidR="00584FB3" w:rsidRDefault="00584FB3">
            <w:pPr>
              <w:rPr>
                <w:rFonts w:ascii="宋体"/>
              </w:rPr>
            </w:pPr>
          </w:p>
        </w:tc>
        <w:tc>
          <w:tcPr>
            <w:tcW w:w="5" w:type="pct"/>
            <w:shd w:val="clear" w:color="auto" w:fill="auto"/>
          </w:tcPr>
          <w:p w14:paraId="40CB1100" w14:textId="77777777" w:rsidR="00584FB3" w:rsidRDefault="00584FB3">
            <w:pPr>
              <w:rPr>
                <w:rFonts w:ascii="宋体"/>
              </w:rPr>
            </w:pPr>
          </w:p>
        </w:tc>
      </w:tr>
      <w:tr w:rsidR="00584FB3" w14:paraId="40CB1106" w14:textId="77777777">
        <w:trPr>
          <w:jc w:val="center"/>
        </w:trPr>
        <w:tc>
          <w:tcPr>
            <w:tcW w:w="0" w:type="auto"/>
            <w:gridSpan w:val="3"/>
            <w:shd w:val="clear" w:color="auto" w:fill="auto"/>
            <w:tcMar>
              <w:top w:w="40" w:type="dxa"/>
              <w:left w:w="20" w:type="dxa"/>
              <w:bottom w:w="40" w:type="dxa"/>
              <w:right w:w="20" w:type="dxa"/>
            </w:tcMar>
            <w:vAlign w:val="bottom"/>
          </w:tcPr>
          <w:p w14:paraId="40CB1102" w14:textId="77777777" w:rsidR="00584FB3" w:rsidRDefault="00786180">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40CB1103"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10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105"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110F" w14:textId="77777777">
        <w:trPr>
          <w:jc w:val="center"/>
        </w:trPr>
        <w:tc>
          <w:tcPr>
            <w:tcW w:w="0" w:type="auto"/>
            <w:gridSpan w:val="3"/>
            <w:shd w:val="clear" w:color="auto" w:fill="D7E4BC"/>
            <w:tcMar>
              <w:top w:w="40" w:type="dxa"/>
              <w:left w:w="20" w:type="dxa"/>
              <w:bottom w:w="40" w:type="dxa"/>
              <w:right w:w="20" w:type="dxa"/>
            </w:tcMar>
            <w:vAlign w:val="bottom"/>
          </w:tcPr>
          <w:p w14:paraId="40CB1107" w14:textId="77777777" w:rsidR="00584FB3" w:rsidRDefault="00786180">
            <w:pPr>
              <w:textAlignment w:val="bottom"/>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10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109" w14:textId="77777777" w:rsidR="00584FB3" w:rsidRDefault="00786180">
            <w:pPr>
              <w:jc w:val="right"/>
              <w:textAlignment w:val="bottom"/>
            </w:pPr>
            <w:r>
              <w:rPr>
                <w:rFonts w:ascii="Times New Roman" w:eastAsia="宋体" w:hAnsi="Times New Roman"/>
                <w:color w:val="000000"/>
                <w:sz w:val="20"/>
                <w:szCs w:val="20"/>
              </w:rPr>
              <w:t>95.4 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10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0B"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10C"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10D" w14:textId="77777777" w:rsidR="00584FB3" w:rsidRDefault="00786180">
            <w:pPr>
              <w:jc w:val="right"/>
              <w:textAlignment w:val="bottom"/>
            </w:pPr>
            <w:r>
              <w:rPr>
                <w:rFonts w:ascii="Times New Roman" w:eastAsia="宋体" w:hAnsi="Times New Roman"/>
                <w:color w:val="000000"/>
                <w:sz w:val="20"/>
                <w:szCs w:val="20"/>
              </w:rPr>
              <w:t>95.0 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10E" w14:textId="77777777" w:rsidR="00584FB3" w:rsidRDefault="00584FB3">
            <w:pPr>
              <w:jc w:val="right"/>
              <w:rPr>
                <w:rFonts w:ascii="宋体"/>
              </w:rPr>
            </w:pPr>
          </w:p>
        </w:tc>
      </w:tr>
    </w:tbl>
    <w:p w14:paraId="40CB1110" w14:textId="77777777" w:rsidR="00584FB3" w:rsidRDefault="00584FB3">
      <w:pPr>
        <w:spacing w:before="120"/>
      </w:pPr>
    </w:p>
    <w:p w14:paraId="40CB1111" w14:textId="77777777" w:rsidR="00584FB3" w:rsidRDefault="00786180">
      <w:pPr>
        <w:jc w:val="center"/>
      </w:pPr>
      <w:r>
        <w:rPr>
          <w:rFonts w:ascii="Times New Roman" w:eastAsia="宋体" w:hAnsi="Times New Roman"/>
          <w:color w:val="000000"/>
          <w:sz w:val="20"/>
          <w:szCs w:val="20"/>
        </w:rPr>
        <w:t>17</w:t>
      </w:r>
    </w:p>
    <w:p w14:paraId="40CB1112" w14:textId="77777777" w:rsidR="00584FB3" w:rsidRDefault="00786180">
      <w:r>
        <w:pict w14:anchorId="40CB2A46">
          <v:rect id="_x0000_i1041" style="width:415.3pt;height:1.5pt" o:hralign="center" o:hrstd="t" o:hr="t" fillcolor="#a0a0a0" stroked="f"/>
        </w:pict>
      </w:r>
    </w:p>
    <w:p w14:paraId="40CB1113" w14:textId="77777777" w:rsidR="00584FB3" w:rsidRDefault="00786180">
      <w:hyperlink r:id="rId91" w:anchor="i11706e4b673c41db9f2dcbdb897203bb_7" w:history="1">
        <w:r>
          <w:rPr>
            <w:rStyle w:val="a5"/>
            <w:rFonts w:ascii="Times New Roman" w:eastAsia="宋体" w:hAnsi="Times New Roman"/>
            <w:sz w:val="20"/>
            <w:szCs w:val="20"/>
          </w:rPr>
          <w:t>Table of Contents</w:t>
        </w:r>
      </w:hyperlink>
    </w:p>
    <w:p w14:paraId="40CB1114" w14:textId="77777777" w:rsidR="00584FB3" w:rsidRDefault="00786180">
      <w:pPr>
        <w:spacing w:before="120"/>
      </w:pPr>
      <w:r>
        <w:rPr>
          <w:rFonts w:ascii="Times New Roman" w:eastAsia="宋体" w:hAnsi="Times New Roman"/>
          <w:b/>
          <w:bCs/>
          <w:i/>
          <w:iCs/>
          <w:color w:val="000000"/>
          <w:sz w:val="20"/>
          <w:szCs w:val="20"/>
        </w:rPr>
        <w:t xml:space="preserve">Finite-Lived Intangible Assets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211"/>
        <w:gridCol w:w="38"/>
        <w:gridCol w:w="120"/>
        <w:gridCol w:w="781"/>
        <w:gridCol w:w="36"/>
        <w:gridCol w:w="36"/>
        <w:gridCol w:w="36"/>
        <w:gridCol w:w="36"/>
        <w:gridCol w:w="121"/>
        <w:gridCol w:w="863"/>
        <w:gridCol w:w="36"/>
        <w:gridCol w:w="36"/>
        <w:gridCol w:w="36"/>
        <w:gridCol w:w="36"/>
        <w:gridCol w:w="121"/>
        <w:gridCol w:w="663"/>
        <w:gridCol w:w="36"/>
        <w:gridCol w:w="36"/>
        <w:gridCol w:w="36"/>
        <w:gridCol w:w="36"/>
        <w:gridCol w:w="120"/>
        <w:gridCol w:w="722"/>
        <w:gridCol w:w="36"/>
        <w:gridCol w:w="36"/>
        <w:gridCol w:w="36"/>
        <w:gridCol w:w="36"/>
        <w:gridCol w:w="121"/>
        <w:gridCol w:w="863"/>
        <w:gridCol w:w="36"/>
        <w:gridCol w:w="36"/>
        <w:gridCol w:w="36"/>
        <w:gridCol w:w="36"/>
        <w:gridCol w:w="121"/>
        <w:gridCol w:w="664"/>
        <w:gridCol w:w="36"/>
      </w:tblGrid>
      <w:tr w:rsidR="00584FB3" w14:paraId="40CB1139" w14:textId="77777777">
        <w:trPr>
          <w:jc w:val="center"/>
        </w:trPr>
        <w:tc>
          <w:tcPr>
            <w:tcW w:w="50" w:type="pct"/>
            <w:shd w:val="clear" w:color="auto" w:fill="auto"/>
          </w:tcPr>
          <w:p w14:paraId="40CB1115" w14:textId="77777777" w:rsidR="00584FB3" w:rsidRDefault="00584FB3">
            <w:pPr>
              <w:rPr>
                <w:rFonts w:ascii="宋体"/>
              </w:rPr>
            </w:pPr>
          </w:p>
        </w:tc>
        <w:tc>
          <w:tcPr>
            <w:tcW w:w="1379" w:type="pct"/>
            <w:shd w:val="clear" w:color="auto" w:fill="auto"/>
          </w:tcPr>
          <w:p w14:paraId="40CB1116" w14:textId="77777777" w:rsidR="00584FB3" w:rsidRDefault="00584FB3">
            <w:pPr>
              <w:rPr>
                <w:rFonts w:ascii="宋体"/>
              </w:rPr>
            </w:pPr>
          </w:p>
        </w:tc>
        <w:tc>
          <w:tcPr>
            <w:tcW w:w="5" w:type="pct"/>
            <w:shd w:val="clear" w:color="auto" w:fill="auto"/>
          </w:tcPr>
          <w:p w14:paraId="40CB1117" w14:textId="77777777" w:rsidR="00584FB3" w:rsidRDefault="00584FB3">
            <w:pPr>
              <w:rPr>
                <w:rFonts w:ascii="宋体"/>
              </w:rPr>
            </w:pPr>
          </w:p>
        </w:tc>
        <w:tc>
          <w:tcPr>
            <w:tcW w:w="50" w:type="pct"/>
            <w:shd w:val="clear" w:color="auto" w:fill="auto"/>
          </w:tcPr>
          <w:p w14:paraId="40CB1118" w14:textId="77777777" w:rsidR="00584FB3" w:rsidRDefault="00584FB3">
            <w:pPr>
              <w:rPr>
                <w:rFonts w:ascii="宋体"/>
              </w:rPr>
            </w:pPr>
          </w:p>
        </w:tc>
        <w:tc>
          <w:tcPr>
            <w:tcW w:w="508" w:type="pct"/>
            <w:shd w:val="clear" w:color="auto" w:fill="auto"/>
          </w:tcPr>
          <w:p w14:paraId="40CB1119" w14:textId="77777777" w:rsidR="00584FB3" w:rsidRDefault="00584FB3">
            <w:pPr>
              <w:rPr>
                <w:rFonts w:ascii="宋体"/>
              </w:rPr>
            </w:pPr>
          </w:p>
        </w:tc>
        <w:tc>
          <w:tcPr>
            <w:tcW w:w="5" w:type="pct"/>
            <w:shd w:val="clear" w:color="auto" w:fill="auto"/>
          </w:tcPr>
          <w:p w14:paraId="40CB111A" w14:textId="77777777" w:rsidR="00584FB3" w:rsidRDefault="00584FB3">
            <w:pPr>
              <w:rPr>
                <w:rFonts w:ascii="宋体"/>
              </w:rPr>
            </w:pPr>
          </w:p>
        </w:tc>
        <w:tc>
          <w:tcPr>
            <w:tcW w:w="5" w:type="pct"/>
            <w:shd w:val="clear" w:color="auto" w:fill="auto"/>
          </w:tcPr>
          <w:p w14:paraId="40CB111B" w14:textId="77777777" w:rsidR="00584FB3" w:rsidRDefault="00584FB3">
            <w:pPr>
              <w:rPr>
                <w:rFonts w:ascii="宋体"/>
              </w:rPr>
            </w:pPr>
          </w:p>
        </w:tc>
        <w:tc>
          <w:tcPr>
            <w:tcW w:w="26" w:type="pct"/>
            <w:shd w:val="clear" w:color="auto" w:fill="auto"/>
          </w:tcPr>
          <w:p w14:paraId="40CB111C" w14:textId="77777777" w:rsidR="00584FB3" w:rsidRDefault="00584FB3">
            <w:pPr>
              <w:rPr>
                <w:rFonts w:ascii="宋体"/>
              </w:rPr>
            </w:pPr>
          </w:p>
        </w:tc>
        <w:tc>
          <w:tcPr>
            <w:tcW w:w="5" w:type="pct"/>
            <w:shd w:val="clear" w:color="auto" w:fill="auto"/>
          </w:tcPr>
          <w:p w14:paraId="40CB111D" w14:textId="77777777" w:rsidR="00584FB3" w:rsidRDefault="00584FB3">
            <w:pPr>
              <w:rPr>
                <w:rFonts w:ascii="宋体"/>
              </w:rPr>
            </w:pPr>
          </w:p>
        </w:tc>
        <w:tc>
          <w:tcPr>
            <w:tcW w:w="50" w:type="pct"/>
            <w:shd w:val="clear" w:color="auto" w:fill="auto"/>
          </w:tcPr>
          <w:p w14:paraId="40CB111E" w14:textId="77777777" w:rsidR="00584FB3" w:rsidRDefault="00584FB3">
            <w:pPr>
              <w:rPr>
                <w:rFonts w:ascii="宋体"/>
              </w:rPr>
            </w:pPr>
          </w:p>
        </w:tc>
        <w:tc>
          <w:tcPr>
            <w:tcW w:w="508" w:type="pct"/>
            <w:shd w:val="clear" w:color="auto" w:fill="auto"/>
          </w:tcPr>
          <w:p w14:paraId="40CB111F" w14:textId="77777777" w:rsidR="00584FB3" w:rsidRDefault="00584FB3">
            <w:pPr>
              <w:rPr>
                <w:rFonts w:ascii="宋体"/>
              </w:rPr>
            </w:pPr>
          </w:p>
        </w:tc>
        <w:tc>
          <w:tcPr>
            <w:tcW w:w="5" w:type="pct"/>
            <w:shd w:val="clear" w:color="auto" w:fill="auto"/>
          </w:tcPr>
          <w:p w14:paraId="40CB1120" w14:textId="77777777" w:rsidR="00584FB3" w:rsidRDefault="00584FB3">
            <w:pPr>
              <w:rPr>
                <w:rFonts w:ascii="宋体"/>
              </w:rPr>
            </w:pPr>
          </w:p>
        </w:tc>
        <w:tc>
          <w:tcPr>
            <w:tcW w:w="5" w:type="pct"/>
            <w:shd w:val="clear" w:color="auto" w:fill="auto"/>
          </w:tcPr>
          <w:p w14:paraId="40CB1121" w14:textId="77777777" w:rsidR="00584FB3" w:rsidRDefault="00584FB3">
            <w:pPr>
              <w:rPr>
                <w:rFonts w:ascii="宋体"/>
              </w:rPr>
            </w:pPr>
          </w:p>
        </w:tc>
        <w:tc>
          <w:tcPr>
            <w:tcW w:w="26" w:type="pct"/>
            <w:shd w:val="clear" w:color="auto" w:fill="auto"/>
          </w:tcPr>
          <w:p w14:paraId="40CB1122" w14:textId="77777777" w:rsidR="00584FB3" w:rsidRDefault="00584FB3">
            <w:pPr>
              <w:rPr>
                <w:rFonts w:ascii="宋体"/>
              </w:rPr>
            </w:pPr>
          </w:p>
        </w:tc>
        <w:tc>
          <w:tcPr>
            <w:tcW w:w="5" w:type="pct"/>
            <w:shd w:val="clear" w:color="auto" w:fill="auto"/>
          </w:tcPr>
          <w:p w14:paraId="40CB1123" w14:textId="77777777" w:rsidR="00584FB3" w:rsidRDefault="00584FB3">
            <w:pPr>
              <w:rPr>
                <w:rFonts w:ascii="宋体"/>
              </w:rPr>
            </w:pPr>
          </w:p>
        </w:tc>
        <w:tc>
          <w:tcPr>
            <w:tcW w:w="50" w:type="pct"/>
            <w:shd w:val="clear" w:color="auto" w:fill="auto"/>
          </w:tcPr>
          <w:p w14:paraId="40CB1124" w14:textId="77777777" w:rsidR="00584FB3" w:rsidRDefault="00584FB3">
            <w:pPr>
              <w:rPr>
                <w:rFonts w:ascii="宋体"/>
              </w:rPr>
            </w:pPr>
          </w:p>
        </w:tc>
        <w:tc>
          <w:tcPr>
            <w:tcW w:w="508" w:type="pct"/>
            <w:shd w:val="clear" w:color="auto" w:fill="auto"/>
          </w:tcPr>
          <w:p w14:paraId="40CB1125" w14:textId="77777777" w:rsidR="00584FB3" w:rsidRDefault="00584FB3">
            <w:pPr>
              <w:rPr>
                <w:rFonts w:ascii="宋体"/>
              </w:rPr>
            </w:pPr>
          </w:p>
        </w:tc>
        <w:tc>
          <w:tcPr>
            <w:tcW w:w="5" w:type="pct"/>
            <w:shd w:val="clear" w:color="auto" w:fill="auto"/>
          </w:tcPr>
          <w:p w14:paraId="40CB1126" w14:textId="77777777" w:rsidR="00584FB3" w:rsidRDefault="00584FB3">
            <w:pPr>
              <w:rPr>
                <w:rFonts w:ascii="宋体"/>
              </w:rPr>
            </w:pPr>
          </w:p>
        </w:tc>
        <w:tc>
          <w:tcPr>
            <w:tcW w:w="5" w:type="pct"/>
            <w:shd w:val="clear" w:color="auto" w:fill="auto"/>
          </w:tcPr>
          <w:p w14:paraId="40CB1127" w14:textId="77777777" w:rsidR="00584FB3" w:rsidRDefault="00584FB3">
            <w:pPr>
              <w:rPr>
                <w:rFonts w:ascii="宋体"/>
              </w:rPr>
            </w:pPr>
          </w:p>
        </w:tc>
        <w:tc>
          <w:tcPr>
            <w:tcW w:w="26" w:type="pct"/>
            <w:shd w:val="clear" w:color="auto" w:fill="auto"/>
          </w:tcPr>
          <w:p w14:paraId="40CB1128" w14:textId="77777777" w:rsidR="00584FB3" w:rsidRDefault="00584FB3">
            <w:pPr>
              <w:rPr>
                <w:rFonts w:ascii="宋体"/>
              </w:rPr>
            </w:pPr>
          </w:p>
        </w:tc>
        <w:tc>
          <w:tcPr>
            <w:tcW w:w="5" w:type="pct"/>
            <w:shd w:val="clear" w:color="auto" w:fill="auto"/>
          </w:tcPr>
          <w:p w14:paraId="40CB1129" w14:textId="77777777" w:rsidR="00584FB3" w:rsidRDefault="00584FB3">
            <w:pPr>
              <w:rPr>
                <w:rFonts w:ascii="宋体"/>
              </w:rPr>
            </w:pPr>
          </w:p>
        </w:tc>
        <w:tc>
          <w:tcPr>
            <w:tcW w:w="50" w:type="pct"/>
            <w:shd w:val="clear" w:color="auto" w:fill="auto"/>
          </w:tcPr>
          <w:p w14:paraId="40CB112A" w14:textId="77777777" w:rsidR="00584FB3" w:rsidRDefault="00584FB3">
            <w:pPr>
              <w:rPr>
                <w:rFonts w:ascii="宋体"/>
              </w:rPr>
            </w:pPr>
          </w:p>
        </w:tc>
        <w:tc>
          <w:tcPr>
            <w:tcW w:w="508" w:type="pct"/>
            <w:shd w:val="clear" w:color="auto" w:fill="auto"/>
          </w:tcPr>
          <w:p w14:paraId="40CB112B" w14:textId="77777777" w:rsidR="00584FB3" w:rsidRDefault="00584FB3">
            <w:pPr>
              <w:rPr>
                <w:rFonts w:ascii="宋体"/>
              </w:rPr>
            </w:pPr>
          </w:p>
        </w:tc>
        <w:tc>
          <w:tcPr>
            <w:tcW w:w="5" w:type="pct"/>
            <w:shd w:val="clear" w:color="auto" w:fill="auto"/>
          </w:tcPr>
          <w:p w14:paraId="40CB112C" w14:textId="77777777" w:rsidR="00584FB3" w:rsidRDefault="00584FB3">
            <w:pPr>
              <w:rPr>
                <w:rFonts w:ascii="宋体"/>
              </w:rPr>
            </w:pPr>
          </w:p>
        </w:tc>
        <w:tc>
          <w:tcPr>
            <w:tcW w:w="5" w:type="pct"/>
            <w:shd w:val="clear" w:color="auto" w:fill="auto"/>
          </w:tcPr>
          <w:p w14:paraId="40CB112D" w14:textId="77777777" w:rsidR="00584FB3" w:rsidRDefault="00584FB3">
            <w:pPr>
              <w:rPr>
                <w:rFonts w:ascii="宋体"/>
              </w:rPr>
            </w:pPr>
          </w:p>
        </w:tc>
        <w:tc>
          <w:tcPr>
            <w:tcW w:w="26" w:type="pct"/>
            <w:shd w:val="clear" w:color="auto" w:fill="auto"/>
          </w:tcPr>
          <w:p w14:paraId="40CB112E" w14:textId="77777777" w:rsidR="00584FB3" w:rsidRDefault="00584FB3">
            <w:pPr>
              <w:rPr>
                <w:rFonts w:ascii="宋体"/>
              </w:rPr>
            </w:pPr>
          </w:p>
        </w:tc>
        <w:tc>
          <w:tcPr>
            <w:tcW w:w="5" w:type="pct"/>
            <w:shd w:val="clear" w:color="auto" w:fill="auto"/>
          </w:tcPr>
          <w:p w14:paraId="40CB112F" w14:textId="77777777" w:rsidR="00584FB3" w:rsidRDefault="00584FB3">
            <w:pPr>
              <w:rPr>
                <w:rFonts w:ascii="宋体"/>
              </w:rPr>
            </w:pPr>
          </w:p>
        </w:tc>
        <w:tc>
          <w:tcPr>
            <w:tcW w:w="50" w:type="pct"/>
            <w:shd w:val="clear" w:color="auto" w:fill="auto"/>
          </w:tcPr>
          <w:p w14:paraId="40CB1130" w14:textId="77777777" w:rsidR="00584FB3" w:rsidRDefault="00584FB3">
            <w:pPr>
              <w:rPr>
                <w:rFonts w:ascii="宋体"/>
              </w:rPr>
            </w:pPr>
          </w:p>
        </w:tc>
        <w:tc>
          <w:tcPr>
            <w:tcW w:w="508" w:type="pct"/>
            <w:shd w:val="clear" w:color="auto" w:fill="auto"/>
          </w:tcPr>
          <w:p w14:paraId="40CB1131" w14:textId="77777777" w:rsidR="00584FB3" w:rsidRDefault="00584FB3">
            <w:pPr>
              <w:rPr>
                <w:rFonts w:ascii="宋体"/>
              </w:rPr>
            </w:pPr>
          </w:p>
        </w:tc>
        <w:tc>
          <w:tcPr>
            <w:tcW w:w="5" w:type="pct"/>
            <w:shd w:val="clear" w:color="auto" w:fill="auto"/>
          </w:tcPr>
          <w:p w14:paraId="40CB1132" w14:textId="77777777" w:rsidR="00584FB3" w:rsidRDefault="00584FB3">
            <w:pPr>
              <w:rPr>
                <w:rFonts w:ascii="宋体"/>
              </w:rPr>
            </w:pPr>
          </w:p>
        </w:tc>
        <w:tc>
          <w:tcPr>
            <w:tcW w:w="5" w:type="pct"/>
            <w:shd w:val="clear" w:color="auto" w:fill="auto"/>
          </w:tcPr>
          <w:p w14:paraId="40CB1133" w14:textId="77777777" w:rsidR="00584FB3" w:rsidRDefault="00584FB3">
            <w:pPr>
              <w:rPr>
                <w:rFonts w:ascii="宋体"/>
              </w:rPr>
            </w:pPr>
          </w:p>
        </w:tc>
        <w:tc>
          <w:tcPr>
            <w:tcW w:w="26" w:type="pct"/>
            <w:shd w:val="clear" w:color="auto" w:fill="auto"/>
          </w:tcPr>
          <w:p w14:paraId="40CB1134" w14:textId="77777777" w:rsidR="00584FB3" w:rsidRDefault="00584FB3">
            <w:pPr>
              <w:rPr>
                <w:rFonts w:ascii="宋体"/>
              </w:rPr>
            </w:pPr>
          </w:p>
        </w:tc>
        <w:tc>
          <w:tcPr>
            <w:tcW w:w="5" w:type="pct"/>
            <w:shd w:val="clear" w:color="auto" w:fill="auto"/>
          </w:tcPr>
          <w:p w14:paraId="40CB1135" w14:textId="77777777" w:rsidR="00584FB3" w:rsidRDefault="00584FB3">
            <w:pPr>
              <w:rPr>
                <w:rFonts w:ascii="宋体"/>
              </w:rPr>
            </w:pPr>
          </w:p>
        </w:tc>
        <w:tc>
          <w:tcPr>
            <w:tcW w:w="50" w:type="pct"/>
            <w:shd w:val="clear" w:color="auto" w:fill="auto"/>
          </w:tcPr>
          <w:p w14:paraId="40CB1136" w14:textId="77777777" w:rsidR="00584FB3" w:rsidRDefault="00584FB3">
            <w:pPr>
              <w:rPr>
                <w:rFonts w:ascii="宋体"/>
              </w:rPr>
            </w:pPr>
          </w:p>
        </w:tc>
        <w:tc>
          <w:tcPr>
            <w:tcW w:w="508" w:type="pct"/>
            <w:shd w:val="clear" w:color="auto" w:fill="auto"/>
          </w:tcPr>
          <w:p w14:paraId="40CB1137" w14:textId="77777777" w:rsidR="00584FB3" w:rsidRDefault="00584FB3">
            <w:pPr>
              <w:rPr>
                <w:rFonts w:ascii="宋体"/>
              </w:rPr>
            </w:pPr>
          </w:p>
        </w:tc>
        <w:tc>
          <w:tcPr>
            <w:tcW w:w="5" w:type="pct"/>
            <w:shd w:val="clear" w:color="auto" w:fill="auto"/>
          </w:tcPr>
          <w:p w14:paraId="40CB1138" w14:textId="77777777" w:rsidR="00584FB3" w:rsidRDefault="00584FB3">
            <w:pPr>
              <w:rPr>
                <w:rFonts w:ascii="宋体"/>
              </w:rPr>
            </w:pPr>
          </w:p>
        </w:tc>
      </w:tr>
      <w:tr w:rsidR="00584FB3" w14:paraId="40CB113E" w14:textId="77777777">
        <w:trPr>
          <w:jc w:val="center"/>
        </w:trPr>
        <w:tc>
          <w:tcPr>
            <w:tcW w:w="0" w:type="auto"/>
            <w:gridSpan w:val="3"/>
            <w:shd w:val="clear" w:color="auto" w:fill="auto"/>
            <w:tcMar>
              <w:top w:w="0" w:type="dxa"/>
              <w:left w:w="20" w:type="dxa"/>
              <w:bottom w:w="0" w:type="dxa"/>
              <w:right w:w="20" w:type="dxa"/>
            </w:tcMar>
          </w:tcPr>
          <w:p w14:paraId="40CB113A" w14:textId="77777777" w:rsidR="00584FB3" w:rsidRDefault="00584FB3">
            <w:pPr>
              <w:rPr>
                <w:rFonts w:ascii="宋体"/>
              </w:rPr>
            </w:pPr>
          </w:p>
        </w:tc>
        <w:tc>
          <w:tcPr>
            <w:tcW w:w="0" w:type="auto"/>
            <w:gridSpan w:val="15"/>
            <w:shd w:val="clear" w:color="auto" w:fill="00704A"/>
            <w:tcMar>
              <w:top w:w="40" w:type="dxa"/>
              <w:left w:w="20" w:type="dxa"/>
              <w:bottom w:w="40" w:type="dxa"/>
              <w:right w:w="20" w:type="dxa"/>
            </w:tcMar>
            <w:vAlign w:val="bottom"/>
          </w:tcPr>
          <w:p w14:paraId="40CB113B"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13C" w14:textId="77777777" w:rsidR="00584FB3" w:rsidRDefault="00584FB3">
            <w:pPr>
              <w:rPr>
                <w:rFonts w:ascii="宋体"/>
              </w:rPr>
            </w:pPr>
          </w:p>
        </w:tc>
        <w:tc>
          <w:tcPr>
            <w:tcW w:w="0" w:type="auto"/>
            <w:gridSpan w:val="15"/>
            <w:shd w:val="clear" w:color="auto" w:fill="00704A"/>
            <w:tcMar>
              <w:top w:w="40" w:type="dxa"/>
              <w:left w:w="20" w:type="dxa"/>
              <w:bottom w:w="40" w:type="dxa"/>
              <w:right w:w="20" w:type="dxa"/>
            </w:tcMar>
            <w:vAlign w:val="bottom"/>
          </w:tcPr>
          <w:p w14:paraId="40CB113D" w14:textId="77777777" w:rsidR="00584FB3" w:rsidRDefault="00786180">
            <w:pPr>
              <w:jc w:val="center"/>
              <w:textAlignment w:val="bottom"/>
            </w:pPr>
            <w:r>
              <w:rPr>
                <w:rFonts w:ascii="Times New Roman" w:eastAsia="宋体" w:hAnsi="Times New Roman"/>
                <w:b/>
                <w:bCs/>
                <w:color w:val="FFFFFF"/>
                <w:sz w:val="16"/>
                <w:szCs w:val="16"/>
              </w:rPr>
              <w:t>Sep 27, 2020</w:t>
            </w:r>
          </w:p>
        </w:tc>
      </w:tr>
      <w:tr w:rsidR="00584FB3" w14:paraId="40CB114B" w14:textId="77777777">
        <w:trPr>
          <w:jc w:val="center"/>
        </w:trPr>
        <w:tc>
          <w:tcPr>
            <w:tcW w:w="0" w:type="auto"/>
            <w:gridSpan w:val="3"/>
            <w:shd w:val="clear" w:color="auto" w:fill="auto"/>
            <w:tcMar>
              <w:top w:w="40" w:type="dxa"/>
              <w:left w:w="20" w:type="dxa"/>
              <w:bottom w:w="40" w:type="dxa"/>
              <w:right w:w="20" w:type="dxa"/>
            </w:tcMar>
            <w:vAlign w:val="bottom"/>
          </w:tcPr>
          <w:p w14:paraId="40CB113F" w14:textId="77777777" w:rsidR="00584FB3" w:rsidRDefault="00786180">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40CB1140" w14:textId="77777777" w:rsidR="00584FB3" w:rsidRDefault="00786180">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tcPr>
          <w:p w14:paraId="40CB114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142" w14:textId="77777777" w:rsidR="00584FB3" w:rsidRDefault="00786180">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tcPr>
          <w:p w14:paraId="40CB114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144" w14:textId="77777777" w:rsidR="00584FB3" w:rsidRDefault="00786180">
            <w:pPr>
              <w:jc w:val="center"/>
              <w:textAlignment w:val="bottom"/>
            </w:pPr>
            <w:r>
              <w:rPr>
                <w:rFonts w:ascii="Times New Roman" w:eastAsia="宋体" w:hAnsi="Times New Roman"/>
                <w:b/>
                <w:bCs/>
                <w:color w:val="FFFFFF"/>
                <w:sz w:val="16"/>
                <w:szCs w:val="16"/>
              </w:rPr>
              <w:t xml:space="preserve">Net </w:t>
            </w:r>
            <w:r>
              <w:rPr>
                <w:rFonts w:ascii="Times New Roman" w:eastAsia="宋体" w:hAnsi="Times New Roman"/>
                <w:b/>
                <w:bCs/>
                <w:color w:val="FFFFFF"/>
                <w:sz w:val="16"/>
                <w:szCs w:val="16"/>
              </w:rPr>
              <w:t>Carrying Amount</w:t>
            </w:r>
          </w:p>
        </w:tc>
        <w:tc>
          <w:tcPr>
            <w:tcW w:w="0" w:type="auto"/>
            <w:gridSpan w:val="3"/>
            <w:shd w:val="clear" w:color="auto" w:fill="auto"/>
            <w:tcMar>
              <w:top w:w="0" w:type="dxa"/>
              <w:left w:w="20" w:type="dxa"/>
              <w:bottom w:w="0" w:type="dxa"/>
              <w:right w:w="20" w:type="dxa"/>
            </w:tcMar>
          </w:tcPr>
          <w:p w14:paraId="40CB1145"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146" w14:textId="77777777" w:rsidR="00584FB3" w:rsidRDefault="00786180">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tcPr>
          <w:p w14:paraId="40CB1147"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148" w14:textId="77777777" w:rsidR="00584FB3" w:rsidRDefault="00786180">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tcPr>
          <w:p w14:paraId="40CB1149"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14A" w14:textId="77777777" w:rsidR="00584FB3" w:rsidRDefault="00786180">
            <w:pPr>
              <w:jc w:val="center"/>
              <w:textAlignment w:val="bottom"/>
            </w:pPr>
            <w:r>
              <w:rPr>
                <w:rFonts w:ascii="Times New Roman" w:eastAsia="宋体" w:hAnsi="Times New Roman"/>
                <w:b/>
                <w:bCs/>
                <w:color w:val="FFFFFF"/>
                <w:sz w:val="16"/>
                <w:szCs w:val="16"/>
              </w:rPr>
              <w:t>Net Carrying Amount</w:t>
            </w:r>
          </w:p>
        </w:tc>
      </w:tr>
      <w:tr w:rsidR="00584FB3" w14:paraId="40CB1164" w14:textId="77777777">
        <w:trPr>
          <w:jc w:val="center"/>
        </w:trPr>
        <w:tc>
          <w:tcPr>
            <w:tcW w:w="0" w:type="auto"/>
            <w:gridSpan w:val="3"/>
            <w:shd w:val="clear" w:color="auto" w:fill="D7E4BC"/>
            <w:tcMar>
              <w:top w:w="40" w:type="dxa"/>
              <w:left w:w="20" w:type="dxa"/>
              <w:bottom w:w="40" w:type="dxa"/>
              <w:right w:w="20" w:type="dxa"/>
            </w:tcMar>
            <w:vAlign w:val="bottom"/>
          </w:tcPr>
          <w:p w14:paraId="40CB114C" w14:textId="77777777" w:rsidR="00584FB3" w:rsidRDefault="00786180">
            <w:pPr>
              <w:textAlignment w:val="bottom"/>
            </w:pPr>
            <w:r>
              <w:rPr>
                <w:rFonts w:ascii="Times New Roman" w:eastAsia="宋体" w:hAnsi="Times New Roman"/>
                <w:color w:val="000000"/>
                <w:sz w:val="20"/>
                <w:szCs w:val="20"/>
              </w:rPr>
              <w:t>Acquire</w:t>
            </w:r>
            <w:r>
              <w:rPr>
                <w:rFonts w:ascii="Times New Roman" w:eastAsia="宋体" w:hAnsi="Times New Roman"/>
                <w:color w:val="000000"/>
                <w:sz w:val="20"/>
                <w:szCs w:val="20"/>
              </w:rPr>
              <w:t>d and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14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14E" w14:textId="77777777" w:rsidR="00584FB3" w:rsidRDefault="00786180">
            <w:pPr>
              <w:jc w:val="right"/>
              <w:textAlignment w:val="bottom"/>
            </w:pPr>
            <w:r>
              <w:rPr>
                <w:rFonts w:ascii="Times New Roman" w:eastAsia="宋体" w:hAnsi="Times New Roman"/>
                <w:color w:val="000000"/>
                <w:sz w:val="20"/>
                <w:szCs w:val="20"/>
              </w:rPr>
              <w:t>1,157.3 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14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5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15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152" w14:textId="77777777" w:rsidR="00584FB3" w:rsidRDefault="00786180">
            <w:pPr>
              <w:jc w:val="right"/>
              <w:textAlignment w:val="bottom"/>
            </w:pPr>
            <w:r>
              <w:rPr>
                <w:rFonts w:ascii="Times New Roman" w:eastAsia="宋体" w:hAnsi="Times New Roman"/>
                <w:color w:val="000000"/>
                <w:sz w:val="20"/>
                <w:szCs w:val="20"/>
              </w:rPr>
              <w:t>(845.3)</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15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54"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15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156" w14:textId="77777777" w:rsidR="00584FB3" w:rsidRDefault="00786180">
            <w:pPr>
              <w:jc w:val="right"/>
              <w:textAlignment w:val="bottom"/>
            </w:pPr>
            <w:r>
              <w:rPr>
                <w:rFonts w:ascii="Times New Roman" w:eastAsia="宋体" w:hAnsi="Times New Roman"/>
                <w:color w:val="000000"/>
                <w:sz w:val="20"/>
                <w:szCs w:val="20"/>
              </w:rPr>
              <w:t>312.0 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15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58"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159"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15A" w14:textId="77777777" w:rsidR="00584FB3" w:rsidRDefault="00786180">
            <w:pPr>
              <w:jc w:val="right"/>
              <w:textAlignment w:val="bottom"/>
            </w:pPr>
            <w:r>
              <w:rPr>
                <w:rFonts w:ascii="Times New Roman" w:eastAsia="宋体" w:hAnsi="Times New Roman"/>
                <w:color w:val="000000"/>
                <w:sz w:val="20"/>
                <w:szCs w:val="20"/>
              </w:rPr>
              <w:t>1,116.1 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15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5C"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15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15E" w14:textId="77777777" w:rsidR="00584FB3" w:rsidRDefault="00786180">
            <w:pPr>
              <w:jc w:val="right"/>
              <w:textAlignment w:val="bottom"/>
            </w:pPr>
            <w:r>
              <w:rPr>
                <w:rFonts w:ascii="Times New Roman" w:eastAsia="宋体" w:hAnsi="Times New Roman"/>
                <w:color w:val="000000"/>
                <w:sz w:val="20"/>
                <w:szCs w:val="20"/>
              </w:rPr>
              <w:t>(765.0)</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15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6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16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162" w14:textId="77777777" w:rsidR="00584FB3" w:rsidRDefault="00786180">
            <w:pPr>
              <w:jc w:val="right"/>
              <w:textAlignment w:val="bottom"/>
            </w:pPr>
            <w:r>
              <w:rPr>
                <w:rFonts w:ascii="Times New Roman" w:eastAsia="宋体" w:hAnsi="Times New Roman"/>
                <w:color w:val="000000"/>
                <w:sz w:val="20"/>
                <w:szCs w:val="20"/>
              </w:rPr>
              <w:t>351.1 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163" w14:textId="77777777" w:rsidR="00584FB3" w:rsidRDefault="00584FB3">
            <w:pPr>
              <w:jc w:val="right"/>
              <w:rPr>
                <w:rFonts w:ascii="宋体"/>
              </w:rPr>
            </w:pPr>
          </w:p>
        </w:tc>
      </w:tr>
      <w:tr w:rsidR="00584FB3" w14:paraId="40CB1177" w14:textId="77777777">
        <w:trPr>
          <w:jc w:val="center"/>
        </w:trPr>
        <w:tc>
          <w:tcPr>
            <w:tcW w:w="0" w:type="auto"/>
            <w:gridSpan w:val="3"/>
            <w:shd w:val="clear" w:color="auto" w:fill="FFFFFF"/>
            <w:tcMar>
              <w:top w:w="40" w:type="dxa"/>
              <w:left w:w="20" w:type="dxa"/>
              <w:bottom w:w="40" w:type="dxa"/>
              <w:right w:w="20" w:type="dxa"/>
            </w:tcMar>
            <w:vAlign w:val="bottom"/>
          </w:tcPr>
          <w:p w14:paraId="40CB1165" w14:textId="77777777" w:rsidR="00584FB3" w:rsidRDefault="00786180">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40CB1166" w14:textId="77777777" w:rsidR="00584FB3" w:rsidRDefault="00786180">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40CB116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6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69" w14:textId="77777777" w:rsidR="00584FB3" w:rsidRDefault="00786180">
            <w:pPr>
              <w:jc w:val="right"/>
              <w:textAlignment w:val="bottom"/>
            </w:pPr>
            <w:r>
              <w:rPr>
                <w:rFonts w:ascii="Times New Roman" w:eastAsia="宋体" w:hAnsi="Times New Roman"/>
                <w:color w:val="000000"/>
                <w:sz w:val="20"/>
                <w:szCs w:val="20"/>
              </w:rPr>
              <w:t>(22.7)</w:t>
            </w:r>
          </w:p>
        </w:tc>
        <w:tc>
          <w:tcPr>
            <w:tcW w:w="0" w:type="auto"/>
            <w:shd w:val="clear" w:color="auto" w:fill="FFFFFF"/>
            <w:tcMar>
              <w:top w:w="40" w:type="dxa"/>
              <w:left w:w="0" w:type="dxa"/>
              <w:bottom w:w="40" w:type="dxa"/>
              <w:right w:w="20" w:type="dxa"/>
            </w:tcMar>
            <w:vAlign w:val="bottom"/>
          </w:tcPr>
          <w:p w14:paraId="40CB116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6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6C" w14:textId="77777777" w:rsidR="00584FB3" w:rsidRDefault="00786180">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40CB116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6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6F" w14:textId="77777777" w:rsidR="00584FB3" w:rsidRDefault="00786180">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40CB117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7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72" w14:textId="77777777" w:rsidR="00584FB3" w:rsidRDefault="00786180">
            <w:pPr>
              <w:jc w:val="right"/>
              <w:textAlignment w:val="bottom"/>
            </w:pPr>
            <w:r>
              <w:rPr>
                <w:rFonts w:ascii="Times New Roman" w:eastAsia="宋体" w:hAnsi="Times New Roman"/>
                <w:color w:val="000000"/>
                <w:sz w:val="20"/>
                <w:szCs w:val="20"/>
              </w:rPr>
              <w:t>(22.0)</w:t>
            </w:r>
          </w:p>
        </w:tc>
        <w:tc>
          <w:tcPr>
            <w:tcW w:w="0" w:type="auto"/>
            <w:shd w:val="clear" w:color="auto" w:fill="FFFFFF"/>
            <w:tcMar>
              <w:top w:w="40" w:type="dxa"/>
              <w:left w:w="0" w:type="dxa"/>
              <w:bottom w:w="40" w:type="dxa"/>
              <w:right w:w="20" w:type="dxa"/>
            </w:tcMar>
            <w:vAlign w:val="bottom"/>
          </w:tcPr>
          <w:p w14:paraId="40CB117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7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75" w14:textId="77777777" w:rsidR="00584FB3" w:rsidRDefault="00786180">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40CB1176" w14:textId="77777777" w:rsidR="00584FB3" w:rsidRDefault="00584FB3">
            <w:pPr>
              <w:jc w:val="right"/>
              <w:rPr>
                <w:rFonts w:ascii="宋体"/>
              </w:rPr>
            </w:pPr>
          </w:p>
        </w:tc>
      </w:tr>
      <w:tr w:rsidR="00584FB3" w14:paraId="40CB118A" w14:textId="77777777">
        <w:trPr>
          <w:jc w:val="center"/>
        </w:trPr>
        <w:tc>
          <w:tcPr>
            <w:tcW w:w="0" w:type="auto"/>
            <w:gridSpan w:val="3"/>
            <w:shd w:val="clear" w:color="auto" w:fill="D7E4BC"/>
            <w:tcMar>
              <w:top w:w="40" w:type="dxa"/>
              <w:left w:w="20" w:type="dxa"/>
              <w:bottom w:w="40" w:type="dxa"/>
              <w:right w:w="20" w:type="dxa"/>
            </w:tcMar>
            <w:vAlign w:val="bottom"/>
          </w:tcPr>
          <w:p w14:paraId="40CB1178" w14:textId="77777777" w:rsidR="00584FB3" w:rsidRDefault="00786180">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40CB1179" w14:textId="77777777" w:rsidR="00584FB3" w:rsidRDefault="00786180">
            <w:pPr>
              <w:jc w:val="right"/>
              <w:textAlignment w:val="bottom"/>
            </w:pPr>
            <w:r>
              <w:rPr>
                <w:rFonts w:ascii="Times New Roman" w:eastAsia="宋体" w:hAnsi="Times New Roman"/>
                <w:color w:val="000000"/>
                <w:sz w:val="20"/>
                <w:szCs w:val="20"/>
              </w:rPr>
              <w:t>125.1 </w:t>
            </w:r>
          </w:p>
        </w:tc>
        <w:tc>
          <w:tcPr>
            <w:tcW w:w="0" w:type="auto"/>
            <w:shd w:val="clear" w:color="auto" w:fill="D7E4BC"/>
            <w:tcMar>
              <w:top w:w="40" w:type="dxa"/>
              <w:left w:w="0" w:type="dxa"/>
              <w:bottom w:w="40" w:type="dxa"/>
              <w:right w:w="20" w:type="dxa"/>
            </w:tcMar>
            <w:vAlign w:val="bottom"/>
          </w:tcPr>
          <w:p w14:paraId="40CB117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7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7C" w14:textId="77777777" w:rsidR="00584FB3" w:rsidRDefault="00786180">
            <w:pPr>
              <w:jc w:val="right"/>
              <w:textAlignment w:val="bottom"/>
            </w:pPr>
            <w:r>
              <w:rPr>
                <w:rFonts w:ascii="Times New Roman" w:eastAsia="宋体" w:hAnsi="Times New Roman"/>
                <w:color w:val="000000"/>
                <w:sz w:val="20"/>
                <w:szCs w:val="20"/>
              </w:rPr>
              <w:t>(37.1)</w:t>
            </w:r>
          </w:p>
        </w:tc>
        <w:tc>
          <w:tcPr>
            <w:tcW w:w="0" w:type="auto"/>
            <w:shd w:val="clear" w:color="auto" w:fill="D7E4BC"/>
            <w:tcMar>
              <w:top w:w="40" w:type="dxa"/>
              <w:left w:w="0" w:type="dxa"/>
              <w:bottom w:w="40" w:type="dxa"/>
              <w:right w:w="20" w:type="dxa"/>
            </w:tcMar>
            <w:vAlign w:val="bottom"/>
          </w:tcPr>
          <w:p w14:paraId="40CB117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7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7F" w14:textId="77777777" w:rsidR="00584FB3" w:rsidRDefault="00786180">
            <w:pPr>
              <w:jc w:val="right"/>
              <w:textAlignment w:val="bottom"/>
            </w:pPr>
            <w:r>
              <w:rPr>
                <w:rFonts w:ascii="Times New Roman" w:eastAsia="宋体" w:hAnsi="Times New Roman"/>
                <w:color w:val="000000"/>
                <w:sz w:val="20"/>
                <w:szCs w:val="20"/>
              </w:rPr>
              <w:t>88.0 </w:t>
            </w:r>
          </w:p>
        </w:tc>
        <w:tc>
          <w:tcPr>
            <w:tcW w:w="0" w:type="auto"/>
            <w:shd w:val="clear" w:color="auto" w:fill="D7E4BC"/>
            <w:tcMar>
              <w:top w:w="40" w:type="dxa"/>
              <w:left w:w="0" w:type="dxa"/>
              <w:bottom w:w="40" w:type="dxa"/>
              <w:right w:w="20" w:type="dxa"/>
            </w:tcMar>
            <w:vAlign w:val="bottom"/>
          </w:tcPr>
          <w:p w14:paraId="40CB118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8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82" w14:textId="77777777" w:rsidR="00584FB3" w:rsidRDefault="00786180">
            <w:pPr>
              <w:jc w:val="right"/>
              <w:textAlignment w:val="bottom"/>
            </w:pPr>
            <w:r>
              <w:rPr>
                <w:rFonts w:ascii="Times New Roman" w:eastAsia="宋体" w:hAnsi="Times New Roman"/>
                <w:color w:val="000000"/>
                <w:sz w:val="20"/>
                <w:szCs w:val="20"/>
              </w:rPr>
              <w:t>124.8 </w:t>
            </w:r>
          </w:p>
        </w:tc>
        <w:tc>
          <w:tcPr>
            <w:tcW w:w="0" w:type="auto"/>
            <w:shd w:val="clear" w:color="auto" w:fill="D7E4BC"/>
            <w:tcMar>
              <w:top w:w="40" w:type="dxa"/>
              <w:left w:w="0" w:type="dxa"/>
              <w:bottom w:w="40" w:type="dxa"/>
              <w:right w:w="20" w:type="dxa"/>
            </w:tcMar>
            <w:vAlign w:val="bottom"/>
          </w:tcPr>
          <w:p w14:paraId="40CB118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8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85" w14:textId="77777777" w:rsidR="00584FB3" w:rsidRDefault="00786180">
            <w:pPr>
              <w:jc w:val="right"/>
              <w:textAlignment w:val="bottom"/>
            </w:pPr>
            <w:r>
              <w:rPr>
                <w:rFonts w:ascii="Times New Roman" w:eastAsia="宋体" w:hAnsi="Times New Roman"/>
                <w:color w:val="000000"/>
                <w:sz w:val="20"/>
                <w:szCs w:val="20"/>
              </w:rPr>
              <w:t>(32.1)</w:t>
            </w:r>
          </w:p>
        </w:tc>
        <w:tc>
          <w:tcPr>
            <w:tcW w:w="0" w:type="auto"/>
            <w:shd w:val="clear" w:color="auto" w:fill="D7E4BC"/>
            <w:tcMar>
              <w:top w:w="40" w:type="dxa"/>
              <w:left w:w="0" w:type="dxa"/>
              <w:bottom w:w="40" w:type="dxa"/>
              <w:right w:w="20" w:type="dxa"/>
            </w:tcMar>
            <w:vAlign w:val="bottom"/>
          </w:tcPr>
          <w:p w14:paraId="40CB118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8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88" w14:textId="77777777" w:rsidR="00584FB3" w:rsidRDefault="00786180">
            <w:pPr>
              <w:jc w:val="right"/>
              <w:textAlignment w:val="bottom"/>
            </w:pPr>
            <w:r>
              <w:rPr>
                <w:rFonts w:ascii="Times New Roman" w:eastAsia="宋体" w:hAnsi="Times New Roman"/>
                <w:color w:val="000000"/>
                <w:sz w:val="20"/>
                <w:szCs w:val="20"/>
              </w:rPr>
              <w:t>92.7 </w:t>
            </w:r>
          </w:p>
        </w:tc>
        <w:tc>
          <w:tcPr>
            <w:tcW w:w="0" w:type="auto"/>
            <w:shd w:val="clear" w:color="auto" w:fill="D7E4BC"/>
            <w:tcMar>
              <w:top w:w="40" w:type="dxa"/>
              <w:left w:w="0" w:type="dxa"/>
              <w:bottom w:w="40" w:type="dxa"/>
              <w:right w:w="20" w:type="dxa"/>
            </w:tcMar>
            <w:vAlign w:val="bottom"/>
          </w:tcPr>
          <w:p w14:paraId="40CB1189" w14:textId="77777777" w:rsidR="00584FB3" w:rsidRDefault="00584FB3">
            <w:pPr>
              <w:jc w:val="right"/>
              <w:rPr>
                <w:rFonts w:ascii="宋体"/>
              </w:rPr>
            </w:pPr>
          </w:p>
        </w:tc>
      </w:tr>
      <w:tr w:rsidR="00584FB3" w14:paraId="40CB119D" w14:textId="77777777">
        <w:trPr>
          <w:jc w:val="center"/>
        </w:trPr>
        <w:tc>
          <w:tcPr>
            <w:tcW w:w="0" w:type="auto"/>
            <w:gridSpan w:val="3"/>
            <w:shd w:val="clear" w:color="auto" w:fill="FFFFFF"/>
            <w:tcMar>
              <w:top w:w="40" w:type="dxa"/>
              <w:left w:w="20" w:type="dxa"/>
              <w:bottom w:w="40" w:type="dxa"/>
              <w:right w:w="20" w:type="dxa"/>
            </w:tcMar>
            <w:vAlign w:val="bottom"/>
          </w:tcPr>
          <w:p w14:paraId="40CB118B" w14:textId="77777777" w:rsidR="00584FB3" w:rsidRDefault="00786180">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40CB118C" w14:textId="77777777" w:rsidR="00584FB3" w:rsidRDefault="00786180">
            <w:pPr>
              <w:jc w:val="right"/>
              <w:textAlignment w:val="bottom"/>
            </w:pPr>
            <w:r>
              <w:rPr>
                <w:rFonts w:ascii="Times New Roman" w:eastAsia="宋体" w:hAnsi="Times New Roman"/>
                <w:color w:val="000000"/>
                <w:sz w:val="20"/>
                <w:szCs w:val="20"/>
              </w:rPr>
              <w:t>16.9 </w:t>
            </w:r>
          </w:p>
        </w:tc>
        <w:tc>
          <w:tcPr>
            <w:tcW w:w="0" w:type="auto"/>
            <w:shd w:val="clear" w:color="auto" w:fill="FFFFFF"/>
            <w:tcMar>
              <w:top w:w="40" w:type="dxa"/>
              <w:left w:w="0" w:type="dxa"/>
              <w:bottom w:w="40" w:type="dxa"/>
              <w:right w:w="20" w:type="dxa"/>
            </w:tcMar>
            <w:vAlign w:val="bottom"/>
          </w:tcPr>
          <w:p w14:paraId="40CB118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8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8F" w14:textId="77777777" w:rsidR="00584FB3" w:rsidRDefault="00786180">
            <w:pPr>
              <w:jc w:val="right"/>
              <w:textAlignment w:val="bottom"/>
            </w:pPr>
            <w:r>
              <w:rPr>
                <w:rFonts w:ascii="Times New Roman" w:eastAsia="宋体" w:hAnsi="Times New Roman"/>
                <w:color w:val="000000"/>
                <w:sz w:val="20"/>
                <w:szCs w:val="20"/>
              </w:rPr>
              <w:t>(15.9)</w:t>
            </w:r>
          </w:p>
        </w:tc>
        <w:tc>
          <w:tcPr>
            <w:tcW w:w="0" w:type="auto"/>
            <w:shd w:val="clear" w:color="auto" w:fill="FFFFFF"/>
            <w:tcMar>
              <w:top w:w="40" w:type="dxa"/>
              <w:left w:w="0" w:type="dxa"/>
              <w:bottom w:w="40" w:type="dxa"/>
              <w:right w:w="20" w:type="dxa"/>
            </w:tcMar>
            <w:vAlign w:val="bottom"/>
          </w:tcPr>
          <w:p w14:paraId="40CB119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9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92" w14:textId="77777777" w:rsidR="00584FB3" w:rsidRDefault="0078618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40CB119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9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95" w14:textId="77777777" w:rsidR="00584FB3" w:rsidRDefault="00786180">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40CB119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9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98" w14:textId="77777777" w:rsidR="00584FB3" w:rsidRDefault="00786180">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40CB119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9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19B"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40CB119C" w14:textId="77777777" w:rsidR="00584FB3" w:rsidRDefault="00584FB3">
            <w:pPr>
              <w:jc w:val="right"/>
              <w:rPr>
                <w:rFonts w:ascii="宋体"/>
              </w:rPr>
            </w:pPr>
          </w:p>
        </w:tc>
      </w:tr>
      <w:tr w:rsidR="00584FB3" w14:paraId="40CB11B0" w14:textId="77777777">
        <w:trPr>
          <w:jc w:val="center"/>
        </w:trPr>
        <w:tc>
          <w:tcPr>
            <w:tcW w:w="0" w:type="auto"/>
            <w:gridSpan w:val="3"/>
            <w:shd w:val="clear" w:color="auto" w:fill="D7E4BC"/>
            <w:tcMar>
              <w:top w:w="40" w:type="dxa"/>
              <w:left w:w="20" w:type="dxa"/>
              <w:bottom w:w="40" w:type="dxa"/>
              <w:right w:w="20" w:type="dxa"/>
            </w:tcMar>
            <w:vAlign w:val="bottom"/>
          </w:tcPr>
          <w:p w14:paraId="40CB119E" w14:textId="77777777" w:rsidR="00584FB3" w:rsidRDefault="00786180">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40CB119F" w14:textId="77777777" w:rsidR="00584FB3" w:rsidRDefault="00786180">
            <w:pPr>
              <w:jc w:val="right"/>
              <w:textAlignment w:val="bottom"/>
            </w:pPr>
            <w:r>
              <w:rPr>
                <w:rFonts w:ascii="Times New Roman" w:eastAsia="宋体" w:hAnsi="Times New Roman"/>
                <w:color w:val="000000"/>
                <w:sz w:val="20"/>
                <w:szCs w:val="20"/>
              </w:rPr>
              <w:t>23.7 </w:t>
            </w:r>
          </w:p>
        </w:tc>
        <w:tc>
          <w:tcPr>
            <w:tcW w:w="0" w:type="auto"/>
            <w:shd w:val="clear" w:color="auto" w:fill="D7E4BC"/>
            <w:tcMar>
              <w:top w:w="40" w:type="dxa"/>
              <w:left w:w="0" w:type="dxa"/>
              <w:bottom w:w="40" w:type="dxa"/>
              <w:right w:w="20" w:type="dxa"/>
            </w:tcMar>
            <w:vAlign w:val="bottom"/>
          </w:tcPr>
          <w:p w14:paraId="40CB11A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A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A2" w14:textId="77777777" w:rsidR="00584FB3" w:rsidRDefault="00786180">
            <w:pPr>
              <w:jc w:val="right"/>
              <w:textAlignment w:val="bottom"/>
            </w:pPr>
            <w:r>
              <w:rPr>
                <w:rFonts w:ascii="Times New Roman" w:eastAsia="宋体" w:hAnsi="Times New Roman"/>
                <w:color w:val="000000"/>
                <w:sz w:val="20"/>
                <w:szCs w:val="20"/>
              </w:rPr>
              <w:t>(18.6)</w:t>
            </w:r>
          </w:p>
        </w:tc>
        <w:tc>
          <w:tcPr>
            <w:tcW w:w="0" w:type="auto"/>
            <w:shd w:val="clear" w:color="auto" w:fill="D7E4BC"/>
            <w:tcMar>
              <w:top w:w="40" w:type="dxa"/>
              <w:left w:w="0" w:type="dxa"/>
              <w:bottom w:w="40" w:type="dxa"/>
              <w:right w:w="20" w:type="dxa"/>
            </w:tcMar>
            <w:vAlign w:val="bottom"/>
          </w:tcPr>
          <w:p w14:paraId="40CB11A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A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A5" w14:textId="77777777" w:rsidR="00584FB3" w:rsidRDefault="00786180">
            <w:pPr>
              <w:jc w:val="right"/>
              <w:textAlignment w:val="bottom"/>
            </w:pPr>
            <w:r>
              <w:rPr>
                <w:rFonts w:ascii="Times New Roman" w:eastAsia="宋体" w:hAnsi="Times New Roman"/>
                <w:color w:val="000000"/>
                <w:sz w:val="20"/>
                <w:szCs w:val="20"/>
              </w:rPr>
              <w:t>5.1 </w:t>
            </w:r>
          </w:p>
        </w:tc>
        <w:tc>
          <w:tcPr>
            <w:tcW w:w="0" w:type="auto"/>
            <w:shd w:val="clear" w:color="auto" w:fill="D7E4BC"/>
            <w:tcMar>
              <w:top w:w="40" w:type="dxa"/>
              <w:left w:w="0" w:type="dxa"/>
              <w:bottom w:w="40" w:type="dxa"/>
              <w:right w:w="20" w:type="dxa"/>
            </w:tcMar>
            <w:vAlign w:val="bottom"/>
          </w:tcPr>
          <w:p w14:paraId="40CB11A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A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A8" w14:textId="77777777" w:rsidR="00584FB3" w:rsidRDefault="00786180">
            <w:pPr>
              <w:jc w:val="right"/>
              <w:textAlignment w:val="bottom"/>
            </w:pPr>
            <w:r>
              <w:rPr>
                <w:rFonts w:ascii="Times New Roman" w:eastAsia="宋体" w:hAnsi="Times New Roman"/>
                <w:color w:val="000000"/>
                <w:sz w:val="20"/>
                <w:szCs w:val="20"/>
              </w:rPr>
              <w:t>22.8 </w:t>
            </w:r>
          </w:p>
        </w:tc>
        <w:tc>
          <w:tcPr>
            <w:tcW w:w="0" w:type="auto"/>
            <w:shd w:val="clear" w:color="auto" w:fill="D7E4BC"/>
            <w:tcMar>
              <w:top w:w="40" w:type="dxa"/>
              <w:left w:w="0" w:type="dxa"/>
              <w:bottom w:w="40" w:type="dxa"/>
              <w:right w:w="20" w:type="dxa"/>
            </w:tcMar>
            <w:vAlign w:val="bottom"/>
          </w:tcPr>
          <w:p w14:paraId="40CB11A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A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AB" w14:textId="77777777" w:rsidR="00584FB3" w:rsidRDefault="00786180">
            <w:pPr>
              <w:jc w:val="right"/>
              <w:textAlignment w:val="bottom"/>
            </w:pPr>
            <w:r>
              <w:rPr>
                <w:rFonts w:ascii="Times New Roman" w:eastAsia="宋体" w:hAnsi="Times New Roman"/>
                <w:color w:val="000000"/>
                <w:sz w:val="20"/>
                <w:szCs w:val="20"/>
              </w:rPr>
              <w:t>(16.7)</w:t>
            </w:r>
          </w:p>
        </w:tc>
        <w:tc>
          <w:tcPr>
            <w:tcW w:w="0" w:type="auto"/>
            <w:shd w:val="clear" w:color="auto" w:fill="D7E4BC"/>
            <w:tcMar>
              <w:top w:w="40" w:type="dxa"/>
              <w:left w:w="0" w:type="dxa"/>
              <w:bottom w:w="40" w:type="dxa"/>
              <w:right w:w="20" w:type="dxa"/>
            </w:tcMar>
            <w:vAlign w:val="bottom"/>
          </w:tcPr>
          <w:p w14:paraId="40CB11A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1A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1AE" w14:textId="77777777" w:rsidR="00584FB3" w:rsidRDefault="00786180">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40CB11AF" w14:textId="77777777" w:rsidR="00584FB3" w:rsidRDefault="00584FB3">
            <w:pPr>
              <w:jc w:val="right"/>
              <w:rPr>
                <w:rFonts w:ascii="宋体"/>
              </w:rPr>
            </w:pPr>
          </w:p>
        </w:tc>
      </w:tr>
      <w:tr w:rsidR="00584FB3" w14:paraId="40CB11C9" w14:textId="77777777">
        <w:trPr>
          <w:jc w:val="center"/>
        </w:trPr>
        <w:tc>
          <w:tcPr>
            <w:tcW w:w="0" w:type="auto"/>
            <w:gridSpan w:val="3"/>
            <w:shd w:val="clear" w:color="auto" w:fill="FFFFFF"/>
            <w:tcMar>
              <w:top w:w="40" w:type="dxa"/>
              <w:left w:w="20" w:type="dxa"/>
              <w:bottom w:w="40" w:type="dxa"/>
              <w:right w:w="20" w:type="dxa"/>
            </w:tcMar>
            <w:vAlign w:val="bottom"/>
          </w:tcPr>
          <w:p w14:paraId="40CB11B1" w14:textId="77777777" w:rsidR="00584FB3" w:rsidRDefault="00786180">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1B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1B3" w14:textId="77777777" w:rsidR="00584FB3" w:rsidRDefault="00786180">
            <w:pPr>
              <w:jc w:val="right"/>
              <w:textAlignment w:val="bottom"/>
            </w:pPr>
            <w:r>
              <w:rPr>
                <w:rFonts w:ascii="Times New Roman" w:eastAsia="宋体" w:hAnsi="Times New Roman"/>
                <w:color w:val="000000"/>
                <w:sz w:val="20"/>
                <w:szCs w:val="20"/>
              </w:rPr>
              <w:t>1,350.6 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1B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B5"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1B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1B7" w14:textId="77777777" w:rsidR="00584FB3" w:rsidRDefault="00786180">
            <w:pPr>
              <w:jc w:val="right"/>
              <w:textAlignment w:val="bottom"/>
            </w:pPr>
            <w:r>
              <w:rPr>
                <w:rFonts w:ascii="Times New Roman" w:eastAsia="宋体" w:hAnsi="Times New Roman"/>
                <w:color w:val="000000"/>
                <w:sz w:val="20"/>
                <w:szCs w:val="20"/>
              </w:rPr>
              <w:t>(939.6)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1B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B9"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1BA"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1BB" w14:textId="77777777" w:rsidR="00584FB3" w:rsidRDefault="00786180">
            <w:pPr>
              <w:jc w:val="right"/>
              <w:textAlignment w:val="bottom"/>
            </w:pPr>
            <w:r>
              <w:rPr>
                <w:rFonts w:ascii="Times New Roman" w:eastAsia="宋体" w:hAnsi="Times New Roman"/>
                <w:color w:val="000000"/>
                <w:sz w:val="20"/>
                <w:szCs w:val="20"/>
              </w:rPr>
              <w:t>411.0 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1B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BD"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1B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1BF" w14:textId="77777777" w:rsidR="00584FB3" w:rsidRDefault="00786180">
            <w:pPr>
              <w:jc w:val="right"/>
              <w:textAlignment w:val="bottom"/>
            </w:pPr>
            <w:r>
              <w:rPr>
                <w:rFonts w:ascii="Times New Roman" w:eastAsia="宋体" w:hAnsi="Times New Roman"/>
                <w:color w:val="000000"/>
                <w:sz w:val="20"/>
                <w:szCs w:val="20"/>
              </w:rPr>
              <w:t>1,307.9 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1C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C1"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1C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1C3" w14:textId="77777777" w:rsidR="00584FB3" w:rsidRDefault="00786180">
            <w:pPr>
              <w:jc w:val="right"/>
              <w:textAlignment w:val="bottom"/>
            </w:pPr>
            <w:r>
              <w:rPr>
                <w:rFonts w:ascii="Times New Roman" w:eastAsia="宋体" w:hAnsi="Times New Roman"/>
                <w:color w:val="000000"/>
                <w:sz w:val="20"/>
                <w:szCs w:val="20"/>
              </w:rPr>
              <w:t>(850.8)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1C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1C5"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1C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1C7" w14:textId="77777777" w:rsidR="00584FB3" w:rsidRDefault="00786180">
            <w:pPr>
              <w:jc w:val="right"/>
              <w:textAlignment w:val="bottom"/>
            </w:pPr>
            <w:r>
              <w:rPr>
                <w:rFonts w:ascii="Times New Roman" w:eastAsia="宋体" w:hAnsi="Times New Roman"/>
                <w:color w:val="000000"/>
                <w:sz w:val="20"/>
                <w:szCs w:val="20"/>
              </w:rPr>
              <w:t>457.1 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1C8" w14:textId="77777777" w:rsidR="00584FB3" w:rsidRDefault="00584FB3">
            <w:pPr>
              <w:jc w:val="right"/>
              <w:rPr>
                <w:rFonts w:ascii="宋体"/>
              </w:rPr>
            </w:pPr>
          </w:p>
        </w:tc>
      </w:tr>
    </w:tbl>
    <w:p w14:paraId="40CB11CA" w14:textId="77777777" w:rsidR="00584FB3" w:rsidRDefault="00786180">
      <w:pPr>
        <w:spacing w:before="120"/>
      </w:pPr>
      <w:r>
        <w:rPr>
          <w:rFonts w:ascii="Times New Roman" w:eastAsia="宋体" w:hAnsi="Times New Roman"/>
          <w:color w:val="000000"/>
          <w:sz w:val="20"/>
          <w:szCs w:val="20"/>
        </w:rPr>
        <w:t xml:space="preserve">Amortization expense for finite-lived intangible assets was $61.2 million for the quarter ended December 27, 2020 and $54.1 million for the quarter ended December 29, 2019, respectively. </w:t>
      </w:r>
    </w:p>
    <w:p w14:paraId="40CB11CB" w14:textId="77777777" w:rsidR="00584FB3" w:rsidRDefault="00786180">
      <w:pPr>
        <w:spacing w:before="120"/>
      </w:pPr>
      <w:r>
        <w:rPr>
          <w:rFonts w:ascii="Times New Roman" w:eastAsia="宋体" w:hAnsi="Times New Roman"/>
          <w:color w:val="000000"/>
          <w:sz w:val="20"/>
          <w:szCs w:val="20"/>
        </w:rPr>
        <w:t>Estimated future amortization expense as of December 27, 2020 (</w:t>
      </w:r>
      <w:r>
        <w:rPr>
          <w:rFonts w:ascii="Times New Roman" w:eastAsia="宋体" w:hAnsi="Times New Roman"/>
          <w:i/>
          <w:iCs/>
          <w:color w:val="000000"/>
          <w:sz w:val="20"/>
          <w:szCs w:val="20"/>
        </w:rPr>
        <w:t>in mi</w:t>
      </w:r>
      <w:r>
        <w:rPr>
          <w:rFonts w:ascii="Times New Roman" w:eastAsia="宋体" w:hAnsi="Times New Roman"/>
          <w:i/>
          <w:iCs/>
          <w:color w:val="000000"/>
          <w:sz w:val="20"/>
          <w:szCs w:val="20"/>
        </w:rPr>
        <w:t>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862"/>
        <w:gridCol w:w="36"/>
        <w:gridCol w:w="120"/>
        <w:gridCol w:w="1230"/>
        <w:gridCol w:w="36"/>
      </w:tblGrid>
      <w:tr w:rsidR="00584FB3" w14:paraId="40CB11D2" w14:textId="77777777">
        <w:trPr>
          <w:jc w:val="center"/>
        </w:trPr>
        <w:tc>
          <w:tcPr>
            <w:tcW w:w="50" w:type="pct"/>
            <w:shd w:val="clear" w:color="auto" w:fill="auto"/>
          </w:tcPr>
          <w:p w14:paraId="40CB11CC" w14:textId="77777777" w:rsidR="00584FB3" w:rsidRDefault="00584FB3">
            <w:pPr>
              <w:rPr>
                <w:rFonts w:ascii="宋体"/>
              </w:rPr>
            </w:pPr>
          </w:p>
        </w:tc>
        <w:tc>
          <w:tcPr>
            <w:tcW w:w="4133" w:type="pct"/>
            <w:shd w:val="clear" w:color="auto" w:fill="auto"/>
          </w:tcPr>
          <w:p w14:paraId="40CB11CD" w14:textId="77777777" w:rsidR="00584FB3" w:rsidRDefault="00584FB3">
            <w:pPr>
              <w:rPr>
                <w:rFonts w:ascii="宋体"/>
              </w:rPr>
            </w:pPr>
          </w:p>
        </w:tc>
        <w:tc>
          <w:tcPr>
            <w:tcW w:w="5" w:type="pct"/>
            <w:shd w:val="clear" w:color="auto" w:fill="auto"/>
          </w:tcPr>
          <w:p w14:paraId="40CB11CE" w14:textId="77777777" w:rsidR="00584FB3" w:rsidRDefault="00584FB3">
            <w:pPr>
              <w:rPr>
                <w:rFonts w:ascii="宋体"/>
              </w:rPr>
            </w:pPr>
          </w:p>
        </w:tc>
        <w:tc>
          <w:tcPr>
            <w:tcW w:w="50" w:type="pct"/>
            <w:shd w:val="clear" w:color="auto" w:fill="auto"/>
          </w:tcPr>
          <w:p w14:paraId="40CB11CF" w14:textId="77777777" w:rsidR="00584FB3" w:rsidRDefault="00584FB3">
            <w:pPr>
              <w:rPr>
                <w:rFonts w:ascii="宋体"/>
              </w:rPr>
            </w:pPr>
          </w:p>
        </w:tc>
        <w:tc>
          <w:tcPr>
            <w:tcW w:w="756" w:type="pct"/>
            <w:shd w:val="clear" w:color="auto" w:fill="auto"/>
          </w:tcPr>
          <w:p w14:paraId="40CB11D0" w14:textId="77777777" w:rsidR="00584FB3" w:rsidRDefault="00584FB3">
            <w:pPr>
              <w:rPr>
                <w:rFonts w:ascii="宋体"/>
              </w:rPr>
            </w:pPr>
          </w:p>
        </w:tc>
        <w:tc>
          <w:tcPr>
            <w:tcW w:w="5" w:type="pct"/>
            <w:shd w:val="clear" w:color="auto" w:fill="auto"/>
          </w:tcPr>
          <w:p w14:paraId="40CB11D1" w14:textId="77777777" w:rsidR="00584FB3" w:rsidRDefault="00584FB3">
            <w:pPr>
              <w:rPr>
                <w:rFonts w:ascii="宋体"/>
              </w:rPr>
            </w:pPr>
          </w:p>
        </w:tc>
      </w:tr>
      <w:tr w:rsidR="00584FB3" w14:paraId="40CB11D5" w14:textId="77777777">
        <w:trPr>
          <w:jc w:val="center"/>
        </w:trPr>
        <w:tc>
          <w:tcPr>
            <w:tcW w:w="0" w:type="auto"/>
            <w:gridSpan w:val="3"/>
            <w:shd w:val="clear" w:color="auto" w:fill="auto"/>
            <w:tcMar>
              <w:top w:w="40" w:type="dxa"/>
              <w:left w:w="20" w:type="dxa"/>
              <w:bottom w:w="40" w:type="dxa"/>
              <w:right w:w="20" w:type="dxa"/>
            </w:tcMar>
            <w:vAlign w:val="bottom"/>
          </w:tcPr>
          <w:p w14:paraId="40CB11D3" w14:textId="77777777" w:rsidR="00584FB3" w:rsidRDefault="00786180">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40CB11D4"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11DA" w14:textId="77777777">
        <w:trPr>
          <w:jc w:val="center"/>
        </w:trPr>
        <w:tc>
          <w:tcPr>
            <w:tcW w:w="0" w:type="auto"/>
            <w:gridSpan w:val="3"/>
            <w:shd w:val="clear" w:color="auto" w:fill="D7E4BC"/>
            <w:tcMar>
              <w:top w:w="40" w:type="dxa"/>
              <w:left w:w="20" w:type="dxa"/>
              <w:bottom w:w="40" w:type="dxa"/>
              <w:right w:w="20" w:type="dxa"/>
            </w:tcMar>
            <w:vAlign w:val="bottom"/>
          </w:tcPr>
          <w:p w14:paraId="40CB11D6" w14:textId="77777777" w:rsidR="00584FB3" w:rsidRDefault="00786180">
            <w:pPr>
              <w:textAlignment w:val="bottom"/>
            </w:pPr>
            <w:r>
              <w:rPr>
                <w:rFonts w:ascii="Times New Roman" w:eastAsia="宋体" w:hAnsi="Times New Roman"/>
                <w:color w:val="000000"/>
                <w:sz w:val="20"/>
                <w:szCs w:val="20"/>
              </w:rPr>
              <w:t>2021 (excluding the quarter ended December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1D7"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1D8" w14:textId="77777777" w:rsidR="00584FB3" w:rsidRDefault="00786180">
            <w:pPr>
              <w:jc w:val="right"/>
              <w:textAlignment w:val="bottom"/>
            </w:pPr>
            <w:r>
              <w:rPr>
                <w:rFonts w:ascii="Times New Roman" w:eastAsia="宋体" w:hAnsi="Times New Roman"/>
                <w:color w:val="000000"/>
                <w:sz w:val="20"/>
                <w:szCs w:val="20"/>
              </w:rPr>
              <w:t>165.4 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1D9" w14:textId="77777777" w:rsidR="00584FB3" w:rsidRDefault="00584FB3">
            <w:pPr>
              <w:jc w:val="right"/>
              <w:rPr>
                <w:rFonts w:ascii="宋体"/>
              </w:rPr>
            </w:pPr>
          </w:p>
        </w:tc>
      </w:tr>
      <w:tr w:rsidR="00584FB3" w14:paraId="40CB11DE" w14:textId="77777777">
        <w:trPr>
          <w:jc w:val="center"/>
        </w:trPr>
        <w:tc>
          <w:tcPr>
            <w:tcW w:w="0" w:type="auto"/>
            <w:gridSpan w:val="3"/>
            <w:shd w:val="clear" w:color="auto" w:fill="auto"/>
            <w:tcMar>
              <w:top w:w="40" w:type="dxa"/>
              <w:left w:w="20" w:type="dxa"/>
              <w:bottom w:w="40" w:type="dxa"/>
              <w:right w:w="20" w:type="dxa"/>
            </w:tcMar>
            <w:vAlign w:val="bottom"/>
          </w:tcPr>
          <w:p w14:paraId="40CB11DB" w14:textId="77777777" w:rsidR="00584FB3" w:rsidRDefault="00786180">
            <w:pPr>
              <w:textAlignment w:val="bottom"/>
            </w:pPr>
            <w:r>
              <w:rPr>
                <w:rFonts w:ascii="Times New Roman" w:eastAsia="宋体" w:hAnsi="Times New Roman"/>
                <w:color w:val="000000"/>
                <w:sz w:val="20"/>
                <w:szCs w:val="20"/>
              </w:rPr>
              <w:t>2022</w:t>
            </w:r>
          </w:p>
        </w:tc>
        <w:tc>
          <w:tcPr>
            <w:tcW w:w="0" w:type="auto"/>
            <w:gridSpan w:val="2"/>
            <w:shd w:val="clear" w:color="auto" w:fill="auto"/>
            <w:tcMar>
              <w:top w:w="40" w:type="dxa"/>
              <w:left w:w="20" w:type="dxa"/>
              <w:bottom w:w="40" w:type="dxa"/>
              <w:right w:w="0" w:type="dxa"/>
            </w:tcMar>
            <w:vAlign w:val="bottom"/>
          </w:tcPr>
          <w:p w14:paraId="40CB11DC" w14:textId="77777777" w:rsidR="00584FB3" w:rsidRDefault="00786180">
            <w:pPr>
              <w:jc w:val="right"/>
              <w:textAlignment w:val="bottom"/>
            </w:pPr>
            <w:r>
              <w:rPr>
                <w:rFonts w:ascii="Times New Roman" w:eastAsia="宋体" w:hAnsi="Times New Roman"/>
                <w:color w:val="000000"/>
                <w:sz w:val="20"/>
                <w:szCs w:val="20"/>
              </w:rPr>
              <w:t>190.8 </w:t>
            </w:r>
          </w:p>
        </w:tc>
        <w:tc>
          <w:tcPr>
            <w:tcW w:w="0" w:type="auto"/>
            <w:shd w:val="clear" w:color="auto" w:fill="auto"/>
            <w:tcMar>
              <w:top w:w="40" w:type="dxa"/>
              <w:left w:w="0" w:type="dxa"/>
              <w:bottom w:w="40" w:type="dxa"/>
              <w:right w:w="20" w:type="dxa"/>
            </w:tcMar>
            <w:vAlign w:val="bottom"/>
          </w:tcPr>
          <w:p w14:paraId="40CB11DD" w14:textId="77777777" w:rsidR="00584FB3" w:rsidRDefault="00584FB3">
            <w:pPr>
              <w:jc w:val="right"/>
              <w:rPr>
                <w:rFonts w:ascii="宋体"/>
              </w:rPr>
            </w:pPr>
          </w:p>
        </w:tc>
      </w:tr>
      <w:tr w:rsidR="00584FB3" w14:paraId="40CB11E2" w14:textId="77777777">
        <w:trPr>
          <w:jc w:val="center"/>
        </w:trPr>
        <w:tc>
          <w:tcPr>
            <w:tcW w:w="0" w:type="auto"/>
            <w:gridSpan w:val="3"/>
            <w:shd w:val="clear" w:color="auto" w:fill="D7E4BC"/>
            <w:tcMar>
              <w:top w:w="40" w:type="dxa"/>
              <w:left w:w="20" w:type="dxa"/>
              <w:bottom w:w="40" w:type="dxa"/>
              <w:right w:w="20" w:type="dxa"/>
            </w:tcMar>
            <w:vAlign w:val="bottom"/>
          </w:tcPr>
          <w:p w14:paraId="40CB11DF" w14:textId="77777777" w:rsidR="00584FB3" w:rsidRDefault="00786180">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40CB11E0" w14:textId="77777777" w:rsidR="00584FB3" w:rsidRDefault="00786180">
            <w:pPr>
              <w:jc w:val="right"/>
              <w:textAlignment w:val="bottom"/>
            </w:pPr>
            <w:r>
              <w:rPr>
                <w:rFonts w:ascii="Times New Roman" w:eastAsia="宋体" w:hAnsi="Times New Roman"/>
                <w:color w:val="000000"/>
                <w:sz w:val="20"/>
                <w:szCs w:val="20"/>
              </w:rPr>
              <w:t>19.7 </w:t>
            </w:r>
          </w:p>
        </w:tc>
        <w:tc>
          <w:tcPr>
            <w:tcW w:w="0" w:type="auto"/>
            <w:shd w:val="clear" w:color="auto" w:fill="D7E4BC"/>
            <w:tcMar>
              <w:top w:w="40" w:type="dxa"/>
              <w:left w:w="0" w:type="dxa"/>
              <w:bottom w:w="40" w:type="dxa"/>
              <w:right w:w="20" w:type="dxa"/>
            </w:tcMar>
            <w:vAlign w:val="bottom"/>
          </w:tcPr>
          <w:p w14:paraId="40CB11E1" w14:textId="77777777" w:rsidR="00584FB3" w:rsidRDefault="00584FB3">
            <w:pPr>
              <w:jc w:val="right"/>
              <w:rPr>
                <w:rFonts w:ascii="宋体"/>
              </w:rPr>
            </w:pPr>
          </w:p>
        </w:tc>
      </w:tr>
      <w:tr w:rsidR="00584FB3" w14:paraId="40CB11E6" w14:textId="77777777">
        <w:trPr>
          <w:jc w:val="center"/>
        </w:trPr>
        <w:tc>
          <w:tcPr>
            <w:tcW w:w="0" w:type="auto"/>
            <w:gridSpan w:val="3"/>
            <w:shd w:val="clear" w:color="auto" w:fill="auto"/>
            <w:tcMar>
              <w:top w:w="40" w:type="dxa"/>
              <w:left w:w="20" w:type="dxa"/>
              <w:bottom w:w="40" w:type="dxa"/>
              <w:right w:w="20" w:type="dxa"/>
            </w:tcMar>
            <w:vAlign w:val="bottom"/>
          </w:tcPr>
          <w:p w14:paraId="40CB11E3" w14:textId="77777777" w:rsidR="00584FB3" w:rsidRDefault="00786180">
            <w:pPr>
              <w:textAlignment w:val="bottom"/>
            </w:pPr>
            <w:r>
              <w:rPr>
                <w:rFonts w:ascii="Times New Roman" w:eastAsia="宋体" w:hAnsi="Times New Roman"/>
                <w:color w:val="000000"/>
                <w:sz w:val="20"/>
                <w:szCs w:val="20"/>
              </w:rPr>
              <w:t>2024</w:t>
            </w:r>
          </w:p>
        </w:tc>
        <w:tc>
          <w:tcPr>
            <w:tcW w:w="0" w:type="auto"/>
            <w:gridSpan w:val="2"/>
            <w:shd w:val="clear" w:color="auto" w:fill="auto"/>
            <w:tcMar>
              <w:top w:w="40" w:type="dxa"/>
              <w:left w:w="20" w:type="dxa"/>
              <w:bottom w:w="40" w:type="dxa"/>
              <w:right w:w="0" w:type="dxa"/>
            </w:tcMar>
            <w:vAlign w:val="bottom"/>
          </w:tcPr>
          <w:p w14:paraId="40CB11E4" w14:textId="77777777" w:rsidR="00584FB3" w:rsidRDefault="00786180">
            <w:pPr>
              <w:jc w:val="right"/>
              <w:textAlignment w:val="bottom"/>
            </w:pPr>
            <w:r>
              <w:rPr>
                <w:rFonts w:ascii="Times New Roman" w:eastAsia="宋体" w:hAnsi="Times New Roman"/>
                <w:color w:val="000000"/>
                <w:sz w:val="20"/>
                <w:szCs w:val="20"/>
              </w:rPr>
              <w:t>19.1 </w:t>
            </w:r>
          </w:p>
        </w:tc>
        <w:tc>
          <w:tcPr>
            <w:tcW w:w="0" w:type="auto"/>
            <w:shd w:val="clear" w:color="auto" w:fill="auto"/>
            <w:tcMar>
              <w:top w:w="40" w:type="dxa"/>
              <w:left w:w="0" w:type="dxa"/>
              <w:bottom w:w="40" w:type="dxa"/>
              <w:right w:w="20" w:type="dxa"/>
            </w:tcMar>
            <w:vAlign w:val="bottom"/>
          </w:tcPr>
          <w:p w14:paraId="40CB11E5" w14:textId="77777777" w:rsidR="00584FB3" w:rsidRDefault="00584FB3">
            <w:pPr>
              <w:jc w:val="right"/>
              <w:rPr>
                <w:rFonts w:ascii="宋体"/>
              </w:rPr>
            </w:pPr>
          </w:p>
        </w:tc>
      </w:tr>
      <w:tr w:rsidR="00584FB3" w14:paraId="40CB11EA" w14:textId="77777777">
        <w:trPr>
          <w:jc w:val="center"/>
        </w:trPr>
        <w:tc>
          <w:tcPr>
            <w:tcW w:w="0" w:type="auto"/>
            <w:gridSpan w:val="3"/>
            <w:shd w:val="clear" w:color="auto" w:fill="D7E4BC"/>
            <w:tcMar>
              <w:top w:w="40" w:type="dxa"/>
              <w:left w:w="20" w:type="dxa"/>
              <w:bottom w:w="40" w:type="dxa"/>
              <w:right w:w="20" w:type="dxa"/>
            </w:tcMar>
            <w:vAlign w:val="bottom"/>
          </w:tcPr>
          <w:p w14:paraId="40CB11E7" w14:textId="77777777" w:rsidR="00584FB3" w:rsidRDefault="00786180">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40CB11E8" w14:textId="77777777" w:rsidR="00584FB3" w:rsidRDefault="00786180">
            <w:pPr>
              <w:jc w:val="right"/>
              <w:textAlignment w:val="bottom"/>
            </w:pPr>
            <w:r>
              <w:rPr>
                <w:rFonts w:ascii="Times New Roman" w:eastAsia="宋体" w:hAnsi="Times New Roman"/>
                <w:color w:val="000000"/>
                <w:sz w:val="20"/>
                <w:szCs w:val="20"/>
              </w:rPr>
              <w:t>13.2 </w:t>
            </w:r>
          </w:p>
        </w:tc>
        <w:tc>
          <w:tcPr>
            <w:tcW w:w="0" w:type="auto"/>
            <w:shd w:val="clear" w:color="auto" w:fill="D7E4BC"/>
            <w:tcMar>
              <w:top w:w="40" w:type="dxa"/>
              <w:left w:w="0" w:type="dxa"/>
              <w:bottom w:w="40" w:type="dxa"/>
              <w:right w:w="20" w:type="dxa"/>
            </w:tcMar>
            <w:vAlign w:val="bottom"/>
          </w:tcPr>
          <w:p w14:paraId="40CB11E9" w14:textId="77777777" w:rsidR="00584FB3" w:rsidRDefault="00584FB3">
            <w:pPr>
              <w:jc w:val="right"/>
              <w:rPr>
                <w:rFonts w:ascii="宋体"/>
              </w:rPr>
            </w:pPr>
          </w:p>
        </w:tc>
      </w:tr>
      <w:tr w:rsidR="00584FB3" w14:paraId="40CB11EE" w14:textId="77777777">
        <w:trPr>
          <w:jc w:val="center"/>
        </w:trPr>
        <w:tc>
          <w:tcPr>
            <w:tcW w:w="0" w:type="auto"/>
            <w:gridSpan w:val="3"/>
            <w:shd w:val="clear" w:color="auto" w:fill="auto"/>
            <w:tcMar>
              <w:top w:w="40" w:type="dxa"/>
              <w:left w:w="20" w:type="dxa"/>
              <w:bottom w:w="40" w:type="dxa"/>
              <w:right w:w="20" w:type="dxa"/>
            </w:tcMar>
            <w:vAlign w:val="bottom"/>
          </w:tcPr>
          <w:p w14:paraId="40CB11EB" w14:textId="77777777" w:rsidR="00584FB3" w:rsidRDefault="00786180">
            <w:pPr>
              <w:textAlignment w:val="bottom"/>
            </w:pPr>
            <w:r>
              <w:rPr>
                <w:rFonts w:ascii="Times New Roman" w:eastAsia="宋体" w:hAnsi="Times New Roman"/>
                <w:color w:val="000000"/>
                <w:sz w:val="20"/>
                <w:szCs w:val="20"/>
              </w:rPr>
              <w:t>Thereafter</w:t>
            </w:r>
          </w:p>
        </w:tc>
        <w:tc>
          <w:tcPr>
            <w:tcW w:w="0" w:type="auto"/>
            <w:gridSpan w:val="2"/>
            <w:shd w:val="clear" w:color="auto" w:fill="auto"/>
            <w:tcMar>
              <w:top w:w="40" w:type="dxa"/>
              <w:left w:w="20" w:type="dxa"/>
              <w:bottom w:w="40" w:type="dxa"/>
              <w:right w:w="0" w:type="dxa"/>
            </w:tcMar>
            <w:vAlign w:val="bottom"/>
          </w:tcPr>
          <w:p w14:paraId="40CB11EC" w14:textId="77777777" w:rsidR="00584FB3" w:rsidRDefault="00786180">
            <w:pPr>
              <w:jc w:val="right"/>
              <w:textAlignment w:val="bottom"/>
            </w:pPr>
            <w:r>
              <w:rPr>
                <w:rFonts w:ascii="Times New Roman" w:eastAsia="宋体" w:hAnsi="Times New Roman"/>
                <w:color w:val="000000"/>
                <w:sz w:val="20"/>
                <w:szCs w:val="20"/>
              </w:rPr>
              <w:t>2.8 </w:t>
            </w:r>
          </w:p>
        </w:tc>
        <w:tc>
          <w:tcPr>
            <w:tcW w:w="0" w:type="auto"/>
            <w:shd w:val="clear" w:color="auto" w:fill="auto"/>
            <w:tcMar>
              <w:top w:w="40" w:type="dxa"/>
              <w:left w:w="0" w:type="dxa"/>
              <w:bottom w:w="40" w:type="dxa"/>
              <w:right w:w="20" w:type="dxa"/>
            </w:tcMar>
            <w:vAlign w:val="bottom"/>
          </w:tcPr>
          <w:p w14:paraId="40CB11ED" w14:textId="77777777" w:rsidR="00584FB3" w:rsidRDefault="00584FB3">
            <w:pPr>
              <w:jc w:val="right"/>
              <w:rPr>
                <w:rFonts w:ascii="宋体"/>
              </w:rPr>
            </w:pPr>
          </w:p>
        </w:tc>
      </w:tr>
      <w:tr w:rsidR="00584FB3" w14:paraId="40CB11F3" w14:textId="77777777">
        <w:trPr>
          <w:jc w:val="center"/>
        </w:trPr>
        <w:tc>
          <w:tcPr>
            <w:tcW w:w="0" w:type="auto"/>
            <w:gridSpan w:val="3"/>
            <w:shd w:val="clear" w:color="auto" w:fill="D7E4BC"/>
            <w:tcMar>
              <w:top w:w="40" w:type="dxa"/>
              <w:left w:w="20" w:type="dxa"/>
              <w:bottom w:w="40" w:type="dxa"/>
              <w:right w:w="20" w:type="dxa"/>
            </w:tcMar>
            <w:vAlign w:val="bottom"/>
          </w:tcPr>
          <w:p w14:paraId="40CB11EF" w14:textId="77777777" w:rsidR="00584FB3" w:rsidRDefault="00786180">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1F0"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1F1" w14:textId="77777777" w:rsidR="00584FB3" w:rsidRDefault="00786180">
            <w:pPr>
              <w:jc w:val="right"/>
              <w:textAlignment w:val="bottom"/>
            </w:pPr>
            <w:r>
              <w:rPr>
                <w:rFonts w:ascii="Times New Roman" w:eastAsia="宋体" w:hAnsi="Times New Roman"/>
                <w:color w:val="000000"/>
                <w:sz w:val="20"/>
                <w:szCs w:val="20"/>
              </w:rPr>
              <w:t>411.0 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1F2" w14:textId="77777777" w:rsidR="00584FB3" w:rsidRDefault="00584FB3">
            <w:pPr>
              <w:jc w:val="right"/>
              <w:rPr>
                <w:rFonts w:ascii="宋体"/>
              </w:rPr>
            </w:pPr>
          </w:p>
        </w:tc>
      </w:tr>
    </w:tbl>
    <w:p w14:paraId="40CB11F4" w14:textId="77777777" w:rsidR="00584FB3" w:rsidRDefault="00786180">
      <w:pPr>
        <w:spacing w:before="120"/>
      </w:pPr>
      <w:r>
        <w:rPr>
          <w:rFonts w:ascii="Times New Roman" w:eastAsia="宋体" w:hAnsi="Times New Roman"/>
          <w:b/>
          <w:bCs/>
          <w:i/>
          <w:iCs/>
          <w:color w:val="000000"/>
          <w:sz w:val="20"/>
          <w:szCs w:val="20"/>
        </w:rPr>
        <w:t>Goodwill</w:t>
      </w:r>
    </w:p>
    <w:p w14:paraId="40CB11F5" w14:textId="77777777" w:rsidR="00584FB3" w:rsidRDefault="00786180">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2"/>
        <w:gridCol w:w="2235"/>
        <w:gridCol w:w="36"/>
        <w:gridCol w:w="121"/>
        <w:gridCol w:w="990"/>
        <w:gridCol w:w="36"/>
        <w:gridCol w:w="36"/>
        <w:gridCol w:w="36"/>
        <w:gridCol w:w="36"/>
        <w:gridCol w:w="121"/>
        <w:gridCol w:w="945"/>
        <w:gridCol w:w="36"/>
        <w:gridCol w:w="36"/>
        <w:gridCol w:w="36"/>
        <w:gridCol w:w="36"/>
        <w:gridCol w:w="121"/>
        <w:gridCol w:w="945"/>
        <w:gridCol w:w="36"/>
        <w:gridCol w:w="36"/>
        <w:gridCol w:w="36"/>
        <w:gridCol w:w="36"/>
        <w:gridCol w:w="121"/>
        <w:gridCol w:w="945"/>
        <w:gridCol w:w="36"/>
        <w:gridCol w:w="36"/>
        <w:gridCol w:w="36"/>
        <w:gridCol w:w="36"/>
        <w:gridCol w:w="120"/>
        <w:gridCol w:w="945"/>
        <w:gridCol w:w="36"/>
      </w:tblGrid>
      <w:tr w:rsidR="00584FB3" w14:paraId="40CB1214" w14:textId="77777777">
        <w:tc>
          <w:tcPr>
            <w:tcW w:w="50" w:type="pct"/>
            <w:shd w:val="clear" w:color="auto" w:fill="auto"/>
          </w:tcPr>
          <w:p w14:paraId="40CB11F6" w14:textId="77777777" w:rsidR="00584FB3" w:rsidRDefault="00584FB3">
            <w:pPr>
              <w:rPr>
                <w:rFonts w:ascii="宋体"/>
              </w:rPr>
            </w:pPr>
          </w:p>
        </w:tc>
        <w:tc>
          <w:tcPr>
            <w:tcW w:w="1384" w:type="pct"/>
            <w:shd w:val="clear" w:color="auto" w:fill="auto"/>
          </w:tcPr>
          <w:p w14:paraId="40CB11F7" w14:textId="77777777" w:rsidR="00584FB3" w:rsidRDefault="00584FB3">
            <w:pPr>
              <w:rPr>
                <w:rFonts w:ascii="宋体"/>
              </w:rPr>
            </w:pPr>
          </w:p>
        </w:tc>
        <w:tc>
          <w:tcPr>
            <w:tcW w:w="5" w:type="pct"/>
            <w:shd w:val="clear" w:color="auto" w:fill="auto"/>
          </w:tcPr>
          <w:p w14:paraId="40CB11F8" w14:textId="77777777" w:rsidR="00584FB3" w:rsidRDefault="00584FB3">
            <w:pPr>
              <w:rPr>
                <w:rFonts w:ascii="宋体"/>
              </w:rPr>
            </w:pPr>
          </w:p>
        </w:tc>
        <w:tc>
          <w:tcPr>
            <w:tcW w:w="50" w:type="pct"/>
            <w:shd w:val="clear" w:color="auto" w:fill="auto"/>
          </w:tcPr>
          <w:p w14:paraId="40CB11F9" w14:textId="77777777" w:rsidR="00584FB3" w:rsidRDefault="00584FB3">
            <w:pPr>
              <w:rPr>
                <w:rFonts w:ascii="宋体"/>
              </w:rPr>
            </w:pPr>
          </w:p>
        </w:tc>
        <w:tc>
          <w:tcPr>
            <w:tcW w:w="627" w:type="pct"/>
            <w:shd w:val="clear" w:color="auto" w:fill="auto"/>
          </w:tcPr>
          <w:p w14:paraId="40CB11FA" w14:textId="77777777" w:rsidR="00584FB3" w:rsidRDefault="00584FB3">
            <w:pPr>
              <w:rPr>
                <w:rFonts w:ascii="宋体"/>
              </w:rPr>
            </w:pPr>
          </w:p>
        </w:tc>
        <w:tc>
          <w:tcPr>
            <w:tcW w:w="5" w:type="pct"/>
            <w:shd w:val="clear" w:color="auto" w:fill="auto"/>
          </w:tcPr>
          <w:p w14:paraId="40CB11FB" w14:textId="77777777" w:rsidR="00584FB3" w:rsidRDefault="00584FB3">
            <w:pPr>
              <w:rPr>
                <w:rFonts w:ascii="宋体"/>
              </w:rPr>
            </w:pPr>
          </w:p>
        </w:tc>
        <w:tc>
          <w:tcPr>
            <w:tcW w:w="5" w:type="pct"/>
            <w:shd w:val="clear" w:color="auto" w:fill="auto"/>
          </w:tcPr>
          <w:p w14:paraId="40CB11FC" w14:textId="77777777" w:rsidR="00584FB3" w:rsidRDefault="00584FB3">
            <w:pPr>
              <w:rPr>
                <w:rFonts w:ascii="宋体"/>
              </w:rPr>
            </w:pPr>
          </w:p>
        </w:tc>
        <w:tc>
          <w:tcPr>
            <w:tcW w:w="26" w:type="pct"/>
            <w:shd w:val="clear" w:color="auto" w:fill="auto"/>
          </w:tcPr>
          <w:p w14:paraId="40CB11FD" w14:textId="77777777" w:rsidR="00584FB3" w:rsidRDefault="00584FB3">
            <w:pPr>
              <w:rPr>
                <w:rFonts w:ascii="宋体"/>
              </w:rPr>
            </w:pPr>
          </w:p>
        </w:tc>
        <w:tc>
          <w:tcPr>
            <w:tcW w:w="5" w:type="pct"/>
            <w:shd w:val="clear" w:color="auto" w:fill="auto"/>
          </w:tcPr>
          <w:p w14:paraId="40CB11FE" w14:textId="77777777" w:rsidR="00584FB3" w:rsidRDefault="00584FB3">
            <w:pPr>
              <w:rPr>
                <w:rFonts w:ascii="宋体"/>
              </w:rPr>
            </w:pPr>
          </w:p>
        </w:tc>
        <w:tc>
          <w:tcPr>
            <w:tcW w:w="50" w:type="pct"/>
            <w:shd w:val="clear" w:color="auto" w:fill="auto"/>
          </w:tcPr>
          <w:p w14:paraId="40CB11FF" w14:textId="77777777" w:rsidR="00584FB3" w:rsidRDefault="00584FB3">
            <w:pPr>
              <w:rPr>
                <w:rFonts w:ascii="宋体"/>
              </w:rPr>
            </w:pPr>
          </w:p>
        </w:tc>
        <w:tc>
          <w:tcPr>
            <w:tcW w:w="627" w:type="pct"/>
            <w:shd w:val="clear" w:color="auto" w:fill="auto"/>
          </w:tcPr>
          <w:p w14:paraId="40CB1200" w14:textId="77777777" w:rsidR="00584FB3" w:rsidRDefault="00584FB3">
            <w:pPr>
              <w:rPr>
                <w:rFonts w:ascii="宋体"/>
              </w:rPr>
            </w:pPr>
          </w:p>
        </w:tc>
        <w:tc>
          <w:tcPr>
            <w:tcW w:w="5" w:type="pct"/>
            <w:shd w:val="clear" w:color="auto" w:fill="auto"/>
          </w:tcPr>
          <w:p w14:paraId="40CB1201" w14:textId="77777777" w:rsidR="00584FB3" w:rsidRDefault="00584FB3">
            <w:pPr>
              <w:rPr>
                <w:rFonts w:ascii="宋体"/>
              </w:rPr>
            </w:pPr>
          </w:p>
        </w:tc>
        <w:tc>
          <w:tcPr>
            <w:tcW w:w="5" w:type="pct"/>
            <w:shd w:val="clear" w:color="auto" w:fill="auto"/>
          </w:tcPr>
          <w:p w14:paraId="40CB1202" w14:textId="77777777" w:rsidR="00584FB3" w:rsidRDefault="00584FB3">
            <w:pPr>
              <w:rPr>
                <w:rFonts w:ascii="宋体"/>
              </w:rPr>
            </w:pPr>
          </w:p>
        </w:tc>
        <w:tc>
          <w:tcPr>
            <w:tcW w:w="26" w:type="pct"/>
            <w:shd w:val="clear" w:color="auto" w:fill="auto"/>
          </w:tcPr>
          <w:p w14:paraId="40CB1203" w14:textId="77777777" w:rsidR="00584FB3" w:rsidRDefault="00584FB3">
            <w:pPr>
              <w:rPr>
                <w:rFonts w:ascii="宋体"/>
              </w:rPr>
            </w:pPr>
          </w:p>
        </w:tc>
        <w:tc>
          <w:tcPr>
            <w:tcW w:w="5" w:type="pct"/>
            <w:shd w:val="clear" w:color="auto" w:fill="auto"/>
          </w:tcPr>
          <w:p w14:paraId="40CB1204" w14:textId="77777777" w:rsidR="00584FB3" w:rsidRDefault="00584FB3">
            <w:pPr>
              <w:rPr>
                <w:rFonts w:ascii="宋体"/>
              </w:rPr>
            </w:pPr>
          </w:p>
        </w:tc>
        <w:tc>
          <w:tcPr>
            <w:tcW w:w="50" w:type="pct"/>
            <w:shd w:val="clear" w:color="auto" w:fill="auto"/>
          </w:tcPr>
          <w:p w14:paraId="40CB1205" w14:textId="77777777" w:rsidR="00584FB3" w:rsidRDefault="00584FB3">
            <w:pPr>
              <w:rPr>
                <w:rFonts w:ascii="宋体"/>
              </w:rPr>
            </w:pPr>
          </w:p>
        </w:tc>
        <w:tc>
          <w:tcPr>
            <w:tcW w:w="627" w:type="pct"/>
            <w:shd w:val="clear" w:color="auto" w:fill="auto"/>
          </w:tcPr>
          <w:p w14:paraId="40CB1206" w14:textId="77777777" w:rsidR="00584FB3" w:rsidRDefault="00584FB3">
            <w:pPr>
              <w:rPr>
                <w:rFonts w:ascii="宋体"/>
              </w:rPr>
            </w:pPr>
          </w:p>
        </w:tc>
        <w:tc>
          <w:tcPr>
            <w:tcW w:w="5" w:type="pct"/>
            <w:shd w:val="clear" w:color="auto" w:fill="auto"/>
          </w:tcPr>
          <w:p w14:paraId="40CB1207" w14:textId="77777777" w:rsidR="00584FB3" w:rsidRDefault="00584FB3">
            <w:pPr>
              <w:rPr>
                <w:rFonts w:ascii="宋体"/>
              </w:rPr>
            </w:pPr>
          </w:p>
        </w:tc>
        <w:tc>
          <w:tcPr>
            <w:tcW w:w="5" w:type="pct"/>
            <w:shd w:val="clear" w:color="auto" w:fill="auto"/>
          </w:tcPr>
          <w:p w14:paraId="40CB1208" w14:textId="77777777" w:rsidR="00584FB3" w:rsidRDefault="00584FB3">
            <w:pPr>
              <w:rPr>
                <w:rFonts w:ascii="宋体"/>
              </w:rPr>
            </w:pPr>
          </w:p>
        </w:tc>
        <w:tc>
          <w:tcPr>
            <w:tcW w:w="26" w:type="pct"/>
            <w:shd w:val="clear" w:color="auto" w:fill="auto"/>
          </w:tcPr>
          <w:p w14:paraId="40CB1209" w14:textId="77777777" w:rsidR="00584FB3" w:rsidRDefault="00584FB3">
            <w:pPr>
              <w:rPr>
                <w:rFonts w:ascii="宋体"/>
              </w:rPr>
            </w:pPr>
          </w:p>
        </w:tc>
        <w:tc>
          <w:tcPr>
            <w:tcW w:w="5" w:type="pct"/>
            <w:shd w:val="clear" w:color="auto" w:fill="auto"/>
          </w:tcPr>
          <w:p w14:paraId="40CB120A" w14:textId="77777777" w:rsidR="00584FB3" w:rsidRDefault="00584FB3">
            <w:pPr>
              <w:rPr>
                <w:rFonts w:ascii="宋体"/>
              </w:rPr>
            </w:pPr>
          </w:p>
        </w:tc>
        <w:tc>
          <w:tcPr>
            <w:tcW w:w="50" w:type="pct"/>
            <w:shd w:val="clear" w:color="auto" w:fill="auto"/>
          </w:tcPr>
          <w:p w14:paraId="40CB120B" w14:textId="77777777" w:rsidR="00584FB3" w:rsidRDefault="00584FB3">
            <w:pPr>
              <w:rPr>
                <w:rFonts w:ascii="宋体"/>
              </w:rPr>
            </w:pPr>
          </w:p>
        </w:tc>
        <w:tc>
          <w:tcPr>
            <w:tcW w:w="627" w:type="pct"/>
            <w:shd w:val="clear" w:color="auto" w:fill="auto"/>
          </w:tcPr>
          <w:p w14:paraId="40CB120C" w14:textId="77777777" w:rsidR="00584FB3" w:rsidRDefault="00584FB3">
            <w:pPr>
              <w:rPr>
                <w:rFonts w:ascii="宋体"/>
              </w:rPr>
            </w:pPr>
          </w:p>
        </w:tc>
        <w:tc>
          <w:tcPr>
            <w:tcW w:w="5" w:type="pct"/>
            <w:shd w:val="clear" w:color="auto" w:fill="auto"/>
          </w:tcPr>
          <w:p w14:paraId="40CB120D" w14:textId="77777777" w:rsidR="00584FB3" w:rsidRDefault="00584FB3">
            <w:pPr>
              <w:rPr>
                <w:rFonts w:ascii="宋体"/>
              </w:rPr>
            </w:pPr>
          </w:p>
        </w:tc>
        <w:tc>
          <w:tcPr>
            <w:tcW w:w="5" w:type="pct"/>
            <w:shd w:val="clear" w:color="auto" w:fill="auto"/>
          </w:tcPr>
          <w:p w14:paraId="40CB120E" w14:textId="77777777" w:rsidR="00584FB3" w:rsidRDefault="00584FB3">
            <w:pPr>
              <w:rPr>
                <w:rFonts w:ascii="宋体"/>
              </w:rPr>
            </w:pPr>
          </w:p>
        </w:tc>
        <w:tc>
          <w:tcPr>
            <w:tcW w:w="26" w:type="pct"/>
            <w:shd w:val="clear" w:color="auto" w:fill="auto"/>
          </w:tcPr>
          <w:p w14:paraId="40CB120F" w14:textId="77777777" w:rsidR="00584FB3" w:rsidRDefault="00584FB3">
            <w:pPr>
              <w:rPr>
                <w:rFonts w:ascii="宋体"/>
              </w:rPr>
            </w:pPr>
          </w:p>
        </w:tc>
        <w:tc>
          <w:tcPr>
            <w:tcW w:w="5" w:type="pct"/>
            <w:shd w:val="clear" w:color="auto" w:fill="auto"/>
          </w:tcPr>
          <w:p w14:paraId="40CB1210" w14:textId="77777777" w:rsidR="00584FB3" w:rsidRDefault="00584FB3">
            <w:pPr>
              <w:rPr>
                <w:rFonts w:ascii="宋体"/>
              </w:rPr>
            </w:pPr>
          </w:p>
        </w:tc>
        <w:tc>
          <w:tcPr>
            <w:tcW w:w="50" w:type="pct"/>
            <w:shd w:val="clear" w:color="auto" w:fill="auto"/>
          </w:tcPr>
          <w:p w14:paraId="40CB1211" w14:textId="77777777" w:rsidR="00584FB3" w:rsidRDefault="00584FB3">
            <w:pPr>
              <w:rPr>
                <w:rFonts w:ascii="宋体"/>
              </w:rPr>
            </w:pPr>
          </w:p>
        </w:tc>
        <w:tc>
          <w:tcPr>
            <w:tcW w:w="627" w:type="pct"/>
            <w:shd w:val="clear" w:color="auto" w:fill="auto"/>
          </w:tcPr>
          <w:p w14:paraId="40CB1212" w14:textId="77777777" w:rsidR="00584FB3" w:rsidRDefault="00584FB3">
            <w:pPr>
              <w:rPr>
                <w:rFonts w:ascii="宋体"/>
              </w:rPr>
            </w:pPr>
          </w:p>
        </w:tc>
        <w:tc>
          <w:tcPr>
            <w:tcW w:w="5" w:type="pct"/>
            <w:shd w:val="clear" w:color="auto" w:fill="auto"/>
          </w:tcPr>
          <w:p w14:paraId="40CB1213" w14:textId="77777777" w:rsidR="00584FB3" w:rsidRDefault="00584FB3">
            <w:pPr>
              <w:rPr>
                <w:rFonts w:ascii="宋体"/>
              </w:rPr>
            </w:pPr>
          </w:p>
        </w:tc>
      </w:tr>
      <w:tr w:rsidR="00584FB3" w14:paraId="40CB121F" w14:textId="77777777">
        <w:tc>
          <w:tcPr>
            <w:tcW w:w="0" w:type="auto"/>
            <w:gridSpan w:val="3"/>
            <w:shd w:val="clear" w:color="auto" w:fill="auto"/>
            <w:tcMar>
              <w:top w:w="0" w:type="dxa"/>
              <w:left w:w="20" w:type="dxa"/>
              <w:bottom w:w="0" w:type="dxa"/>
              <w:right w:w="20" w:type="dxa"/>
            </w:tcMar>
          </w:tcPr>
          <w:p w14:paraId="40CB1215"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216" w14:textId="77777777" w:rsidR="00584FB3" w:rsidRDefault="00786180">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tcPr>
          <w:p w14:paraId="40CB1217"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218" w14:textId="77777777" w:rsidR="00584FB3" w:rsidRDefault="00786180">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tcPr>
          <w:p w14:paraId="40CB1219"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21A" w14:textId="77777777" w:rsidR="00584FB3" w:rsidRDefault="00786180">
            <w:pPr>
              <w:jc w:val="center"/>
              <w:textAlignment w:val="bottom"/>
            </w:pPr>
            <w:r>
              <w:rPr>
                <w:rFonts w:ascii="Times New Roman" w:eastAsia="宋体" w:hAnsi="Times New Roman"/>
                <w:b/>
                <w:bCs/>
                <w:color w:val="FFFFFF"/>
                <w:sz w:val="16"/>
                <w:szCs w:val="16"/>
              </w:rPr>
              <w:t>Channel</w:t>
            </w:r>
            <w:r>
              <w:rPr>
                <w:rFonts w:ascii="Times New Roman" w:eastAsia="宋体" w:hAnsi="Times New Roman"/>
                <w:b/>
                <w:bCs/>
                <w:color w:val="FFFFFF"/>
                <w:sz w:val="16"/>
                <w:szCs w:val="16"/>
              </w:rPr>
              <w:br/>
              <w:t>Development</w:t>
            </w:r>
          </w:p>
        </w:tc>
        <w:tc>
          <w:tcPr>
            <w:tcW w:w="0" w:type="auto"/>
            <w:gridSpan w:val="3"/>
            <w:shd w:val="clear" w:color="auto" w:fill="auto"/>
            <w:tcMar>
              <w:top w:w="0" w:type="dxa"/>
              <w:left w:w="20" w:type="dxa"/>
              <w:bottom w:w="0" w:type="dxa"/>
              <w:right w:w="20" w:type="dxa"/>
            </w:tcMar>
          </w:tcPr>
          <w:p w14:paraId="40CB121B"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21C" w14:textId="77777777" w:rsidR="00584FB3" w:rsidRDefault="00786180">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tcPr>
          <w:p w14:paraId="40CB121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21E"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1234" w14:textId="77777777">
        <w:tc>
          <w:tcPr>
            <w:tcW w:w="0" w:type="auto"/>
            <w:gridSpan w:val="3"/>
            <w:shd w:val="clear" w:color="auto" w:fill="D7E4BC"/>
            <w:tcMar>
              <w:top w:w="40" w:type="dxa"/>
              <w:left w:w="20" w:type="dxa"/>
              <w:bottom w:w="40" w:type="dxa"/>
              <w:right w:w="20" w:type="dxa"/>
            </w:tcMar>
            <w:vAlign w:val="bottom"/>
          </w:tcPr>
          <w:p w14:paraId="40CB1220" w14:textId="77777777" w:rsidR="00584FB3" w:rsidRDefault="00786180">
            <w:pPr>
              <w:textAlignment w:val="bottom"/>
            </w:pPr>
            <w:r>
              <w:rPr>
                <w:rFonts w:ascii="Times New Roman" w:eastAsia="宋体" w:hAnsi="Times New Roman"/>
                <w:color w:val="000000"/>
                <w:sz w:val="20"/>
                <w:szCs w:val="20"/>
              </w:rPr>
              <w:t>Goodwill balance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22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22" w14:textId="77777777" w:rsidR="00584FB3" w:rsidRDefault="00786180">
            <w:pPr>
              <w:jc w:val="right"/>
              <w:textAlignment w:val="bottom"/>
            </w:pPr>
            <w:r>
              <w:rPr>
                <w:rFonts w:ascii="Times New Roman" w:eastAsia="宋体" w:hAnsi="Times New Roman"/>
                <w:color w:val="000000"/>
                <w:sz w:val="20"/>
                <w:szCs w:val="20"/>
              </w:rPr>
              <w:t>496.5 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2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24"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22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26" w14:textId="77777777" w:rsidR="00584FB3" w:rsidRDefault="00786180">
            <w:pPr>
              <w:jc w:val="right"/>
              <w:textAlignment w:val="bottom"/>
            </w:pPr>
            <w:r>
              <w:rPr>
                <w:rFonts w:ascii="Times New Roman" w:eastAsia="宋体" w:hAnsi="Times New Roman"/>
                <w:color w:val="000000"/>
                <w:sz w:val="20"/>
                <w:szCs w:val="20"/>
              </w:rPr>
              <w:t>3,065.0 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2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28"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229"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2A" w14:textId="77777777" w:rsidR="00584FB3" w:rsidRDefault="00786180">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2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2C"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22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2E" w14:textId="77777777" w:rsidR="00584FB3" w:rsidRDefault="00786180">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2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3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23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32" w14:textId="77777777" w:rsidR="00584FB3" w:rsidRDefault="00786180">
            <w:pPr>
              <w:jc w:val="right"/>
              <w:textAlignment w:val="bottom"/>
            </w:pPr>
            <w:r>
              <w:rPr>
                <w:rFonts w:ascii="Times New Roman" w:eastAsia="宋体" w:hAnsi="Times New Roman"/>
                <w:color w:val="000000"/>
                <w:sz w:val="20"/>
                <w:szCs w:val="20"/>
              </w:rPr>
              <w:t>3,597.2 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33" w14:textId="77777777" w:rsidR="00584FB3" w:rsidRDefault="00584FB3">
            <w:pPr>
              <w:jc w:val="right"/>
              <w:rPr>
                <w:rFonts w:ascii="宋体"/>
              </w:rPr>
            </w:pPr>
          </w:p>
        </w:tc>
      </w:tr>
      <w:tr w:rsidR="00584FB3" w14:paraId="40CB123F" w14:textId="77777777">
        <w:trPr>
          <w:hidden/>
        </w:trPr>
        <w:tc>
          <w:tcPr>
            <w:tcW w:w="0" w:type="auto"/>
            <w:gridSpan w:val="3"/>
            <w:shd w:val="clear" w:color="auto" w:fill="auto"/>
          </w:tcPr>
          <w:p w14:paraId="40CB1235" w14:textId="77777777" w:rsidR="00584FB3" w:rsidRDefault="00584FB3">
            <w:pPr>
              <w:rPr>
                <w:rFonts w:ascii="宋体"/>
                <w:vanish/>
              </w:rPr>
            </w:pPr>
          </w:p>
        </w:tc>
        <w:tc>
          <w:tcPr>
            <w:tcW w:w="0" w:type="auto"/>
            <w:gridSpan w:val="3"/>
            <w:shd w:val="clear" w:color="auto" w:fill="auto"/>
          </w:tcPr>
          <w:p w14:paraId="40CB1236" w14:textId="77777777" w:rsidR="00584FB3" w:rsidRDefault="00584FB3">
            <w:pPr>
              <w:rPr>
                <w:rFonts w:ascii="宋体"/>
                <w:vanish/>
              </w:rPr>
            </w:pPr>
          </w:p>
        </w:tc>
        <w:tc>
          <w:tcPr>
            <w:tcW w:w="0" w:type="auto"/>
            <w:gridSpan w:val="3"/>
            <w:shd w:val="clear" w:color="auto" w:fill="auto"/>
          </w:tcPr>
          <w:p w14:paraId="40CB1237" w14:textId="77777777" w:rsidR="00584FB3" w:rsidRDefault="00584FB3">
            <w:pPr>
              <w:rPr>
                <w:rFonts w:ascii="宋体"/>
                <w:vanish/>
              </w:rPr>
            </w:pPr>
          </w:p>
        </w:tc>
        <w:tc>
          <w:tcPr>
            <w:tcW w:w="0" w:type="auto"/>
            <w:gridSpan w:val="3"/>
            <w:shd w:val="clear" w:color="auto" w:fill="auto"/>
          </w:tcPr>
          <w:p w14:paraId="40CB1238" w14:textId="77777777" w:rsidR="00584FB3" w:rsidRDefault="00584FB3">
            <w:pPr>
              <w:rPr>
                <w:rFonts w:ascii="宋体"/>
                <w:vanish/>
              </w:rPr>
            </w:pPr>
          </w:p>
        </w:tc>
        <w:tc>
          <w:tcPr>
            <w:tcW w:w="0" w:type="auto"/>
            <w:gridSpan w:val="3"/>
            <w:shd w:val="clear" w:color="auto" w:fill="auto"/>
          </w:tcPr>
          <w:p w14:paraId="40CB1239" w14:textId="77777777" w:rsidR="00584FB3" w:rsidRDefault="00584FB3">
            <w:pPr>
              <w:rPr>
                <w:rFonts w:ascii="宋体"/>
                <w:vanish/>
              </w:rPr>
            </w:pPr>
          </w:p>
        </w:tc>
        <w:tc>
          <w:tcPr>
            <w:tcW w:w="0" w:type="auto"/>
            <w:gridSpan w:val="3"/>
            <w:shd w:val="clear" w:color="auto" w:fill="auto"/>
          </w:tcPr>
          <w:p w14:paraId="40CB123A" w14:textId="77777777" w:rsidR="00584FB3" w:rsidRDefault="00584FB3">
            <w:pPr>
              <w:rPr>
                <w:rFonts w:ascii="宋体"/>
                <w:vanish/>
              </w:rPr>
            </w:pPr>
          </w:p>
        </w:tc>
        <w:tc>
          <w:tcPr>
            <w:tcW w:w="0" w:type="auto"/>
            <w:gridSpan w:val="3"/>
            <w:shd w:val="clear" w:color="auto" w:fill="auto"/>
          </w:tcPr>
          <w:p w14:paraId="40CB123B" w14:textId="77777777" w:rsidR="00584FB3" w:rsidRDefault="00584FB3">
            <w:pPr>
              <w:rPr>
                <w:rFonts w:ascii="宋体"/>
                <w:vanish/>
              </w:rPr>
            </w:pPr>
          </w:p>
        </w:tc>
        <w:tc>
          <w:tcPr>
            <w:tcW w:w="0" w:type="auto"/>
            <w:gridSpan w:val="3"/>
            <w:shd w:val="clear" w:color="auto" w:fill="auto"/>
          </w:tcPr>
          <w:p w14:paraId="40CB123C" w14:textId="77777777" w:rsidR="00584FB3" w:rsidRDefault="00584FB3">
            <w:pPr>
              <w:rPr>
                <w:rFonts w:ascii="宋体"/>
                <w:vanish/>
              </w:rPr>
            </w:pPr>
          </w:p>
        </w:tc>
        <w:tc>
          <w:tcPr>
            <w:tcW w:w="0" w:type="auto"/>
            <w:gridSpan w:val="3"/>
            <w:shd w:val="clear" w:color="auto" w:fill="auto"/>
          </w:tcPr>
          <w:p w14:paraId="40CB123D" w14:textId="77777777" w:rsidR="00584FB3" w:rsidRDefault="00584FB3">
            <w:pPr>
              <w:rPr>
                <w:rFonts w:ascii="宋体"/>
                <w:vanish/>
              </w:rPr>
            </w:pPr>
          </w:p>
        </w:tc>
        <w:tc>
          <w:tcPr>
            <w:tcW w:w="0" w:type="auto"/>
            <w:gridSpan w:val="3"/>
            <w:shd w:val="clear" w:color="auto" w:fill="auto"/>
          </w:tcPr>
          <w:p w14:paraId="40CB123E" w14:textId="77777777" w:rsidR="00584FB3" w:rsidRDefault="00584FB3">
            <w:pPr>
              <w:rPr>
                <w:rFonts w:ascii="宋体"/>
                <w:vanish/>
              </w:rPr>
            </w:pPr>
          </w:p>
        </w:tc>
      </w:tr>
      <w:tr w:rsidR="00584FB3" w14:paraId="40CB124A" w14:textId="77777777">
        <w:trPr>
          <w:hidden/>
        </w:trPr>
        <w:tc>
          <w:tcPr>
            <w:tcW w:w="0" w:type="auto"/>
            <w:gridSpan w:val="3"/>
            <w:shd w:val="clear" w:color="auto" w:fill="auto"/>
          </w:tcPr>
          <w:p w14:paraId="40CB1240" w14:textId="77777777" w:rsidR="00584FB3" w:rsidRDefault="00584FB3">
            <w:pPr>
              <w:rPr>
                <w:rFonts w:ascii="宋体"/>
                <w:vanish/>
              </w:rPr>
            </w:pPr>
          </w:p>
        </w:tc>
        <w:tc>
          <w:tcPr>
            <w:tcW w:w="0" w:type="auto"/>
            <w:gridSpan w:val="3"/>
            <w:shd w:val="clear" w:color="auto" w:fill="auto"/>
          </w:tcPr>
          <w:p w14:paraId="40CB1241" w14:textId="77777777" w:rsidR="00584FB3" w:rsidRDefault="00584FB3">
            <w:pPr>
              <w:rPr>
                <w:rFonts w:ascii="宋体"/>
                <w:vanish/>
              </w:rPr>
            </w:pPr>
          </w:p>
        </w:tc>
        <w:tc>
          <w:tcPr>
            <w:tcW w:w="0" w:type="auto"/>
            <w:gridSpan w:val="3"/>
            <w:shd w:val="clear" w:color="auto" w:fill="auto"/>
          </w:tcPr>
          <w:p w14:paraId="40CB1242" w14:textId="77777777" w:rsidR="00584FB3" w:rsidRDefault="00584FB3">
            <w:pPr>
              <w:rPr>
                <w:rFonts w:ascii="宋体"/>
                <w:vanish/>
              </w:rPr>
            </w:pPr>
          </w:p>
        </w:tc>
        <w:tc>
          <w:tcPr>
            <w:tcW w:w="0" w:type="auto"/>
            <w:gridSpan w:val="3"/>
            <w:shd w:val="clear" w:color="auto" w:fill="auto"/>
          </w:tcPr>
          <w:p w14:paraId="40CB1243" w14:textId="77777777" w:rsidR="00584FB3" w:rsidRDefault="00584FB3">
            <w:pPr>
              <w:rPr>
                <w:rFonts w:ascii="宋体"/>
                <w:vanish/>
              </w:rPr>
            </w:pPr>
          </w:p>
        </w:tc>
        <w:tc>
          <w:tcPr>
            <w:tcW w:w="0" w:type="auto"/>
            <w:gridSpan w:val="3"/>
            <w:shd w:val="clear" w:color="auto" w:fill="auto"/>
          </w:tcPr>
          <w:p w14:paraId="40CB1244" w14:textId="77777777" w:rsidR="00584FB3" w:rsidRDefault="00584FB3">
            <w:pPr>
              <w:rPr>
                <w:rFonts w:ascii="宋体"/>
                <w:vanish/>
              </w:rPr>
            </w:pPr>
          </w:p>
        </w:tc>
        <w:tc>
          <w:tcPr>
            <w:tcW w:w="0" w:type="auto"/>
            <w:gridSpan w:val="3"/>
            <w:shd w:val="clear" w:color="auto" w:fill="auto"/>
          </w:tcPr>
          <w:p w14:paraId="40CB1245" w14:textId="77777777" w:rsidR="00584FB3" w:rsidRDefault="00584FB3">
            <w:pPr>
              <w:rPr>
                <w:rFonts w:ascii="宋体"/>
                <w:vanish/>
              </w:rPr>
            </w:pPr>
          </w:p>
        </w:tc>
        <w:tc>
          <w:tcPr>
            <w:tcW w:w="0" w:type="auto"/>
            <w:gridSpan w:val="3"/>
            <w:shd w:val="clear" w:color="auto" w:fill="auto"/>
          </w:tcPr>
          <w:p w14:paraId="40CB1246" w14:textId="77777777" w:rsidR="00584FB3" w:rsidRDefault="00584FB3">
            <w:pPr>
              <w:rPr>
                <w:rFonts w:ascii="宋体"/>
                <w:vanish/>
              </w:rPr>
            </w:pPr>
          </w:p>
        </w:tc>
        <w:tc>
          <w:tcPr>
            <w:tcW w:w="0" w:type="auto"/>
            <w:gridSpan w:val="3"/>
            <w:shd w:val="clear" w:color="auto" w:fill="auto"/>
          </w:tcPr>
          <w:p w14:paraId="40CB1247" w14:textId="77777777" w:rsidR="00584FB3" w:rsidRDefault="00584FB3">
            <w:pPr>
              <w:rPr>
                <w:rFonts w:ascii="宋体"/>
                <w:vanish/>
              </w:rPr>
            </w:pPr>
          </w:p>
        </w:tc>
        <w:tc>
          <w:tcPr>
            <w:tcW w:w="0" w:type="auto"/>
            <w:gridSpan w:val="3"/>
            <w:shd w:val="clear" w:color="auto" w:fill="auto"/>
          </w:tcPr>
          <w:p w14:paraId="40CB1248" w14:textId="77777777" w:rsidR="00584FB3" w:rsidRDefault="00584FB3">
            <w:pPr>
              <w:rPr>
                <w:rFonts w:ascii="宋体"/>
                <w:vanish/>
              </w:rPr>
            </w:pPr>
          </w:p>
        </w:tc>
        <w:tc>
          <w:tcPr>
            <w:tcW w:w="0" w:type="auto"/>
            <w:gridSpan w:val="3"/>
            <w:shd w:val="clear" w:color="auto" w:fill="auto"/>
          </w:tcPr>
          <w:p w14:paraId="40CB1249" w14:textId="77777777" w:rsidR="00584FB3" w:rsidRDefault="00584FB3">
            <w:pPr>
              <w:rPr>
                <w:rFonts w:ascii="宋体"/>
                <w:vanish/>
              </w:rPr>
            </w:pPr>
          </w:p>
        </w:tc>
      </w:tr>
      <w:tr w:rsidR="00584FB3" w14:paraId="40CB125A" w14:textId="77777777">
        <w:tc>
          <w:tcPr>
            <w:tcW w:w="0" w:type="auto"/>
            <w:gridSpan w:val="3"/>
            <w:shd w:val="clear" w:color="auto" w:fill="FFFFFF"/>
            <w:tcMar>
              <w:top w:w="40" w:type="dxa"/>
              <w:left w:w="20" w:type="dxa"/>
              <w:bottom w:w="40" w:type="dxa"/>
              <w:right w:w="20" w:type="dxa"/>
            </w:tcMar>
            <w:vAlign w:val="bottom"/>
          </w:tcPr>
          <w:p w14:paraId="40CB124B" w14:textId="77777777" w:rsidR="00584FB3" w:rsidRDefault="00786180">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0CB124C" w14:textId="77777777" w:rsidR="00584FB3" w:rsidRDefault="0078618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40CB124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4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4F" w14:textId="77777777" w:rsidR="00584FB3" w:rsidRDefault="00786180">
            <w:pPr>
              <w:jc w:val="right"/>
              <w:textAlignment w:val="bottom"/>
            </w:pPr>
            <w:r>
              <w:rPr>
                <w:rFonts w:ascii="Times New Roman" w:eastAsia="宋体" w:hAnsi="Times New Roman"/>
                <w:color w:val="000000"/>
                <w:sz w:val="20"/>
                <w:szCs w:val="20"/>
              </w:rPr>
              <w:t>108.6 </w:t>
            </w:r>
          </w:p>
        </w:tc>
        <w:tc>
          <w:tcPr>
            <w:tcW w:w="0" w:type="auto"/>
            <w:shd w:val="clear" w:color="auto" w:fill="FFFFFF"/>
            <w:tcMar>
              <w:top w:w="40" w:type="dxa"/>
              <w:left w:w="0" w:type="dxa"/>
              <w:bottom w:w="40" w:type="dxa"/>
              <w:right w:w="20" w:type="dxa"/>
            </w:tcMar>
            <w:vAlign w:val="bottom"/>
          </w:tcPr>
          <w:p w14:paraId="40CB125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5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52"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25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5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5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25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5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58" w14:textId="77777777" w:rsidR="00584FB3" w:rsidRDefault="00786180">
            <w:pPr>
              <w:jc w:val="right"/>
              <w:textAlignment w:val="bottom"/>
            </w:pPr>
            <w:r>
              <w:rPr>
                <w:rFonts w:ascii="Times New Roman" w:eastAsia="宋体" w:hAnsi="Times New Roman"/>
                <w:color w:val="000000"/>
                <w:sz w:val="20"/>
                <w:szCs w:val="20"/>
              </w:rPr>
              <w:t>109.6 </w:t>
            </w:r>
          </w:p>
        </w:tc>
        <w:tc>
          <w:tcPr>
            <w:tcW w:w="0" w:type="auto"/>
            <w:shd w:val="clear" w:color="auto" w:fill="FFFFFF"/>
            <w:tcMar>
              <w:top w:w="40" w:type="dxa"/>
              <w:left w:w="0" w:type="dxa"/>
              <w:bottom w:w="40" w:type="dxa"/>
              <w:right w:w="20" w:type="dxa"/>
            </w:tcMar>
            <w:vAlign w:val="bottom"/>
          </w:tcPr>
          <w:p w14:paraId="40CB1259" w14:textId="77777777" w:rsidR="00584FB3" w:rsidRDefault="00584FB3">
            <w:pPr>
              <w:jc w:val="right"/>
              <w:rPr>
                <w:rFonts w:ascii="宋体"/>
              </w:rPr>
            </w:pPr>
          </w:p>
        </w:tc>
      </w:tr>
      <w:tr w:rsidR="00584FB3" w14:paraId="40CB126F" w14:textId="77777777">
        <w:tc>
          <w:tcPr>
            <w:tcW w:w="0" w:type="auto"/>
            <w:gridSpan w:val="3"/>
            <w:shd w:val="clear" w:color="auto" w:fill="D7E4BC"/>
            <w:tcMar>
              <w:top w:w="40" w:type="dxa"/>
              <w:left w:w="20" w:type="dxa"/>
              <w:bottom w:w="40" w:type="dxa"/>
              <w:right w:w="20" w:type="dxa"/>
            </w:tcMar>
            <w:vAlign w:val="bottom"/>
          </w:tcPr>
          <w:p w14:paraId="40CB125B" w14:textId="77777777" w:rsidR="00584FB3" w:rsidRDefault="00786180">
            <w:pPr>
              <w:textAlignment w:val="bottom"/>
            </w:pPr>
            <w:r>
              <w:rPr>
                <w:rFonts w:ascii="Times New Roman" w:eastAsia="宋体" w:hAnsi="Times New Roman"/>
                <w:color w:val="000000"/>
                <w:sz w:val="20"/>
                <w:szCs w:val="20"/>
              </w:rPr>
              <w:t>Goodwill balance at December 27, 2020</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25C"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25D" w14:textId="77777777" w:rsidR="00584FB3" w:rsidRDefault="00786180">
            <w:pPr>
              <w:jc w:val="right"/>
              <w:textAlignment w:val="bottom"/>
            </w:pPr>
            <w:r>
              <w:rPr>
                <w:rFonts w:ascii="Times New Roman" w:eastAsia="宋体" w:hAnsi="Times New Roman"/>
                <w:color w:val="000000"/>
                <w:sz w:val="20"/>
                <w:szCs w:val="20"/>
              </w:rPr>
              <w:t>497.5 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25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5F"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260"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261" w14:textId="77777777" w:rsidR="00584FB3" w:rsidRDefault="00786180">
            <w:pPr>
              <w:jc w:val="right"/>
              <w:textAlignment w:val="bottom"/>
            </w:pPr>
            <w:r>
              <w:rPr>
                <w:rFonts w:ascii="Times New Roman" w:eastAsia="宋体" w:hAnsi="Times New Roman"/>
                <w:color w:val="000000"/>
                <w:sz w:val="20"/>
                <w:szCs w:val="20"/>
              </w:rPr>
              <w:t>3,173.6 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26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63"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264"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265" w14:textId="77777777" w:rsidR="00584FB3" w:rsidRDefault="00786180">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26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67"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26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269" w14:textId="77777777" w:rsidR="00584FB3" w:rsidRDefault="00786180">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26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6B"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26C"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26D" w14:textId="77777777" w:rsidR="00584FB3" w:rsidRDefault="00786180">
            <w:pPr>
              <w:jc w:val="right"/>
              <w:textAlignment w:val="bottom"/>
            </w:pPr>
            <w:r>
              <w:rPr>
                <w:rFonts w:ascii="Times New Roman" w:eastAsia="宋体" w:hAnsi="Times New Roman"/>
                <w:color w:val="000000"/>
                <w:sz w:val="20"/>
                <w:szCs w:val="20"/>
              </w:rPr>
              <w:t>3,706.8 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26E" w14:textId="77777777" w:rsidR="00584FB3" w:rsidRDefault="00584FB3">
            <w:pPr>
              <w:jc w:val="right"/>
              <w:rPr>
                <w:rFonts w:ascii="宋体"/>
              </w:rPr>
            </w:pPr>
          </w:p>
        </w:tc>
      </w:tr>
    </w:tbl>
    <w:p w14:paraId="40CB1270" w14:textId="77777777" w:rsidR="00584FB3" w:rsidRDefault="00786180">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w:t>
      </w:r>
      <w:r>
        <w:rPr>
          <w:rFonts w:ascii="Times New Roman" w:eastAsia="宋体" w:hAnsi="Times New Roman"/>
          <w:color w:val="000000"/>
          <w:sz w:val="20"/>
          <w:szCs w:val="20"/>
        </w:rPr>
        <w:t>r” consists of changes in the goodwill balance resulting from foreign currency translation.</w:t>
      </w:r>
    </w:p>
    <w:p w14:paraId="40CB1271" w14:textId="77777777" w:rsidR="00584FB3" w:rsidRDefault="00786180">
      <w:pPr>
        <w:spacing w:before="120"/>
      </w:pPr>
      <w:r>
        <w:rPr>
          <w:rFonts w:ascii="Times New Roman" w:eastAsia="宋体" w:hAnsi="Times New Roman"/>
          <w:b/>
          <w:bCs/>
          <w:color w:val="000000"/>
          <w:sz w:val="20"/>
          <w:szCs w:val="20"/>
        </w:rPr>
        <w:t>Note 7: Debt</w:t>
      </w:r>
    </w:p>
    <w:p w14:paraId="40CB1272" w14:textId="77777777" w:rsidR="00584FB3" w:rsidRDefault="00786180">
      <w:pPr>
        <w:spacing w:before="120"/>
      </w:pPr>
      <w:r>
        <w:rPr>
          <w:rFonts w:ascii="Times New Roman" w:eastAsia="宋体" w:hAnsi="Times New Roman"/>
          <w:b/>
          <w:bCs/>
          <w:i/>
          <w:iCs/>
          <w:color w:val="000000"/>
          <w:sz w:val="20"/>
          <w:szCs w:val="20"/>
        </w:rPr>
        <w:t>Short-term Debt</w:t>
      </w:r>
    </w:p>
    <w:p w14:paraId="40CB1273" w14:textId="77777777" w:rsidR="00584FB3" w:rsidRDefault="00786180">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any t</w:t>
      </w:r>
      <w:r>
        <w:rPr>
          <w:rFonts w:ascii="Times New Roman" w:eastAsia="宋体" w:hAnsi="Times New Roman"/>
          <w:color w:val="000000"/>
          <w:sz w:val="20"/>
          <w:szCs w:val="20"/>
        </w:rPr>
        <w:t>ime of $3 billion, with individual maturities that may vary but not exceed 397 days from the date of issue. Amounts outstanding under the commercial paper program are required to be backstopped by available commitments under our credit facility. The procee</w:t>
      </w:r>
      <w:r>
        <w:rPr>
          <w:rFonts w:ascii="Times New Roman" w:eastAsia="宋体" w:hAnsi="Times New Roman"/>
          <w:color w:val="000000"/>
          <w:sz w:val="20"/>
          <w:szCs w:val="20"/>
        </w:rPr>
        <w:t>ds from borrowings under our commercial paper program may be used for working capital needs, capital expenditures and other corporate purposes, including, but not limited to, business expansion, payment of cash dividends on our common stock and share repur</w:t>
      </w:r>
      <w:r>
        <w:rPr>
          <w:rFonts w:ascii="Times New Roman" w:eastAsia="宋体" w:hAnsi="Times New Roman"/>
          <w:color w:val="000000"/>
          <w:sz w:val="20"/>
          <w:szCs w:val="20"/>
        </w:rPr>
        <w:t>chases. As of December 27, 2020, we had $299.7 million of borrowings outstanding under the program, net of unamortized discount, of which the majority matures in the second quarter of fiscal 2021.</w:t>
      </w:r>
    </w:p>
    <w:p w14:paraId="40CB1274" w14:textId="77777777" w:rsidR="00584FB3" w:rsidRDefault="00786180">
      <w:pPr>
        <w:spacing w:before="120"/>
      </w:pPr>
      <w:r>
        <w:rPr>
          <w:rFonts w:ascii="Times New Roman" w:eastAsia="宋体" w:hAnsi="Times New Roman"/>
          <w:color w:val="000000"/>
          <w:sz w:val="20"/>
          <w:szCs w:val="20"/>
        </w:rPr>
        <w:t>Additionally, we hold the following Japanese yen-denominate</w:t>
      </w:r>
      <w:r>
        <w:rPr>
          <w:rFonts w:ascii="Times New Roman" w:eastAsia="宋体" w:hAnsi="Times New Roman"/>
          <w:color w:val="000000"/>
          <w:sz w:val="20"/>
          <w:szCs w:val="20"/>
        </w:rPr>
        <w:t>d credit facilities that are available for working capital needs and capital expenditures within our Japanese market:</w:t>
      </w:r>
    </w:p>
    <w:p w14:paraId="40CB1275" w14:textId="77777777" w:rsidR="00584FB3" w:rsidRDefault="00786180">
      <w:pPr>
        <w:spacing w:before="120"/>
        <w:ind w:hanging="360"/>
      </w:pPr>
      <w:r>
        <w:rPr>
          <w:rFonts w:ascii="Times New Roman" w:eastAsia="宋体" w:hAnsi="Times New Roman"/>
          <w:color w:val="000000"/>
          <w:sz w:val="20"/>
          <w:szCs w:val="20"/>
        </w:rPr>
        <w:t xml:space="preserve">•A ¥10 billion, or $96.5 million, facility is currently set to mature on March 26, 2021. Borrowings under the credit facility are subject </w:t>
      </w:r>
      <w:r>
        <w:rPr>
          <w:rFonts w:ascii="Times New Roman" w:eastAsia="宋体" w:hAnsi="Times New Roman"/>
          <w:color w:val="000000"/>
          <w:sz w:val="20"/>
          <w:szCs w:val="20"/>
        </w:rPr>
        <w:t>to terms defined within the facility and will bear interest at a variable rate based on TIBOR plus an applicable margin of 0.300%.</w:t>
      </w:r>
    </w:p>
    <w:p w14:paraId="40CB1276" w14:textId="77777777" w:rsidR="00584FB3" w:rsidRDefault="00786180">
      <w:pPr>
        <w:jc w:val="center"/>
      </w:pPr>
      <w:r>
        <w:rPr>
          <w:rFonts w:ascii="Times New Roman" w:eastAsia="宋体" w:hAnsi="Times New Roman"/>
          <w:color w:val="000000"/>
          <w:sz w:val="20"/>
          <w:szCs w:val="20"/>
        </w:rPr>
        <w:t>18</w:t>
      </w:r>
    </w:p>
    <w:p w14:paraId="40CB1277" w14:textId="77777777" w:rsidR="00584FB3" w:rsidRDefault="00786180">
      <w:r>
        <w:pict w14:anchorId="40CB2A47">
          <v:rect id="_x0000_i1042" style="width:415.3pt;height:1.5pt" o:hralign="center" o:hrstd="t" o:hr="t" fillcolor="#a0a0a0" stroked="f"/>
        </w:pict>
      </w:r>
    </w:p>
    <w:p w14:paraId="40CB1278" w14:textId="77777777" w:rsidR="00584FB3" w:rsidRDefault="00786180">
      <w:hyperlink r:id="rId92" w:anchor="i11706e4b673c41db9f2dcbdb897203bb_7" w:history="1">
        <w:r>
          <w:rPr>
            <w:rStyle w:val="a5"/>
            <w:rFonts w:ascii="Times New Roman" w:eastAsia="宋体" w:hAnsi="Times New Roman"/>
            <w:sz w:val="20"/>
            <w:szCs w:val="20"/>
          </w:rPr>
          <w:t>Table of Contents</w:t>
        </w:r>
      </w:hyperlink>
    </w:p>
    <w:p w14:paraId="40CB1279" w14:textId="77777777" w:rsidR="00584FB3" w:rsidRDefault="00786180">
      <w:pPr>
        <w:spacing w:before="120"/>
        <w:ind w:hanging="360"/>
      </w:pPr>
      <w:r>
        <w:rPr>
          <w:rFonts w:ascii="Times New Roman" w:eastAsia="宋体" w:hAnsi="Times New Roman"/>
          <w:color w:val="000000"/>
          <w:sz w:val="20"/>
          <w:szCs w:val="20"/>
        </w:rPr>
        <w:t xml:space="preserve">•A ¥10 billion, or $96.5 million, facility is currently set to mature on October 29, </w:t>
      </w:r>
      <w:r>
        <w:rPr>
          <w:rFonts w:ascii="Times New Roman" w:eastAsia="宋体" w:hAnsi="Times New Roman"/>
          <w:color w:val="000000"/>
          <w:sz w:val="20"/>
          <w:szCs w:val="20"/>
        </w:rPr>
        <w:t xml:space="preserve">2021. Borrowings under the credit facility are subject to terms defined within the facility and will bear interest at a variable rate based on TIBOR plus an applicable margin of 0.350%. </w:t>
      </w:r>
    </w:p>
    <w:p w14:paraId="40CB127A" w14:textId="77777777" w:rsidR="00584FB3" w:rsidRDefault="00786180">
      <w:pPr>
        <w:spacing w:before="120"/>
        <w:ind w:hanging="360"/>
      </w:pPr>
      <w:r>
        <w:rPr>
          <w:rFonts w:ascii="Times New Roman" w:eastAsia="宋体" w:hAnsi="Times New Roman"/>
          <w:color w:val="000000"/>
          <w:sz w:val="20"/>
          <w:szCs w:val="20"/>
        </w:rPr>
        <w:t>•A ¥5 billion, or $48.2 million, facility is currently set to mature on December 30, 2021. Borrowings under the credit facility are subject to terms defined within the facility and will bear interest at a variable rate based on TIBOR plus an applicable mar</w:t>
      </w:r>
      <w:r>
        <w:rPr>
          <w:rFonts w:ascii="Times New Roman" w:eastAsia="宋体" w:hAnsi="Times New Roman"/>
          <w:color w:val="000000"/>
          <w:sz w:val="20"/>
          <w:szCs w:val="20"/>
        </w:rPr>
        <w:t xml:space="preserve">gin of 0.400%. </w:t>
      </w:r>
    </w:p>
    <w:p w14:paraId="40CB127B" w14:textId="77777777" w:rsidR="00584FB3" w:rsidRDefault="00786180">
      <w:pPr>
        <w:spacing w:before="120"/>
      </w:pPr>
      <w:r>
        <w:rPr>
          <w:rFonts w:ascii="Times New Roman" w:eastAsia="宋体" w:hAnsi="Times New Roman"/>
          <w:color w:val="000000"/>
          <w:sz w:val="20"/>
          <w:szCs w:val="20"/>
        </w:rPr>
        <w:t>As of December 27, 2020, we had ¥20 billion , or $192.9 million, of borrowings outstanding under these credit facilities.</w:t>
      </w:r>
    </w:p>
    <w:p w14:paraId="40CB127C" w14:textId="77777777" w:rsidR="00584FB3" w:rsidRDefault="00584FB3"/>
    <w:p w14:paraId="40CB127D" w14:textId="77777777" w:rsidR="00584FB3" w:rsidRDefault="00786180">
      <w:r>
        <w:rPr>
          <w:rFonts w:ascii="Times New Roman" w:eastAsia="宋体" w:hAnsi="Times New Roman"/>
          <w:b/>
          <w:bCs/>
          <w:i/>
          <w:iCs/>
          <w:color w:val="000000"/>
          <w:sz w:val="20"/>
          <w:szCs w:val="20"/>
        </w:rPr>
        <w:t>Long-term Debt</w:t>
      </w:r>
    </w:p>
    <w:p w14:paraId="40CB127E" w14:textId="77777777" w:rsidR="00584FB3" w:rsidRDefault="00786180">
      <w:pPr>
        <w:spacing w:before="120"/>
      </w:pPr>
      <w:r>
        <w:rPr>
          <w:rFonts w:ascii="Times New Roman" w:eastAsia="宋体" w:hAnsi="Times New Roman"/>
          <w:color w:val="000000"/>
          <w:sz w:val="20"/>
          <w:szCs w:val="20"/>
        </w:rPr>
        <w:t>Components of long-term debt including the associated interest rates and related estimated fair values</w:t>
      </w:r>
      <w:r>
        <w:rPr>
          <w:rFonts w:ascii="Times New Roman" w:eastAsia="宋体" w:hAnsi="Times New Roman"/>
          <w:color w:val="000000"/>
          <w:sz w:val="20"/>
          <w:szCs w:val="20"/>
        </w:rPr>
        <w:t xml:space="preserve"> by calendar 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9"/>
        <w:gridCol w:w="2167"/>
        <w:gridCol w:w="37"/>
        <w:gridCol w:w="120"/>
        <w:gridCol w:w="807"/>
        <w:gridCol w:w="36"/>
        <w:gridCol w:w="121"/>
        <w:gridCol w:w="807"/>
        <w:gridCol w:w="36"/>
        <w:gridCol w:w="36"/>
        <w:gridCol w:w="36"/>
        <w:gridCol w:w="36"/>
        <w:gridCol w:w="120"/>
        <w:gridCol w:w="807"/>
        <w:gridCol w:w="36"/>
        <w:gridCol w:w="121"/>
        <w:gridCol w:w="807"/>
        <w:gridCol w:w="36"/>
        <w:gridCol w:w="36"/>
        <w:gridCol w:w="36"/>
        <w:gridCol w:w="36"/>
        <w:gridCol w:w="50"/>
        <w:gridCol w:w="763"/>
        <w:gridCol w:w="187"/>
        <w:gridCol w:w="56"/>
        <w:gridCol w:w="760"/>
        <w:gridCol w:w="187"/>
      </w:tblGrid>
      <w:tr w:rsidR="00584FB3" w14:paraId="40CB129A" w14:textId="77777777">
        <w:tc>
          <w:tcPr>
            <w:tcW w:w="50" w:type="pct"/>
            <w:shd w:val="clear" w:color="auto" w:fill="auto"/>
          </w:tcPr>
          <w:p w14:paraId="40CB127F" w14:textId="77777777" w:rsidR="00584FB3" w:rsidRDefault="00584FB3">
            <w:pPr>
              <w:rPr>
                <w:rFonts w:ascii="宋体"/>
              </w:rPr>
            </w:pPr>
          </w:p>
        </w:tc>
        <w:tc>
          <w:tcPr>
            <w:tcW w:w="1377" w:type="pct"/>
            <w:shd w:val="clear" w:color="auto" w:fill="auto"/>
          </w:tcPr>
          <w:p w14:paraId="40CB1280" w14:textId="77777777" w:rsidR="00584FB3" w:rsidRDefault="00584FB3">
            <w:pPr>
              <w:rPr>
                <w:rFonts w:ascii="宋体"/>
              </w:rPr>
            </w:pPr>
          </w:p>
        </w:tc>
        <w:tc>
          <w:tcPr>
            <w:tcW w:w="5" w:type="pct"/>
            <w:shd w:val="clear" w:color="auto" w:fill="auto"/>
          </w:tcPr>
          <w:p w14:paraId="40CB1281" w14:textId="77777777" w:rsidR="00584FB3" w:rsidRDefault="00584FB3">
            <w:pPr>
              <w:rPr>
                <w:rFonts w:ascii="宋体"/>
              </w:rPr>
            </w:pPr>
          </w:p>
        </w:tc>
        <w:tc>
          <w:tcPr>
            <w:tcW w:w="50" w:type="pct"/>
            <w:shd w:val="clear" w:color="auto" w:fill="auto"/>
          </w:tcPr>
          <w:p w14:paraId="40CB1282" w14:textId="77777777" w:rsidR="00584FB3" w:rsidRDefault="00584FB3">
            <w:pPr>
              <w:rPr>
                <w:rFonts w:ascii="宋体"/>
              </w:rPr>
            </w:pPr>
          </w:p>
        </w:tc>
        <w:tc>
          <w:tcPr>
            <w:tcW w:w="529" w:type="pct"/>
            <w:shd w:val="clear" w:color="auto" w:fill="auto"/>
          </w:tcPr>
          <w:p w14:paraId="40CB1283" w14:textId="77777777" w:rsidR="00584FB3" w:rsidRDefault="00584FB3">
            <w:pPr>
              <w:rPr>
                <w:rFonts w:ascii="宋体"/>
              </w:rPr>
            </w:pPr>
          </w:p>
        </w:tc>
        <w:tc>
          <w:tcPr>
            <w:tcW w:w="5" w:type="pct"/>
            <w:shd w:val="clear" w:color="auto" w:fill="auto"/>
          </w:tcPr>
          <w:p w14:paraId="40CB1284" w14:textId="77777777" w:rsidR="00584FB3" w:rsidRDefault="00584FB3">
            <w:pPr>
              <w:rPr>
                <w:rFonts w:ascii="宋体"/>
              </w:rPr>
            </w:pPr>
          </w:p>
        </w:tc>
        <w:tc>
          <w:tcPr>
            <w:tcW w:w="50" w:type="pct"/>
            <w:shd w:val="clear" w:color="auto" w:fill="auto"/>
          </w:tcPr>
          <w:p w14:paraId="40CB1285" w14:textId="77777777" w:rsidR="00584FB3" w:rsidRDefault="00584FB3">
            <w:pPr>
              <w:rPr>
                <w:rFonts w:ascii="宋体"/>
              </w:rPr>
            </w:pPr>
          </w:p>
        </w:tc>
        <w:tc>
          <w:tcPr>
            <w:tcW w:w="529" w:type="pct"/>
            <w:shd w:val="clear" w:color="auto" w:fill="auto"/>
          </w:tcPr>
          <w:p w14:paraId="40CB1286" w14:textId="77777777" w:rsidR="00584FB3" w:rsidRDefault="00584FB3">
            <w:pPr>
              <w:rPr>
                <w:rFonts w:ascii="宋体"/>
              </w:rPr>
            </w:pPr>
          </w:p>
        </w:tc>
        <w:tc>
          <w:tcPr>
            <w:tcW w:w="5" w:type="pct"/>
            <w:shd w:val="clear" w:color="auto" w:fill="auto"/>
          </w:tcPr>
          <w:p w14:paraId="40CB1287" w14:textId="77777777" w:rsidR="00584FB3" w:rsidRDefault="00584FB3">
            <w:pPr>
              <w:rPr>
                <w:rFonts w:ascii="宋体"/>
              </w:rPr>
            </w:pPr>
          </w:p>
        </w:tc>
        <w:tc>
          <w:tcPr>
            <w:tcW w:w="5" w:type="pct"/>
            <w:shd w:val="clear" w:color="auto" w:fill="auto"/>
          </w:tcPr>
          <w:p w14:paraId="40CB1288" w14:textId="77777777" w:rsidR="00584FB3" w:rsidRDefault="00584FB3">
            <w:pPr>
              <w:rPr>
                <w:rFonts w:ascii="宋体"/>
              </w:rPr>
            </w:pPr>
          </w:p>
        </w:tc>
        <w:tc>
          <w:tcPr>
            <w:tcW w:w="19" w:type="pct"/>
            <w:shd w:val="clear" w:color="auto" w:fill="auto"/>
          </w:tcPr>
          <w:p w14:paraId="40CB1289" w14:textId="77777777" w:rsidR="00584FB3" w:rsidRDefault="00584FB3">
            <w:pPr>
              <w:rPr>
                <w:rFonts w:ascii="宋体"/>
              </w:rPr>
            </w:pPr>
          </w:p>
        </w:tc>
        <w:tc>
          <w:tcPr>
            <w:tcW w:w="5" w:type="pct"/>
            <w:shd w:val="clear" w:color="auto" w:fill="auto"/>
          </w:tcPr>
          <w:p w14:paraId="40CB128A" w14:textId="77777777" w:rsidR="00584FB3" w:rsidRDefault="00584FB3">
            <w:pPr>
              <w:rPr>
                <w:rFonts w:ascii="宋体"/>
              </w:rPr>
            </w:pPr>
          </w:p>
        </w:tc>
        <w:tc>
          <w:tcPr>
            <w:tcW w:w="50" w:type="pct"/>
            <w:shd w:val="clear" w:color="auto" w:fill="auto"/>
          </w:tcPr>
          <w:p w14:paraId="40CB128B" w14:textId="77777777" w:rsidR="00584FB3" w:rsidRDefault="00584FB3">
            <w:pPr>
              <w:rPr>
                <w:rFonts w:ascii="宋体"/>
              </w:rPr>
            </w:pPr>
          </w:p>
        </w:tc>
        <w:tc>
          <w:tcPr>
            <w:tcW w:w="529" w:type="pct"/>
            <w:shd w:val="clear" w:color="auto" w:fill="auto"/>
          </w:tcPr>
          <w:p w14:paraId="40CB128C" w14:textId="77777777" w:rsidR="00584FB3" w:rsidRDefault="00584FB3">
            <w:pPr>
              <w:rPr>
                <w:rFonts w:ascii="宋体"/>
              </w:rPr>
            </w:pPr>
          </w:p>
        </w:tc>
        <w:tc>
          <w:tcPr>
            <w:tcW w:w="5" w:type="pct"/>
            <w:shd w:val="clear" w:color="auto" w:fill="auto"/>
          </w:tcPr>
          <w:p w14:paraId="40CB128D" w14:textId="77777777" w:rsidR="00584FB3" w:rsidRDefault="00584FB3">
            <w:pPr>
              <w:rPr>
                <w:rFonts w:ascii="宋体"/>
              </w:rPr>
            </w:pPr>
          </w:p>
        </w:tc>
        <w:tc>
          <w:tcPr>
            <w:tcW w:w="50" w:type="pct"/>
            <w:shd w:val="clear" w:color="auto" w:fill="auto"/>
          </w:tcPr>
          <w:p w14:paraId="40CB128E" w14:textId="77777777" w:rsidR="00584FB3" w:rsidRDefault="00584FB3">
            <w:pPr>
              <w:rPr>
                <w:rFonts w:ascii="宋体"/>
              </w:rPr>
            </w:pPr>
          </w:p>
        </w:tc>
        <w:tc>
          <w:tcPr>
            <w:tcW w:w="529" w:type="pct"/>
            <w:shd w:val="clear" w:color="auto" w:fill="auto"/>
          </w:tcPr>
          <w:p w14:paraId="40CB128F" w14:textId="77777777" w:rsidR="00584FB3" w:rsidRDefault="00584FB3">
            <w:pPr>
              <w:rPr>
                <w:rFonts w:ascii="宋体"/>
              </w:rPr>
            </w:pPr>
          </w:p>
        </w:tc>
        <w:tc>
          <w:tcPr>
            <w:tcW w:w="5" w:type="pct"/>
            <w:shd w:val="clear" w:color="auto" w:fill="auto"/>
          </w:tcPr>
          <w:p w14:paraId="40CB1290" w14:textId="77777777" w:rsidR="00584FB3" w:rsidRDefault="00584FB3">
            <w:pPr>
              <w:rPr>
                <w:rFonts w:ascii="宋体"/>
              </w:rPr>
            </w:pPr>
          </w:p>
        </w:tc>
        <w:tc>
          <w:tcPr>
            <w:tcW w:w="5" w:type="pct"/>
            <w:shd w:val="clear" w:color="auto" w:fill="auto"/>
          </w:tcPr>
          <w:p w14:paraId="40CB1291" w14:textId="77777777" w:rsidR="00584FB3" w:rsidRDefault="00584FB3">
            <w:pPr>
              <w:rPr>
                <w:rFonts w:ascii="宋体"/>
              </w:rPr>
            </w:pPr>
          </w:p>
        </w:tc>
        <w:tc>
          <w:tcPr>
            <w:tcW w:w="19" w:type="pct"/>
            <w:shd w:val="clear" w:color="auto" w:fill="auto"/>
          </w:tcPr>
          <w:p w14:paraId="40CB1292" w14:textId="77777777" w:rsidR="00584FB3" w:rsidRDefault="00584FB3">
            <w:pPr>
              <w:rPr>
                <w:rFonts w:ascii="宋体"/>
              </w:rPr>
            </w:pPr>
          </w:p>
        </w:tc>
        <w:tc>
          <w:tcPr>
            <w:tcW w:w="5" w:type="pct"/>
            <w:shd w:val="clear" w:color="auto" w:fill="auto"/>
          </w:tcPr>
          <w:p w14:paraId="40CB1293" w14:textId="77777777" w:rsidR="00584FB3" w:rsidRDefault="00584FB3">
            <w:pPr>
              <w:rPr>
                <w:rFonts w:ascii="宋体"/>
              </w:rPr>
            </w:pPr>
          </w:p>
        </w:tc>
        <w:tc>
          <w:tcPr>
            <w:tcW w:w="50" w:type="pct"/>
            <w:shd w:val="clear" w:color="auto" w:fill="auto"/>
          </w:tcPr>
          <w:p w14:paraId="40CB1294" w14:textId="77777777" w:rsidR="00584FB3" w:rsidRDefault="00584FB3">
            <w:pPr>
              <w:rPr>
                <w:rFonts w:ascii="宋体"/>
              </w:rPr>
            </w:pPr>
          </w:p>
        </w:tc>
        <w:tc>
          <w:tcPr>
            <w:tcW w:w="529" w:type="pct"/>
            <w:shd w:val="clear" w:color="auto" w:fill="auto"/>
          </w:tcPr>
          <w:p w14:paraId="40CB1295" w14:textId="77777777" w:rsidR="00584FB3" w:rsidRDefault="00584FB3">
            <w:pPr>
              <w:rPr>
                <w:rFonts w:ascii="宋体"/>
              </w:rPr>
            </w:pPr>
          </w:p>
        </w:tc>
        <w:tc>
          <w:tcPr>
            <w:tcW w:w="5" w:type="pct"/>
            <w:shd w:val="clear" w:color="auto" w:fill="auto"/>
          </w:tcPr>
          <w:p w14:paraId="40CB1296" w14:textId="77777777" w:rsidR="00584FB3" w:rsidRDefault="00584FB3">
            <w:pPr>
              <w:rPr>
                <w:rFonts w:ascii="宋体"/>
              </w:rPr>
            </w:pPr>
          </w:p>
        </w:tc>
        <w:tc>
          <w:tcPr>
            <w:tcW w:w="50" w:type="pct"/>
            <w:shd w:val="clear" w:color="auto" w:fill="auto"/>
          </w:tcPr>
          <w:p w14:paraId="40CB1297" w14:textId="77777777" w:rsidR="00584FB3" w:rsidRDefault="00584FB3">
            <w:pPr>
              <w:rPr>
                <w:rFonts w:ascii="宋体"/>
              </w:rPr>
            </w:pPr>
          </w:p>
        </w:tc>
        <w:tc>
          <w:tcPr>
            <w:tcW w:w="530" w:type="pct"/>
            <w:shd w:val="clear" w:color="auto" w:fill="auto"/>
          </w:tcPr>
          <w:p w14:paraId="40CB1298" w14:textId="77777777" w:rsidR="00584FB3" w:rsidRDefault="00584FB3">
            <w:pPr>
              <w:rPr>
                <w:rFonts w:ascii="宋体"/>
              </w:rPr>
            </w:pPr>
          </w:p>
        </w:tc>
        <w:tc>
          <w:tcPr>
            <w:tcW w:w="5" w:type="pct"/>
            <w:shd w:val="clear" w:color="auto" w:fill="auto"/>
          </w:tcPr>
          <w:p w14:paraId="40CB1299" w14:textId="77777777" w:rsidR="00584FB3" w:rsidRDefault="00584FB3">
            <w:pPr>
              <w:rPr>
                <w:rFonts w:ascii="宋体"/>
              </w:rPr>
            </w:pPr>
          </w:p>
        </w:tc>
      </w:tr>
      <w:tr w:rsidR="00584FB3" w14:paraId="40CB12A2" w14:textId="77777777">
        <w:trPr>
          <w:trHeight w:val="300"/>
        </w:trPr>
        <w:tc>
          <w:tcPr>
            <w:tcW w:w="0" w:type="auto"/>
            <w:gridSpan w:val="3"/>
            <w:shd w:val="clear" w:color="auto" w:fill="auto"/>
            <w:tcMar>
              <w:top w:w="0" w:type="dxa"/>
              <w:left w:w="20" w:type="dxa"/>
              <w:bottom w:w="0" w:type="dxa"/>
              <w:right w:w="20" w:type="dxa"/>
            </w:tcMar>
          </w:tcPr>
          <w:p w14:paraId="40CB129B" w14:textId="77777777" w:rsidR="00584FB3" w:rsidRDefault="00584FB3">
            <w:pPr>
              <w:rPr>
                <w:rFonts w:ascii="宋体"/>
              </w:rPr>
            </w:pPr>
          </w:p>
        </w:tc>
        <w:tc>
          <w:tcPr>
            <w:tcW w:w="0" w:type="auto"/>
            <w:gridSpan w:val="6"/>
            <w:shd w:val="clear" w:color="auto" w:fill="00704A"/>
            <w:tcMar>
              <w:top w:w="40" w:type="dxa"/>
              <w:left w:w="20" w:type="dxa"/>
              <w:bottom w:w="40" w:type="dxa"/>
              <w:right w:w="20" w:type="dxa"/>
            </w:tcMar>
            <w:vAlign w:val="bottom"/>
          </w:tcPr>
          <w:p w14:paraId="40CB129C"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29D" w14:textId="77777777" w:rsidR="00584FB3" w:rsidRDefault="00584FB3">
            <w:pPr>
              <w:rPr>
                <w:rFonts w:ascii="宋体"/>
              </w:rPr>
            </w:pPr>
          </w:p>
        </w:tc>
        <w:tc>
          <w:tcPr>
            <w:tcW w:w="0" w:type="auto"/>
            <w:gridSpan w:val="6"/>
            <w:shd w:val="clear" w:color="auto" w:fill="00704A"/>
            <w:tcMar>
              <w:top w:w="40" w:type="dxa"/>
              <w:left w:w="20" w:type="dxa"/>
              <w:bottom w:w="40" w:type="dxa"/>
              <w:right w:w="20" w:type="dxa"/>
            </w:tcMar>
            <w:vAlign w:val="bottom"/>
          </w:tcPr>
          <w:p w14:paraId="40CB129E" w14:textId="77777777" w:rsidR="00584FB3" w:rsidRDefault="00786180">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40CB129F"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12A0" w14:textId="77777777" w:rsidR="00584FB3" w:rsidRDefault="00786180">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40CB12A1" w14:textId="77777777" w:rsidR="00584FB3" w:rsidRDefault="00786180">
            <w:pP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584FB3" w14:paraId="40CB12AC" w14:textId="77777777">
        <w:trPr>
          <w:trHeight w:val="480"/>
        </w:trPr>
        <w:tc>
          <w:tcPr>
            <w:tcW w:w="0" w:type="auto"/>
            <w:gridSpan w:val="3"/>
            <w:shd w:val="clear" w:color="auto" w:fill="FFFFFF"/>
            <w:tcMar>
              <w:top w:w="40" w:type="dxa"/>
              <w:left w:w="20" w:type="dxa"/>
              <w:bottom w:w="40" w:type="dxa"/>
              <w:right w:w="20" w:type="dxa"/>
            </w:tcMar>
            <w:vAlign w:val="bottom"/>
          </w:tcPr>
          <w:p w14:paraId="40CB12A3" w14:textId="77777777" w:rsidR="00584FB3" w:rsidRDefault="00786180">
            <w:pPr>
              <w:textAlignment w:val="bottom"/>
            </w:pPr>
            <w:r>
              <w:rPr>
                <w:rFonts w:ascii="Times New Roman" w:eastAsia="宋体" w:hAnsi="Times New Roman"/>
                <w:b/>
                <w:bCs/>
                <w:color w:val="000000"/>
                <w:sz w:val="20"/>
                <w:szCs w:val="20"/>
                <w:u w:val="single"/>
              </w:rPr>
              <w:t>Issuance</w:t>
            </w:r>
          </w:p>
        </w:tc>
        <w:tc>
          <w:tcPr>
            <w:tcW w:w="0" w:type="auto"/>
            <w:gridSpan w:val="3"/>
            <w:shd w:val="clear" w:color="auto" w:fill="00704A"/>
            <w:tcMar>
              <w:top w:w="40" w:type="dxa"/>
              <w:left w:w="20" w:type="dxa"/>
              <w:bottom w:w="40" w:type="dxa"/>
              <w:right w:w="20" w:type="dxa"/>
            </w:tcMar>
            <w:vAlign w:val="bottom"/>
          </w:tcPr>
          <w:p w14:paraId="40CB12A4" w14:textId="77777777" w:rsidR="00584FB3" w:rsidRDefault="00786180">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40CB12A5" w14:textId="77777777" w:rsidR="00584FB3" w:rsidRDefault="00786180">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tcPr>
          <w:p w14:paraId="40CB12A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2A7" w14:textId="77777777" w:rsidR="00584FB3" w:rsidRDefault="00786180">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40CB12A8" w14:textId="77777777" w:rsidR="00584FB3" w:rsidRDefault="00786180">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tcPr>
          <w:p w14:paraId="40CB12A9"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12AA" w14:textId="77777777" w:rsidR="00584FB3" w:rsidRDefault="00584FB3">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40CB12AB" w14:textId="77777777" w:rsidR="00584FB3" w:rsidRDefault="00584FB3">
            <w:pPr>
              <w:rPr>
                <w:rFonts w:ascii="宋体"/>
              </w:rPr>
            </w:pPr>
          </w:p>
        </w:tc>
      </w:tr>
      <w:tr w:rsidR="00584FB3" w14:paraId="40CB12C0" w14:textId="77777777">
        <w:tc>
          <w:tcPr>
            <w:tcW w:w="0" w:type="auto"/>
            <w:gridSpan w:val="3"/>
            <w:shd w:val="clear" w:color="auto" w:fill="D7E4BC"/>
            <w:tcMar>
              <w:top w:w="40" w:type="dxa"/>
              <w:left w:w="20" w:type="dxa"/>
              <w:bottom w:w="40" w:type="dxa"/>
              <w:right w:w="20" w:type="dxa"/>
            </w:tcMar>
            <w:vAlign w:val="bottom"/>
          </w:tcPr>
          <w:p w14:paraId="40CB12AD" w14:textId="77777777" w:rsidR="00584FB3" w:rsidRDefault="00786180">
            <w:pPr>
              <w:textAlignment w:val="bottom"/>
            </w:pPr>
            <w:r>
              <w:rPr>
                <w:rFonts w:ascii="Times New Roman" w:eastAsia="宋体" w:hAnsi="Times New Roman"/>
                <w:color w:val="000000"/>
                <w:sz w:val="20"/>
                <w:szCs w:val="20"/>
              </w:rPr>
              <w:t>November 2020 notes</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2A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AF"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B0" w14:textId="77777777" w:rsidR="00584FB3" w:rsidRDefault="00584FB3">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2B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B2"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B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B4"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2B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B6" w14:textId="77777777" w:rsidR="00584FB3" w:rsidRDefault="00786180">
            <w:pPr>
              <w:jc w:val="right"/>
              <w:textAlignment w:val="bottom"/>
            </w:pPr>
            <w:r>
              <w:rPr>
                <w:rFonts w:ascii="Times New Roman" w:eastAsia="宋体" w:hAnsi="Times New Roman"/>
                <w:color w:val="000000"/>
                <w:sz w:val="20"/>
                <w:szCs w:val="20"/>
              </w:rPr>
              <w:t>500.0 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B7" w14:textId="77777777" w:rsidR="00584FB3" w:rsidRDefault="00584FB3">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2B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2B9" w14:textId="77777777" w:rsidR="00584FB3" w:rsidRDefault="00786180">
            <w:pPr>
              <w:jc w:val="right"/>
              <w:textAlignment w:val="bottom"/>
            </w:pPr>
            <w:r>
              <w:rPr>
                <w:rFonts w:ascii="Times New Roman" w:eastAsia="宋体" w:hAnsi="Times New Roman"/>
                <w:color w:val="000000"/>
                <w:sz w:val="20"/>
                <w:szCs w:val="20"/>
              </w:rPr>
              <w:t>501.5 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B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BB"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2BC" w14:textId="77777777" w:rsidR="00584FB3" w:rsidRDefault="00786180">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B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2BE" w14:textId="77777777" w:rsidR="00584FB3" w:rsidRDefault="00786180">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2B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2D0" w14:textId="77777777">
        <w:tc>
          <w:tcPr>
            <w:tcW w:w="0" w:type="auto"/>
            <w:gridSpan w:val="3"/>
            <w:shd w:val="clear" w:color="auto" w:fill="FFFFFF"/>
            <w:tcMar>
              <w:top w:w="40" w:type="dxa"/>
              <w:left w:w="20" w:type="dxa"/>
              <w:bottom w:w="40" w:type="dxa"/>
              <w:right w:w="20" w:type="dxa"/>
            </w:tcMar>
            <w:vAlign w:val="bottom"/>
          </w:tcPr>
          <w:p w14:paraId="40CB12C1" w14:textId="77777777" w:rsidR="00584FB3" w:rsidRDefault="00786180">
            <w:pPr>
              <w:textAlignment w:val="bottom"/>
            </w:pPr>
            <w:r>
              <w:rPr>
                <w:rFonts w:ascii="Times New Roman" w:eastAsia="宋体" w:hAnsi="Times New Roman"/>
                <w:color w:val="000000"/>
                <w:sz w:val="20"/>
                <w:szCs w:val="20"/>
              </w:rPr>
              <w:t>February 2021 notes</w:t>
            </w:r>
          </w:p>
        </w:tc>
        <w:tc>
          <w:tcPr>
            <w:tcW w:w="0" w:type="auto"/>
            <w:gridSpan w:val="2"/>
            <w:shd w:val="clear" w:color="auto" w:fill="FFFFFF"/>
            <w:tcMar>
              <w:top w:w="40" w:type="dxa"/>
              <w:left w:w="20" w:type="dxa"/>
              <w:bottom w:w="40" w:type="dxa"/>
              <w:right w:w="0" w:type="dxa"/>
            </w:tcMar>
            <w:vAlign w:val="bottom"/>
          </w:tcPr>
          <w:p w14:paraId="40CB12C2"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2C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2C4" w14:textId="77777777" w:rsidR="00584FB3" w:rsidRDefault="00786180">
            <w:pPr>
              <w:jc w:val="right"/>
              <w:textAlignment w:val="bottom"/>
            </w:pPr>
            <w:r>
              <w:rPr>
                <w:rFonts w:ascii="Times New Roman" w:eastAsia="宋体" w:hAnsi="Times New Roman"/>
                <w:color w:val="000000"/>
                <w:sz w:val="20"/>
                <w:szCs w:val="20"/>
              </w:rPr>
              <w:t>500.6 </w:t>
            </w:r>
          </w:p>
        </w:tc>
        <w:tc>
          <w:tcPr>
            <w:tcW w:w="0" w:type="auto"/>
            <w:shd w:val="clear" w:color="auto" w:fill="FFFFFF"/>
            <w:tcMar>
              <w:top w:w="40" w:type="dxa"/>
              <w:left w:w="0" w:type="dxa"/>
              <w:bottom w:w="40" w:type="dxa"/>
              <w:right w:w="20" w:type="dxa"/>
            </w:tcMar>
            <w:vAlign w:val="bottom"/>
          </w:tcPr>
          <w:p w14:paraId="40CB12C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C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C7"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2C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2C9" w14:textId="77777777" w:rsidR="00584FB3" w:rsidRDefault="00786180">
            <w:pPr>
              <w:jc w:val="right"/>
              <w:textAlignment w:val="bottom"/>
            </w:pPr>
            <w:r>
              <w:rPr>
                <w:rFonts w:ascii="Times New Roman" w:eastAsia="宋体" w:hAnsi="Times New Roman"/>
                <w:color w:val="000000"/>
                <w:sz w:val="20"/>
                <w:szCs w:val="20"/>
              </w:rPr>
              <w:t>502.3 </w:t>
            </w:r>
          </w:p>
        </w:tc>
        <w:tc>
          <w:tcPr>
            <w:tcW w:w="0" w:type="auto"/>
            <w:shd w:val="clear" w:color="auto" w:fill="FFFFFF"/>
            <w:tcMar>
              <w:top w:w="40" w:type="dxa"/>
              <w:left w:w="0" w:type="dxa"/>
              <w:bottom w:w="40" w:type="dxa"/>
              <w:right w:w="20" w:type="dxa"/>
            </w:tcMar>
            <w:vAlign w:val="bottom"/>
          </w:tcPr>
          <w:p w14:paraId="40CB12C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C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CC" w14:textId="77777777" w:rsidR="00584FB3" w:rsidRDefault="00786180">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left w:w="0" w:type="dxa"/>
              <w:bottom w:w="40" w:type="dxa"/>
              <w:right w:w="20" w:type="dxa"/>
            </w:tcMar>
            <w:vAlign w:val="bottom"/>
          </w:tcPr>
          <w:p w14:paraId="40CB12C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2CE" w14:textId="77777777" w:rsidR="00584FB3" w:rsidRDefault="00786180">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40CB12C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2E0" w14:textId="77777777">
        <w:tc>
          <w:tcPr>
            <w:tcW w:w="0" w:type="auto"/>
            <w:gridSpan w:val="3"/>
            <w:shd w:val="clear" w:color="auto" w:fill="D7E4BC"/>
            <w:tcMar>
              <w:top w:w="40" w:type="dxa"/>
              <w:left w:w="20" w:type="dxa"/>
              <w:bottom w:w="40" w:type="dxa"/>
              <w:right w:w="20" w:type="dxa"/>
            </w:tcMar>
            <w:vAlign w:val="bottom"/>
          </w:tcPr>
          <w:p w14:paraId="40CB12D1" w14:textId="77777777" w:rsidR="00584FB3" w:rsidRDefault="00786180">
            <w:pPr>
              <w:textAlignment w:val="bottom"/>
            </w:pPr>
            <w:r>
              <w:rPr>
                <w:rFonts w:ascii="Times New Roman" w:eastAsia="宋体" w:hAnsi="Times New Roman"/>
                <w:color w:val="000000"/>
                <w:sz w:val="20"/>
                <w:szCs w:val="20"/>
              </w:rPr>
              <w:t>February 2021 notes</w:t>
            </w:r>
          </w:p>
        </w:tc>
        <w:tc>
          <w:tcPr>
            <w:tcW w:w="0" w:type="auto"/>
            <w:gridSpan w:val="2"/>
            <w:shd w:val="clear" w:color="auto" w:fill="D7E4BC"/>
            <w:tcMar>
              <w:top w:w="40" w:type="dxa"/>
              <w:left w:w="20" w:type="dxa"/>
              <w:bottom w:w="40" w:type="dxa"/>
              <w:right w:w="0" w:type="dxa"/>
            </w:tcMar>
            <w:vAlign w:val="bottom"/>
          </w:tcPr>
          <w:p w14:paraId="40CB12D2" w14:textId="77777777" w:rsidR="00584FB3" w:rsidRDefault="00786180">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40CB12D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2D4" w14:textId="77777777" w:rsidR="00584FB3" w:rsidRDefault="00786180">
            <w:pPr>
              <w:jc w:val="right"/>
              <w:textAlignment w:val="bottom"/>
            </w:pPr>
            <w:r>
              <w:rPr>
                <w:rFonts w:ascii="Times New Roman" w:eastAsia="宋体" w:hAnsi="Times New Roman"/>
                <w:color w:val="000000"/>
                <w:sz w:val="20"/>
                <w:szCs w:val="20"/>
              </w:rPr>
              <w:t>250.3 </w:t>
            </w:r>
          </w:p>
        </w:tc>
        <w:tc>
          <w:tcPr>
            <w:tcW w:w="0" w:type="auto"/>
            <w:shd w:val="clear" w:color="auto" w:fill="D7E4BC"/>
            <w:tcMar>
              <w:top w:w="40" w:type="dxa"/>
              <w:left w:w="0" w:type="dxa"/>
              <w:bottom w:w="40" w:type="dxa"/>
              <w:right w:w="20" w:type="dxa"/>
            </w:tcMar>
            <w:vAlign w:val="bottom"/>
          </w:tcPr>
          <w:p w14:paraId="40CB12D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D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2D7" w14:textId="77777777" w:rsidR="00584FB3" w:rsidRDefault="00786180">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40CB12D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2D9" w14:textId="77777777" w:rsidR="00584FB3" w:rsidRDefault="00786180">
            <w:pPr>
              <w:jc w:val="right"/>
              <w:textAlignment w:val="bottom"/>
            </w:pPr>
            <w:r>
              <w:rPr>
                <w:rFonts w:ascii="Times New Roman" w:eastAsia="宋体" w:hAnsi="Times New Roman"/>
                <w:color w:val="000000"/>
                <w:sz w:val="20"/>
                <w:szCs w:val="20"/>
              </w:rPr>
              <w:t>251.1 </w:t>
            </w:r>
          </w:p>
        </w:tc>
        <w:tc>
          <w:tcPr>
            <w:tcW w:w="0" w:type="auto"/>
            <w:shd w:val="clear" w:color="auto" w:fill="D7E4BC"/>
            <w:tcMar>
              <w:top w:w="40" w:type="dxa"/>
              <w:left w:w="0" w:type="dxa"/>
              <w:bottom w:w="40" w:type="dxa"/>
              <w:right w:w="20" w:type="dxa"/>
            </w:tcMar>
            <w:vAlign w:val="bottom"/>
          </w:tcPr>
          <w:p w14:paraId="40CB12D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D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2DC" w14:textId="77777777" w:rsidR="00584FB3" w:rsidRDefault="00786180">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left w:w="0" w:type="dxa"/>
              <w:bottom w:w="40" w:type="dxa"/>
              <w:right w:w="20" w:type="dxa"/>
            </w:tcMar>
            <w:vAlign w:val="bottom"/>
          </w:tcPr>
          <w:p w14:paraId="40CB12D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2DE" w14:textId="77777777" w:rsidR="00584FB3" w:rsidRDefault="00786180">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left w:w="0" w:type="dxa"/>
              <w:bottom w:w="40" w:type="dxa"/>
              <w:right w:w="20" w:type="dxa"/>
            </w:tcMar>
            <w:vAlign w:val="bottom"/>
          </w:tcPr>
          <w:p w14:paraId="40CB12D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2F0" w14:textId="77777777">
        <w:tc>
          <w:tcPr>
            <w:tcW w:w="0" w:type="auto"/>
            <w:gridSpan w:val="3"/>
            <w:shd w:val="clear" w:color="auto" w:fill="FFFFFF"/>
            <w:tcMar>
              <w:top w:w="40" w:type="dxa"/>
              <w:left w:w="20" w:type="dxa"/>
              <w:bottom w:w="40" w:type="dxa"/>
              <w:right w:w="20" w:type="dxa"/>
            </w:tcMar>
            <w:vAlign w:val="bottom"/>
          </w:tcPr>
          <w:p w14:paraId="40CB12E1" w14:textId="77777777" w:rsidR="00584FB3" w:rsidRDefault="00786180">
            <w:pPr>
              <w:textAlignment w:val="bottom"/>
            </w:pPr>
            <w:r>
              <w:rPr>
                <w:rFonts w:ascii="Times New Roman" w:eastAsia="宋体" w:hAnsi="Times New Roman"/>
                <w:color w:val="000000"/>
                <w:sz w:val="20"/>
                <w:szCs w:val="20"/>
              </w:rPr>
              <w:t>May 2022 notes</w:t>
            </w:r>
          </w:p>
        </w:tc>
        <w:tc>
          <w:tcPr>
            <w:tcW w:w="0" w:type="auto"/>
            <w:gridSpan w:val="2"/>
            <w:shd w:val="clear" w:color="auto" w:fill="FFFFFF"/>
            <w:tcMar>
              <w:top w:w="40" w:type="dxa"/>
              <w:left w:w="20" w:type="dxa"/>
              <w:bottom w:w="40" w:type="dxa"/>
              <w:right w:w="0" w:type="dxa"/>
            </w:tcMar>
            <w:vAlign w:val="bottom"/>
          </w:tcPr>
          <w:p w14:paraId="40CB12E2"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2E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2E4" w14:textId="77777777" w:rsidR="00584FB3" w:rsidRDefault="00786180">
            <w:pPr>
              <w:jc w:val="right"/>
              <w:textAlignment w:val="bottom"/>
            </w:pPr>
            <w:r>
              <w:rPr>
                <w:rFonts w:ascii="Times New Roman" w:eastAsia="宋体" w:hAnsi="Times New Roman"/>
                <w:color w:val="000000"/>
                <w:sz w:val="20"/>
                <w:szCs w:val="20"/>
              </w:rPr>
              <w:t>506.3 </w:t>
            </w:r>
          </w:p>
        </w:tc>
        <w:tc>
          <w:tcPr>
            <w:tcW w:w="0" w:type="auto"/>
            <w:shd w:val="clear" w:color="auto" w:fill="FFFFFF"/>
            <w:tcMar>
              <w:top w:w="40" w:type="dxa"/>
              <w:left w:w="0" w:type="dxa"/>
              <w:bottom w:w="40" w:type="dxa"/>
              <w:right w:w="20" w:type="dxa"/>
            </w:tcMar>
            <w:vAlign w:val="bottom"/>
          </w:tcPr>
          <w:p w14:paraId="40CB12E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E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E7"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2E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2E9" w14:textId="77777777" w:rsidR="00584FB3" w:rsidRDefault="00786180">
            <w:pPr>
              <w:jc w:val="right"/>
              <w:textAlignment w:val="bottom"/>
            </w:pPr>
            <w:r>
              <w:rPr>
                <w:rFonts w:ascii="Times New Roman" w:eastAsia="宋体" w:hAnsi="Times New Roman"/>
                <w:color w:val="000000"/>
                <w:sz w:val="20"/>
                <w:szCs w:val="20"/>
              </w:rPr>
              <w:t>506.5 </w:t>
            </w:r>
          </w:p>
        </w:tc>
        <w:tc>
          <w:tcPr>
            <w:tcW w:w="0" w:type="auto"/>
            <w:shd w:val="clear" w:color="auto" w:fill="FFFFFF"/>
            <w:tcMar>
              <w:top w:w="40" w:type="dxa"/>
              <w:left w:w="0" w:type="dxa"/>
              <w:bottom w:w="40" w:type="dxa"/>
              <w:right w:w="20" w:type="dxa"/>
            </w:tcMar>
            <w:vAlign w:val="bottom"/>
          </w:tcPr>
          <w:p w14:paraId="40CB12E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2E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2EC" w14:textId="77777777" w:rsidR="00584FB3" w:rsidRDefault="00786180">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40CB12E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2EE" w14:textId="77777777" w:rsidR="00584FB3" w:rsidRDefault="00786180">
            <w:pPr>
              <w:jc w:val="right"/>
              <w:textAlignment w:val="bottom"/>
            </w:pPr>
            <w:r>
              <w:rPr>
                <w:rFonts w:ascii="Times New Roman" w:eastAsia="宋体" w:hAnsi="Times New Roman"/>
                <w:color w:val="000000"/>
                <w:sz w:val="20"/>
                <w:szCs w:val="20"/>
              </w:rPr>
              <w:t>1.334 </w:t>
            </w:r>
          </w:p>
        </w:tc>
        <w:tc>
          <w:tcPr>
            <w:tcW w:w="0" w:type="auto"/>
            <w:shd w:val="clear" w:color="auto" w:fill="FFFFFF"/>
            <w:tcMar>
              <w:top w:w="40" w:type="dxa"/>
              <w:left w:w="0" w:type="dxa"/>
              <w:bottom w:w="40" w:type="dxa"/>
              <w:right w:w="20" w:type="dxa"/>
            </w:tcMar>
            <w:vAlign w:val="bottom"/>
          </w:tcPr>
          <w:p w14:paraId="40CB12E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00" w14:textId="77777777">
        <w:tc>
          <w:tcPr>
            <w:tcW w:w="0" w:type="auto"/>
            <w:gridSpan w:val="3"/>
            <w:shd w:val="clear" w:color="auto" w:fill="D7E4BC"/>
            <w:tcMar>
              <w:top w:w="40" w:type="dxa"/>
              <w:left w:w="20" w:type="dxa"/>
              <w:bottom w:w="40" w:type="dxa"/>
              <w:right w:w="20" w:type="dxa"/>
            </w:tcMar>
            <w:vAlign w:val="bottom"/>
          </w:tcPr>
          <w:p w14:paraId="40CB12F1" w14:textId="77777777" w:rsidR="00584FB3" w:rsidRDefault="00786180">
            <w:pPr>
              <w:textAlignment w:val="bottom"/>
            </w:pPr>
            <w:r>
              <w:rPr>
                <w:rFonts w:ascii="Times New Roman" w:eastAsia="宋体" w:hAnsi="Times New Roman"/>
                <w:color w:val="000000"/>
                <w:sz w:val="20"/>
                <w:szCs w:val="20"/>
              </w:rPr>
              <w:t>June 2022 notes</w:t>
            </w:r>
          </w:p>
        </w:tc>
        <w:tc>
          <w:tcPr>
            <w:tcW w:w="0" w:type="auto"/>
            <w:gridSpan w:val="2"/>
            <w:shd w:val="clear" w:color="auto" w:fill="D7E4BC"/>
            <w:tcMar>
              <w:top w:w="40" w:type="dxa"/>
              <w:left w:w="20" w:type="dxa"/>
              <w:bottom w:w="40" w:type="dxa"/>
              <w:right w:w="0" w:type="dxa"/>
            </w:tcMar>
            <w:vAlign w:val="bottom"/>
          </w:tcPr>
          <w:p w14:paraId="40CB12F2"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40CB12F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2F4" w14:textId="77777777" w:rsidR="00584FB3" w:rsidRDefault="00786180">
            <w:pPr>
              <w:jc w:val="right"/>
              <w:textAlignment w:val="bottom"/>
            </w:pPr>
            <w:r>
              <w:rPr>
                <w:rFonts w:ascii="Times New Roman" w:eastAsia="宋体" w:hAnsi="Times New Roman"/>
                <w:color w:val="000000"/>
                <w:sz w:val="20"/>
                <w:szCs w:val="20"/>
              </w:rPr>
              <w:t>515.0 </w:t>
            </w:r>
          </w:p>
        </w:tc>
        <w:tc>
          <w:tcPr>
            <w:tcW w:w="0" w:type="auto"/>
            <w:shd w:val="clear" w:color="auto" w:fill="D7E4BC"/>
            <w:tcMar>
              <w:top w:w="40" w:type="dxa"/>
              <w:left w:w="0" w:type="dxa"/>
              <w:bottom w:w="40" w:type="dxa"/>
              <w:right w:w="20" w:type="dxa"/>
            </w:tcMar>
            <w:vAlign w:val="bottom"/>
          </w:tcPr>
          <w:p w14:paraId="40CB12F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F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2F7"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40CB12F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2F9" w14:textId="77777777" w:rsidR="00584FB3" w:rsidRDefault="00786180">
            <w:pPr>
              <w:jc w:val="right"/>
              <w:textAlignment w:val="bottom"/>
            </w:pPr>
            <w:r>
              <w:rPr>
                <w:rFonts w:ascii="Times New Roman" w:eastAsia="宋体" w:hAnsi="Times New Roman"/>
                <w:color w:val="000000"/>
                <w:sz w:val="20"/>
                <w:szCs w:val="20"/>
              </w:rPr>
              <w:t>517.5 </w:t>
            </w:r>
          </w:p>
        </w:tc>
        <w:tc>
          <w:tcPr>
            <w:tcW w:w="0" w:type="auto"/>
            <w:shd w:val="clear" w:color="auto" w:fill="D7E4BC"/>
            <w:tcMar>
              <w:top w:w="40" w:type="dxa"/>
              <w:left w:w="0" w:type="dxa"/>
              <w:bottom w:w="40" w:type="dxa"/>
              <w:right w:w="20" w:type="dxa"/>
            </w:tcMar>
            <w:vAlign w:val="bottom"/>
          </w:tcPr>
          <w:p w14:paraId="40CB12F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2F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2FC" w14:textId="77777777" w:rsidR="00584FB3" w:rsidRDefault="00786180">
            <w:pPr>
              <w:jc w:val="right"/>
              <w:textAlignment w:val="bottom"/>
            </w:pPr>
            <w:r>
              <w:rPr>
                <w:rFonts w:ascii="Times New Roman" w:eastAsia="宋体" w:hAnsi="Times New Roman"/>
                <w:color w:val="000000"/>
                <w:sz w:val="20"/>
                <w:szCs w:val="20"/>
              </w:rPr>
              <w:t>2.700 </w:t>
            </w:r>
          </w:p>
        </w:tc>
        <w:tc>
          <w:tcPr>
            <w:tcW w:w="0" w:type="auto"/>
            <w:shd w:val="clear" w:color="auto" w:fill="D7E4BC"/>
            <w:tcMar>
              <w:top w:w="40" w:type="dxa"/>
              <w:left w:w="0" w:type="dxa"/>
              <w:bottom w:w="40" w:type="dxa"/>
              <w:right w:w="20" w:type="dxa"/>
            </w:tcMar>
            <w:vAlign w:val="bottom"/>
          </w:tcPr>
          <w:p w14:paraId="40CB12F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2FE" w14:textId="77777777" w:rsidR="00584FB3" w:rsidRDefault="00786180">
            <w:pPr>
              <w:jc w:val="right"/>
              <w:textAlignment w:val="bottom"/>
            </w:pPr>
            <w:r>
              <w:rPr>
                <w:rFonts w:ascii="Times New Roman" w:eastAsia="宋体" w:hAnsi="Times New Roman"/>
                <w:color w:val="000000"/>
                <w:sz w:val="20"/>
                <w:szCs w:val="20"/>
              </w:rPr>
              <w:t>2.819 </w:t>
            </w:r>
          </w:p>
        </w:tc>
        <w:tc>
          <w:tcPr>
            <w:tcW w:w="0" w:type="auto"/>
            <w:shd w:val="clear" w:color="auto" w:fill="D7E4BC"/>
            <w:tcMar>
              <w:top w:w="40" w:type="dxa"/>
              <w:left w:w="0" w:type="dxa"/>
              <w:bottom w:w="40" w:type="dxa"/>
              <w:right w:w="20" w:type="dxa"/>
            </w:tcMar>
            <w:vAlign w:val="bottom"/>
          </w:tcPr>
          <w:p w14:paraId="40CB12F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10" w14:textId="77777777">
        <w:tc>
          <w:tcPr>
            <w:tcW w:w="0" w:type="auto"/>
            <w:gridSpan w:val="3"/>
            <w:shd w:val="clear" w:color="auto" w:fill="FFFFFF"/>
            <w:tcMar>
              <w:top w:w="40" w:type="dxa"/>
              <w:left w:w="20" w:type="dxa"/>
              <w:bottom w:w="40" w:type="dxa"/>
              <w:right w:w="20" w:type="dxa"/>
            </w:tcMar>
            <w:vAlign w:val="bottom"/>
          </w:tcPr>
          <w:p w14:paraId="40CB1301" w14:textId="77777777" w:rsidR="00584FB3" w:rsidRDefault="00786180">
            <w:pPr>
              <w:textAlignment w:val="bottom"/>
            </w:pPr>
            <w:r>
              <w:rPr>
                <w:rFonts w:ascii="Times New Roman" w:eastAsia="宋体" w:hAnsi="Times New Roman"/>
                <w:color w:val="000000"/>
                <w:sz w:val="20"/>
                <w:szCs w:val="20"/>
              </w:rPr>
              <w:t>March 2023 notes</w:t>
            </w:r>
          </w:p>
        </w:tc>
        <w:tc>
          <w:tcPr>
            <w:tcW w:w="0" w:type="auto"/>
            <w:gridSpan w:val="2"/>
            <w:shd w:val="clear" w:color="auto" w:fill="FFFFFF"/>
            <w:tcMar>
              <w:top w:w="40" w:type="dxa"/>
              <w:left w:w="20" w:type="dxa"/>
              <w:bottom w:w="40" w:type="dxa"/>
              <w:right w:w="0" w:type="dxa"/>
            </w:tcMar>
            <w:vAlign w:val="bottom"/>
          </w:tcPr>
          <w:p w14:paraId="40CB1302"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40CB130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04" w14:textId="77777777" w:rsidR="00584FB3" w:rsidRDefault="00786180">
            <w:pPr>
              <w:jc w:val="right"/>
              <w:textAlignment w:val="bottom"/>
            </w:pPr>
            <w:r>
              <w:rPr>
                <w:rFonts w:ascii="Times New Roman" w:eastAsia="宋体" w:hAnsi="Times New Roman"/>
                <w:color w:val="000000"/>
                <w:sz w:val="20"/>
                <w:szCs w:val="20"/>
              </w:rPr>
              <w:t>1,056.5 </w:t>
            </w:r>
          </w:p>
        </w:tc>
        <w:tc>
          <w:tcPr>
            <w:tcW w:w="0" w:type="auto"/>
            <w:shd w:val="clear" w:color="auto" w:fill="FFFFFF"/>
            <w:tcMar>
              <w:top w:w="40" w:type="dxa"/>
              <w:left w:w="0" w:type="dxa"/>
              <w:bottom w:w="40" w:type="dxa"/>
              <w:right w:w="20" w:type="dxa"/>
            </w:tcMar>
            <w:vAlign w:val="bottom"/>
          </w:tcPr>
          <w:p w14:paraId="40CB130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0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07"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40CB130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09" w14:textId="77777777" w:rsidR="00584FB3" w:rsidRDefault="00786180">
            <w:pPr>
              <w:jc w:val="right"/>
              <w:textAlignment w:val="bottom"/>
            </w:pPr>
            <w:r>
              <w:rPr>
                <w:rFonts w:ascii="Times New Roman" w:eastAsia="宋体" w:hAnsi="Times New Roman"/>
                <w:color w:val="000000"/>
                <w:sz w:val="20"/>
                <w:szCs w:val="20"/>
              </w:rPr>
              <w:t>1,058.8 </w:t>
            </w:r>
          </w:p>
        </w:tc>
        <w:tc>
          <w:tcPr>
            <w:tcW w:w="0" w:type="auto"/>
            <w:shd w:val="clear" w:color="auto" w:fill="FFFFFF"/>
            <w:tcMar>
              <w:top w:w="40" w:type="dxa"/>
              <w:left w:w="0" w:type="dxa"/>
              <w:bottom w:w="40" w:type="dxa"/>
              <w:right w:w="20" w:type="dxa"/>
            </w:tcMar>
            <w:vAlign w:val="bottom"/>
          </w:tcPr>
          <w:p w14:paraId="40CB130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0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0C" w14:textId="77777777" w:rsidR="00584FB3" w:rsidRDefault="00786180">
            <w:pPr>
              <w:jc w:val="right"/>
              <w:textAlignment w:val="bottom"/>
            </w:pPr>
            <w:r>
              <w:rPr>
                <w:rFonts w:ascii="Times New Roman" w:eastAsia="宋体" w:hAnsi="Times New Roman"/>
                <w:color w:val="000000"/>
                <w:sz w:val="20"/>
                <w:szCs w:val="20"/>
              </w:rPr>
              <w:t>3.100 </w:t>
            </w:r>
          </w:p>
        </w:tc>
        <w:tc>
          <w:tcPr>
            <w:tcW w:w="0" w:type="auto"/>
            <w:shd w:val="clear" w:color="auto" w:fill="FFFFFF"/>
            <w:tcMar>
              <w:top w:w="40" w:type="dxa"/>
              <w:left w:w="0" w:type="dxa"/>
              <w:bottom w:w="40" w:type="dxa"/>
              <w:right w:w="20" w:type="dxa"/>
            </w:tcMar>
            <w:vAlign w:val="bottom"/>
          </w:tcPr>
          <w:p w14:paraId="40CB130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0E" w14:textId="77777777" w:rsidR="00584FB3" w:rsidRDefault="00786180">
            <w:pPr>
              <w:jc w:val="right"/>
              <w:textAlignment w:val="bottom"/>
            </w:pPr>
            <w:r>
              <w:rPr>
                <w:rFonts w:ascii="Times New Roman" w:eastAsia="宋体" w:hAnsi="Times New Roman"/>
                <w:color w:val="000000"/>
                <w:sz w:val="20"/>
                <w:szCs w:val="20"/>
              </w:rPr>
              <w:t>3.107 </w:t>
            </w:r>
          </w:p>
        </w:tc>
        <w:tc>
          <w:tcPr>
            <w:tcW w:w="0" w:type="auto"/>
            <w:shd w:val="clear" w:color="auto" w:fill="FFFFFF"/>
            <w:tcMar>
              <w:top w:w="40" w:type="dxa"/>
              <w:left w:w="0" w:type="dxa"/>
              <w:bottom w:w="40" w:type="dxa"/>
              <w:right w:w="20" w:type="dxa"/>
            </w:tcMar>
            <w:vAlign w:val="bottom"/>
          </w:tcPr>
          <w:p w14:paraId="40CB130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20" w14:textId="77777777">
        <w:tc>
          <w:tcPr>
            <w:tcW w:w="0" w:type="auto"/>
            <w:gridSpan w:val="3"/>
            <w:shd w:val="clear" w:color="auto" w:fill="D7E4BC"/>
            <w:tcMar>
              <w:top w:w="40" w:type="dxa"/>
              <w:left w:w="20" w:type="dxa"/>
              <w:bottom w:w="40" w:type="dxa"/>
              <w:right w:w="20" w:type="dxa"/>
            </w:tcMar>
            <w:vAlign w:val="bottom"/>
          </w:tcPr>
          <w:p w14:paraId="40CB1311" w14:textId="77777777" w:rsidR="00584FB3" w:rsidRDefault="00786180">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40CB1312" w14:textId="77777777" w:rsidR="00584FB3" w:rsidRDefault="00786180">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40CB131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14" w14:textId="77777777" w:rsidR="00584FB3" w:rsidRDefault="00786180">
            <w:pPr>
              <w:jc w:val="right"/>
              <w:textAlignment w:val="bottom"/>
            </w:pPr>
            <w:r>
              <w:rPr>
                <w:rFonts w:ascii="Times New Roman" w:eastAsia="宋体" w:hAnsi="Times New Roman"/>
                <w:color w:val="000000"/>
                <w:sz w:val="20"/>
                <w:szCs w:val="20"/>
              </w:rPr>
              <w:t>814.0 </w:t>
            </w:r>
          </w:p>
        </w:tc>
        <w:tc>
          <w:tcPr>
            <w:tcW w:w="0" w:type="auto"/>
            <w:shd w:val="clear" w:color="auto" w:fill="D7E4BC"/>
            <w:tcMar>
              <w:top w:w="40" w:type="dxa"/>
              <w:left w:w="0" w:type="dxa"/>
              <w:bottom w:w="40" w:type="dxa"/>
              <w:right w:w="20" w:type="dxa"/>
            </w:tcMar>
            <w:vAlign w:val="bottom"/>
          </w:tcPr>
          <w:p w14:paraId="40CB131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1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17" w14:textId="77777777" w:rsidR="00584FB3" w:rsidRDefault="00786180">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40CB131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19" w14:textId="77777777" w:rsidR="00584FB3" w:rsidRDefault="00786180">
            <w:pPr>
              <w:jc w:val="right"/>
              <w:textAlignment w:val="bottom"/>
            </w:pPr>
            <w:r>
              <w:rPr>
                <w:rFonts w:ascii="Times New Roman" w:eastAsia="宋体" w:hAnsi="Times New Roman"/>
                <w:color w:val="000000"/>
                <w:sz w:val="20"/>
                <w:szCs w:val="20"/>
              </w:rPr>
              <w:t>817.5 </w:t>
            </w:r>
          </w:p>
        </w:tc>
        <w:tc>
          <w:tcPr>
            <w:tcW w:w="0" w:type="auto"/>
            <w:shd w:val="clear" w:color="auto" w:fill="D7E4BC"/>
            <w:tcMar>
              <w:top w:w="40" w:type="dxa"/>
              <w:left w:w="0" w:type="dxa"/>
              <w:bottom w:w="40" w:type="dxa"/>
              <w:right w:w="20" w:type="dxa"/>
            </w:tcMar>
            <w:vAlign w:val="bottom"/>
          </w:tcPr>
          <w:p w14:paraId="40CB131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1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1C" w14:textId="77777777" w:rsidR="00584FB3" w:rsidRDefault="00786180">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left w:w="0" w:type="dxa"/>
              <w:bottom w:w="40" w:type="dxa"/>
              <w:right w:w="20" w:type="dxa"/>
            </w:tcMar>
            <w:vAlign w:val="bottom"/>
          </w:tcPr>
          <w:p w14:paraId="40CB131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1E" w14:textId="77777777" w:rsidR="00584FB3" w:rsidRDefault="00786180">
            <w:pPr>
              <w:jc w:val="right"/>
              <w:textAlignment w:val="bottom"/>
            </w:pPr>
            <w:r>
              <w:rPr>
                <w:rFonts w:ascii="Times New Roman" w:eastAsia="宋体" w:hAnsi="Times New Roman"/>
                <w:color w:val="000000"/>
                <w:sz w:val="20"/>
                <w:szCs w:val="20"/>
              </w:rPr>
              <w:t>2.859 </w:t>
            </w:r>
          </w:p>
        </w:tc>
        <w:tc>
          <w:tcPr>
            <w:tcW w:w="0" w:type="auto"/>
            <w:shd w:val="clear" w:color="auto" w:fill="D7E4BC"/>
            <w:tcMar>
              <w:top w:w="40" w:type="dxa"/>
              <w:left w:w="0" w:type="dxa"/>
              <w:bottom w:w="40" w:type="dxa"/>
              <w:right w:w="20" w:type="dxa"/>
            </w:tcMar>
            <w:vAlign w:val="bottom"/>
          </w:tcPr>
          <w:p w14:paraId="40CB131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30" w14:textId="77777777">
        <w:tc>
          <w:tcPr>
            <w:tcW w:w="0" w:type="auto"/>
            <w:gridSpan w:val="3"/>
            <w:shd w:val="clear" w:color="auto" w:fill="FFFFFF"/>
            <w:tcMar>
              <w:top w:w="40" w:type="dxa"/>
              <w:left w:w="20" w:type="dxa"/>
              <w:bottom w:w="40" w:type="dxa"/>
              <w:right w:w="20" w:type="dxa"/>
            </w:tcMar>
            <w:vAlign w:val="bottom"/>
          </w:tcPr>
          <w:p w14:paraId="40CB1321" w14:textId="77777777" w:rsidR="00584FB3" w:rsidRDefault="00786180">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40CB1322" w14:textId="77777777" w:rsidR="00584FB3" w:rsidRDefault="00786180">
            <w:pPr>
              <w:jc w:val="right"/>
              <w:textAlignment w:val="bottom"/>
            </w:pPr>
            <w:r>
              <w:rPr>
                <w:rFonts w:ascii="Times New Roman" w:eastAsia="宋体" w:hAnsi="Times New Roman"/>
                <w:color w:val="000000"/>
                <w:sz w:val="20"/>
                <w:szCs w:val="20"/>
              </w:rPr>
              <w:t>820.1 </w:t>
            </w:r>
          </w:p>
        </w:tc>
        <w:tc>
          <w:tcPr>
            <w:tcW w:w="0" w:type="auto"/>
            <w:shd w:val="clear" w:color="auto" w:fill="FFFFFF"/>
            <w:tcMar>
              <w:top w:w="40" w:type="dxa"/>
              <w:left w:w="0" w:type="dxa"/>
              <w:bottom w:w="40" w:type="dxa"/>
              <w:right w:w="20" w:type="dxa"/>
            </w:tcMar>
            <w:vAlign w:val="bottom"/>
          </w:tcPr>
          <w:p w14:paraId="40CB132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24" w14:textId="77777777" w:rsidR="00584FB3" w:rsidRDefault="00786180">
            <w:pPr>
              <w:jc w:val="right"/>
              <w:textAlignment w:val="bottom"/>
            </w:pPr>
            <w:r>
              <w:rPr>
                <w:rFonts w:ascii="Times New Roman" w:eastAsia="宋体" w:hAnsi="Times New Roman"/>
                <w:color w:val="000000"/>
                <w:sz w:val="20"/>
                <w:szCs w:val="20"/>
              </w:rPr>
              <w:t>828.7 </w:t>
            </w:r>
          </w:p>
        </w:tc>
        <w:tc>
          <w:tcPr>
            <w:tcW w:w="0" w:type="auto"/>
            <w:shd w:val="clear" w:color="auto" w:fill="FFFFFF"/>
            <w:tcMar>
              <w:top w:w="40" w:type="dxa"/>
              <w:left w:w="0" w:type="dxa"/>
              <w:bottom w:w="40" w:type="dxa"/>
              <w:right w:w="20" w:type="dxa"/>
            </w:tcMar>
            <w:vAlign w:val="bottom"/>
          </w:tcPr>
          <w:p w14:paraId="40CB132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2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27" w14:textId="77777777" w:rsidR="00584FB3" w:rsidRDefault="00786180">
            <w:pPr>
              <w:jc w:val="right"/>
              <w:textAlignment w:val="bottom"/>
            </w:pPr>
            <w:r>
              <w:rPr>
                <w:rFonts w:ascii="Times New Roman" w:eastAsia="宋体" w:hAnsi="Times New Roman"/>
                <w:color w:val="000000"/>
                <w:sz w:val="20"/>
                <w:szCs w:val="20"/>
              </w:rPr>
              <w:t>806.4 </w:t>
            </w:r>
          </w:p>
        </w:tc>
        <w:tc>
          <w:tcPr>
            <w:tcW w:w="0" w:type="auto"/>
            <w:shd w:val="clear" w:color="auto" w:fill="FFFFFF"/>
            <w:tcMar>
              <w:top w:w="40" w:type="dxa"/>
              <w:left w:w="0" w:type="dxa"/>
              <w:bottom w:w="40" w:type="dxa"/>
              <w:right w:w="20" w:type="dxa"/>
            </w:tcMar>
            <w:vAlign w:val="bottom"/>
          </w:tcPr>
          <w:p w14:paraId="40CB132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29" w14:textId="77777777" w:rsidR="00584FB3" w:rsidRDefault="00786180">
            <w:pPr>
              <w:jc w:val="right"/>
              <w:textAlignment w:val="bottom"/>
            </w:pPr>
            <w:r>
              <w:rPr>
                <w:rFonts w:ascii="Times New Roman" w:eastAsia="宋体" w:hAnsi="Times New Roman"/>
                <w:color w:val="000000"/>
                <w:sz w:val="20"/>
                <w:szCs w:val="20"/>
              </w:rPr>
              <w:t>794.4 </w:t>
            </w:r>
          </w:p>
        </w:tc>
        <w:tc>
          <w:tcPr>
            <w:tcW w:w="0" w:type="auto"/>
            <w:shd w:val="clear" w:color="auto" w:fill="FFFFFF"/>
            <w:tcMar>
              <w:top w:w="40" w:type="dxa"/>
              <w:left w:w="0" w:type="dxa"/>
              <w:bottom w:w="40" w:type="dxa"/>
              <w:right w:w="20" w:type="dxa"/>
            </w:tcMar>
            <w:vAlign w:val="bottom"/>
          </w:tcPr>
          <w:p w14:paraId="40CB132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2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2C" w14:textId="77777777" w:rsidR="00584FB3" w:rsidRDefault="00786180">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40CB132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2E" w14:textId="77777777" w:rsidR="00584FB3" w:rsidRDefault="00786180">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40CB132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40" w14:textId="77777777">
        <w:tc>
          <w:tcPr>
            <w:tcW w:w="0" w:type="auto"/>
            <w:gridSpan w:val="3"/>
            <w:shd w:val="clear" w:color="auto" w:fill="D7E4BC"/>
            <w:tcMar>
              <w:top w:w="40" w:type="dxa"/>
              <w:left w:w="20" w:type="dxa"/>
              <w:bottom w:w="40" w:type="dxa"/>
              <w:right w:w="20" w:type="dxa"/>
            </w:tcMar>
            <w:vAlign w:val="bottom"/>
          </w:tcPr>
          <w:p w14:paraId="40CB1331" w14:textId="77777777" w:rsidR="00584FB3" w:rsidRDefault="00786180">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40CB1332" w14:textId="77777777" w:rsidR="00584FB3" w:rsidRDefault="00786180">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40CB133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34" w14:textId="77777777" w:rsidR="00584FB3" w:rsidRDefault="00786180">
            <w:pPr>
              <w:jc w:val="right"/>
              <w:textAlignment w:val="bottom"/>
            </w:pPr>
            <w:r>
              <w:rPr>
                <w:rFonts w:ascii="Times New Roman" w:eastAsia="宋体" w:hAnsi="Times New Roman"/>
                <w:color w:val="000000"/>
                <w:sz w:val="20"/>
                <w:szCs w:val="20"/>
              </w:rPr>
              <w:t>1,416.7 </w:t>
            </w:r>
          </w:p>
        </w:tc>
        <w:tc>
          <w:tcPr>
            <w:tcW w:w="0" w:type="auto"/>
            <w:shd w:val="clear" w:color="auto" w:fill="D7E4BC"/>
            <w:tcMar>
              <w:top w:w="40" w:type="dxa"/>
              <w:left w:w="0" w:type="dxa"/>
              <w:bottom w:w="40" w:type="dxa"/>
              <w:right w:w="20" w:type="dxa"/>
            </w:tcMar>
            <w:vAlign w:val="bottom"/>
          </w:tcPr>
          <w:p w14:paraId="40CB133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3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37" w14:textId="77777777" w:rsidR="00584FB3" w:rsidRDefault="00786180">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40CB133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39" w14:textId="77777777" w:rsidR="00584FB3" w:rsidRDefault="00786180">
            <w:pPr>
              <w:jc w:val="right"/>
              <w:textAlignment w:val="bottom"/>
            </w:pPr>
            <w:r>
              <w:rPr>
                <w:rFonts w:ascii="Times New Roman" w:eastAsia="宋体" w:hAnsi="Times New Roman"/>
                <w:color w:val="000000"/>
                <w:sz w:val="20"/>
                <w:szCs w:val="20"/>
              </w:rPr>
              <w:t>1,414.5 </w:t>
            </w:r>
          </w:p>
        </w:tc>
        <w:tc>
          <w:tcPr>
            <w:tcW w:w="0" w:type="auto"/>
            <w:shd w:val="clear" w:color="auto" w:fill="D7E4BC"/>
            <w:tcMar>
              <w:top w:w="40" w:type="dxa"/>
              <w:left w:w="0" w:type="dxa"/>
              <w:bottom w:w="40" w:type="dxa"/>
              <w:right w:w="20" w:type="dxa"/>
            </w:tcMar>
            <w:vAlign w:val="bottom"/>
          </w:tcPr>
          <w:p w14:paraId="40CB133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3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3C" w14:textId="77777777" w:rsidR="00584FB3" w:rsidRDefault="00786180">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40CB133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3E" w14:textId="77777777" w:rsidR="00584FB3" w:rsidRDefault="00786180">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40CB133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50" w14:textId="77777777">
        <w:tc>
          <w:tcPr>
            <w:tcW w:w="0" w:type="auto"/>
            <w:gridSpan w:val="3"/>
            <w:shd w:val="clear" w:color="auto" w:fill="FFFFFF"/>
            <w:tcMar>
              <w:top w:w="40" w:type="dxa"/>
              <w:left w:w="20" w:type="dxa"/>
              <w:bottom w:w="40" w:type="dxa"/>
              <w:right w:w="20" w:type="dxa"/>
            </w:tcMar>
            <w:vAlign w:val="bottom"/>
          </w:tcPr>
          <w:p w14:paraId="40CB1341" w14:textId="77777777" w:rsidR="00584FB3" w:rsidRDefault="00786180">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40CB1342"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34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44" w14:textId="77777777" w:rsidR="00584FB3" w:rsidRDefault="00786180">
            <w:pPr>
              <w:jc w:val="right"/>
              <w:textAlignment w:val="bottom"/>
            </w:pPr>
            <w:r>
              <w:rPr>
                <w:rFonts w:ascii="Times New Roman" w:eastAsia="宋体" w:hAnsi="Times New Roman"/>
                <w:color w:val="000000"/>
                <w:sz w:val="20"/>
                <w:szCs w:val="20"/>
              </w:rPr>
              <w:t>540.7 </w:t>
            </w:r>
          </w:p>
        </w:tc>
        <w:tc>
          <w:tcPr>
            <w:tcW w:w="0" w:type="auto"/>
            <w:shd w:val="clear" w:color="auto" w:fill="FFFFFF"/>
            <w:tcMar>
              <w:top w:w="40" w:type="dxa"/>
              <w:left w:w="0" w:type="dxa"/>
              <w:bottom w:w="40" w:type="dxa"/>
              <w:right w:w="20" w:type="dxa"/>
            </w:tcMar>
            <w:vAlign w:val="bottom"/>
          </w:tcPr>
          <w:p w14:paraId="40CB134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4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47"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34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49" w14:textId="77777777" w:rsidR="00584FB3" w:rsidRDefault="00786180">
            <w:pPr>
              <w:jc w:val="right"/>
              <w:textAlignment w:val="bottom"/>
            </w:pPr>
            <w:r>
              <w:rPr>
                <w:rFonts w:ascii="Times New Roman" w:eastAsia="宋体" w:hAnsi="Times New Roman"/>
                <w:color w:val="000000"/>
                <w:sz w:val="20"/>
                <w:szCs w:val="20"/>
              </w:rPr>
              <w:t>542.6 </w:t>
            </w:r>
          </w:p>
        </w:tc>
        <w:tc>
          <w:tcPr>
            <w:tcW w:w="0" w:type="auto"/>
            <w:shd w:val="clear" w:color="auto" w:fill="FFFFFF"/>
            <w:tcMar>
              <w:top w:w="40" w:type="dxa"/>
              <w:left w:w="0" w:type="dxa"/>
              <w:bottom w:w="40" w:type="dxa"/>
              <w:right w:w="20" w:type="dxa"/>
            </w:tcMar>
            <w:vAlign w:val="bottom"/>
          </w:tcPr>
          <w:p w14:paraId="40CB134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4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4C" w14:textId="77777777" w:rsidR="00584FB3" w:rsidRDefault="00786180">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40CB134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4E" w14:textId="77777777" w:rsidR="00584FB3" w:rsidRDefault="00786180">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40CB134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60" w14:textId="77777777">
        <w:tc>
          <w:tcPr>
            <w:tcW w:w="0" w:type="auto"/>
            <w:gridSpan w:val="3"/>
            <w:shd w:val="clear" w:color="auto" w:fill="D7E4BC"/>
            <w:tcMar>
              <w:top w:w="40" w:type="dxa"/>
              <w:left w:w="20" w:type="dxa"/>
              <w:bottom w:w="40" w:type="dxa"/>
              <w:right w:w="20" w:type="dxa"/>
            </w:tcMar>
            <w:vAlign w:val="bottom"/>
          </w:tcPr>
          <w:p w14:paraId="40CB1351" w14:textId="77777777" w:rsidR="00584FB3" w:rsidRDefault="00786180">
            <w:pPr>
              <w:textAlignment w:val="bottom"/>
            </w:pPr>
            <w:r>
              <w:rPr>
                <w:rFonts w:ascii="Times New Roman" w:eastAsia="宋体" w:hAnsi="Times New Roman"/>
                <w:color w:val="000000"/>
                <w:sz w:val="20"/>
                <w:szCs w:val="20"/>
              </w:rPr>
              <w:t>March 2027 notes</w:t>
            </w:r>
          </w:p>
        </w:tc>
        <w:tc>
          <w:tcPr>
            <w:tcW w:w="0" w:type="auto"/>
            <w:gridSpan w:val="2"/>
            <w:shd w:val="clear" w:color="auto" w:fill="D7E4BC"/>
            <w:tcMar>
              <w:top w:w="40" w:type="dxa"/>
              <w:left w:w="20" w:type="dxa"/>
              <w:bottom w:w="40" w:type="dxa"/>
              <w:right w:w="0" w:type="dxa"/>
            </w:tcMar>
            <w:vAlign w:val="bottom"/>
          </w:tcPr>
          <w:p w14:paraId="40CB1352"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40CB135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54" w14:textId="77777777" w:rsidR="00584FB3" w:rsidRDefault="00786180">
            <w:pPr>
              <w:jc w:val="right"/>
              <w:textAlignment w:val="bottom"/>
            </w:pPr>
            <w:r>
              <w:rPr>
                <w:rFonts w:ascii="Times New Roman" w:eastAsia="宋体" w:hAnsi="Times New Roman"/>
                <w:color w:val="000000"/>
                <w:sz w:val="20"/>
                <w:szCs w:val="20"/>
              </w:rPr>
              <w:t>529.0 </w:t>
            </w:r>
          </w:p>
        </w:tc>
        <w:tc>
          <w:tcPr>
            <w:tcW w:w="0" w:type="auto"/>
            <w:shd w:val="clear" w:color="auto" w:fill="D7E4BC"/>
            <w:tcMar>
              <w:top w:w="40" w:type="dxa"/>
              <w:left w:w="0" w:type="dxa"/>
              <w:bottom w:w="40" w:type="dxa"/>
              <w:right w:w="20" w:type="dxa"/>
            </w:tcMar>
            <w:vAlign w:val="bottom"/>
          </w:tcPr>
          <w:p w14:paraId="40CB135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5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57"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40CB135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59" w14:textId="77777777" w:rsidR="00584FB3" w:rsidRDefault="00786180">
            <w:pPr>
              <w:jc w:val="right"/>
              <w:textAlignment w:val="bottom"/>
            </w:pPr>
            <w:r>
              <w:rPr>
                <w:rFonts w:ascii="Times New Roman" w:eastAsia="宋体" w:hAnsi="Times New Roman"/>
                <w:color w:val="000000"/>
                <w:sz w:val="20"/>
                <w:szCs w:val="20"/>
              </w:rPr>
              <w:t>528.9 </w:t>
            </w:r>
          </w:p>
        </w:tc>
        <w:tc>
          <w:tcPr>
            <w:tcW w:w="0" w:type="auto"/>
            <w:shd w:val="clear" w:color="auto" w:fill="D7E4BC"/>
            <w:tcMar>
              <w:top w:w="40" w:type="dxa"/>
              <w:left w:w="0" w:type="dxa"/>
              <w:bottom w:w="40" w:type="dxa"/>
              <w:right w:w="20" w:type="dxa"/>
            </w:tcMar>
            <w:vAlign w:val="bottom"/>
          </w:tcPr>
          <w:p w14:paraId="40CB135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5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5C" w14:textId="77777777" w:rsidR="00584FB3" w:rsidRDefault="00786180">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40CB135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5E" w14:textId="77777777" w:rsidR="00584FB3" w:rsidRDefault="00786180">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40CB135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70" w14:textId="77777777">
        <w:tc>
          <w:tcPr>
            <w:tcW w:w="0" w:type="auto"/>
            <w:gridSpan w:val="3"/>
            <w:shd w:val="clear" w:color="auto" w:fill="FFFFFF"/>
            <w:tcMar>
              <w:top w:w="40" w:type="dxa"/>
              <w:left w:w="20" w:type="dxa"/>
              <w:bottom w:w="40" w:type="dxa"/>
              <w:right w:w="20" w:type="dxa"/>
            </w:tcMar>
            <w:vAlign w:val="bottom"/>
          </w:tcPr>
          <w:p w14:paraId="40CB1361" w14:textId="77777777" w:rsidR="00584FB3" w:rsidRDefault="00786180">
            <w:pPr>
              <w:textAlignment w:val="bottom"/>
            </w:pPr>
            <w:r>
              <w:rPr>
                <w:rFonts w:ascii="Times New Roman" w:eastAsia="宋体" w:hAnsi="Times New Roman"/>
                <w:color w:val="000000"/>
                <w:sz w:val="20"/>
                <w:szCs w:val="20"/>
              </w:rPr>
              <w:t>March 2028 notes</w:t>
            </w:r>
          </w:p>
        </w:tc>
        <w:tc>
          <w:tcPr>
            <w:tcW w:w="0" w:type="auto"/>
            <w:gridSpan w:val="2"/>
            <w:shd w:val="clear" w:color="auto" w:fill="FFFFFF"/>
            <w:tcMar>
              <w:top w:w="40" w:type="dxa"/>
              <w:left w:w="20" w:type="dxa"/>
              <w:bottom w:w="40" w:type="dxa"/>
              <w:right w:w="0" w:type="dxa"/>
            </w:tcMar>
            <w:vAlign w:val="bottom"/>
          </w:tcPr>
          <w:p w14:paraId="40CB1362" w14:textId="77777777" w:rsidR="00584FB3" w:rsidRDefault="00786180">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40CB136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64" w14:textId="77777777" w:rsidR="00584FB3" w:rsidRDefault="00786180">
            <w:pPr>
              <w:jc w:val="right"/>
              <w:textAlignment w:val="bottom"/>
            </w:pPr>
            <w:r>
              <w:rPr>
                <w:rFonts w:ascii="Times New Roman" w:eastAsia="宋体" w:hAnsi="Times New Roman"/>
                <w:color w:val="000000"/>
                <w:sz w:val="20"/>
                <w:szCs w:val="20"/>
              </w:rPr>
              <w:t>688.0 </w:t>
            </w:r>
          </w:p>
        </w:tc>
        <w:tc>
          <w:tcPr>
            <w:tcW w:w="0" w:type="auto"/>
            <w:shd w:val="clear" w:color="auto" w:fill="FFFFFF"/>
            <w:tcMar>
              <w:top w:w="40" w:type="dxa"/>
              <w:left w:w="0" w:type="dxa"/>
              <w:bottom w:w="40" w:type="dxa"/>
              <w:right w:w="20" w:type="dxa"/>
            </w:tcMar>
            <w:vAlign w:val="bottom"/>
          </w:tcPr>
          <w:p w14:paraId="40CB136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6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67" w14:textId="77777777" w:rsidR="00584FB3" w:rsidRDefault="00786180">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40CB136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69" w14:textId="77777777" w:rsidR="00584FB3" w:rsidRDefault="00786180">
            <w:pPr>
              <w:jc w:val="right"/>
              <w:textAlignment w:val="bottom"/>
            </w:pPr>
            <w:r>
              <w:rPr>
                <w:rFonts w:ascii="Times New Roman" w:eastAsia="宋体" w:hAnsi="Times New Roman"/>
                <w:color w:val="000000"/>
                <w:sz w:val="20"/>
                <w:szCs w:val="20"/>
              </w:rPr>
              <w:t>679.5 </w:t>
            </w:r>
          </w:p>
        </w:tc>
        <w:tc>
          <w:tcPr>
            <w:tcW w:w="0" w:type="auto"/>
            <w:shd w:val="clear" w:color="auto" w:fill="FFFFFF"/>
            <w:tcMar>
              <w:top w:w="40" w:type="dxa"/>
              <w:left w:w="0" w:type="dxa"/>
              <w:bottom w:w="40" w:type="dxa"/>
              <w:right w:w="20" w:type="dxa"/>
            </w:tcMar>
            <w:vAlign w:val="bottom"/>
          </w:tcPr>
          <w:p w14:paraId="40CB136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6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6C" w14:textId="77777777" w:rsidR="00584FB3" w:rsidRDefault="00786180">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40CB136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6E" w14:textId="77777777" w:rsidR="00584FB3" w:rsidRDefault="00786180">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40CB136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80" w14:textId="77777777">
        <w:tc>
          <w:tcPr>
            <w:tcW w:w="0" w:type="auto"/>
            <w:gridSpan w:val="3"/>
            <w:shd w:val="clear" w:color="auto" w:fill="D7E4BC"/>
            <w:tcMar>
              <w:top w:w="40" w:type="dxa"/>
              <w:left w:w="20" w:type="dxa"/>
              <w:bottom w:w="40" w:type="dxa"/>
              <w:right w:w="20" w:type="dxa"/>
            </w:tcMar>
            <w:vAlign w:val="bottom"/>
          </w:tcPr>
          <w:p w14:paraId="40CB1371" w14:textId="77777777" w:rsidR="00584FB3" w:rsidRDefault="00786180">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40CB1372" w14:textId="77777777" w:rsidR="00584FB3" w:rsidRDefault="00786180">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40CB137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74" w14:textId="77777777" w:rsidR="00584FB3" w:rsidRDefault="00786180">
            <w:pPr>
              <w:jc w:val="right"/>
              <w:textAlignment w:val="bottom"/>
            </w:pPr>
            <w:r>
              <w:rPr>
                <w:rFonts w:ascii="Times New Roman" w:eastAsia="宋体" w:hAnsi="Times New Roman"/>
                <w:color w:val="000000"/>
                <w:sz w:val="20"/>
                <w:szCs w:val="20"/>
              </w:rPr>
              <w:t>888.4 </w:t>
            </w:r>
          </w:p>
        </w:tc>
        <w:tc>
          <w:tcPr>
            <w:tcW w:w="0" w:type="auto"/>
            <w:shd w:val="clear" w:color="auto" w:fill="D7E4BC"/>
            <w:tcMar>
              <w:top w:w="40" w:type="dxa"/>
              <w:left w:w="0" w:type="dxa"/>
              <w:bottom w:w="40" w:type="dxa"/>
              <w:right w:w="20" w:type="dxa"/>
            </w:tcMar>
            <w:vAlign w:val="bottom"/>
          </w:tcPr>
          <w:p w14:paraId="40CB137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7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77" w14:textId="77777777" w:rsidR="00584FB3" w:rsidRDefault="00786180">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40CB137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79" w14:textId="77777777" w:rsidR="00584FB3" w:rsidRDefault="00786180">
            <w:pPr>
              <w:jc w:val="right"/>
              <w:textAlignment w:val="bottom"/>
            </w:pPr>
            <w:r>
              <w:rPr>
                <w:rFonts w:ascii="Times New Roman" w:eastAsia="宋体" w:hAnsi="Times New Roman"/>
                <w:color w:val="000000"/>
                <w:sz w:val="20"/>
                <w:szCs w:val="20"/>
              </w:rPr>
              <w:t>886.0 </w:t>
            </w:r>
          </w:p>
        </w:tc>
        <w:tc>
          <w:tcPr>
            <w:tcW w:w="0" w:type="auto"/>
            <w:shd w:val="clear" w:color="auto" w:fill="D7E4BC"/>
            <w:tcMar>
              <w:top w:w="40" w:type="dxa"/>
              <w:left w:w="0" w:type="dxa"/>
              <w:bottom w:w="40" w:type="dxa"/>
              <w:right w:w="20" w:type="dxa"/>
            </w:tcMar>
            <w:vAlign w:val="bottom"/>
          </w:tcPr>
          <w:p w14:paraId="40CB137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7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7C" w14:textId="77777777" w:rsidR="00584FB3" w:rsidRDefault="00786180">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40CB137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7E" w14:textId="77777777" w:rsidR="00584FB3" w:rsidRDefault="00786180">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40CB137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90" w14:textId="77777777">
        <w:tc>
          <w:tcPr>
            <w:tcW w:w="0" w:type="auto"/>
            <w:gridSpan w:val="3"/>
            <w:shd w:val="clear" w:color="auto" w:fill="FFFFFF"/>
            <w:tcMar>
              <w:top w:w="40" w:type="dxa"/>
              <w:left w:w="20" w:type="dxa"/>
              <w:bottom w:w="40" w:type="dxa"/>
              <w:right w:w="20" w:type="dxa"/>
            </w:tcMar>
            <w:vAlign w:val="bottom"/>
          </w:tcPr>
          <w:p w14:paraId="40CB1381" w14:textId="77777777" w:rsidR="00584FB3" w:rsidRDefault="00786180">
            <w:pPr>
              <w:textAlignment w:val="bottom"/>
            </w:pPr>
            <w:r>
              <w:rPr>
                <w:rFonts w:ascii="Times New Roman" w:eastAsia="宋体" w:hAnsi="Times New Roman"/>
                <w:color w:val="000000"/>
                <w:sz w:val="20"/>
                <w:szCs w:val="20"/>
              </w:rPr>
              <w:t>August 2029 notes</w:t>
            </w:r>
          </w:p>
        </w:tc>
        <w:tc>
          <w:tcPr>
            <w:tcW w:w="0" w:type="auto"/>
            <w:gridSpan w:val="2"/>
            <w:shd w:val="clear" w:color="auto" w:fill="FFFFFF"/>
            <w:tcMar>
              <w:top w:w="40" w:type="dxa"/>
              <w:left w:w="20" w:type="dxa"/>
              <w:bottom w:w="40" w:type="dxa"/>
              <w:right w:w="0" w:type="dxa"/>
            </w:tcMar>
            <w:vAlign w:val="bottom"/>
          </w:tcPr>
          <w:p w14:paraId="40CB1382"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40CB138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84" w14:textId="77777777" w:rsidR="00584FB3" w:rsidRDefault="00786180">
            <w:pPr>
              <w:jc w:val="right"/>
              <w:textAlignment w:val="bottom"/>
            </w:pPr>
            <w:r>
              <w:rPr>
                <w:rFonts w:ascii="Times New Roman" w:eastAsia="宋体" w:hAnsi="Times New Roman"/>
                <w:color w:val="000000"/>
                <w:sz w:val="20"/>
                <w:szCs w:val="20"/>
              </w:rPr>
              <w:t>1,161.1 </w:t>
            </w:r>
          </w:p>
        </w:tc>
        <w:tc>
          <w:tcPr>
            <w:tcW w:w="0" w:type="auto"/>
            <w:shd w:val="clear" w:color="auto" w:fill="FFFFFF"/>
            <w:tcMar>
              <w:top w:w="40" w:type="dxa"/>
              <w:left w:w="0" w:type="dxa"/>
              <w:bottom w:w="40" w:type="dxa"/>
              <w:right w:w="20" w:type="dxa"/>
            </w:tcMar>
            <w:vAlign w:val="bottom"/>
          </w:tcPr>
          <w:p w14:paraId="40CB138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8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87"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40CB138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89" w14:textId="77777777" w:rsidR="00584FB3" w:rsidRDefault="00786180">
            <w:pPr>
              <w:jc w:val="right"/>
              <w:textAlignment w:val="bottom"/>
            </w:pPr>
            <w:r>
              <w:rPr>
                <w:rFonts w:ascii="Times New Roman" w:eastAsia="宋体" w:hAnsi="Times New Roman"/>
                <w:color w:val="000000"/>
                <w:sz w:val="20"/>
                <w:szCs w:val="20"/>
              </w:rPr>
              <w:t>1,147.1 </w:t>
            </w:r>
          </w:p>
        </w:tc>
        <w:tc>
          <w:tcPr>
            <w:tcW w:w="0" w:type="auto"/>
            <w:shd w:val="clear" w:color="auto" w:fill="FFFFFF"/>
            <w:tcMar>
              <w:top w:w="40" w:type="dxa"/>
              <w:left w:w="0" w:type="dxa"/>
              <w:bottom w:w="40" w:type="dxa"/>
              <w:right w:w="20" w:type="dxa"/>
            </w:tcMar>
            <w:vAlign w:val="bottom"/>
          </w:tcPr>
          <w:p w14:paraId="40CB138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8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8C" w14:textId="77777777" w:rsidR="00584FB3" w:rsidRDefault="00786180">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40CB138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8E" w14:textId="77777777" w:rsidR="00584FB3" w:rsidRDefault="00786180">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40CB138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A0" w14:textId="77777777">
        <w:tc>
          <w:tcPr>
            <w:tcW w:w="0" w:type="auto"/>
            <w:gridSpan w:val="3"/>
            <w:shd w:val="clear" w:color="auto" w:fill="D7E4BC"/>
            <w:tcMar>
              <w:top w:w="40" w:type="dxa"/>
              <w:left w:w="20" w:type="dxa"/>
              <w:bottom w:w="40" w:type="dxa"/>
              <w:right w:w="20" w:type="dxa"/>
            </w:tcMar>
            <w:vAlign w:val="bottom"/>
          </w:tcPr>
          <w:p w14:paraId="40CB1391" w14:textId="77777777" w:rsidR="00584FB3" w:rsidRDefault="00786180">
            <w:pPr>
              <w:textAlignment w:val="bottom"/>
            </w:pPr>
            <w:r>
              <w:rPr>
                <w:rFonts w:ascii="Times New Roman" w:eastAsia="宋体" w:hAnsi="Times New Roman"/>
                <w:color w:val="000000"/>
                <w:sz w:val="20"/>
                <w:szCs w:val="20"/>
              </w:rPr>
              <w:t>March 2030 notes</w:t>
            </w:r>
          </w:p>
        </w:tc>
        <w:tc>
          <w:tcPr>
            <w:tcW w:w="0" w:type="auto"/>
            <w:gridSpan w:val="2"/>
            <w:shd w:val="clear" w:color="auto" w:fill="D7E4BC"/>
            <w:tcMar>
              <w:top w:w="40" w:type="dxa"/>
              <w:left w:w="20" w:type="dxa"/>
              <w:bottom w:w="40" w:type="dxa"/>
              <w:right w:w="0" w:type="dxa"/>
            </w:tcMar>
            <w:vAlign w:val="bottom"/>
          </w:tcPr>
          <w:p w14:paraId="40CB1392" w14:textId="77777777" w:rsidR="00584FB3" w:rsidRDefault="00786180">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40CB139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94" w14:textId="77777777" w:rsidR="00584FB3" w:rsidRDefault="00786180">
            <w:pPr>
              <w:jc w:val="right"/>
              <w:textAlignment w:val="bottom"/>
            </w:pPr>
            <w:r>
              <w:rPr>
                <w:rFonts w:ascii="Times New Roman" w:eastAsia="宋体" w:hAnsi="Times New Roman"/>
                <w:color w:val="000000"/>
                <w:sz w:val="20"/>
                <w:szCs w:val="20"/>
              </w:rPr>
              <w:t>791.6 </w:t>
            </w:r>
          </w:p>
        </w:tc>
        <w:tc>
          <w:tcPr>
            <w:tcW w:w="0" w:type="auto"/>
            <w:shd w:val="clear" w:color="auto" w:fill="D7E4BC"/>
            <w:tcMar>
              <w:top w:w="40" w:type="dxa"/>
              <w:left w:w="0" w:type="dxa"/>
              <w:bottom w:w="40" w:type="dxa"/>
              <w:right w:w="20" w:type="dxa"/>
            </w:tcMar>
            <w:vAlign w:val="bottom"/>
          </w:tcPr>
          <w:p w14:paraId="40CB139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9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97" w14:textId="77777777" w:rsidR="00584FB3" w:rsidRDefault="00786180">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40CB139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99" w14:textId="77777777" w:rsidR="00584FB3" w:rsidRDefault="00786180">
            <w:pPr>
              <w:jc w:val="right"/>
              <w:textAlignment w:val="bottom"/>
            </w:pPr>
            <w:r>
              <w:rPr>
                <w:rFonts w:ascii="Times New Roman" w:eastAsia="宋体" w:hAnsi="Times New Roman"/>
                <w:color w:val="000000"/>
                <w:sz w:val="20"/>
                <w:szCs w:val="20"/>
              </w:rPr>
              <w:t>778.0 </w:t>
            </w:r>
          </w:p>
        </w:tc>
        <w:tc>
          <w:tcPr>
            <w:tcW w:w="0" w:type="auto"/>
            <w:shd w:val="clear" w:color="auto" w:fill="D7E4BC"/>
            <w:tcMar>
              <w:top w:w="40" w:type="dxa"/>
              <w:left w:w="0" w:type="dxa"/>
              <w:bottom w:w="40" w:type="dxa"/>
              <w:right w:w="20" w:type="dxa"/>
            </w:tcMar>
            <w:vAlign w:val="bottom"/>
          </w:tcPr>
          <w:p w14:paraId="40CB139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9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9C" w14:textId="77777777" w:rsidR="00584FB3" w:rsidRDefault="00786180">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40CB139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9E" w14:textId="77777777" w:rsidR="00584FB3" w:rsidRDefault="00786180">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40CB139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B0" w14:textId="77777777">
        <w:tc>
          <w:tcPr>
            <w:tcW w:w="0" w:type="auto"/>
            <w:gridSpan w:val="3"/>
            <w:shd w:val="clear" w:color="auto" w:fill="FFFFFF"/>
            <w:tcMar>
              <w:top w:w="40" w:type="dxa"/>
              <w:left w:w="20" w:type="dxa"/>
              <w:bottom w:w="40" w:type="dxa"/>
              <w:right w:w="20" w:type="dxa"/>
            </w:tcMar>
            <w:vAlign w:val="bottom"/>
          </w:tcPr>
          <w:p w14:paraId="40CB13A1" w14:textId="77777777" w:rsidR="00584FB3" w:rsidRDefault="00786180">
            <w:pPr>
              <w:textAlignment w:val="bottom"/>
            </w:pPr>
            <w:r>
              <w:rPr>
                <w:rFonts w:ascii="Times New Roman" w:eastAsia="宋体" w:hAnsi="Times New Roman"/>
                <w:color w:val="000000"/>
                <w:sz w:val="20"/>
                <w:szCs w:val="20"/>
              </w:rPr>
              <w:t>November 2030 notes</w:t>
            </w:r>
          </w:p>
        </w:tc>
        <w:tc>
          <w:tcPr>
            <w:tcW w:w="0" w:type="auto"/>
            <w:gridSpan w:val="2"/>
            <w:shd w:val="clear" w:color="auto" w:fill="FFFFFF"/>
            <w:tcMar>
              <w:top w:w="40" w:type="dxa"/>
              <w:left w:w="20" w:type="dxa"/>
              <w:bottom w:w="40" w:type="dxa"/>
              <w:right w:w="0" w:type="dxa"/>
            </w:tcMar>
            <w:vAlign w:val="bottom"/>
          </w:tcPr>
          <w:p w14:paraId="40CB13A2" w14:textId="77777777" w:rsidR="00584FB3" w:rsidRDefault="00786180">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40CB13A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A4" w14:textId="77777777" w:rsidR="00584FB3" w:rsidRDefault="00786180">
            <w:pPr>
              <w:jc w:val="right"/>
              <w:textAlignment w:val="bottom"/>
            </w:pPr>
            <w:r>
              <w:rPr>
                <w:rFonts w:ascii="Times New Roman" w:eastAsia="宋体" w:hAnsi="Times New Roman"/>
                <w:color w:val="000000"/>
                <w:sz w:val="20"/>
                <w:szCs w:val="20"/>
              </w:rPr>
              <w:t>1,344.1 </w:t>
            </w:r>
          </w:p>
        </w:tc>
        <w:tc>
          <w:tcPr>
            <w:tcW w:w="0" w:type="auto"/>
            <w:shd w:val="clear" w:color="auto" w:fill="FFFFFF"/>
            <w:tcMar>
              <w:top w:w="40" w:type="dxa"/>
              <w:left w:w="0" w:type="dxa"/>
              <w:bottom w:w="40" w:type="dxa"/>
              <w:right w:w="20" w:type="dxa"/>
            </w:tcMar>
            <w:vAlign w:val="bottom"/>
          </w:tcPr>
          <w:p w14:paraId="40CB13A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A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A7" w14:textId="77777777" w:rsidR="00584FB3" w:rsidRDefault="00786180">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40CB13A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A9" w14:textId="77777777" w:rsidR="00584FB3" w:rsidRDefault="00786180">
            <w:pPr>
              <w:jc w:val="right"/>
              <w:textAlignment w:val="bottom"/>
            </w:pPr>
            <w:r>
              <w:rPr>
                <w:rFonts w:ascii="Times New Roman" w:eastAsia="宋体" w:hAnsi="Times New Roman"/>
                <w:color w:val="000000"/>
                <w:sz w:val="20"/>
                <w:szCs w:val="20"/>
              </w:rPr>
              <w:t>1,325.9 </w:t>
            </w:r>
          </w:p>
        </w:tc>
        <w:tc>
          <w:tcPr>
            <w:tcW w:w="0" w:type="auto"/>
            <w:shd w:val="clear" w:color="auto" w:fill="FFFFFF"/>
            <w:tcMar>
              <w:top w:w="40" w:type="dxa"/>
              <w:left w:w="0" w:type="dxa"/>
              <w:bottom w:w="40" w:type="dxa"/>
              <w:right w:w="20" w:type="dxa"/>
            </w:tcMar>
            <w:vAlign w:val="bottom"/>
          </w:tcPr>
          <w:p w14:paraId="40CB13A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A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AC" w14:textId="77777777" w:rsidR="00584FB3" w:rsidRDefault="00786180">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40CB13A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AE" w14:textId="77777777" w:rsidR="00584FB3" w:rsidRDefault="00786180">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40CB13A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C0" w14:textId="77777777">
        <w:tc>
          <w:tcPr>
            <w:tcW w:w="0" w:type="auto"/>
            <w:gridSpan w:val="3"/>
            <w:shd w:val="clear" w:color="auto" w:fill="D7E4BC"/>
            <w:tcMar>
              <w:top w:w="40" w:type="dxa"/>
              <w:left w:w="20" w:type="dxa"/>
              <w:bottom w:w="40" w:type="dxa"/>
              <w:right w:w="20" w:type="dxa"/>
            </w:tcMar>
            <w:vAlign w:val="bottom"/>
          </w:tcPr>
          <w:p w14:paraId="40CB13B1" w14:textId="77777777" w:rsidR="00584FB3" w:rsidRDefault="00786180">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40CB13B2" w14:textId="77777777" w:rsidR="00584FB3" w:rsidRDefault="00786180">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40CB13B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B4" w14:textId="77777777" w:rsidR="00584FB3" w:rsidRDefault="00786180">
            <w:pPr>
              <w:jc w:val="right"/>
              <w:textAlignment w:val="bottom"/>
            </w:pPr>
            <w:r>
              <w:rPr>
                <w:rFonts w:ascii="Times New Roman" w:eastAsia="宋体" w:hAnsi="Times New Roman"/>
                <w:color w:val="000000"/>
                <w:sz w:val="20"/>
                <w:szCs w:val="20"/>
              </w:rPr>
              <w:t>428.9 </w:t>
            </w:r>
          </w:p>
        </w:tc>
        <w:tc>
          <w:tcPr>
            <w:tcW w:w="0" w:type="auto"/>
            <w:shd w:val="clear" w:color="auto" w:fill="D7E4BC"/>
            <w:tcMar>
              <w:top w:w="40" w:type="dxa"/>
              <w:left w:w="0" w:type="dxa"/>
              <w:bottom w:w="40" w:type="dxa"/>
              <w:right w:w="20" w:type="dxa"/>
            </w:tcMar>
            <w:vAlign w:val="bottom"/>
          </w:tcPr>
          <w:p w14:paraId="40CB13B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B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B7" w14:textId="77777777" w:rsidR="00584FB3" w:rsidRDefault="00786180">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40CB13B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B9" w14:textId="77777777" w:rsidR="00584FB3" w:rsidRDefault="00786180">
            <w:pPr>
              <w:jc w:val="right"/>
              <w:textAlignment w:val="bottom"/>
            </w:pPr>
            <w:r>
              <w:rPr>
                <w:rFonts w:ascii="Times New Roman" w:eastAsia="宋体" w:hAnsi="Times New Roman"/>
                <w:color w:val="000000"/>
                <w:sz w:val="20"/>
                <w:szCs w:val="20"/>
              </w:rPr>
              <w:t>412.4 </w:t>
            </w:r>
          </w:p>
        </w:tc>
        <w:tc>
          <w:tcPr>
            <w:tcW w:w="0" w:type="auto"/>
            <w:shd w:val="clear" w:color="auto" w:fill="D7E4BC"/>
            <w:tcMar>
              <w:top w:w="40" w:type="dxa"/>
              <w:left w:w="0" w:type="dxa"/>
              <w:bottom w:w="40" w:type="dxa"/>
              <w:right w:w="20" w:type="dxa"/>
            </w:tcMar>
            <w:vAlign w:val="bottom"/>
          </w:tcPr>
          <w:p w14:paraId="40CB13B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B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BC" w14:textId="77777777" w:rsidR="00584FB3" w:rsidRDefault="00786180">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left w:w="0" w:type="dxa"/>
              <w:bottom w:w="40" w:type="dxa"/>
              <w:right w:w="20" w:type="dxa"/>
            </w:tcMar>
            <w:vAlign w:val="bottom"/>
          </w:tcPr>
          <w:p w14:paraId="40CB13B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BE" w14:textId="77777777" w:rsidR="00584FB3" w:rsidRDefault="00786180">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left w:w="0" w:type="dxa"/>
              <w:bottom w:w="40" w:type="dxa"/>
              <w:right w:w="20" w:type="dxa"/>
            </w:tcMar>
            <w:vAlign w:val="bottom"/>
          </w:tcPr>
          <w:p w14:paraId="40CB13B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D0" w14:textId="77777777">
        <w:tc>
          <w:tcPr>
            <w:tcW w:w="0" w:type="auto"/>
            <w:gridSpan w:val="3"/>
            <w:shd w:val="clear" w:color="auto" w:fill="FFFFFF"/>
            <w:tcMar>
              <w:top w:w="40" w:type="dxa"/>
              <w:left w:w="20" w:type="dxa"/>
              <w:bottom w:w="40" w:type="dxa"/>
              <w:right w:w="20" w:type="dxa"/>
            </w:tcMar>
            <w:vAlign w:val="bottom"/>
          </w:tcPr>
          <w:p w14:paraId="40CB13C1" w14:textId="77777777" w:rsidR="00584FB3" w:rsidRDefault="00786180">
            <w:pPr>
              <w:textAlignment w:val="bottom"/>
            </w:pPr>
            <w:r>
              <w:rPr>
                <w:rFonts w:ascii="Times New Roman" w:eastAsia="宋体" w:hAnsi="Times New Roman"/>
                <w:color w:val="000000"/>
                <w:sz w:val="20"/>
                <w:szCs w:val="20"/>
              </w:rPr>
              <w:t>December 2047 notes</w:t>
            </w:r>
          </w:p>
        </w:tc>
        <w:tc>
          <w:tcPr>
            <w:tcW w:w="0" w:type="auto"/>
            <w:gridSpan w:val="2"/>
            <w:shd w:val="clear" w:color="auto" w:fill="FFFFFF"/>
            <w:tcMar>
              <w:top w:w="40" w:type="dxa"/>
              <w:left w:w="20" w:type="dxa"/>
              <w:bottom w:w="40" w:type="dxa"/>
              <w:right w:w="0" w:type="dxa"/>
            </w:tcMar>
            <w:vAlign w:val="bottom"/>
          </w:tcPr>
          <w:p w14:paraId="40CB13C2"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3C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C4" w14:textId="77777777" w:rsidR="00584FB3" w:rsidRDefault="00786180">
            <w:pPr>
              <w:jc w:val="right"/>
              <w:textAlignment w:val="bottom"/>
            </w:pPr>
            <w:r>
              <w:rPr>
                <w:rFonts w:ascii="Times New Roman" w:eastAsia="宋体" w:hAnsi="Times New Roman"/>
                <w:color w:val="000000"/>
                <w:sz w:val="20"/>
                <w:szCs w:val="20"/>
              </w:rPr>
              <w:t>582.7 </w:t>
            </w:r>
          </w:p>
        </w:tc>
        <w:tc>
          <w:tcPr>
            <w:tcW w:w="0" w:type="auto"/>
            <w:shd w:val="clear" w:color="auto" w:fill="FFFFFF"/>
            <w:tcMar>
              <w:top w:w="40" w:type="dxa"/>
              <w:left w:w="0" w:type="dxa"/>
              <w:bottom w:w="40" w:type="dxa"/>
              <w:right w:w="20" w:type="dxa"/>
            </w:tcMar>
            <w:vAlign w:val="bottom"/>
          </w:tcPr>
          <w:p w14:paraId="40CB13C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C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C7"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40CB13C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C9" w14:textId="77777777" w:rsidR="00584FB3" w:rsidRDefault="00786180">
            <w:pPr>
              <w:jc w:val="right"/>
              <w:textAlignment w:val="bottom"/>
            </w:pPr>
            <w:r>
              <w:rPr>
                <w:rFonts w:ascii="Times New Roman" w:eastAsia="宋体" w:hAnsi="Times New Roman"/>
                <w:color w:val="000000"/>
                <w:sz w:val="20"/>
                <w:szCs w:val="20"/>
              </w:rPr>
              <w:t>546.6 </w:t>
            </w:r>
          </w:p>
        </w:tc>
        <w:tc>
          <w:tcPr>
            <w:tcW w:w="0" w:type="auto"/>
            <w:shd w:val="clear" w:color="auto" w:fill="FFFFFF"/>
            <w:tcMar>
              <w:top w:w="40" w:type="dxa"/>
              <w:left w:w="0" w:type="dxa"/>
              <w:bottom w:w="40" w:type="dxa"/>
              <w:right w:w="20" w:type="dxa"/>
            </w:tcMar>
            <w:vAlign w:val="bottom"/>
          </w:tcPr>
          <w:p w14:paraId="40CB13C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C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CC" w14:textId="77777777" w:rsidR="00584FB3" w:rsidRDefault="00786180">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40CB13C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CE" w14:textId="77777777" w:rsidR="00584FB3" w:rsidRDefault="00786180">
            <w:pPr>
              <w:jc w:val="right"/>
              <w:textAlignment w:val="bottom"/>
            </w:pPr>
            <w:r>
              <w:rPr>
                <w:rFonts w:ascii="Times New Roman" w:eastAsia="宋体" w:hAnsi="Times New Roman"/>
                <w:color w:val="000000"/>
                <w:sz w:val="20"/>
                <w:szCs w:val="20"/>
              </w:rPr>
              <w:t>3.765 </w:t>
            </w:r>
          </w:p>
        </w:tc>
        <w:tc>
          <w:tcPr>
            <w:tcW w:w="0" w:type="auto"/>
            <w:shd w:val="clear" w:color="auto" w:fill="FFFFFF"/>
            <w:tcMar>
              <w:top w:w="40" w:type="dxa"/>
              <w:left w:w="0" w:type="dxa"/>
              <w:bottom w:w="40" w:type="dxa"/>
              <w:right w:w="20" w:type="dxa"/>
            </w:tcMar>
            <w:vAlign w:val="bottom"/>
          </w:tcPr>
          <w:p w14:paraId="40CB13C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E0" w14:textId="77777777">
        <w:tc>
          <w:tcPr>
            <w:tcW w:w="0" w:type="auto"/>
            <w:gridSpan w:val="3"/>
            <w:shd w:val="clear" w:color="auto" w:fill="D7E4BC"/>
            <w:tcMar>
              <w:top w:w="40" w:type="dxa"/>
              <w:left w:w="20" w:type="dxa"/>
              <w:bottom w:w="40" w:type="dxa"/>
              <w:right w:w="20" w:type="dxa"/>
            </w:tcMar>
            <w:vAlign w:val="bottom"/>
          </w:tcPr>
          <w:p w14:paraId="40CB13D1" w14:textId="77777777" w:rsidR="00584FB3" w:rsidRDefault="00786180">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40CB13D2"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40CB13D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D4" w14:textId="77777777" w:rsidR="00584FB3" w:rsidRDefault="00786180">
            <w:pPr>
              <w:jc w:val="right"/>
              <w:textAlignment w:val="bottom"/>
            </w:pPr>
            <w:r>
              <w:rPr>
                <w:rFonts w:ascii="Times New Roman" w:eastAsia="宋体" w:hAnsi="Times New Roman"/>
                <w:color w:val="000000"/>
                <w:sz w:val="20"/>
                <w:szCs w:val="20"/>
              </w:rPr>
              <w:t>1,287.7 </w:t>
            </w:r>
          </w:p>
        </w:tc>
        <w:tc>
          <w:tcPr>
            <w:tcW w:w="0" w:type="auto"/>
            <w:shd w:val="clear" w:color="auto" w:fill="D7E4BC"/>
            <w:tcMar>
              <w:top w:w="40" w:type="dxa"/>
              <w:left w:w="0" w:type="dxa"/>
              <w:bottom w:w="40" w:type="dxa"/>
              <w:right w:w="20" w:type="dxa"/>
            </w:tcMar>
            <w:vAlign w:val="bottom"/>
          </w:tcPr>
          <w:p w14:paraId="40CB13D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D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D7"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40CB13D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D9" w14:textId="77777777" w:rsidR="00584FB3" w:rsidRDefault="00786180">
            <w:pPr>
              <w:jc w:val="right"/>
              <w:textAlignment w:val="bottom"/>
            </w:pPr>
            <w:r>
              <w:rPr>
                <w:rFonts w:ascii="Times New Roman" w:eastAsia="宋体" w:hAnsi="Times New Roman"/>
                <w:color w:val="000000"/>
                <w:sz w:val="20"/>
                <w:szCs w:val="20"/>
              </w:rPr>
              <w:t>1,222.8 </w:t>
            </w:r>
          </w:p>
        </w:tc>
        <w:tc>
          <w:tcPr>
            <w:tcW w:w="0" w:type="auto"/>
            <w:shd w:val="clear" w:color="auto" w:fill="D7E4BC"/>
            <w:tcMar>
              <w:top w:w="40" w:type="dxa"/>
              <w:left w:w="0" w:type="dxa"/>
              <w:bottom w:w="40" w:type="dxa"/>
              <w:right w:w="20" w:type="dxa"/>
            </w:tcMar>
            <w:vAlign w:val="bottom"/>
          </w:tcPr>
          <w:p w14:paraId="40CB13D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D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DC" w14:textId="77777777" w:rsidR="00584FB3" w:rsidRDefault="00786180">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left w:w="0" w:type="dxa"/>
              <w:bottom w:w="40" w:type="dxa"/>
              <w:right w:w="20" w:type="dxa"/>
            </w:tcMar>
            <w:vAlign w:val="bottom"/>
          </w:tcPr>
          <w:p w14:paraId="40CB13D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DE" w14:textId="77777777" w:rsidR="00584FB3" w:rsidRDefault="00786180">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left w:w="0" w:type="dxa"/>
              <w:bottom w:w="40" w:type="dxa"/>
              <w:right w:w="20" w:type="dxa"/>
            </w:tcMar>
            <w:vAlign w:val="bottom"/>
          </w:tcPr>
          <w:p w14:paraId="40CB13D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3F0" w14:textId="77777777">
        <w:tc>
          <w:tcPr>
            <w:tcW w:w="0" w:type="auto"/>
            <w:gridSpan w:val="3"/>
            <w:shd w:val="clear" w:color="auto" w:fill="FFFFFF"/>
            <w:tcMar>
              <w:top w:w="40" w:type="dxa"/>
              <w:left w:w="20" w:type="dxa"/>
              <w:bottom w:w="40" w:type="dxa"/>
              <w:right w:w="20" w:type="dxa"/>
            </w:tcMar>
            <w:vAlign w:val="bottom"/>
          </w:tcPr>
          <w:p w14:paraId="40CB13E1" w14:textId="77777777" w:rsidR="00584FB3" w:rsidRDefault="00786180">
            <w:pPr>
              <w:textAlignment w:val="bottom"/>
            </w:pPr>
            <w:r>
              <w:rPr>
                <w:rFonts w:ascii="Times New Roman" w:eastAsia="宋体" w:hAnsi="Times New Roman"/>
                <w:color w:val="000000"/>
                <w:sz w:val="20"/>
                <w:szCs w:val="20"/>
              </w:rPr>
              <w:t>August 2049 notes</w:t>
            </w:r>
          </w:p>
        </w:tc>
        <w:tc>
          <w:tcPr>
            <w:tcW w:w="0" w:type="auto"/>
            <w:gridSpan w:val="2"/>
            <w:shd w:val="clear" w:color="auto" w:fill="FFFFFF"/>
            <w:tcMar>
              <w:top w:w="40" w:type="dxa"/>
              <w:left w:w="20" w:type="dxa"/>
              <w:bottom w:w="40" w:type="dxa"/>
              <w:right w:w="0" w:type="dxa"/>
            </w:tcMar>
            <w:vAlign w:val="bottom"/>
          </w:tcPr>
          <w:p w14:paraId="40CB13E2"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40CB13E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E4" w14:textId="77777777" w:rsidR="00584FB3" w:rsidRDefault="00786180">
            <w:pPr>
              <w:jc w:val="right"/>
              <w:textAlignment w:val="bottom"/>
            </w:pPr>
            <w:r>
              <w:rPr>
                <w:rFonts w:ascii="Times New Roman" w:eastAsia="宋体" w:hAnsi="Times New Roman"/>
                <w:color w:val="000000"/>
                <w:sz w:val="20"/>
                <w:szCs w:val="20"/>
              </w:rPr>
              <w:t>1,288.6 </w:t>
            </w:r>
          </w:p>
        </w:tc>
        <w:tc>
          <w:tcPr>
            <w:tcW w:w="0" w:type="auto"/>
            <w:shd w:val="clear" w:color="auto" w:fill="FFFFFF"/>
            <w:tcMar>
              <w:top w:w="40" w:type="dxa"/>
              <w:left w:w="0" w:type="dxa"/>
              <w:bottom w:w="40" w:type="dxa"/>
              <w:right w:w="20" w:type="dxa"/>
            </w:tcMar>
            <w:vAlign w:val="bottom"/>
          </w:tcPr>
          <w:p w14:paraId="40CB13E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E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E7"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40CB13E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3E9" w14:textId="77777777" w:rsidR="00584FB3" w:rsidRDefault="00786180">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40CB13E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3E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3EC" w14:textId="77777777" w:rsidR="00584FB3" w:rsidRDefault="00786180">
            <w:pPr>
              <w:jc w:val="right"/>
              <w:textAlignment w:val="bottom"/>
            </w:pPr>
            <w:r>
              <w:rPr>
                <w:rFonts w:ascii="Times New Roman" w:eastAsia="宋体" w:hAnsi="Times New Roman"/>
                <w:color w:val="000000"/>
                <w:sz w:val="20"/>
                <w:szCs w:val="20"/>
              </w:rPr>
              <w:t>4.450 </w:t>
            </w:r>
          </w:p>
        </w:tc>
        <w:tc>
          <w:tcPr>
            <w:tcW w:w="0" w:type="auto"/>
            <w:shd w:val="clear" w:color="auto" w:fill="FFFFFF"/>
            <w:tcMar>
              <w:top w:w="40" w:type="dxa"/>
              <w:left w:w="0" w:type="dxa"/>
              <w:bottom w:w="40" w:type="dxa"/>
              <w:right w:w="20" w:type="dxa"/>
            </w:tcMar>
            <w:vAlign w:val="bottom"/>
          </w:tcPr>
          <w:p w14:paraId="40CB13E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3EE" w14:textId="77777777" w:rsidR="00584FB3" w:rsidRDefault="00786180">
            <w:pPr>
              <w:jc w:val="right"/>
              <w:textAlignment w:val="bottom"/>
            </w:pPr>
            <w:r>
              <w:rPr>
                <w:rFonts w:ascii="Times New Roman" w:eastAsia="宋体" w:hAnsi="Times New Roman"/>
                <w:color w:val="000000"/>
                <w:sz w:val="20"/>
                <w:szCs w:val="20"/>
              </w:rPr>
              <w:t>4.447 </w:t>
            </w:r>
          </w:p>
        </w:tc>
        <w:tc>
          <w:tcPr>
            <w:tcW w:w="0" w:type="auto"/>
            <w:shd w:val="clear" w:color="auto" w:fill="FFFFFF"/>
            <w:tcMar>
              <w:top w:w="40" w:type="dxa"/>
              <w:left w:w="0" w:type="dxa"/>
              <w:bottom w:w="40" w:type="dxa"/>
              <w:right w:w="20" w:type="dxa"/>
            </w:tcMar>
            <w:vAlign w:val="bottom"/>
          </w:tcPr>
          <w:p w14:paraId="40CB13E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400" w14:textId="77777777">
        <w:tc>
          <w:tcPr>
            <w:tcW w:w="0" w:type="auto"/>
            <w:gridSpan w:val="3"/>
            <w:shd w:val="clear" w:color="auto" w:fill="D7E4BC"/>
            <w:tcMar>
              <w:top w:w="40" w:type="dxa"/>
              <w:left w:w="20" w:type="dxa"/>
              <w:bottom w:w="40" w:type="dxa"/>
              <w:right w:w="20" w:type="dxa"/>
            </w:tcMar>
            <w:vAlign w:val="bottom"/>
          </w:tcPr>
          <w:p w14:paraId="40CB13F1" w14:textId="77777777" w:rsidR="00584FB3" w:rsidRDefault="00786180">
            <w:pPr>
              <w:textAlignment w:val="bottom"/>
            </w:pPr>
            <w:r>
              <w:rPr>
                <w:rFonts w:ascii="Times New Roman" w:eastAsia="宋体" w:hAnsi="Times New Roman"/>
                <w:color w:val="000000"/>
                <w:sz w:val="20"/>
                <w:szCs w:val="20"/>
              </w:rPr>
              <w:t>March 2050 notes</w:t>
            </w:r>
          </w:p>
        </w:tc>
        <w:tc>
          <w:tcPr>
            <w:tcW w:w="0" w:type="auto"/>
            <w:gridSpan w:val="2"/>
            <w:shd w:val="clear" w:color="auto" w:fill="D7E4BC"/>
            <w:tcMar>
              <w:top w:w="40" w:type="dxa"/>
              <w:left w:w="20" w:type="dxa"/>
              <w:bottom w:w="40" w:type="dxa"/>
              <w:right w:w="0" w:type="dxa"/>
            </w:tcMar>
            <w:vAlign w:val="bottom"/>
          </w:tcPr>
          <w:p w14:paraId="40CB13F2"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40CB13F3"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F4" w14:textId="77777777" w:rsidR="00584FB3" w:rsidRDefault="00786180">
            <w:pPr>
              <w:jc w:val="right"/>
              <w:textAlignment w:val="bottom"/>
            </w:pPr>
            <w:r>
              <w:rPr>
                <w:rFonts w:ascii="Times New Roman" w:eastAsia="宋体" w:hAnsi="Times New Roman"/>
                <w:color w:val="000000"/>
                <w:sz w:val="20"/>
                <w:szCs w:val="20"/>
              </w:rPr>
              <w:t>553.3 </w:t>
            </w:r>
          </w:p>
        </w:tc>
        <w:tc>
          <w:tcPr>
            <w:tcW w:w="0" w:type="auto"/>
            <w:shd w:val="clear" w:color="auto" w:fill="D7E4BC"/>
            <w:tcMar>
              <w:top w:w="40" w:type="dxa"/>
              <w:left w:w="0" w:type="dxa"/>
              <w:bottom w:w="40" w:type="dxa"/>
              <w:right w:w="20" w:type="dxa"/>
            </w:tcMar>
            <w:vAlign w:val="bottom"/>
          </w:tcPr>
          <w:p w14:paraId="40CB13F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F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F7" w14:textId="77777777" w:rsidR="00584FB3" w:rsidRDefault="00786180">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40CB13F8" w14:textId="77777777" w:rsidR="00584FB3" w:rsidRDefault="00584FB3">
            <w:pPr>
              <w:jc w:val="right"/>
              <w:rPr>
                <w:rFonts w:ascii="宋体"/>
              </w:rPr>
            </w:pPr>
          </w:p>
        </w:tc>
        <w:tc>
          <w:tcPr>
            <w:tcW w:w="0" w:type="auto"/>
            <w:gridSpan w:val="2"/>
            <w:shd w:val="clear" w:color="auto" w:fill="D7E4BC"/>
            <w:tcMar>
              <w:top w:w="40" w:type="dxa"/>
              <w:left w:w="20" w:type="dxa"/>
              <w:bottom w:w="40" w:type="dxa"/>
              <w:right w:w="0" w:type="dxa"/>
            </w:tcMar>
            <w:vAlign w:val="bottom"/>
          </w:tcPr>
          <w:p w14:paraId="40CB13F9" w14:textId="77777777" w:rsidR="00584FB3" w:rsidRDefault="00786180">
            <w:pPr>
              <w:jc w:val="right"/>
              <w:textAlignment w:val="bottom"/>
            </w:pPr>
            <w:r>
              <w:rPr>
                <w:rFonts w:ascii="Times New Roman" w:eastAsia="宋体" w:hAnsi="Times New Roman"/>
                <w:color w:val="000000"/>
                <w:sz w:val="20"/>
                <w:szCs w:val="20"/>
              </w:rPr>
              <w:t>517.1 </w:t>
            </w:r>
          </w:p>
        </w:tc>
        <w:tc>
          <w:tcPr>
            <w:tcW w:w="0" w:type="auto"/>
            <w:shd w:val="clear" w:color="auto" w:fill="D7E4BC"/>
            <w:tcMar>
              <w:top w:w="40" w:type="dxa"/>
              <w:left w:w="0" w:type="dxa"/>
              <w:bottom w:w="40" w:type="dxa"/>
              <w:right w:w="20" w:type="dxa"/>
            </w:tcMar>
            <w:vAlign w:val="bottom"/>
          </w:tcPr>
          <w:p w14:paraId="40CB13F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3F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3FC" w14:textId="77777777" w:rsidR="00584FB3" w:rsidRDefault="00786180">
            <w:pPr>
              <w:jc w:val="right"/>
              <w:textAlignment w:val="bottom"/>
            </w:pPr>
            <w:r>
              <w:rPr>
                <w:rFonts w:ascii="Times New Roman" w:eastAsia="宋体" w:hAnsi="Times New Roman"/>
                <w:color w:val="000000"/>
                <w:sz w:val="20"/>
                <w:szCs w:val="20"/>
              </w:rPr>
              <w:t>3.350 </w:t>
            </w:r>
          </w:p>
        </w:tc>
        <w:tc>
          <w:tcPr>
            <w:tcW w:w="0" w:type="auto"/>
            <w:shd w:val="clear" w:color="auto" w:fill="D7E4BC"/>
            <w:tcMar>
              <w:top w:w="40" w:type="dxa"/>
              <w:left w:w="0" w:type="dxa"/>
              <w:bottom w:w="40" w:type="dxa"/>
              <w:right w:w="20" w:type="dxa"/>
            </w:tcMar>
            <w:vAlign w:val="bottom"/>
          </w:tcPr>
          <w:p w14:paraId="40CB13F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0CB13FE" w14:textId="77777777" w:rsidR="00584FB3" w:rsidRDefault="00786180">
            <w:pPr>
              <w:jc w:val="right"/>
              <w:textAlignment w:val="bottom"/>
            </w:pPr>
            <w:r>
              <w:rPr>
                <w:rFonts w:ascii="Times New Roman" w:eastAsia="宋体" w:hAnsi="Times New Roman"/>
                <w:color w:val="000000"/>
                <w:sz w:val="20"/>
                <w:szCs w:val="20"/>
              </w:rPr>
              <w:t>3.362 </w:t>
            </w:r>
          </w:p>
        </w:tc>
        <w:tc>
          <w:tcPr>
            <w:tcW w:w="0" w:type="auto"/>
            <w:shd w:val="clear" w:color="auto" w:fill="D7E4BC"/>
            <w:tcMar>
              <w:top w:w="40" w:type="dxa"/>
              <w:left w:w="0" w:type="dxa"/>
              <w:bottom w:w="40" w:type="dxa"/>
              <w:right w:w="20" w:type="dxa"/>
            </w:tcMar>
            <w:vAlign w:val="bottom"/>
          </w:tcPr>
          <w:p w14:paraId="40CB13F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410" w14:textId="77777777">
        <w:tc>
          <w:tcPr>
            <w:tcW w:w="0" w:type="auto"/>
            <w:gridSpan w:val="3"/>
            <w:shd w:val="clear" w:color="auto" w:fill="FFFFFF"/>
            <w:tcMar>
              <w:top w:w="40" w:type="dxa"/>
              <w:left w:w="20" w:type="dxa"/>
              <w:bottom w:w="40" w:type="dxa"/>
              <w:right w:w="20" w:type="dxa"/>
            </w:tcMar>
            <w:vAlign w:val="bottom"/>
          </w:tcPr>
          <w:p w14:paraId="40CB1401" w14:textId="77777777" w:rsidR="00584FB3" w:rsidRDefault="00786180">
            <w:pPr>
              <w:textAlignment w:val="bottom"/>
            </w:pPr>
            <w:r>
              <w:rPr>
                <w:rFonts w:ascii="Times New Roman" w:eastAsia="宋体" w:hAnsi="Times New Roman"/>
                <w:color w:val="000000"/>
                <w:sz w:val="20"/>
                <w:szCs w:val="20"/>
              </w:rPr>
              <w:t>November 2050 notes</w:t>
            </w:r>
          </w:p>
        </w:tc>
        <w:tc>
          <w:tcPr>
            <w:tcW w:w="0" w:type="auto"/>
            <w:gridSpan w:val="2"/>
            <w:shd w:val="clear" w:color="auto" w:fill="FFFFFF"/>
            <w:tcMar>
              <w:top w:w="40" w:type="dxa"/>
              <w:left w:w="20" w:type="dxa"/>
              <w:bottom w:w="40" w:type="dxa"/>
              <w:right w:w="0" w:type="dxa"/>
            </w:tcMar>
            <w:vAlign w:val="bottom"/>
          </w:tcPr>
          <w:p w14:paraId="40CB1402" w14:textId="77777777" w:rsidR="00584FB3" w:rsidRDefault="00786180">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40CB1403"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404" w14:textId="77777777" w:rsidR="00584FB3" w:rsidRDefault="00786180">
            <w:pPr>
              <w:jc w:val="right"/>
              <w:textAlignment w:val="bottom"/>
            </w:pPr>
            <w:r>
              <w:rPr>
                <w:rFonts w:ascii="Times New Roman" w:eastAsia="宋体" w:hAnsi="Times New Roman"/>
                <w:color w:val="000000"/>
                <w:sz w:val="20"/>
                <w:szCs w:val="20"/>
              </w:rPr>
              <w:t>1,436.5 </w:t>
            </w:r>
          </w:p>
        </w:tc>
        <w:tc>
          <w:tcPr>
            <w:tcW w:w="0" w:type="auto"/>
            <w:shd w:val="clear" w:color="auto" w:fill="FFFFFF"/>
            <w:tcMar>
              <w:top w:w="40" w:type="dxa"/>
              <w:left w:w="0" w:type="dxa"/>
              <w:bottom w:w="40" w:type="dxa"/>
              <w:right w:w="20" w:type="dxa"/>
            </w:tcMar>
            <w:vAlign w:val="bottom"/>
          </w:tcPr>
          <w:p w14:paraId="40CB140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0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407" w14:textId="77777777" w:rsidR="00584FB3" w:rsidRDefault="00786180">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40CB1408" w14:textId="77777777" w:rsidR="00584FB3" w:rsidRDefault="00584FB3">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CB1409" w14:textId="77777777" w:rsidR="00584FB3" w:rsidRDefault="00786180">
            <w:pPr>
              <w:jc w:val="right"/>
              <w:textAlignment w:val="bottom"/>
            </w:pPr>
            <w:r>
              <w:rPr>
                <w:rFonts w:ascii="Times New Roman" w:eastAsia="宋体" w:hAnsi="Times New Roman"/>
                <w:color w:val="000000"/>
                <w:sz w:val="20"/>
                <w:szCs w:val="20"/>
              </w:rPr>
              <w:t>1,332.2 </w:t>
            </w:r>
          </w:p>
        </w:tc>
        <w:tc>
          <w:tcPr>
            <w:tcW w:w="0" w:type="auto"/>
            <w:shd w:val="clear" w:color="auto" w:fill="FFFFFF"/>
            <w:tcMar>
              <w:top w:w="40" w:type="dxa"/>
              <w:left w:w="0" w:type="dxa"/>
              <w:bottom w:w="40" w:type="dxa"/>
              <w:right w:w="20" w:type="dxa"/>
            </w:tcMar>
            <w:vAlign w:val="bottom"/>
          </w:tcPr>
          <w:p w14:paraId="40CB140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0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40C" w14:textId="77777777" w:rsidR="00584FB3" w:rsidRDefault="00786180">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40CB140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40CB140E" w14:textId="77777777" w:rsidR="00584FB3" w:rsidRDefault="00786180">
            <w:pPr>
              <w:jc w:val="right"/>
              <w:textAlignment w:val="bottom"/>
            </w:pPr>
            <w:r>
              <w:rPr>
                <w:rFonts w:ascii="Times New Roman" w:eastAsia="宋体" w:hAnsi="Times New Roman"/>
                <w:color w:val="000000"/>
                <w:sz w:val="20"/>
                <w:szCs w:val="20"/>
              </w:rPr>
              <w:t>3.528 </w:t>
            </w:r>
          </w:p>
        </w:tc>
        <w:tc>
          <w:tcPr>
            <w:tcW w:w="0" w:type="auto"/>
            <w:shd w:val="clear" w:color="auto" w:fill="FFFFFF"/>
            <w:tcMar>
              <w:top w:w="40" w:type="dxa"/>
              <w:left w:w="0" w:type="dxa"/>
              <w:bottom w:w="40" w:type="dxa"/>
              <w:right w:w="20" w:type="dxa"/>
            </w:tcMar>
            <w:vAlign w:val="bottom"/>
          </w:tcPr>
          <w:p w14:paraId="40CB140F" w14:textId="77777777" w:rsidR="00584FB3" w:rsidRDefault="00786180">
            <w:pPr>
              <w:jc w:val="right"/>
              <w:textAlignment w:val="bottom"/>
            </w:pPr>
            <w:r>
              <w:rPr>
                <w:rFonts w:ascii="Times New Roman" w:eastAsia="宋体" w:hAnsi="Times New Roman"/>
                <w:color w:val="000000"/>
                <w:sz w:val="20"/>
                <w:szCs w:val="20"/>
              </w:rPr>
              <w:t>%</w:t>
            </w:r>
          </w:p>
        </w:tc>
      </w:tr>
      <w:tr w:rsidR="00584FB3" w14:paraId="40CB141E" w14:textId="77777777">
        <w:tc>
          <w:tcPr>
            <w:tcW w:w="0" w:type="auto"/>
            <w:gridSpan w:val="3"/>
            <w:shd w:val="clear" w:color="auto" w:fill="D7E4BC"/>
            <w:tcMar>
              <w:top w:w="40" w:type="dxa"/>
              <w:left w:w="200" w:type="dxa"/>
              <w:bottom w:w="40" w:type="dxa"/>
              <w:right w:w="20" w:type="dxa"/>
            </w:tcMar>
            <w:vAlign w:val="bottom"/>
          </w:tcPr>
          <w:p w14:paraId="40CB1411" w14:textId="77777777" w:rsidR="00584FB3" w:rsidRDefault="00786180">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412" w14:textId="77777777" w:rsidR="00584FB3" w:rsidRDefault="00786180">
            <w:pPr>
              <w:jc w:val="right"/>
              <w:textAlignment w:val="bottom"/>
            </w:pPr>
            <w:r>
              <w:rPr>
                <w:rFonts w:ascii="Times New Roman" w:eastAsia="宋体" w:hAnsi="Times New Roman"/>
                <w:color w:val="000000"/>
                <w:sz w:val="20"/>
                <w:szCs w:val="20"/>
              </w:rPr>
              <w:t>15,520.1 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13" w14:textId="77777777" w:rsidR="00584FB3" w:rsidRDefault="00584FB3">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414" w14:textId="77777777" w:rsidR="00584FB3" w:rsidRDefault="00786180">
            <w:pPr>
              <w:jc w:val="right"/>
              <w:textAlignment w:val="bottom"/>
            </w:pPr>
            <w:r>
              <w:rPr>
                <w:rFonts w:ascii="Times New Roman" w:eastAsia="宋体" w:hAnsi="Times New Roman"/>
                <w:color w:val="000000"/>
                <w:sz w:val="20"/>
                <w:szCs w:val="20"/>
              </w:rPr>
              <w:t>17,408.7 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1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416"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417" w14:textId="77777777" w:rsidR="00584FB3" w:rsidRDefault="00786180">
            <w:pPr>
              <w:jc w:val="right"/>
              <w:textAlignment w:val="bottom"/>
            </w:pPr>
            <w:r>
              <w:rPr>
                <w:rFonts w:ascii="Times New Roman" w:eastAsia="宋体" w:hAnsi="Times New Roman"/>
                <w:color w:val="000000"/>
                <w:sz w:val="20"/>
                <w:szCs w:val="20"/>
              </w:rPr>
              <w:t>16,006.4 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18" w14:textId="77777777" w:rsidR="00584FB3" w:rsidRDefault="00584FB3">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419" w14:textId="77777777" w:rsidR="00584FB3" w:rsidRDefault="00786180">
            <w:pPr>
              <w:jc w:val="right"/>
              <w:textAlignment w:val="bottom"/>
            </w:pPr>
            <w:r>
              <w:rPr>
                <w:rFonts w:ascii="Times New Roman" w:eastAsia="宋体" w:hAnsi="Times New Roman"/>
                <w:color w:val="000000"/>
                <w:sz w:val="20"/>
                <w:szCs w:val="20"/>
              </w:rPr>
              <w:t>17,498.7 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1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41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41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41D" w14:textId="77777777" w:rsidR="00584FB3" w:rsidRDefault="00584FB3">
            <w:pPr>
              <w:rPr>
                <w:rFonts w:ascii="宋体"/>
              </w:rPr>
            </w:pPr>
          </w:p>
        </w:tc>
      </w:tr>
      <w:tr w:rsidR="00584FB3" w14:paraId="40CB142A" w14:textId="77777777">
        <w:tc>
          <w:tcPr>
            <w:tcW w:w="0" w:type="auto"/>
            <w:gridSpan w:val="3"/>
            <w:shd w:val="clear" w:color="auto" w:fill="FFFFFF"/>
            <w:tcMar>
              <w:top w:w="40" w:type="dxa"/>
              <w:left w:w="20" w:type="dxa"/>
              <w:bottom w:w="40" w:type="dxa"/>
              <w:right w:w="20" w:type="dxa"/>
            </w:tcMar>
            <w:vAlign w:val="bottom"/>
          </w:tcPr>
          <w:p w14:paraId="40CB141F" w14:textId="77777777" w:rsidR="00584FB3" w:rsidRDefault="00786180">
            <w:pPr>
              <w:textAlignment w:val="bottom"/>
            </w:pPr>
            <w:r>
              <w:rPr>
                <w:rFonts w:ascii="Times New Roman" w:eastAsia="宋体" w:hAnsi="Times New Roman"/>
                <w:color w:val="000000"/>
                <w:sz w:val="20"/>
                <w:szCs w:val="20"/>
              </w:rPr>
              <w:t>Aggregate debt issuance costs and unamortized premium/(discount)</w:t>
            </w:r>
            <w:r>
              <w:rPr>
                <w:rFonts w:ascii="Times New Roman" w:eastAsia="宋体" w:hAnsi="Times New Roman"/>
                <w:color w:val="000000"/>
                <w:sz w:val="20"/>
                <w:szCs w:val="20"/>
              </w:rPr>
              <w:t>, net</w:t>
            </w:r>
          </w:p>
        </w:tc>
        <w:tc>
          <w:tcPr>
            <w:tcW w:w="0" w:type="auto"/>
            <w:gridSpan w:val="2"/>
            <w:shd w:val="clear" w:color="auto" w:fill="FFFFFF"/>
            <w:tcMar>
              <w:top w:w="40" w:type="dxa"/>
              <w:left w:w="20" w:type="dxa"/>
              <w:bottom w:w="40" w:type="dxa"/>
              <w:right w:w="0" w:type="dxa"/>
            </w:tcMar>
            <w:vAlign w:val="bottom"/>
          </w:tcPr>
          <w:p w14:paraId="40CB1420" w14:textId="77777777" w:rsidR="00584FB3" w:rsidRDefault="00786180">
            <w:pPr>
              <w:jc w:val="right"/>
              <w:textAlignment w:val="bottom"/>
            </w:pPr>
            <w:r>
              <w:rPr>
                <w:rFonts w:ascii="Times New Roman" w:eastAsia="宋体" w:hAnsi="Times New Roman"/>
                <w:color w:val="000000"/>
                <w:sz w:val="20"/>
                <w:szCs w:val="20"/>
              </w:rPr>
              <w:t>(129.3)</w:t>
            </w:r>
          </w:p>
        </w:tc>
        <w:tc>
          <w:tcPr>
            <w:tcW w:w="0" w:type="auto"/>
            <w:shd w:val="clear" w:color="auto" w:fill="FFFFFF"/>
            <w:tcMar>
              <w:top w:w="40" w:type="dxa"/>
              <w:left w:w="0" w:type="dxa"/>
              <w:bottom w:w="40" w:type="dxa"/>
              <w:right w:w="20" w:type="dxa"/>
            </w:tcMar>
            <w:vAlign w:val="bottom"/>
          </w:tcPr>
          <w:p w14:paraId="40CB142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22"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2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424" w14:textId="77777777" w:rsidR="00584FB3" w:rsidRDefault="00786180">
            <w:pPr>
              <w:jc w:val="right"/>
              <w:textAlignment w:val="bottom"/>
            </w:pPr>
            <w:r>
              <w:rPr>
                <w:rFonts w:ascii="Times New Roman" w:eastAsia="宋体" w:hAnsi="Times New Roman"/>
                <w:color w:val="000000"/>
                <w:sz w:val="20"/>
                <w:szCs w:val="20"/>
              </w:rPr>
              <w:t>(132.5)</w:t>
            </w:r>
          </w:p>
        </w:tc>
        <w:tc>
          <w:tcPr>
            <w:tcW w:w="0" w:type="auto"/>
            <w:shd w:val="clear" w:color="auto" w:fill="FFFFFF"/>
            <w:tcMar>
              <w:top w:w="40" w:type="dxa"/>
              <w:left w:w="0" w:type="dxa"/>
              <w:bottom w:w="40" w:type="dxa"/>
              <w:right w:w="20" w:type="dxa"/>
            </w:tcMar>
            <w:vAlign w:val="bottom"/>
          </w:tcPr>
          <w:p w14:paraId="40CB142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2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27"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2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29" w14:textId="77777777" w:rsidR="00584FB3" w:rsidRDefault="00584FB3">
            <w:pPr>
              <w:rPr>
                <w:rFonts w:ascii="宋体"/>
              </w:rPr>
            </w:pPr>
          </w:p>
        </w:tc>
      </w:tr>
      <w:tr w:rsidR="00584FB3" w14:paraId="40CB1436" w14:textId="77777777">
        <w:tc>
          <w:tcPr>
            <w:tcW w:w="0" w:type="auto"/>
            <w:gridSpan w:val="3"/>
            <w:shd w:val="clear" w:color="auto" w:fill="D7E4BC"/>
            <w:tcMar>
              <w:top w:w="40" w:type="dxa"/>
              <w:left w:w="20" w:type="dxa"/>
              <w:bottom w:w="40" w:type="dxa"/>
              <w:right w:w="20" w:type="dxa"/>
            </w:tcMar>
            <w:vAlign w:val="bottom"/>
          </w:tcPr>
          <w:p w14:paraId="40CB142B" w14:textId="77777777" w:rsidR="00584FB3" w:rsidRDefault="00786180">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40CB142C" w14:textId="77777777" w:rsidR="00584FB3" w:rsidRDefault="00786180">
            <w:pPr>
              <w:jc w:val="right"/>
              <w:textAlignment w:val="bottom"/>
            </w:pPr>
            <w:r>
              <w:rPr>
                <w:rFonts w:ascii="Times New Roman" w:eastAsia="宋体" w:hAnsi="Times New Roman"/>
                <w:color w:val="000000"/>
                <w:sz w:val="20"/>
                <w:szCs w:val="20"/>
              </w:rPr>
              <w:t>32.7 </w:t>
            </w:r>
          </w:p>
        </w:tc>
        <w:tc>
          <w:tcPr>
            <w:tcW w:w="0" w:type="auto"/>
            <w:shd w:val="clear" w:color="auto" w:fill="D7E4BC"/>
            <w:tcMar>
              <w:top w:w="40" w:type="dxa"/>
              <w:left w:w="0" w:type="dxa"/>
              <w:bottom w:w="40" w:type="dxa"/>
              <w:right w:w="20" w:type="dxa"/>
            </w:tcMar>
            <w:vAlign w:val="bottom"/>
          </w:tcPr>
          <w:p w14:paraId="40CB142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42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42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430" w14:textId="77777777" w:rsidR="00584FB3" w:rsidRDefault="00786180">
            <w:pPr>
              <w:jc w:val="right"/>
              <w:textAlignment w:val="bottom"/>
            </w:pPr>
            <w:r>
              <w:rPr>
                <w:rFonts w:ascii="Times New Roman" w:eastAsia="宋体" w:hAnsi="Times New Roman"/>
                <w:color w:val="000000"/>
                <w:sz w:val="20"/>
                <w:szCs w:val="20"/>
              </w:rPr>
              <w:t>35.6 </w:t>
            </w:r>
          </w:p>
        </w:tc>
        <w:tc>
          <w:tcPr>
            <w:tcW w:w="0" w:type="auto"/>
            <w:shd w:val="clear" w:color="auto" w:fill="D7E4BC"/>
            <w:tcMar>
              <w:top w:w="40" w:type="dxa"/>
              <w:left w:w="0" w:type="dxa"/>
              <w:bottom w:w="40" w:type="dxa"/>
              <w:right w:w="20" w:type="dxa"/>
            </w:tcMar>
            <w:vAlign w:val="bottom"/>
          </w:tcPr>
          <w:p w14:paraId="40CB143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43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43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43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435" w14:textId="77777777" w:rsidR="00584FB3" w:rsidRDefault="00584FB3">
            <w:pPr>
              <w:rPr>
                <w:rFonts w:ascii="宋体"/>
              </w:rPr>
            </w:pPr>
          </w:p>
        </w:tc>
      </w:tr>
      <w:tr w:rsidR="00584FB3" w14:paraId="40CB1444" w14:textId="77777777">
        <w:tc>
          <w:tcPr>
            <w:tcW w:w="0" w:type="auto"/>
            <w:gridSpan w:val="3"/>
            <w:shd w:val="clear" w:color="auto" w:fill="FFFFFF"/>
            <w:tcMar>
              <w:top w:w="40" w:type="dxa"/>
              <w:left w:w="200" w:type="dxa"/>
              <w:bottom w:w="40" w:type="dxa"/>
              <w:right w:w="20" w:type="dxa"/>
            </w:tcMar>
            <w:vAlign w:val="bottom"/>
          </w:tcPr>
          <w:p w14:paraId="40CB1437" w14:textId="77777777" w:rsidR="00584FB3" w:rsidRDefault="00786180">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43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439" w14:textId="77777777" w:rsidR="00584FB3" w:rsidRDefault="00786180">
            <w:pPr>
              <w:jc w:val="right"/>
              <w:textAlignment w:val="bottom"/>
            </w:pPr>
            <w:r>
              <w:rPr>
                <w:rFonts w:ascii="Times New Roman" w:eastAsia="宋体" w:hAnsi="Times New Roman"/>
                <w:color w:val="000000"/>
                <w:sz w:val="20"/>
                <w:szCs w:val="20"/>
              </w:rPr>
              <w:t>15,423.5 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43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3B"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3C"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43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43E" w14:textId="77777777" w:rsidR="00584FB3" w:rsidRDefault="00786180">
            <w:pPr>
              <w:jc w:val="right"/>
              <w:textAlignment w:val="bottom"/>
            </w:pPr>
            <w:r>
              <w:rPr>
                <w:rFonts w:ascii="Times New Roman" w:eastAsia="宋体" w:hAnsi="Times New Roman"/>
                <w:color w:val="000000"/>
                <w:sz w:val="20"/>
                <w:szCs w:val="20"/>
              </w:rPr>
              <w:t>15,909.5 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43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4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41"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42"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43" w14:textId="77777777" w:rsidR="00584FB3" w:rsidRDefault="00584FB3">
            <w:pPr>
              <w:rPr>
                <w:rFonts w:ascii="宋体"/>
              </w:rPr>
            </w:pPr>
          </w:p>
        </w:tc>
      </w:tr>
    </w:tbl>
    <w:p w14:paraId="40CB1445" w14:textId="77777777" w:rsidR="00584FB3" w:rsidRDefault="00786180">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interest rate risk prior to the debt issuanc</w:t>
      </w:r>
      <w:r>
        <w:rPr>
          <w:rFonts w:ascii="Times New Roman" w:eastAsia="宋体" w:hAnsi="Times New Roman"/>
          <w:color w:val="000000"/>
          <w:sz w:val="20"/>
          <w:szCs w:val="20"/>
        </w:rPr>
        <w:t>e.</w:t>
      </w:r>
    </w:p>
    <w:p w14:paraId="40CB1446" w14:textId="77777777" w:rsidR="00584FB3" w:rsidRDefault="00786180">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November 2020 notes were repaid in the first quarter of fiscal 2021. </w:t>
      </w:r>
    </w:p>
    <w:p w14:paraId="40CB1447" w14:textId="77777777" w:rsidR="00584FB3" w:rsidRDefault="00786180">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93" w:anchor="i11706e4b673c41db9f2dcbdb897203bb_43"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Derivative Financial Instruments, for additional information on our interest rate swap designated as a fair value hedge.</w:t>
      </w:r>
    </w:p>
    <w:p w14:paraId="40CB1448" w14:textId="77777777" w:rsidR="00584FB3" w:rsidRDefault="00786180">
      <w:pPr>
        <w:jc w:val="center"/>
      </w:pPr>
      <w:r>
        <w:rPr>
          <w:rFonts w:ascii="Times New Roman" w:eastAsia="宋体" w:hAnsi="Times New Roman"/>
          <w:color w:val="000000"/>
          <w:sz w:val="20"/>
          <w:szCs w:val="20"/>
        </w:rPr>
        <w:t>19</w:t>
      </w:r>
    </w:p>
    <w:p w14:paraId="40CB1449" w14:textId="77777777" w:rsidR="00584FB3" w:rsidRDefault="00786180">
      <w:r>
        <w:pict w14:anchorId="40CB2A48">
          <v:rect id="_x0000_i1043" style="width:415.3pt;height:1.5pt" o:hralign="center" o:hrstd="t" o:hr="t" fillcolor="#a0a0a0" stroked="f"/>
        </w:pict>
      </w:r>
    </w:p>
    <w:p w14:paraId="40CB144A" w14:textId="77777777" w:rsidR="00584FB3" w:rsidRDefault="00786180">
      <w:hyperlink r:id="rId94" w:anchor="i11706e4b673c41db9f2dcbdb897203bb_7" w:history="1">
        <w:r>
          <w:rPr>
            <w:rStyle w:val="a5"/>
            <w:rFonts w:ascii="Times New Roman" w:eastAsia="宋体" w:hAnsi="Times New Roman"/>
            <w:sz w:val="20"/>
            <w:szCs w:val="20"/>
          </w:rPr>
          <w:t>Table of Contents</w:t>
        </w:r>
      </w:hyperlink>
    </w:p>
    <w:p w14:paraId="40CB144B" w14:textId="77777777" w:rsidR="00584FB3" w:rsidRDefault="00786180">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Japanese yen-denominated long-term debt.</w:t>
      </w:r>
    </w:p>
    <w:p w14:paraId="40CB144C" w14:textId="77777777" w:rsidR="00584FB3" w:rsidRDefault="00786180">
      <w:pPr>
        <w:spacing w:before="120"/>
      </w:pPr>
      <w:r>
        <w:rPr>
          <w:rFonts w:ascii="Times New Roman" w:eastAsia="宋体" w:hAnsi="Times New Roman"/>
          <w:color w:val="000000"/>
          <w:sz w:val="20"/>
          <w:szCs w:val="20"/>
        </w:rPr>
        <w:t>The following table summarizes our long-t</w:t>
      </w:r>
      <w:r>
        <w:rPr>
          <w:rFonts w:ascii="Times New Roman" w:eastAsia="宋体" w:hAnsi="Times New Roman"/>
          <w:color w:val="000000"/>
          <w:sz w:val="20"/>
          <w:szCs w:val="20"/>
        </w:rPr>
        <w:t>erm debt maturities as of December 27, 2020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862"/>
        <w:gridCol w:w="36"/>
        <w:gridCol w:w="120"/>
        <w:gridCol w:w="1230"/>
        <w:gridCol w:w="36"/>
      </w:tblGrid>
      <w:tr w:rsidR="00584FB3" w14:paraId="40CB1453" w14:textId="77777777">
        <w:trPr>
          <w:jc w:val="center"/>
        </w:trPr>
        <w:tc>
          <w:tcPr>
            <w:tcW w:w="50" w:type="pct"/>
            <w:shd w:val="clear" w:color="auto" w:fill="auto"/>
          </w:tcPr>
          <w:p w14:paraId="40CB144D" w14:textId="77777777" w:rsidR="00584FB3" w:rsidRDefault="00584FB3">
            <w:pPr>
              <w:rPr>
                <w:rFonts w:ascii="宋体"/>
              </w:rPr>
            </w:pPr>
          </w:p>
        </w:tc>
        <w:tc>
          <w:tcPr>
            <w:tcW w:w="4133" w:type="pct"/>
            <w:shd w:val="clear" w:color="auto" w:fill="auto"/>
          </w:tcPr>
          <w:p w14:paraId="40CB144E" w14:textId="77777777" w:rsidR="00584FB3" w:rsidRDefault="00584FB3">
            <w:pPr>
              <w:rPr>
                <w:rFonts w:ascii="宋体"/>
              </w:rPr>
            </w:pPr>
          </w:p>
        </w:tc>
        <w:tc>
          <w:tcPr>
            <w:tcW w:w="5" w:type="pct"/>
            <w:shd w:val="clear" w:color="auto" w:fill="auto"/>
          </w:tcPr>
          <w:p w14:paraId="40CB144F" w14:textId="77777777" w:rsidR="00584FB3" w:rsidRDefault="00584FB3">
            <w:pPr>
              <w:rPr>
                <w:rFonts w:ascii="宋体"/>
              </w:rPr>
            </w:pPr>
          </w:p>
        </w:tc>
        <w:tc>
          <w:tcPr>
            <w:tcW w:w="50" w:type="pct"/>
            <w:shd w:val="clear" w:color="auto" w:fill="auto"/>
          </w:tcPr>
          <w:p w14:paraId="40CB1450" w14:textId="77777777" w:rsidR="00584FB3" w:rsidRDefault="00584FB3">
            <w:pPr>
              <w:rPr>
                <w:rFonts w:ascii="宋体"/>
              </w:rPr>
            </w:pPr>
          </w:p>
        </w:tc>
        <w:tc>
          <w:tcPr>
            <w:tcW w:w="756" w:type="pct"/>
            <w:shd w:val="clear" w:color="auto" w:fill="auto"/>
          </w:tcPr>
          <w:p w14:paraId="40CB1451" w14:textId="77777777" w:rsidR="00584FB3" w:rsidRDefault="00584FB3">
            <w:pPr>
              <w:rPr>
                <w:rFonts w:ascii="宋体"/>
              </w:rPr>
            </w:pPr>
          </w:p>
        </w:tc>
        <w:tc>
          <w:tcPr>
            <w:tcW w:w="5" w:type="pct"/>
            <w:shd w:val="clear" w:color="auto" w:fill="auto"/>
          </w:tcPr>
          <w:p w14:paraId="40CB1452" w14:textId="77777777" w:rsidR="00584FB3" w:rsidRDefault="00584FB3">
            <w:pPr>
              <w:rPr>
                <w:rFonts w:ascii="宋体"/>
              </w:rPr>
            </w:pPr>
          </w:p>
        </w:tc>
      </w:tr>
      <w:tr w:rsidR="00584FB3" w14:paraId="40CB1456" w14:textId="77777777">
        <w:trPr>
          <w:jc w:val="center"/>
        </w:trPr>
        <w:tc>
          <w:tcPr>
            <w:tcW w:w="0" w:type="auto"/>
            <w:gridSpan w:val="3"/>
            <w:shd w:val="clear" w:color="auto" w:fill="auto"/>
            <w:tcMar>
              <w:top w:w="40" w:type="dxa"/>
              <w:left w:w="20" w:type="dxa"/>
              <w:bottom w:w="40" w:type="dxa"/>
              <w:right w:w="20" w:type="dxa"/>
            </w:tcMar>
            <w:vAlign w:val="bottom"/>
          </w:tcPr>
          <w:p w14:paraId="40CB1454" w14:textId="77777777" w:rsidR="00584FB3" w:rsidRDefault="00786180">
            <w:pPr>
              <w:textAlignment w:val="bottom"/>
            </w:pPr>
            <w:r>
              <w:rPr>
                <w:rFonts w:ascii="Times New Roman" w:eastAsia="宋体" w:hAnsi="Times New Roman"/>
                <w:b/>
                <w:bCs/>
                <w:color w:val="000000"/>
                <w:sz w:val="16"/>
                <w:szCs w:val="16"/>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40CB1455"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1459" w14:textId="77777777">
        <w:trPr>
          <w:jc w:val="center"/>
          <w:hidden/>
        </w:trPr>
        <w:tc>
          <w:tcPr>
            <w:tcW w:w="0" w:type="auto"/>
            <w:gridSpan w:val="3"/>
            <w:shd w:val="clear" w:color="auto" w:fill="auto"/>
          </w:tcPr>
          <w:p w14:paraId="40CB1457" w14:textId="77777777" w:rsidR="00584FB3" w:rsidRDefault="00584FB3">
            <w:pPr>
              <w:rPr>
                <w:rFonts w:ascii="宋体"/>
                <w:vanish/>
              </w:rPr>
            </w:pPr>
          </w:p>
        </w:tc>
        <w:tc>
          <w:tcPr>
            <w:tcW w:w="0" w:type="auto"/>
            <w:gridSpan w:val="3"/>
            <w:shd w:val="clear" w:color="auto" w:fill="auto"/>
          </w:tcPr>
          <w:p w14:paraId="40CB1458" w14:textId="77777777" w:rsidR="00584FB3" w:rsidRDefault="00584FB3">
            <w:pPr>
              <w:rPr>
                <w:rFonts w:ascii="宋体"/>
                <w:vanish/>
              </w:rPr>
            </w:pPr>
          </w:p>
        </w:tc>
      </w:tr>
      <w:tr w:rsidR="00584FB3" w14:paraId="40CB145E" w14:textId="77777777">
        <w:trPr>
          <w:jc w:val="center"/>
        </w:trPr>
        <w:tc>
          <w:tcPr>
            <w:tcW w:w="0" w:type="auto"/>
            <w:gridSpan w:val="3"/>
            <w:shd w:val="clear" w:color="auto" w:fill="D7E4BC"/>
            <w:tcMar>
              <w:top w:w="40" w:type="dxa"/>
              <w:left w:w="20" w:type="dxa"/>
              <w:bottom w:w="40" w:type="dxa"/>
              <w:right w:w="20" w:type="dxa"/>
            </w:tcMar>
            <w:vAlign w:val="bottom"/>
          </w:tcPr>
          <w:p w14:paraId="40CB145A" w14:textId="77777777" w:rsidR="00584FB3" w:rsidRDefault="00786180">
            <w:pPr>
              <w:textAlignment w:val="bottom"/>
            </w:pPr>
            <w:r>
              <w:rPr>
                <w:rFonts w:ascii="Times New Roman" w:eastAsia="宋体" w:hAnsi="Times New Roman"/>
                <w:color w:val="000000"/>
                <w:sz w:val="20"/>
                <w:szCs w:val="20"/>
              </w:rPr>
              <w:t xml:space="preserve">2021 </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45B"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45C" w14:textId="77777777" w:rsidR="00584FB3" w:rsidRDefault="00786180">
            <w:pPr>
              <w:jc w:val="right"/>
              <w:textAlignment w:val="bottom"/>
            </w:pPr>
            <w:r>
              <w:rPr>
                <w:rFonts w:ascii="Times New Roman" w:eastAsia="宋体" w:hAnsi="Times New Roman"/>
                <w:color w:val="000000"/>
                <w:sz w:val="20"/>
                <w:szCs w:val="20"/>
              </w:rPr>
              <w:t>750.0 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5D" w14:textId="77777777" w:rsidR="00584FB3" w:rsidRDefault="00584FB3">
            <w:pPr>
              <w:jc w:val="right"/>
              <w:rPr>
                <w:rFonts w:ascii="宋体"/>
              </w:rPr>
            </w:pPr>
          </w:p>
        </w:tc>
      </w:tr>
      <w:tr w:rsidR="00584FB3" w14:paraId="40CB1462" w14:textId="77777777">
        <w:trPr>
          <w:jc w:val="center"/>
        </w:trPr>
        <w:tc>
          <w:tcPr>
            <w:tcW w:w="0" w:type="auto"/>
            <w:gridSpan w:val="3"/>
            <w:shd w:val="clear" w:color="auto" w:fill="FFFFFF"/>
            <w:tcMar>
              <w:top w:w="40" w:type="dxa"/>
              <w:left w:w="20" w:type="dxa"/>
              <w:bottom w:w="40" w:type="dxa"/>
              <w:right w:w="20" w:type="dxa"/>
            </w:tcMar>
            <w:vAlign w:val="bottom"/>
          </w:tcPr>
          <w:p w14:paraId="40CB145F" w14:textId="77777777" w:rsidR="00584FB3" w:rsidRDefault="00786180">
            <w:pPr>
              <w:textAlignment w:val="bottom"/>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40CB1460"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40CB1461" w14:textId="77777777" w:rsidR="00584FB3" w:rsidRDefault="00584FB3">
            <w:pPr>
              <w:jc w:val="right"/>
              <w:rPr>
                <w:rFonts w:ascii="宋体"/>
              </w:rPr>
            </w:pPr>
          </w:p>
        </w:tc>
      </w:tr>
      <w:tr w:rsidR="00584FB3" w14:paraId="40CB1466" w14:textId="77777777">
        <w:trPr>
          <w:jc w:val="center"/>
        </w:trPr>
        <w:tc>
          <w:tcPr>
            <w:tcW w:w="0" w:type="auto"/>
            <w:gridSpan w:val="3"/>
            <w:shd w:val="clear" w:color="auto" w:fill="D7E4BC"/>
            <w:tcMar>
              <w:top w:w="40" w:type="dxa"/>
              <w:left w:w="20" w:type="dxa"/>
              <w:bottom w:w="40" w:type="dxa"/>
              <w:right w:w="20" w:type="dxa"/>
            </w:tcMar>
            <w:vAlign w:val="bottom"/>
          </w:tcPr>
          <w:p w14:paraId="40CB1463" w14:textId="77777777" w:rsidR="00584FB3" w:rsidRDefault="00786180">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40CB1464" w14:textId="77777777" w:rsidR="00584FB3" w:rsidRDefault="00786180">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40CB1465" w14:textId="77777777" w:rsidR="00584FB3" w:rsidRDefault="00584FB3">
            <w:pPr>
              <w:jc w:val="right"/>
              <w:rPr>
                <w:rFonts w:ascii="宋体"/>
              </w:rPr>
            </w:pPr>
          </w:p>
        </w:tc>
      </w:tr>
      <w:tr w:rsidR="00584FB3" w14:paraId="40CB146A" w14:textId="77777777">
        <w:trPr>
          <w:jc w:val="center"/>
        </w:trPr>
        <w:tc>
          <w:tcPr>
            <w:tcW w:w="0" w:type="auto"/>
            <w:gridSpan w:val="3"/>
            <w:shd w:val="clear" w:color="auto" w:fill="FFFFFF"/>
            <w:tcMar>
              <w:top w:w="40" w:type="dxa"/>
              <w:left w:w="20" w:type="dxa"/>
              <w:bottom w:w="40" w:type="dxa"/>
              <w:right w:w="20" w:type="dxa"/>
            </w:tcMar>
            <w:vAlign w:val="bottom"/>
          </w:tcPr>
          <w:p w14:paraId="40CB1467" w14:textId="77777777" w:rsidR="00584FB3" w:rsidRDefault="00786180">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40CB1468" w14:textId="77777777" w:rsidR="00584FB3" w:rsidRDefault="00786180">
            <w:pPr>
              <w:jc w:val="right"/>
              <w:textAlignment w:val="bottom"/>
            </w:pPr>
            <w:r>
              <w:rPr>
                <w:rFonts w:ascii="Times New Roman" w:eastAsia="宋体" w:hAnsi="Times New Roman"/>
                <w:color w:val="000000"/>
                <w:sz w:val="20"/>
                <w:szCs w:val="20"/>
              </w:rPr>
              <w:t>1,570.1 </w:t>
            </w:r>
          </w:p>
        </w:tc>
        <w:tc>
          <w:tcPr>
            <w:tcW w:w="0" w:type="auto"/>
            <w:shd w:val="clear" w:color="auto" w:fill="FFFFFF"/>
            <w:tcMar>
              <w:top w:w="40" w:type="dxa"/>
              <w:left w:w="0" w:type="dxa"/>
              <w:bottom w:w="40" w:type="dxa"/>
              <w:right w:w="20" w:type="dxa"/>
            </w:tcMar>
            <w:vAlign w:val="bottom"/>
          </w:tcPr>
          <w:p w14:paraId="40CB1469" w14:textId="77777777" w:rsidR="00584FB3" w:rsidRDefault="00584FB3">
            <w:pPr>
              <w:jc w:val="right"/>
              <w:rPr>
                <w:rFonts w:ascii="宋体"/>
              </w:rPr>
            </w:pPr>
          </w:p>
        </w:tc>
      </w:tr>
      <w:tr w:rsidR="00584FB3" w14:paraId="40CB146E" w14:textId="77777777">
        <w:trPr>
          <w:jc w:val="center"/>
        </w:trPr>
        <w:tc>
          <w:tcPr>
            <w:tcW w:w="0" w:type="auto"/>
            <w:gridSpan w:val="3"/>
            <w:shd w:val="clear" w:color="auto" w:fill="D7E4BC"/>
            <w:tcMar>
              <w:top w:w="40" w:type="dxa"/>
              <w:left w:w="20" w:type="dxa"/>
              <w:bottom w:w="40" w:type="dxa"/>
              <w:right w:w="20" w:type="dxa"/>
            </w:tcMar>
            <w:vAlign w:val="bottom"/>
          </w:tcPr>
          <w:p w14:paraId="40CB146B" w14:textId="77777777" w:rsidR="00584FB3" w:rsidRDefault="00786180">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40CB146C" w14:textId="77777777" w:rsidR="00584FB3" w:rsidRDefault="00786180">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40CB146D" w14:textId="77777777" w:rsidR="00584FB3" w:rsidRDefault="00584FB3">
            <w:pPr>
              <w:jc w:val="right"/>
              <w:rPr>
                <w:rFonts w:ascii="宋体"/>
              </w:rPr>
            </w:pPr>
          </w:p>
        </w:tc>
      </w:tr>
      <w:tr w:rsidR="00584FB3" w14:paraId="40CB1472" w14:textId="77777777">
        <w:trPr>
          <w:jc w:val="center"/>
        </w:trPr>
        <w:tc>
          <w:tcPr>
            <w:tcW w:w="0" w:type="auto"/>
            <w:gridSpan w:val="3"/>
            <w:shd w:val="clear" w:color="auto" w:fill="FFFFFF"/>
            <w:tcMar>
              <w:top w:w="40" w:type="dxa"/>
              <w:left w:w="20" w:type="dxa"/>
              <w:bottom w:w="40" w:type="dxa"/>
              <w:right w:w="20" w:type="dxa"/>
            </w:tcMar>
            <w:vAlign w:val="bottom"/>
          </w:tcPr>
          <w:p w14:paraId="40CB146F" w14:textId="77777777" w:rsidR="00584FB3" w:rsidRDefault="00786180">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0CB1470" w14:textId="77777777" w:rsidR="00584FB3" w:rsidRDefault="00786180">
            <w:pPr>
              <w:jc w:val="right"/>
              <w:textAlignment w:val="bottom"/>
            </w:pPr>
            <w:r>
              <w:rPr>
                <w:rFonts w:ascii="Times New Roman" w:eastAsia="宋体" w:hAnsi="Times New Roman"/>
                <w:color w:val="000000"/>
                <w:sz w:val="20"/>
                <w:szCs w:val="20"/>
              </w:rPr>
              <w:t>9,950.0 </w:t>
            </w:r>
          </w:p>
        </w:tc>
        <w:tc>
          <w:tcPr>
            <w:tcW w:w="0" w:type="auto"/>
            <w:shd w:val="clear" w:color="auto" w:fill="FFFFFF"/>
            <w:tcMar>
              <w:top w:w="40" w:type="dxa"/>
              <w:left w:w="0" w:type="dxa"/>
              <w:bottom w:w="40" w:type="dxa"/>
              <w:right w:w="20" w:type="dxa"/>
            </w:tcMar>
            <w:vAlign w:val="bottom"/>
          </w:tcPr>
          <w:p w14:paraId="40CB1471" w14:textId="77777777" w:rsidR="00584FB3" w:rsidRDefault="00584FB3">
            <w:pPr>
              <w:jc w:val="right"/>
              <w:rPr>
                <w:rFonts w:ascii="宋体"/>
              </w:rPr>
            </w:pPr>
          </w:p>
        </w:tc>
      </w:tr>
      <w:tr w:rsidR="00584FB3" w14:paraId="40CB1477" w14:textId="77777777">
        <w:trPr>
          <w:jc w:val="center"/>
        </w:trPr>
        <w:tc>
          <w:tcPr>
            <w:tcW w:w="0" w:type="auto"/>
            <w:gridSpan w:val="3"/>
            <w:shd w:val="clear" w:color="auto" w:fill="D7E4BC"/>
            <w:tcMar>
              <w:top w:w="40" w:type="dxa"/>
              <w:left w:w="35" w:type="dxa"/>
              <w:bottom w:w="40" w:type="dxa"/>
              <w:right w:w="20" w:type="dxa"/>
            </w:tcMar>
          </w:tcPr>
          <w:p w14:paraId="40CB1473" w14:textId="77777777" w:rsidR="00584FB3" w:rsidRDefault="0078618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474"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475" w14:textId="77777777" w:rsidR="00584FB3" w:rsidRDefault="00786180">
            <w:pPr>
              <w:jc w:val="right"/>
              <w:textAlignment w:val="bottom"/>
            </w:pPr>
            <w:r>
              <w:rPr>
                <w:rFonts w:ascii="Times New Roman" w:eastAsia="宋体" w:hAnsi="Times New Roman"/>
                <w:color w:val="000000"/>
                <w:sz w:val="20"/>
                <w:szCs w:val="20"/>
              </w:rPr>
              <w:t>15,520.1 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476" w14:textId="77777777" w:rsidR="00584FB3" w:rsidRDefault="00584FB3">
            <w:pPr>
              <w:jc w:val="right"/>
              <w:rPr>
                <w:rFonts w:ascii="宋体"/>
              </w:rPr>
            </w:pPr>
          </w:p>
        </w:tc>
      </w:tr>
    </w:tbl>
    <w:p w14:paraId="40CB1478" w14:textId="77777777" w:rsidR="00584FB3" w:rsidRDefault="00584FB3">
      <w:pPr>
        <w:spacing w:before="120"/>
        <w:jc w:val="center"/>
      </w:pPr>
    </w:p>
    <w:p w14:paraId="40CB1479" w14:textId="77777777" w:rsidR="00584FB3" w:rsidRDefault="00786180">
      <w:pPr>
        <w:spacing w:before="120"/>
      </w:pPr>
      <w:r>
        <w:rPr>
          <w:rFonts w:ascii="Times New Roman" w:eastAsia="宋体" w:hAnsi="Times New Roman"/>
          <w:b/>
          <w:bCs/>
          <w:color w:val="000000"/>
          <w:sz w:val="20"/>
          <w:szCs w:val="20"/>
        </w:rPr>
        <w:t>Note 8: Leases</w:t>
      </w:r>
    </w:p>
    <w:p w14:paraId="40CB147A" w14:textId="77777777" w:rsidR="00584FB3" w:rsidRDefault="00786180">
      <w:pPr>
        <w:spacing w:before="120"/>
      </w:pPr>
      <w:r>
        <w:rPr>
          <w:rFonts w:ascii="Times New Roman" w:eastAsia="宋体" w:hAnsi="Times New Roman"/>
          <w:color w:val="000000"/>
          <w:sz w:val="20"/>
          <w:szCs w:val="20"/>
        </w:rPr>
        <w:t xml:space="preserve">For the </w:t>
      </w:r>
      <w:r>
        <w:rPr>
          <w:rFonts w:ascii="Times New Roman" w:eastAsia="宋体" w:hAnsi="Times New Roman"/>
          <w:color w:val="000000"/>
          <w:sz w:val="20"/>
          <w:szCs w:val="20"/>
        </w:rPr>
        <w:t>quarter ended December 27, 2020, we recognized accelerated lease right-of-use ("ROU") asset amortization costs of $29.6 million, which was recognized within restructuring and impairments on the consolidated statements of earnings.</w:t>
      </w:r>
    </w:p>
    <w:p w14:paraId="40CB147B" w14:textId="77777777" w:rsidR="00584FB3" w:rsidRDefault="00786180">
      <w:pPr>
        <w:spacing w:before="120"/>
      </w:pPr>
      <w:r>
        <w:rPr>
          <w:rFonts w:ascii="Times New Roman" w:eastAsia="宋体" w:hAnsi="Times New Roman"/>
          <w:color w:val="000000"/>
          <w:sz w:val="20"/>
          <w:szCs w:val="20"/>
        </w:rPr>
        <w:t>The components of lease c</w:t>
      </w:r>
      <w:r>
        <w:rPr>
          <w:rFonts w:ascii="Times New Roman" w:eastAsia="宋体" w:hAnsi="Times New Roman"/>
          <w:color w:val="000000"/>
          <w:sz w:val="20"/>
          <w:szCs w:val="20"/>
        </w:rPr>
        <w:t xml:space="preserve">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89"/>
        <w:gridCol w:w="37"/>
        <w:gridCol w:w="120"/>
        <w:gridCol w:w="1207"/>
        <w:gridCol w:w="36"/>
        <w:gridCol w:w="36"/>
        <w:gridCol w:w="36"/>
        <w:gridCol w:w="36"/>
        <w:gridCol w:w="120"/>
        <w:gridCol w:w="1171"/>
        <w:gridCol w:w="36"/>
        <w:gridCol w:w="36"/>
        <w:gridCol w:w="36"/>
      </w:tblGrid>
      <w:tr w:rsidR="00584FB3" w14:paraId="40CB148A" w14:textId="77777777">
        <w:trPr>
          <w:jc w:val="center"/>
        </w:trPr>
        <w:tc>
          <w:tcPr>
            <w:tcW w:w="50" w:type="pct"/>
            <w:shd w:val="clear" w:color="auto" w:fill="auto"/>
          </w:tcPr>
          <w:p w14:paraId="40CB147C" w14:textId="77777777" w:rsidR="00584FB3" w:rsidRDefault="00584FB3">
            <w:pPr>
              <w:rPr>
                <w:rFonts w:ascii="宋体"/>
              </w:rPr>
            </w:pPr>
          </w:p>
        </w:tc>
        <w:tc>
          <w:tcPr>
            <w:tcW w:w="3285" w:type="pct"/>
            <w:shd w:val="clear" w:color="auto" w:fill="auto"/>
          </w:tcPr>
          <w:p w14:paraId="40CB147D" w14:textId="77777777" w:rsidR="00584FB3" w:rsidRDefault="00584FB3">
            <w:pPr>
              <w:rPr>
                <w:rFonts w:ascii="宋体"/>
              </w:rPr>
            </w:pPr>
          </w:p>
        </w:tc>
        <w:tc>
          <w:tcPr>
            <w:tcW w:w="5" w:type="pct"/>
            <w:shd w:val="clear" w:color="auto" w:fill="auto"/>
          </w:tcPr>
          <w:p w14:paraId="40CB147E" w14:textId="77777777" w:rsidR="00584FB3" w:rsidRDefault="00584FB3">
            <w:pPr>
              <w:rPr>
                <w:rFonts w:ascii="宋体"/>
              </w:rPr>
            </w:pPr>
          </w:p>
        </w:tc>
        <w:tc>
          <w:tcPr>
            <w:tcW w:w="50" w:type="pct"/>
            <w:shd w:val="clear" w:color="auto" w:fill="auto"/>
          </w:tcPr>
          <w:p w14:paraId="40CB147F" w14:textId="77777777" w:rsidR="00584FB3" w:rsidRDefault="00584FB3">
            <w:pPr>
              <w:rPr>
                <w:rFonts w:ascii="宋体"/>
              </w:rPr>
            </w:pPr>
          </w:p>
        </w:tc>
        <w:tc>
          <w:tcPr>
            <w:tcW w:w="756" w:type="pct"/>
            <w:shd w:val="clear" w:color="auto" w:fill="auto"/>
          </w:tcPr>
          <w:p w14:paraId="40CB1480" w14:textId="77777777" w:rsidR="00584FB3" w:rsidRDefault="00584FB3">
            <w:pPr>
              <w:rPr>
                <w:rFonts w:ascii="宋体"/>
              </w:rPr>
            </w:pPr>
          </w:p>
        </w:tc>
        <w:tc>
          <w:tcPr>
            <w:tcW w:w="5" w:type="pct"/>
            <w:shd w:val="clear" w:color="auto" w:fill="auto"/>
          </w:tcPr>
          <w:p w14:paraId="40CB1481" w14:textId="77777777" w:rsidR="00584FB3" w:rsidRDefault="00584FB3">
            <w:pPr>
              <w:rPr>
                <w:rFonts w:ascii="宋体"/>
              </w:rPr>
            </w:pPr>
          </w:p>
        </w:tc>
        <w:tc>
          <w:tcPr>
            <w:tcW w:w="5" w:type="pct"/>
            <w:shd w:val="clear" w:color="auto" w:fill="auto"/>
          </w:tcPr>
          <w:p w14:paraId="40CB1482" w14:textId="77777777" w:rsidR="00584FB3" w:rsidRDefault="00584FB3">
            <w:pPr>
              <w:rPr>
                <w:rFonts w:ascii="宋体"/>
              </w:rPr>
            </w:pPr>
          </w:p>
        </w:tc>
        <w:tc>
          <w:tcPr>
            <w:tcW w:w="26" w:type="pct"/>
            <w:shd w:val="clear" w:color="auto" w:fill="auto"/>
          </w:tcPr>
          <w:p w14:paraId="40CB1483" w14:textId="77777777" w:rsidR="00584FB3" w:rsidRDefault="00584FB3">
            <w:pPr>
              <w:rPr>
                <w:rFonts w:ascii="宋体"/>
              </w:rPr>
            </w:pPr>
          </w:p>
        </w:tc>
        <w:tc>
          <w:tcPr>
            <w:tcW w:w="5" w:type="pct"/>
            <w:shd w:val="clear" w:color="auto" w:fill="auto"/>
          </w:tcPr>
          <w:p w14:paraId="40CB1484" w14:textId="77777777" w:rsidR="00584FB3" w:rsidRDefault="00584FB3">
            <w:pPr>
              <w:rPr>
                <w:rFonts w:ascii="宋体"/>
              </w:rPr>
            </w:pPr>
          </w:p>
        </w:tc>
        <w:tc>
          <w:tcPr>
            <w:tcW w:w="50" w:type="pct"/>
            <w:shd w:val="clear" w:color="auto" w:fill="auto"/>
          </w:tcPr>
          <w:p w14:paraId="40CB1485" w14:textId="77777777" w:rsidR="00584FB3" w:rsidRDefault="00584FB3">
            <w:pPr>
              <w:rPr>
                <w:rFonts w:ascii="宋体"/>
              </w:rPr>
            </w:pPr>
          </w:p>
        </w:tc>
        <w:tc>
          <w:tcPr>
            <w:tcW w:w="756" w:type="pct"/>
            <w:shd w:val="clear" w:color="auto" w:fill="auto"/>
          </w:tcPr>
          <w:p w14:paraId="40CB1486" w14:textId="77777777" w:rsidR="00584FB3" w:rsidRDefault="00584FB3">
            <w:pPr>
              <w:rPr>
                <w:rFonts w:ascii="宋体"/>
              </w:rPr>
            </w:pPr>
          </w:p>
        </w:tc>
        <w:tc>
          <w:tcPr>
            <w:tcW w:w="5" w:type="pct"/>
            <w:shd w:val="clear" w:color="auto" w:fill="auto"/>
          </w:tcPr>
          <w:p w14:paraId="40CB1487" w14:textId="77777777" w:rsidR="00584FB3" w:rsidRDefault="00584FB3">
            <w:pPr>
              <w:rPr>
                <w:rFonts w:ascii="宋体"/>
              </w:rPr>
            </w:pPr>
          </w:p>
        </w:tc>
        <w:tc>
          <w:tcPr>
            <w:tcW w:w="0" w:type="auto"/>
            <w:shd w:val="clear" w:color="auto" w:fill="auto"/>
          </w:tcPr>
          <w:p w14:paraId="40CB1488" w14:textId="77777777" w:rsidR="00584FB3" w:rsidRDefault="00584FB3">
            <w:pPr>
              <w:rPr>
                <w:rFonts w:ascii="宋体"/>
                <w:vanish/>
              </w:rPr>
            </w:pPr>
          </w:p>
        </w:tc>
        <w:tc>
          <w:tcPr>
            <w:tcW w:w="0" w:type="auto"/>
            <w:shd w:val="clear" w:color="auto" w:fill="auto"/>
          </w:tcPr>
          <w:p w14:paraId="40CB1489" w14:textId="77777777" w:rsidR="00584FB3" w:rsidRDefault="00584FB3">
            <w:pPr>
              <w:rPr>
                <w:rFonts w:ascii="宋体"/>
                <w:vanish/>
              </w:rPr>
            </w:pPr>
          </w:p>
        </w:tc>
      </w:tr>
      <w:tr w:rsidR="00584FB3" w14:paraId="40CB148F" w14:textId="77777777">
        <w:trPr>
          <w:jc w:val="center"/>
        </w:trPr>
        <w:tc>
          <w:tcPr>
            <w:tcW w:w="0" w:type="auto"/>
            <w:gridSpan w:val="3"/>
            <w:shd w:val="clear" w:color="auto" w:fill="auto"/>
            <w:tcMar>
              <w:top w:w="0" w:type="dxa"/>
              <w:left w:w="20" w:type="dxa"/>
              <w:bottom w:w="0" w:type="dxa"/>
              <w:right w:w="20" w:type="dxa"/>
            </w:tcMar>
          </w:tcPr>
          <w:p w14:paraId="40CB148B"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148C"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48D" w14:textId="77777777" w:rsidR="00584FB3" w:rsidRDefault="00584FB3">
            <w:pPr>
              <w:rPr>
                <w:rFonts w:ascii="宋体"/>
                <w:vanish/>
              </w:rPr>
            </w:pPr>
          </w:p>
        </w:tc>
        <w:tc>
          <w:tcPr>
            <w:tcW w:w="0" w:type="auto"/>
            <w:shd w:val="clear" w:color="auto" w:fill="auto"/>
          </w:tcPr>
          <w:p w14:paraId="40CB148E" w14:textId="77777777" w:rsidR="00584FB3" w:rsidRDefault="00584FB3">
            <w:pPr>
              <w:rPr>
                <w:rFonts w:ascii="宋体"/>
                <w:vanish/>
              </w:rPr>
            </w:pPr>
          </w:p>
        </w:tc>
      </w:tr>
      <w:tr w:rsidR="00584FB3" w14:paraId="40CB1496" w14:textId="77777777">
        <w:trPr>
          <w:jc w:val="center"/>
        </w:trPr>
        <w:tc>
          <w:tcPr>
            <w:tcW w:w="0" w:type="auto"/>
            <w:gridSpan w:val="3"/>
            <w:shd w:val="clear" w:color="auto" w:fill="auto"/>
            <w:tcMar>
              <w:top w:w="0" w:type="dxa"/>
              <w:left w:w="20" w:type="dxa"/>
              <w:bottom w:w="0" w:type="dxa"/>
              <w:right w:w="20" w:type="dxa"/>
            </w:tcMar>
          </w:tcPr>
          <w:p w14:paraId="40CB1490"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491"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FFFFFF"/>
            <w:tcMar>
              <w:top w:w="0" w:type="dxa"/>
              <w:left w:w="20" w:type="dxa"/>
              <w:bottom w:w="0" w:type="dxa"/>
              <w:right w:w="20" w:type="dxa"/>
            </w:tcMar>
          </w:tcPr>
          <w:p w14:paraId="40CB149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493"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shd w:val="clear" w:color="auto" w:fill="auto"/>
          </w:tcPr>
          <w:p w14:paraId="40CB1494" w14:textId="77777777" w:rsidR="00584FB3" w:rsidRDefault="00584FB3">
            <w:pPr>
              <w:rPr>
                <w:rFonts w:ascii="宋体"/>
                <w:vanish/>
              </w:rPr>
            </w:pPr>
          </w:p>
        </w:tc>
        <w:tc>
          <w:tcPr>
            <w:tcW w:w="0" w:type="auto"/>
            <w:shd w:val="clear" w:color="auto" w:fill="auto"/>
          </w:tcPr>
          <w:p w14:paraId="40CB1495" w14:textId="77777777" w:rsidR="00584FB3" w:rsidRDefault="00584FB3">
            <w:pPr>
              <w:rPr>
                <w:rFonts w:ascii="宋体"/>
                <w:vanish/>
              </w:rPr>
            </w:pPr>
          </w:p>
        </w:tc>
      </w:tr>
      <w:tr w:rsidR="00584FB3" w14:paraId="40CB14A1" w14:textId="77777777">
        <w:trPr>
          <w:jc w:val="center"/>
        </w:trPr>
        <w:tc>
          <w:tcPr>
            <w:tcW w:w="0" w:type="auto"/>
            <w:gridSpan w:val="3"/>
            <w:shd w:val="clear" w:color="auto" w:fill="D7E4BC"/>
            <w:tcMar>
              <w:top w:w="40" w:type="dxa"/>
              <w:left w:w="20" w:type="dxa"/>
              <w:bottom w:w="40" w:type="dxa"/>
              <w:right w:w="20" w:type="dxa"/>
            </w:tcMar>
          </w:tcPr>
          <w:p w14:paraId="40CB1497" w14:textId="77777777" w:rsidR="00584FB3" w:rsidRDefault="00786180">
            <w:pP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49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499" w14:textId="77777777" w:rsidR="00584FB3" w:rsidRDefault="00786180">
            <w:pPr>
              <w:jc w:val="right"/>
              <w:textAlignment w:val="bottom"/>
            </w:pPr>
            <w:r>
              <w:rPr>
                <w:rFonts w:ascii="Times New Roman" w:eastAsia="宋体" w:hAnsi="Times New Roman"/>
                <w:color w:val="000000"/>
                <w:sz w:val="20"/>
                <w:szCs w:val="20"/>
              </w:rPr>
              <w:t>409.4 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9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49B"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49C"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49D" w14:textId="77777777" w:rsidR="00584FB3" w:rsidRDefault="00786180">
            <w:pPr>
              <w:jc w:val="right"/>
              <w:textAlignment w:val="bottom"/>
            </w:pPr>
            <w:r>
              <w:rPr>
                <w:rFonts w:ascii="Times New Roman" w:eastAsia="宋体" w:hAnsi="Times New Roman"/>
                <w:color w:val="000000"/>
                <w:sz w:val="20"/>
                <w:szCs w:val="20"/>
              </w:rPr>
              <w:t>373.1 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9E" w14:textId="77777777" w:rsidR="00584FB3" w:rsidRDefault="00584FB3">
            <w:pPr>
              <w:jc w:val="right"/>
              <w:rPr>
                <w:rFonts w:ascii="宋体"/>
              </w:rPr>
            </w:pPr>
          </w:p>
        </w:tc>
        <w:tc>
          <w:tcPr>
            <w:tcW w:w="0" w:type="auto"/>
            <w:shd w:val="clear" w:color="auto" w:fill="auto"/>
          </w:tcPr>
          <w:p w14:paraId="40CB149F" w14:textId="77777777" w:rsidR="00584FB3" w:rsidRDefault="00584FB3">
            <w:pPr>
              <w:rPr>
                <w:rFonts w:ascii="宋体"/>
                <w:vanish/>
              </w:rPr>
            </w:pPr>
          </w:p>
        </w:tc>
        <w:tc>
          <w:tcPr>
            <w:tcW w:w="0" w:type="auto"/>
            <w:shd w:val="clear" w:color="auto" w:fill="auto"/>
          </w:tcPr>
          <w:p w14:paraId="40CB14A0" w14:textId="77777777" w:rsidR="00584FB3" w:rsidRDefault="00584FB3">
            <w:pPr>
              <w:rPr>
                <w:rFonts w:ascii="宋体"/>
                <w:vanish/>
              </w:rPr>
            </w:pPr>
          </w:p>
        </w:tc>
      </w:tr>
      <w:tr w:rsidR="00584FB3" w14:paraId="40CB14AA" w14:textId="77777777">
        <w:trPr>
          <w:jc w:val="center"/>
        </w:trPr>
        <w:tc>
          <w:tcPr>
            <w:tcW w:w="0" w:type="auto"/>
            <w:gridSpan w:val="3"/>
            <w:shd w:val="clear" w:color="auto" w:fill="FFFFFF"/>
            <w:tcMar>
              <w:top w:w="40" w:type="dxa"/>
              <w:left w:w="20" w:type="dxa"/>
              <w:bottom w:w="40" w:type="dxa"/>
              <w:right w:w="20" w:type="dxa"/>
            </w:tcMar>
          </w:tcPr>
          <w:p w14:paraId="40CB14A2" w14:textId="77777777" w:rsidR="00584FB3" w:rsidRDefault="00786180">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40CB14A3" w14:textId="77777777" w:rsidR="00584FB3" w:rsidRDefault="00786180">
            <w:pPr>
              <w:jc w:val="right"/>
              <w:textAlignment w:val="bottom"/>
            </w:pPr>
            <w:r>
              <w:rPr>
                <w:rFonts w:ascii="Times New Roman" w:eastAsia="宋体" w:hAnsi="Times New Roman"/>
                <w:color w:val="000000"/>
                <w:sz w:val="20"/>
                <w:szCs w:val="20"/>
              </w:rPr>
              <w:t>222.4 </w:t>
            </w:r>
          </w:p>
        </w:tc>
        <w:tc>
          <w:tcPr>
            <w:tcW w:w="0" w:type="auto"/>
            <w:shd w:val="clear" w:color="auto" w:fill="FFFFFF"/>
            <w:tcMar>
              <w:top w:w="40" w:type="dxa"/>
              <w:left w:w="0" w:type="dxa"/>
              <w:bottom w:w="40" w:type="dxa"/>
              <w:right w:w="20" w:type="dxa"/>
            </w:tcMar>
            <w:vAlign w:val="bottom"/>
          </w:tcPr>
          <w:p w14:paraId="40CB14A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A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4A6" w14:textId="77777777" w:rsidR="00584FB3" w:rsidRDefault="00786180">
            <w:pPr>
              <w:jc w:val="right"/>
              <w:textAlignment w:val="bottom"/>
            </w:pPr>
            <w:r>
              <w:rPr>
                <w:rFonts w:ascii="Times New Roman" w:eastAsia="宋体" w:hAnsi="Times New Roman"/>
                <w:color w:val="000000"/>
                <w:sz w:val="20"/>
                <w:szCs w:val="20"/>
              </w:rPr>
              <w:t>228.8 </w:t>
            </w:r>
          </w:p>
        </w:tc>
        <w:tc>
          <w:tcPr>
            <w:tcW w:w="0" w:type="auto"/>
            <w:shd w:val="clear" w:color="auto" w:fill="FFFFFF"/>
            <w:tcMar>
              <w:top w:w="40" w:type="dxa"/>
              <w:left w:w="0" w:type="dxa"/>
              <w:bottom w:w="40" w:type="dxa"/>
              <w:right w:w="20" w:type="dxa"/>
            </w:tcMar>
            <w:vAlign w:val="bottom"/>
          </w:tcPr>
          <w:p w14:paraId="40CB14A7" w14:textId="77777777" w:rsidR="00584FB3" w:rsidRDefault="00584FB3">
            <w:pPr>
              <w:jc w:val="right"/>
              <w:rPr>
                <w:rFonts w:ascii="宋体"/>
              </w:rPr>
            </w:pPr>
          </w:p>
        </w:tc>
        <w:tc>
          <w:tcPr>
            <w:tcW w:w="0" w:type="auto"/>
            <w:shd w:val="clear" w:color="auto" w:fill="auto"/>
          </w:tcPr>
          <w:p w14:paraId="40CB14A8" w14:textId="77777777" w:rsidR="00584FB3" w:rsidRDefault="00584FB3">
            <w:pPr>
              <w:rPr>
                <w:rFonts w:ascii="宋体"/>
                <w:vanish/>
              </w:rPr>
            </w:pPr>
          </w:p>
        </w:tc>
        <w:tc>
          <w:tcPr>
            <w:tcW w:w="0" w:type="auto"/>
            <w:shd w:val="clear" w:color="auto" w:fill="auto"/>
          </w:tcPr>
          <w:p w14:paraId="40CB14A9" w14:textId="77777777" w:rsidR="00584FB3" w:rsidRDefault="00584FB3">
            <w:pPr>
              <w:rPr>
                <w:rFonts w:ascii="宋体"/>
                <w:vanish/>
              </w:rPr>
            </w:pPr>
          </w:p>
        </w:tc>
      </w:tr>
      <w:tr w:rsidR="00584FB3" w14:paraId="40CB14B3" w14:textId="77777777">
        <w:trPr>
          <w:jc w:val="center"/>
        </w:trPr>
        <w:tc>
          <w:tcPr>
            <w:tcW w:w="0" w:type="auto"/>
            <w:gridSpan w:val="3"/>
            <w:shd w:val="clear" w:color="auto" w:fill="D7E4BC"/>
            <w:tcMar>
              <w:top w:w="40" w:type="dxa"/>
              <w:left w:w="20" w:type="dxa"/>
              <w:bottom w:w="40" w:type="dxa"/>
              <w:right w:w="20" w:type="dxa"/>
            </w:tcMar>
          </w:tcPr>
          <w:p w14:paraId="40CB14AB" w14:textId="77777777" w:rsidR="00584FB3" w:rsidRDefault="00786180">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40CB14AC" w14:textId="77777777" w:rsidR="00584FB3" w:rsidRDefault="00786180">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40CB14A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4A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4AF" w14:textId="77777777" w:rsidR="00584FB3" w:rsidRDefault="00786180">
            <w:pPr>
              <w:jc w:val="right"/>
              <w:textAlignment w:val="bottom"/>
            </w:pPr>
            <w:r>
              <w:rPr>
                <w:rFonts w:ascii="Times New Roman" w:eastAsia="宋体" w:hAnsi="Times New Roman"/>
                <w:color w:val="000000"/>
                <w:sz w:val="22"/>
                <w:szCs w:val="22"/>
              </w:rPr>
              <w:t>8.3 </w:t>
            </w:r>
          </w:p>
        </w:tc>
        <w:tc>
          <w:tcPr>
            <w:tcW w:w="0" w:type="auto"/>
            <w:shd w:val="clear" w:color="auto" w:fill="D7E4BC"/>
            <w:tcMar>
              <w:top w:w="40" w:type="dxa"/>
              <w:left w:w="0" w:type="dxa"/>
              <w:bottom w:w="40" w:type="dxa"/>
              <w:right w:w="20" w:type="dxa"/>
            </w:tcMar>
            <w:vAlign w:val="bottom"/>
          </w:tcPr>
          <w:p w14:paraId="40CB14B0" w14:textId="77777777" w:rsidR="00584FB3" w:rsidRDefault="00584FB3">
            <w:pPr>
              <w:jc w:val="right"/>
              <w:rPr>
                <w:rFonts w:ascii="宋体"/>
              </w:rPr>
            </w:pPr>
          </w:p>
        </w:tc>
        <w:tc>
          <w:tcPr>
            <w:tcW w:w="0" w:type="auto"/>
            <w:shd w:val="clear" w:color="auto" w:fill="auto"/>
          </w:tcPr>
          <w:p w14:paraId="40CB14B1" w14:textId="77777777" w:rsidR="00584FB3" w:rsidRDefault="00584FB3">
            <w:pPr>
              <w:rPr>
                <w:rFonts w:ascii="宋体"/>
                <w:vanish/>
              </w:rPr>
            </w:pPr>
          </w:p>
        </w:tc>
        <w:tc>
          <w:tcPr>
            <w:tcW w:w="0" w:type="auto"/>
            <w:shd w:val="clear" w:color="auto" w:fill="auto"/>
          </w:tcPr>
          <w:p w14:paraId="40CB14B2" w14:textId="77777777" w:rsidR="00584FB3" w:rsidRDefault="00584FB3">
            <w:pPr>
              <w:rPr>
                <w:rFonts w:ascii="宋体"/>
                <w:vanish/>
              </w:rPr>
            </w:pPr>
          </w:p>
        </w:tc>
      </w:tr>
      <w:tr w:rsidR="00584FB3" w14:paraId="40CB14BE" w14:textId="77777777">
        <w:trPr>
          <w:jc w:val="center"/>
        </w:trPr>
        <w:tc>
          <w:tcPr>
            <w:tcW w:w="0" w:type="auto"/>
            <w:gridSpan w:val="3"/>
            <w:shd w:val="clear" w:color="auto" w:fill="FFFFFF"/>
            <w:tcMar>
              <w:top w:w="40" w:type="dxa"/>
              <w:left w:w="20" w:type="dxa"/>
              <w:bottom w:w="40" w:type="dxa"/>
              <w:right w:w="20" w:type="dxa"/>
            </w:tcMar>
          </w:tcPr>
          <w:p w14:paraId="40CB14B4" w14:textId="77777777" w:rsidR="00584FB3" w:rsidRDefault="00786180">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4B5"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4B6" w14:textId="77777777" w:rsidR="00584FB3" w:rsidRDefault="00786180">
            <w:pPr>
              <w:jc w:val="right"/>
              <w:textAlignment w:val="bottom"/>
            </w:pPr>
            <w:r>
              <w:rPr>
                <w:rFonts w:ascii="Times New Roman" w:eastAsia="宋体" w:hAnsi="Times New Roman"/>
                <w:color w:val="000000"/>
                <w:sz w:val="20"/>
                <w:szCs w:val="20"/>
              </w:rPr>
              <w:t>640.5 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4B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B8"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4B9"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4BA" w14:textId="77777777" w:rsidR="00584FB3" w:rsidRDefault="00786180">
            <w:pPr>
              <w:jc w:val="right"/>
              <w:textAlignment w:val="bottom"/>
            </w:pPr>
            <w:r>
              <w:rPr>
                <w:rFonts w:ascii="Times New Roman" w:eastAsia="宋体" w:hAnsi="Times New Roman"/>
                <w:color w:val="000000"/>
                <w:sz w:val="20"/>
                <w:szCs w:val="20"/>
              </w:rPr>
              <w:t>610.2 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4BB" w14:textId="77777777" w:rsidR="00584FB3" w:rsidRDefault="00584FB3">
            <w:pPr>
              <w:jc w:val="right"/>
              <w:rPr>
                <w:rFonts w:ascii="宋体"/>
              </w:rPr>
            </w:pPr>
          </w:p>
        </w:tc>
        <w:tc>
          <w:tcPr>
            <w:tcW w:w="0" w:type="auto"/>
            <w:shd w:val="clear" w:color="auto" w:fill="auto"/>
          </w:tcPr>
          <w:p w14:paraId="40CB14BC" w14:textId="77777777" w:rsidR="00584FB3" w:rsidRDefault="00584FB3">
            <w:pPr>
              <w:rPr>
                <w:rFonts w:ascii="宋体"/>
                <w:vanish/>
              </w:rPr>
            </w:pPr>
          </w:p>
        </w:tc>
        <w:tc>
          <w:tcPr>
            <w:tcW w:w="0" w:type="auto"/>
            <w:shd w:val="clear" w:color="auto" w:fill="auto"/>
          </w:tcPr>
          <w:p w14:paraId="40CB14BD" w14:textId="77777777" w:rsidR="00584FB3" w:rsidRDefault="00584FB3">
            <w:pPr>
              <w:rPr>
                <w:rFonts w:ascii="宋体"/>
                <w:vanish/>
              </w:rPr>
            </w:pPr>
          </w:p>
        </w:tc>
      </w:tr>
    </w:tbl>
    <w:p w14:paraId="40CB14BF" w14:textId="77777777" w:rsidR="00584FB3" w:rsidRDefault="00786180">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Operating lease costs were net of immaterial amounts of sublease income and rent concessions.</w:t>
      </w:r>
    </w:p>
    <w:p w14:paraId="40CB14C0" w14:textId="77777777" w:rsidR="00584FB3" w:rsidRDefault="00786180">
      <w:pPr>
        <w:spacing w:before="120"/>
        <w:ind w:hanging="36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18"/>
        <w:gridCol w:w="37"/>
        <w:gridCol w:w="120"/>
        <w:gridCol w:w="1158"/>
        <w:gridCol w:w="187"/>
        <w:gridCol w:w="36"/>
        <w:gridCol w:w="36"/>
        <w:gridCol w:w="36"/>
        <w:gridCol w:w="120"/>
        <w:gridCol w:w="1063"/>
        <w:gridCol w:w="187"/>
      </w:tblGrid>
      <w:tr w:rsidR="00584FB3" w14:paraId="40CB14CD" w14:textId="77777777">
        <w:trPr>
          <w:jc w:val="center"/>
        </w:trPr>
        <w:tc>
          <w:tcPr>
            <w:tcW w:w="50" w:type="pct"/>
            <w:shd w:val="clear" w:color="auto" w:fill="auto"/>
          </w:tcPr>
          <w:p w14:paraId="40CB14C1" w14:textId="77777777" w:rsidR="00584FB3" w:rsidRDefault="00584FB3">
            <w:pPr>
              <w:rPr>
                <w:rFonts w:ascii="宋体"/>
              </w:rPr>
            </w:pPr>
          </w:p>
        </w:tc>
        <w:tc>
          <w:tcPr>
            <w:tcW w:w="3285" w:type="pct"/>
            <w:shd w:val="clear" w:color="auto" w:fill="auto"/>
          </w:tcPr>
          <w:p w14:paraId="40CB14C2" w14:textId="77777777" w:rsidR="00584FB3" w:rsidRDefault="00584FB3">
            <w:pPr>
              <w:rPr>
                <w:rFonts w:ascii="宋体"/>
              </w:rPr>
            </w:pPr>
          </w:p>
        </w:tc>
        <w:tc>
          <w:tcPr>
            <w:tcW w:w="5" w:type="pct"/>
            <w:shd w:val="clear" w:color="auto" w:fill="auto"/>
          </w:tcPr>
          <w:p w14:paraId="40CB14C3" w14:textId="77777777" w:rsidR="00584FB3" w:rsidRDefault="00584FB3">
            <w:pPr>
              <w:rPr>
                <w:rFonts w:ascii="宋体"/>
              </w:rPr>
            </w:pPr>
          </w:p>
        </w:tc>
        <w:tc>
          <w:tcPr>
            <w:tcW w:w="50" w:type="pct"/>
            <w:shd w:val="clear" w:color="auto" w:fill="auto"/>
          </w:tcPr>
          <w:p w14:paraId="40CB14C4" w14:textId="77777777" w:rsidR="00584FB3" w:rsidRDefault="00584FB3">
            <w:pPr>
              <w:rPr>
                <w:rFonts w:ascii="宋体"/>
              </w:rPr>
            </w:pPr>
          </w:p>
        </w:tc>
        <w:tc>
          <w:tcPr>
            <w:tcW w:w="756" w:type="pct"/>
            <w:shd w:val="clear" w:color="auto" w:fill="auto"/>
          </w:tcPr>
          <w:p w14:paraId="40CB14C5" w14:textId="77777777" w:rsidR="00584FB3" w:rsidRDefault="00584FB3">
            <w:pPr>
              <w:rPr>
                <w:rFonts w:ascii="宋体"/>
              </w:rPr>
            </w:pPr>
          </w:p>
        </w:tc>
        <w:tc>
          <w:tcPr>
            <w:tcW w:w="5" w:type="pct"/>
            <w:shd w:val="clear" w:color="auto" w:fill="auto"/>
          </w:tcPr>
          <w:p w14:paraId="40CB14C6" w14:textId="77777777" w:rsidR="00584FB3" w:rsidRDefault="00584FB3">
            <w:pPr>
              <w:rPr>
                <w:rFonts w:ascii="宋体"/>
              </w:rPr>
            </w:pPr>
          </w:p>
        </w:tc>
        <w:tc>
          <w:tcPr>
            <w:tcW w:w="5" w:type="pct"/>
            <w:shd w:val="clear" w:color="auto" w:fill="auto"/>
          </w:tcPr>
          <w:p w14:paraId="40CB14C7" w14:textId="77777777" w:rsidR="00584FB3" w:rsidRDefault="00584FB3">
            <w:pPr>
              <w:rPr>
                <w:rFonts w:ascii="宋体"/>
              </w:rPr>
            </w:pPr>
          </w:p>
        </w:tc>
        <w:tc>
          <w:tcPr>
            <w:tcW w:w="26" w:type="pct"/>
            <w:shd w:val="clear" w:color="auto" w:fill="auto"/>
          </w:tcPr>
          <w:p w14:paraId="40CB14C8" w14:textId="77777777" w:rsidR="00584FB3" w:rsidRDefault="00584FB3">
            <w:pPr>
              <w:rPr>
                <w:rFonts w:ascii="宋体"/>
              </w:rPr>
            </w:pPr>
          </w:p>
        </w:tc>
        <w:tc>
          <w:tcPr>
            <w:tcW w:w="5" w:type="pct"/>
            <w:shd w:val="clear" w:color="auto" w:fill="auto"/>
          </w:tcPr>
          <w:p w14:paraId="40CB14C9" w14:textId="77777777" w:rsidR="00584FB3" w:rsidRDefault="00584FB3">
            <w:pPr>
              <w:rPr>
                <w:rFonts w:ascii="宋体"/>
              </w:rPr>
            </w:pPr>
          </w:p>
        </w:tc>
        <w:tc>
          <w:tcPr>
            <w:tcW w:w="50" w:type="pct"/>
            <w:shd w:val="clear" w:color="auto" w:fill="auto"/>
          </w:tcPr>
          <w:p w14:paraId="40CB14CA" w14:textId="77777777" w:rsidR="00584FB3" w:rsidRDefault="00584FB3">
            <w:pPr>
              <w:rPr>
                <w:rFonts w:ascii="宋体"/>
              </w:rPr>
            </w:pPr>
          </w:p>
        </w:tc>
        <w:tc>
          <w:tcPr>
            <w:tcW w:w="756" w:type="pct"/>
            <w:shd w:val="clear" w:color="auto" w:fill="auto"/>
          </w:tcPr>
          <w:p w14:paraId="40CB14CB" w14:textId="77777777" w:rsidR="00584FB3" w:rsidRDefault="00584FB3">
            <w:pPr>
              <w:rPr>
                <w:rFonts w:ascii="宋体"/>
              </w:rPr>
            </w:pPr>
          </w:p>
        </w:tc>
        <w:tc>
          <w:tcPr>
            <w:tcW w:w="5" w:type="pct"/>
            <w:shd w:val="clear" w:color="auto" w:fill="auto"/>
          </w:tcPr>
          <w:p w14:paraId="40CB14CC" w14:textId="77777777" w:rsidR="00584FB3" w:rsidRDefault="00584FB3">
            <w:pPr>
              <w:rPr>
                <w:rFonts w:ascii="宋体"/>
              </w:rPr>
            </w:pPr>
          </w:p>
        </w:tc>
      </w:tr>
      <w:tr w:rsidR="00584FB3" w14:paraId="40CB14D0" w14:textId="77777777">
        <w:trPr>
          <w:jc w:val="center"/>
        </w:trPr>
        <w:tc>
          <w:tcPr>
            <w:tcW w:w="0" w:type="auto"/>
            <w:gridSpan w:val="3"/>
            <w:shd w:val="clear" w:color="auto" w:fill="auto"/>
            <w:tcMar>
              <w:top w:w="0" w:type="dxa"/>
              <w:left w:w="20" w:type="dxa"/>
              <w:bottom w:w="0" w:type="dxa"/>
              <w:right w:w="20" w:type="dxa"/>
            </w:tcMar>
          </w:tcPr>
          <w:p w14:paraId="40CB14CE"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14CF" w14:textId="77777777" w:rsidR="00584FB3" w:rsidRDefault="00786180">
            <w:pPr>
              <w:jc w:val="center"/>
              <w:textAlignment w:val="bottom"/>
            </w:pPr>
            <w:r>
              <w:rPr>
                <w:rFonts w:ascii="Times New Roman" w:eastAsia="宋体" w:hAnsi="Times New Roman"/>
                <w:b/>
                <w:bCs/>
                <w:color w:val="FFFFFF"/>
                <w:sz w:val="16"/>
                <w:szCs w:val="16"/>
              </w:rPr>
              <w:t>Quarter Ended</w:t>
            </w:r>
          </w:p>
        </w:tc>
      </w:tr>
      <w:tr w:rsidR="00584FB3" w14:paraId="40CB14D5" w14:textId="77777777">
        <w:trPr>
          <w:jc w:val="center"/>
        </w:trPr>
        <w:tc>
          <w:tcPr>
            <w:tcW w:w="0" w:type="auto"/>
            <w:gridSpan w:val="3"/>
            <w:shd w:val="clear" w:color="auto" w:fill="auto"/>
            <w:tcMar>
              <w:top w:w="0" w:type="dxa"/>
              <w:left w:w="20" w:type="dxa"/>
              <w:bottom w:w="0" w:type="dxa"/>
              <w:right w:w="20" w:type="dxa"/>
            </w:tcMar>
          </w:tcPr>
          <w:p w14:paraId="40CB14D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4D2"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4D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4D4" w14:textId="77777777" w:rsidR="00584FB3" w:rsidRDefault="00786180">
            <w:pPr>
              <w:jc w:val="center"/>
              <w:textAlignment w:val="bottom"/>
            </w:pPr>
            <w:r>
              <w:rPr>
                <w:rFonts w:ascii="Times New Roman" w:eastAsia="宋体" w:hAnsi="Times New Roman"/>
                <w:b/>
                <w:bCs/>
                <w:color w:val="FFFFFF"/>
                <w:sz w:val="16"/>
                <w:szCs w:val="16"/>
              </w:rPr>
              <w:t>Dec 29, 2019</w:t>
            </w:r>
          </w:p>
        </w:tc>
      </w:tr>
      <w:tr w:rsidR="00584FB3" w14:paraId="40CB14DE" w14:textId="77777777">
        <w:trPr>
          <w:jc w:val="center"/>
        </w:trPr>
        <w:tc>
          <w:tcPr>
            <w:tcW w:w="0" w:type="auto"/>
            <w:gridSpan w:val="3"/>
            <w:shd w:val="clear" w:color="auto" w:fill="D7E4BC"/>
            <w:tcMar>
              <w:top w:w="40" w:type="dxa"/>
              <w:left w:w="20" w:type="dxa"/>
              <w:bottom w:w="40" w:type="dxa"/>
              <w:right w:w="20" w:type="dxa"/>
            </w:tcMar>
          </w:tcPr>
          <w:p w14:paraId="40CB14D6" w14:textId="77777777" w:rsidR="00584FB3" w:rsidRDefault="00786180">
            <w:pPr>
              <w:textAlignment w:val="top"/>
            </w:pPr>
            <w:r>
              <w:rPr>
                <w:rFonts w:ascii="Times New Roman" w:eastAsia="宋体" w:hAnsi="Times New Roman"/>
                <w:color w:val="000000"/>
                <w:sz w:val="20"/>
                <w:szCs w:val="20"/>
              </w:rPr>
              <w:t xml:space="preserve">Cash paid </w:t>
            </w:r>
            <w:r>
              <w:rPr>
                <w:rFonts w:ascii="Times New Roman" w:eastAsia="宋体" w:hAnsi="Times New Roman"/>
                <w:color w:val="000000"/>
                <w:sz w:val="20"/>
                <w:szCs w:val="20"/>
              </w:rPr>
              <w:t>related to operating lease 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4D7"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4D8" w14:textId="77777777" w:rsidR="00584FB3" w:rsidRDefault="00786180">
            <w:pPr>
              <w:jc w:val="right"/>
              <w:textAlignment w:val="bottom"/>
            </w:pPr>
            <w:r>
              <w:rPr>
                <w:rFonts w:ascii="Times New Roman" w:eastAsia="宋体" w:hAnsi="Times New Roman"/>
                <w:color w:val="000000"/>
                <w:sz w:val="20"/>
                <w:szCs w:val="20"/>
              </w:rPr>
              <w:t>385.6 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D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4DA"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4DB"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4DC" w14:textId="77777777" w:rsidR="00584FB3" w:rsidRDefault="00786180">
            <w:pPr>
              <w:jc w:val="right"/>
              <w:textAlignment w:val="bottom"/>
            </w:pPr>
            <w:r>
              <w:rPr>
                <w:rFonts w:ascii="Times New Roman" w:eastAsia="宋体" w:hAnsi="Times New Roman"/>
                <w:color w:val="000000"/>
                <w:sz w:val="20"/>
                <w:szCs w:val="20"/>
              </w:rPr>
              <w:t>368.9 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4DD" w14:textId="77777777" w:rsidR="00584FB3" w:rsidRDefault="00584FB3">
            <w:pPr>
              <w:jc w:val="right"/>
              <w:rPr>
                <w:rFonts w:ascii="宋体"/>
              </w:rPr>
            </w:pPr>
          </w:p>
        </w:tc>
      </w:tr>
      <w:tr w:rsidR="00584FB3" w14:paraId="40CB14E5" w14:textId="77777777">
        <w:trPr>
          <w:jc w:val="center"/>
        </w:trPr>
        <w:tc>
          <w:tcPr>
            <w:tcW w:w="0" w:type="auto"/>
            <w:gridSpan w:val="3"/>
            <w:shd w:val="clear" w:color="auto" w:fill="FFFFFF"/>
            <w:tcMar>
              <w:top w:w="40" w:type="dxa"/>
              <w:left w:w="20" w:type="dxa"/>
              <w:bottom w:w="40" w:type="dxa"/>
              <w:right w:w="20" w:type="dxa"/>
            </w:tcMar>
            <w:vAlign w:val="bottom"/>
          </w:tcPr>
          <w:p w14:paraId="40CB14DF" w14:textId="77777777" w:rsidR="00584FB3" w:rsidRDefault="00786180">
            <w:pPr>
              <w:textAlignment w:val="bottom"/>
            </w:pPr>
            <w:r>
              <w:rPr>
                <w:rFonts w:ascii="Times New Roman" w:eastAsia="宋体" w:hAnsi="Times New Roman"/>
                <w:color w:val="000000"/>
                <w:sz w:val="20"/>
                <w:szCs w:val="20"/>
              </w:rPr>
              <w:t>Operating lease liabilities arising from obtaining ROU assets</w:t>
            </w:r>
          </w:p>
        </w:tc>
        <w:tc>
          <w:tcPr>
            <w:tcW w:w="0" w:type="auto"/>
            <w:gridSpan w:val="2"/>
            <w:shd w:val="clear" w:color="auto" w:fill="FFFFFF"/>
            <w:tcMar>
              <w:top w:w="40" w:type="dxa"/>
              <w:left w:w="20" w:type="dxa"/>
              <w:bottom w:w="40" w:type="dxa"/>
              <w:right w:w="0" w:type="dxa"/>
            </w:tcMar>
            <w:vAlign w:val="bottom"/>
          </w:tcPr>
          <w:p w14:paraId="40CB14E0" w14:textId="77777777" w:rsidR="00584FB3" w:rsidRDefault="00786180">
            <w:pPr>
              <w:jc w:val="right"/>
              <w:textAlignment w:val="bottom"/>
            </w:pPr>
            <w:r>
              <w:rPr>
                <w:rFonts w:ascii="Times New Roman" w:eastAsia="宋体" w:hAnsi="Times New Roman"/>
                <w:color w:val="000000"/>
                <w:sz w:val="20"/>
                <w:szCs w:val="20"/>
              </w:rPr>
              <w:t>353.8 </w:t>
            </w:r>
          </w:p>
        </w:tc>
        <w:tc>
          <w:tcPr>
            <w:tcW w:w="0" w:type="auto"/>
            <w:shd w:val="clear" w:color="auto" w:fill="FFFFFF"/>
            <w:tcMar>
              <w:top w:w="40" w:type="dxa"/>
              <w:left w:w="0" w:type="dxa"/>
              <w:bottom w:w="40" w:type="dxa"/>
              <w:right w:w="20" w:type="dxa"/>
            </w:tcMar>
            <w:vAlign w:val="bottom"/>
          </w:tcPr>
          <w:p w14:paraId="40CB14E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4E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4E3" w14:textId="77777777" w:rsidR="00584FB3" w:rsidRDefault="00786180">
            <w:pPr>
              <w:jc w:val="right"/>
              <w:textAlignment w:val="bottom"/>
            </w:pPr>
            <w:r>
              <w:rPr>
                <w:rFonts w:ascii="Times New Roman" w:eastAsia="宋体" w:hAnsi="Times New Roman"/>
                <w:color w:val="000000"/>
                <w:sz w:val="20"/>
                <w:szCs w:val="20"/>
              </w:rPr>
              <w:t>226.4 </w:t>
            </w:r>
          </w:p>
        </w:tc>
        <w:tc>
          <w:tcPr>
            <w:tcW w:w="0" w:type="auto"/>
            <w:shd w:val="clear" w:color="auto" w:fill="FFFFFF"/>
            <w:tcMar>
              <w:top w:w="40" w:type="dxa"/>
              <w:left w:w="0" w:type="dxa"/>
              <w:bottom w:w="40" w:type="dxa"/>
              <w:right w:w="20" w:type="dxa"/>
            </w:tcMar>
            <w:vAlign w:val="bottom"/>
          </w:tcPr>
          <w:p w14:paraId="40CB14E4" w14:textId="77777777" w:rsidR="00584FB3" w:rsidRDefault="00584FB3">
            <w:pPr>
              <w:jc w:val="right"/>
              <w:rPr>
                <w:rFonts w:ascii="宋体"/>
              </w:rPr>
            </w:pPr>
          </w:p>
        </w:tc>
      </w:tr>
      <w:tr w:rsidR="00584FB3" w14:paraId="40CB14EA" w14:textId="77777777">
        <w:trPr>
          <w:trHeight w:val="300"/>
          <w:jc w:val="center"/>
        </w:trPr>
        <w:tc>
          <w:tcPr>
            <w:tcW w:w="0" w:type="auto"/>
            <w:gridSpan w:val="3"/>
            <w:shd w:val="clear" w:color="auto" w:fill="FFFFFF"/>
            <w:tcMar>
              <w:top w:w="0" w:type="dxa"/>
              <w:left w:w="20" w:type="dxa"/>
              <w:bottom w:w="0" w:type="dxa"/>
              <w:right w:w="20" w:type="dxa"/>
            </w:tcMar>
          </w:tcPr>
          <w:p w14:paraId="40CB14E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E7"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E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4E9" w14:textId="77777777" w:rsidR="00584FB3" w:rsidRDefault="00584FB3">
            <w:pPr>
              <w:rPr>
                <w:rFonts w:ascii="宋体"/>
              </w:rPr>
            </w:pPr>
          </w:p>
        </w:tc>
      </w:tr>
      <w:tr w:rsidR="00584FB3" w14:paraId="40CB14EF" w14:textId="77777777">
        <w:trPr>
          <w:jc w:val="center"/>
        </w:trPr>
        <w:tc>
          <w:tcPr>
            <w:tcW w:w="0" w:type="auto"/>
            <w:gridSpan w:val="3"/>
            <w:shd w:val="clear" w:color="auto" w:fill="FFFFFF"/>
            <w:tcMar>
              <w:top w:w="0" w:type="dxa"/>
              <w:left w:w="20" w:type="dxa"/>
              <w:bottom w:w="0" w:type="dxa"/>
              <w:right w:w="20" w:type="dxa"/>
            </w:tcMar>
          </w:tcPr>
          <w:p w14:paraId="40CB14EB"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4EC"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FFFFFF"/>
            <w:tcMar>
              <w:top w:w="0" w:type="dxa"/>
              <w:left w:w="20" w:type="dxa"/>
              <w:bottom w:w="0" w:type="dxa"/>
              <w:right w:w="20" w:type="dxa"/>
            </w:tcMar>
          </w:tcPr>
          <w:p w14:paraId="40CB14E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4EE" w14:textId="77777777" w:rsidR="00584FB3" w:rsidRDefault="00786180">
            <w:pPr>
              <w:jc w:val="center"/>
              <w:textAlignment w:val="bottom"/>
            </w:pPr>
            <w:r>
              <w:rPr>
                <w:rFonts w:ascii="Times New Roman" w:eastAsia="宋体" w:hAnsi="Times New Roman"/>
                <w:b/>
                <w:bCs/>
                <w:color w:val="FFFFFF"/>
                <w:sz w:val="16"/>
                <w:szCs w:val="16"/>
              </w:rPr>
              <w:t>Dec 29, 2019</w:t>
            </w:r>
          </w:p>
        </w:tc>
      </w:tr>
      <w:tr w:rsidR="00584FB3" w14:paraId="40CB14F4" w14:textId="77777777">
        <w:trPr>
          <w:jc w:val="center"/>
        </w:trPr>
        <w:tc>
          <w:tcPr>
            <w:tcW w:w="0" w:type="auto"/>
            <w:gridSpan w:val="3"/>
            <w:shd w:val="clear" w:color="auto" w:fill="D7E4BC"/>
            <w:tcMar>
              <w:top w:w="40" w:type="dxa"/>
              <w:left w:w="20" w:type="dxa"/>
              <w:bottom w:w="40" w:type="dxa"/>
              <w:right w:w="20" w:type="dxa"/>
            </w:tcMar>
          </w:tcPr>
          <w:p w14:paraId="40CB14F0" w14:textId="77777777" w:rsidR="00584FB3" w:rsidRDefault="00786180">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0CB14F1" w14:textId="77777777" w:rsidR="00584FB3" w:rsidRDefault="00786180">
            <w:pPr>
              <w:jc w:val="right"/>
              <w:textAlignment w:val="bottom"/>
            </w:pPr>
            <w:r>
              <w:rPr>
                <w:rFonts w:ascii="Times New Roman" w:eastAsia="宋体" w:hAnsi="Times New Roman"/>
                <w:color w:val="000000"/>
                <w:sz w:val="20"/>
                <w:szCs w:val="20"/>
              </w:rPr>
              <w:t>8.8 years</w:t>
            </w:r>
          </w:p>
        </w:tc>
        <w:tc>
          <w:tcPr>
            <w:tcW w:w="0" w:type="auto"/>
            <w:gridSpan w:val="3"/>
            <w:shd w:val="clear" w:color="auto" w:fill="D7E4BC"/>
            <w:tcMar>
              <w:top w:w="0" w:type="dxa"/>
              <w:left w:w="20" w:type="dxa"/>
              <w:bottom w:w="0" w:type="dxa"/>
              <w:right w:w="20" w:type="dxa"/>
            </w:tcMar>
          </w:tcPr>
          <w:p w14:paraId="40CB14F2" w14:textId="77777777" w:rsidR="00584FB3" w:rsidRDefault="00584FB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0CB14F3" w14:textId="77777777" w:rsidR="00584FB3" w:rsidRDefault="00786180">
            <w:pPr>
              <w:jc w:val="right"/>
              <w:textAlignment w:val="bottom"/>
            </w:pPr>
            <w:r>
              <w:rPr>
                <w:rFonts w:ascii="Times New Roman" w:eastAsia="宋体" w:hAnsi="Times New Roman"/>
                <w:color w:val="000000"/>
                <w:sz w:val="20"/>
                <w:szCs w:val="20"/>
              </w:rPr>
              <w:t>9.0 years</w:t>
            </w:r>
          </w:p>
        </w:tc>
      </w:tr>
      <w:tr w:rsidR="00584FB3" w14:paraId="40CB14FB" w14:textId="77777777">
        <w:trPr>
          <w:jc w:val="center"/>
        </w:trPr>
        <w:tc>
          <w:tcPr>
            <w:tcW w:w="0" w:type="auto"/>
            <w:gridSpan w:val="3"/>
            <w:shd w:val="clear" w:color="auto" w:fill="FFFFFF"/>
            <w:tcMar>
              <w:top w:w="40" w:type="dxa"/>
              <w:left w:w="20" w:type="dxa"/>
              <w:bottom w:w="40" w:type="dxa"/>
              <w:right w:w="20" w:type="dxa"/>
            </w:tcMar>
          </w:tcPr>
          <w:p w14:paraId="40CB14F5" w14:textId="77777777" w:rsidR="00584FB3" w:rsidRDefault="00786180">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40CB14F6" w14:textId="77777777" w:rsidR="00584FB3" w:rsidRDefault="0078618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40CB14F7"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14F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4F9" w14:textId="77777777" w:rsidR="00584FB3" w:rsidRDefault="0078618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40CB14FA" w14:textId="77777777" w:rsidR="00584FB3" w:rsidRDefault="00786180">
            <w:pPr>
              <w:jc w:val="right"/>
              <w:textAlignment w:val="bottom"/>
            </w:pPr>
            <w:r>
              <w:rPr>
                <w:rFonts w:ascii="Times New Roman" w:eastAsia="宋体" w:hAnsi="Times New Roman"/>
                <w:color w:val="000000"/>
                <w:sz w:val="20"/>
                <w:szCs w:val="20"/>
              </w:rPr>
              <w:t>%</w:t>
            </w:r>
          </w:p>
        </w:tc>
      </w:tr>
    </w:tbl>
    <w:p w14:paraId="40CB14FC" w14:textId="77777777" w:rsidR="00584FB3" w:rsidRDefault="00786180">
      <w:pPr>
        <w:spacing w:before="120"/>
      </w:pPr>
      <w:r>
        <w:rPr>
          <w:rFonts w:ascii="Times New Roman" w:eastAsia="宋体" w:hAnsi="Times New Roman"/>
          <w:color w:val="000000"/>
          <w:sz w:val="20"/>
          <w:szCs w:val="20"/>
        </w:rPr>
        <w:t xml:space="preserve">Finance lease assets are recorded in property, plant and equipment, net with the corresponding lease liabilities included in accrued liabilities and other long-term liabilities on the </w:t>
      </w:r>
      <w:r>
        <w:rPr>
          <w:rFonts w:ascii="Times New Roman" w:eastAsia="宋体" w:hAnsi="Times New Roman"/>
          <w:color w:val="000000"/>
          <w:sz w:val="20"/>
          <w:szCs w:val="20"/>
        </w:rPr>
        <w:t>consolidated balance sheet. There were no material finance leases as of December 27, 2020.</w:t>
      </w:r>
    </w:p>
    <w:p w14:paraId="40CB14FD" w14:textId="77777777" w:rsidR="00584FB3" w:rsidRDefault="00786180">
      <w:pPr>
        <w:jc w:val="center"/>
      </w:pPr>
      <w:r>
        <w:rPr>
          <w:rFonts w:ascii="Times New Roman" w:eastAsia="宋体" w:hAnsi="Times New Roman"/>
          <w:color w:val="000000"/>
          <w:sz w:val="20"/>
          <w:szCs w:val="20"/>
        </w:rPr>
        <w:t>20</w:t>
      </w:r>
    </w:p>
    <w:p w14:paraId="40CB14FE" w14:textId="77777777" w:rsidR="00584FB3" w:rsidRDefault="00786180">
      <w:r>
        <w:pict w14:anchorId="40CB2A49">
          <v:rect id="_x0000_i1044" style="width:415.3pt;height:1.5pt" o:hralign="center" o:hrstd="t" o:hr="t" fillcolor="#a0a0a0" stroked="f"/>
        </w:pict>
      </w:r>
    </w:p>
    <w:p w14:paraId="40CB14FF" w14:textId="77777777" w:rsidR="00584FB3" w:rsidRDefault="00786180">
      <w:hyperlink r:id="rId95" w:anchor="i11706e4b673c41db9f2dcbdb897203bb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40CB1500" w14:textId="77777777" w:rsidR="00584FB3" w:rsidRDefault="00584FB3">
      <w:pPr>
        <w:spacing w:before="120"/>
      </w:pPr>
    </w:p>
    <w:p w14:paraId="40CB1501" w14:textId="77777777" w:rsidR="00584FB3" w:rsidRDefault="00786180">
      <w:pPr>
        <w:spacing w:before="120"/>
      </w:pPr>
      <w:r>
        <w:rPr>
          <w:rFonts w:ascii="Times New Roman" w:eastAsia="宋体" w:hAnsi="Times New Roman"/>
          <w:color w:val="000000"/>
          <w:sz w:val="20"/>
          <w:szCs w:val="20"/>
        </w:rPr>
        <w:t xml:space="preserve">Minimum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862"/>
        <w:gridCol w:w="36"/>
        <w:gridCol w:w="120"/>
        <w:gridCol w:w="1230"/>
        <w:gridCol w:w="36"/>
      </w:tblGrid>
      <w:tr w:rsidR="00584FB3" w14:paraId="40CB1508" w14:textId="77777777">
        <w:tc>
          <w:tcPr>
            <w:tcW w:w="50" w:type="pct"/>
            <w:shd w:val="clear" w:color="auto" w:fill="auto"/>
          </w:tcPr>
          <w:p w14:paraId="40CB1502" w14:textId="77777777" w:rsidR="00584FB3" w:rsidRDefault="00584FB3">
            <w:pPr>
              <w:rPr>
                <w:rFonts w:ascii="宋体"/>
              </w:rPr>
            </w:pPr>
          </w:p>
        </w:tc>
        <w:tc>
          <w:tcPr>
            <w:tcW w:w="4133" w:type="pct"/>
            <w:shd w:val="clear" w:color="auto" w:fill="auto"/>
          </w:tcPr>
          <w:p w14:paraId="40CB1503" w14:textId="77777777" w:rsidR="00584FB3" w:rsidRDefault="00584FB3">
            <w:pPr>
              <w:rPr>
                <w:rFonts w:ascii="宋体"/>
              </w:rPr>
            </w:pPr>
          </w:p>
        </w:tc>
        <w:tc>
          <w:tcPr>
            <w:tcW w:w="5" w:type="pct"/>
            <w:shd w:val="clear" w:color="auto" w:fill="auto"/>
          </w:tcPr>
          <w:p w14:paraId="40CB1504" w14:textId="77777777" w:rsidR="00584FB3" w:rsidRDefault="00584FB3">
            <w:pPr>
              <w:rPr>
                <w:rFonts w:ascii="宋体"/>
              </w:rPr>
            </w:pPr>
          </w:p>
        </w:tc>
        <w:tc>
          <w:tcPr>
            <w:tcW w:w="50" w:type="pct"/>
            <w:shd w:val="clear" w:color="auto" w:fill="auto"/>
          </w:tcPr>
          <w:p w14:paraId="40CB1505" w14:textId="77777777" w:rsidR="00584FB3" w:rsidRDefault="00584FB3">
            <w:pPr>
              <w:rPr>
                <w:rFonts w:ascii="宋体"/>
              </w:rPr>
            </w:pPr>
          </w:p>
        </w:tc>
        <w:tc>
          <w:tcPr>
            <w:tcW w:w="756" w:type="pct"/>
            <w:shd w:val="clear" w:color="auto" w:fill="auto"/>
          </w:tcPr>
          <w:p w14:paraId="40CB1506" w14:textId="77777777" w:rsidR="00584FB3" w:rsidRDefault="00584FB3">
            <w:pPr>
              <w:rPr>
                <w:rFonts w:ascii="宋体"/>
              </w:rPr>
            </w:pPr>
          </w:p>
        </w:tc>
        <w:tc>
          <w:tcPr>
            <w:tcW w:w="5" w:type="pct"/>
            <w:shd w:val="clear" w:color="auto" w:fill="auto"/>
          </w:tcPr>
          <w:p w14:paraId="40CB1507" w14:textId="77777777" w:rsidR="00584FB3" w:rsidRDefault="00584FB3">
            <w:pPr>
              <w:rPr>
                <w:rFonts w:ascii="宋体"/>
              </w:rPr>
            </w:pPr>
          </w:p>
        </w:tc>
      </w:tr>
      <w:tr w:rsidR="00584FB3" w14:paraId="40CB150B" w14:textId="77777777">
        <w:tc>
          <w:tcPr>
            <w:tcW w:w="0" w:type="auto"/>
            <w:gridSpan w:val="3"/>
            <w:shd w:val="clear" w:color="auto" w:fill="auto"/>
            <w:tcMar>
              <w:top w:w="40" w:type="dxa"/>
              <w:left w:w="20" w:type="dxa"/>
              <w:bottom w:w="40" w:type="dxa"/>
              <w:right w:w="20" w:type="dxa"/>
            </w:tcMar>
            <w:vAlign w:val="bottom"/>
          </w:tcPr>
          <w:p w14:paraId="40CB1509" w14:textId="77777777" w:rsidR="00584FB3" w:rsidRDefault="00786180">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40CB150A" w14:textId="77777777" w:rsidR="00584FB3" w:rsidRDefault="00786180">
            <w:pPr>
              <w:jc w:val="center"/>
              <w:textAlignment w:val="bottom"/>
            </w:pPr>
            <w:r>
              <w:rPr>
                <w:rFonts w:ascii="Times New Roman" w:eastAsia="宋体" w:hAnsi="Times New Roman"/>
                <w:b/>
                <w:bCs/>
                <w:color w:val="FFFFFF"/>
                <w:sz w:val="16"/>
                <w:szCs w:val="16"/>
              </w:rPr>
              <w:t xml:space="preserve">Total </w:t>
            </w:r>
          </w:p>
        </w:tc>
      </w:tr>
      <w:tr w:rsidR="00584FB3" w14:paraId="40CB1510" w14:textId="77777777">
        <w:tc>
          <w:tcPr>
            <w:tcW w:w="0" w:type="auto"/>
            <w:gridSpan w:val="3"/>
            <w:shd w:val="clear" w:color="auto" w:fill="D7E4BC"/>
            <w:tcMar>
              <w:top w:w="40" w:type="dxa"/>
              <w:left w:w="20" w:type="dxa"/>
              <w:bottom w:w="40" w:type="dxa"/>
              <w:right w:w="20" w:type="dxa"/>
            </w:tcMar>
          </w:tcPr>
          <w:p w14:paraId="40CB150C" w14:textId="77777777" w:rsidR="00584FB3" w:rsidRDefault="00786180">
            <w:pPr>
              <w:textAlignment w:val="top"/>
            </w:pPr>
            <w:r>
              <w:rPr>
                <w:rFonts w:ascii="Times New Roman" w:eastAsia="宋体" w:hAnsi="Times New Roman"/>
                <w:color w:val="000000"/>
                <w:sz w:val="20"/>
                <w:szCs w:val="20"/>
              </w:rPr>
              <w:t>2021 (excluding the quarter ended December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50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50E" w14:textId="77777777" w:rsidR="00584FB3" w:rsidRDefault="00786180">
            <w:pPr>
              <w:jc w:val="right"/>
              <w:textAlignment w:val="bottom"/>
            </w:pPr>
            <w:r>
              <w:rPr>
                <w:rFonts w:ascii="Times New Roman" w:eastAsia="宋体" w:hAnsi="Times New Roman"/>
                <w:color w:val="000000"/>
                <w:sz w:val="20"/>
                <w:szCs w:val="20"/>
              </w:rPr>
              <w:t>1,173.9 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0F" w14:textId="77777777" w:rsidR="00584FB3" w:rsidRDefault="00584FB3">
            <w:pPr>
              <w:jc w:val="right"/>
              <w:rPr>
                <w:rFonts w:ascii="宋体"/>
              </w:rPr>
            </w:pPr>
          </w:p>
        </w:tc>
      </w:tr>
      <w:tr w:rsidR="00584FB3" w14:paraId="40CB1514" w14:textId="77777777">
        <w:tc>
          <w:tcPr>
            <w:tcW w:w="0" w:type="auto"/>
            <w:gridSpan w:val="3"/>
            <w:shd w:val="clear" w:color="auto" w:fill="FFFFFF"/>
            <w:tcMar>
              <w:top w:w="40" w:type="dxa"/>
              <w:left w:w="20" w:type="dxa"/>
              <w:bottom w:w="40" w:type="dxa"/>
              <w:right w:w="20" w:type="dxa"/>
            </w:tcMar>
          </w:tcPr>
          <w:p w14:paraId="40CB1511" w14:textId="77777777" w:rsidR="00584FB3" w:rsidRDefault="00786180">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40CB1512" w14:textId="77777777" w:rsidR="00584FB3" w:rsidRDefault="00786180">
            <w:pPr>
              <w:jc w:val="right"/>
              <w:textAlignment w:val="bottom"/>
            </w:pPr>
            <w:r>
              <w:rPr>
                <w:rFonts w:ascii="Times New Roman" w:eastAsia="宋体" w:hAnsi="Times New Roman"/>
                <w:color w:val="000000"/>
                <w:sz w:val="20"/>
                <w:szCs w:val="20"/>
              </w:rPr>
              <w:t>1,463.3 </w:t>
            </w:r>
          </w:p>
        </w:tc>
        <w:tc>
          <w:tcPr>
            <w:tcW w:w="0" w:type="auto"/>
            <w:shd w:val="clear" w:color="auto" w:fill="FFFFFF"/>
            <w:tcMar>
              <w:top w:w="40" w:type="dxa"/>
              <w:left w:w="0" w:type="dxa"/>
              <w:bottom w:w="40" w:type="dxa"/>
              <w:right w:w="20" w:type="dxa"/>
            </w:tcMar>
            <w:vAlign w:val="bottom"/>
          </w:tcPr>
          <w:p w14:paraId="40CB1513" w14:textId="77777777" w:rsidR="00584FB3" w:rsidRDefault="00584FB3">
            <w:pPr>
              <w:jc w:val="right"/>
              <w:rPr>
                <w:rFonts w:ascii="宋体"/>
              </w:rPr>
            </w:pPr>
          </w:p>
        </w:tc>
      </w:tr>
      <w:tr w:rsidR="00584FB3" w14:paraId="40CB1518" w14:textId="77777777">
        <w:tc>
          <w:tcPr>
            <w:tcW w:w="0" w:type="auto"/>
            <w:gridSpan w:val="3"/>
            <w:shd w:val="clear" w:color="auto" w:fill="D7E4BC"/>
            <w:tcMar>
              <w:top w:w="40" w:type="dxa"/>
              <w:left w:w="20" w:type="dxa"/>
              <w:bottom w:w="40" w:type="dxa"/>
              <w:right w:w="20" w:type="dxa"/>
            </w:tcMar>
          </w:tcPr>
          <w:p w14:paraId="40CB1515" w14:textId="77777777" w:rsidR="00584FB3" w:rsidRDefault="00786180">
            <w:pPr>
              <w:textAlignment w:val="top"/>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40CB1516" w14:textId="77777777" w:rsidR="00584FB3" w:rsidRDefault="00786180">
            <w:pPr>
              <w:jc w:val="right"/>
              <w:textAlignment w:val="bottom"/>
            </w:pPr>
            <w:r>
              <w:rPr>
                <w:rFonts w:ascii="Times New Roman" w:eastAsia="宋体" w:hAnsi="Times New Roman"/>
                <w:color w:val="000000"/>
                <w:sz w:val="20"/>
                <w:szCs w:val="20"/>
              </w:rPr>
              <w:t>1,321.2 </w:t>
            </w:r>
          </w:p>
        </w:tc>
        <w:tc>
          <w:tcPr>
            <w:tcW w:w="0" w:type="auto"/>
            <w:shd w:val="clear" w:color="auto" w:fill="D7E4BC"/>
            <w:tcMar>
              <w:top w:w="40" w:type="dxa"/>
              <w:left w:w="0" w:type="dxa"/>
              <w:bottom w:w="40" w:type="dxa"/>
              <w:right w:w="20" w:type="dxa"/>
            </w:tcMar>
            <w:vAlign w:val="bottom"/>
          </w:tcPr>
          <w:p w14:paraId="40CB1517" w14:textId="77777777" w:rsidR="00584FB3" w:rsidRDefault="00584FB3">
            <w:pPr>
              <w:jc w:val="right"/>
              <w:rPr>
                <w:rFonts w:ascii="宋体"/>
              </w:rPr>
            </w:pPr>
          </w:p>
        </w:tc>
      </w:tr>
      <w:tr w:rsidR="00584FB3" w14:paraId="40CB151C" w14:textId="77777777">
        <w:tc>
          <w:tcPr>
            <w:tcW w:w="0" w:type="auto"/>
            <w:gridSpan w:val="3"/>
            <w:shd w:val="clear" w:color="auto" w:fill="FFFFFF"/>
            <w:tcMar>
              <w:top w:w="40" w:type="dxa"/>
              <w:left w:w="20" w:type="dxa"/>
              <w:bottom w:w="40" w:type="dxa"/>
              <w:right w:w="20" w:type="dxa"/>
            </w:tcMar>
          </w:tcPr>
          <w:p w14:paraId="40CB1519" w14:textId="77777777" w:rsidR="00584FB3" w:rsidRDefault="00786180">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40CB151A" w14:textId="77777777" w:rsidR="00584FB3" w:rsidRDefault="00786180">
            <w:pPr>
              <w:jc w:val="right"/>
              <w:textAlignment w:val="bottom"/>
            </w:pPr>
            <w:r>
              <w:rPr>
                <w:rFonts w:ascii="Times New Roman" w:eastAsia="宋体" w:hAnsi="Times New Roman"/>
                <w:color w:val="000000"/>
                <w:sz w:val="20"/>
                <w:szCs w:val="20"/>
              </w:rPr>
              <w:t>1,180.3 </w:t>
            </w:r>
          </w:p>
        </w:tc>
        <w:tc>
          <w:tcPr>
            <w:tcW w:w="0" w:type="auto"/>
            <w:shd w:val="clear" w:color="auto" w:fill="FFFFFF"/>
            <w:tcMar>
              <w:top w:w="40" w:type="dxa"/>
              <w:left w:w="0" w:type="dxa"/>
              <w:bottom w:w="40" w:type="dxa"/>
              <w:right w:w="20" w:type="dxa"/>
            </w:tcMar>
            <w:vAlign w:val="bottom"/>
          </w:tcPr>
          <w:p w14:paraId="40CB151B" w14:textId="77777777" w:rsidR="00584FB3" w:rsidRDefault="00584FB3">
            <w:pPr>
              <w:jc w:val="right"/>
              <w:rPr>
                <w:rFonts w:ascii="宋体"/>
              </w:rPr>
            </w:pPr>
          </w:p>
        </w:tc>
      </w:tr>
      <w:tr w:rsidR="00584FB3" w14:paraId="40CB1520" w14:textId="77777777">
        <w:tc>
          <w:tcPr>
            <w:tcW w:w="0" w:type="auto"/>
            <w:gridSpan w:val="3"/>
            <w:shd w:val="clear" w:color="auto" w:fill="D7E4BC"/>
            <w:tcMar>
              <w:top w:w="40" w:type="dxa"/>
              <w:left w:w="20" w:type="dxa"/>
              <w:bottom w:w="40" w:type="dxa"/>
              <w:right w:w="20" w:type="dxa"/>
            </w:tcMar>
          </w:tcPr>
          <w:p w14:paraId="40CB151D" w14:textId="77777777" w:rsidR="00584FB3" w:rsidRDefault="00786180">
            <w:pPr>
              <w:textAlignment w:val="top"/>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40CB151E" w14:textId="77777777" w:rsidR="00584FB3" w:rsidRDefault="00786180">
            <w:pPr>
              <w:jc w:val="right"/>
              <w:textAlignment w:val="bottom"/>
            </w:pPr>
            <w:r>
              <w:rPr>
                <w:rFonts w:ascii="Times New Roman" w:eastAsia="宋体" w:hAnsi="Times New Roman"/>
                <w:color w:val="000000"/>
                <w:sz w:val="20"/>
                <w:szCs w:val="20"/>
              </w:rPr>
              <w:t>1,030.6 </w:t>
            </w:r>
          </w:p>
        </w:tc>
        <w:tc>
          <w:tcPr>
            <w:tcW w:w="0" w:type="auto"/>
            <w:shd w:val="clear" w:color="auto" w:fill="D7E4BC"/>
            <w:tcMar>
              <w:top w:w="40" w:type="dxa"/>
              <w:left w:w="0" w:type="dxa"/>
              <w:bottom w:w="40" w:type="dxa"/>
              <w:right w:w="20" w:type="dxa"/>
            </w:tcMar>
            <w:vAlign w:val="bottom"/>
          </w:tcPr>
          <w:p w14:paraId="40CB151F" w14:textId="77777777" w:rsidR="00584FB3" w:rsidRDefault="00584FB3">
            <w:pPr>
              <w:jc w:val="right"/>
              <w:rPr>
                <w:rFonts w:ascii="宋体"/>
              </w:rPr>
            </w:pPr>
          </w:p>
        </w:tc>
      </w:tr>
      <w:tr w:rsidR="00584FB3" w14:paraId="40CB1524" w14:textId="77777777">
        <w:tc>
          <w:tcPr>
            <w:tcW w:w="0" w:type="auto"/>
            <w:gridSpan w:val="3"/>
            <w:shd w:val="clear" w:color="auto" w:fill="FFFFFF"/>
            <w:tcMar>
              <w:top w:w="40" w:type="dxa"/>
              <w:left w:w="20" w:type="dxa"/>
              <w:bottom w:w="40" w:type="dxa"/>
              <w:right w:w="20" w:type="dxa"/>
            </w:tcMar>
          </w:tcPr>
          <w:p w14:paraId="40CB1521" w14:textId="77777777" w:rsidR="00584FB3" w:rsidRDefault="00786180">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0CB1522" w14:textId="77777777" w:rsidR="00584FB3" w:rsidRDefault="00786180">
            <w:pPr>
              <w:jc w:val="right"/>
              <w:textAlignment w:val="bottom"/>
            </w:pPr>
            <w:r>
              <w:rPr>
                <w:rFonts w:ascii="Times New Roman" w:eastAsia="宋体" w:hAnsi="Times New Roman"/>
                <w:color w:val="000000"/>
                <w:sz w:val="20"/>
                <w:szCs w:val="20"/>
              </w:rPr>
              <w:t>3,992.3 </w:t>
            </w:r>
          </w:p>
        </w:tc>
        <w:tc>
          <w:tcPr>
            <w:tcW w:w="0" w:type="auto"/>
            <w:shd w:val="clear" w:color="auto" w:fill="FFFFFF"/>
            <w:tcMar>
              <w:top w:w="40" w:type="dxa"/>
              <w:left w:w="0" w:type="dxa"/>
              <w:bottom w:w="40" w:type="dxa"/>
              <w:right w:w="20" w:type="dxa"/>
            </w:tcMar>
            <w:vAlign w:val="bottom"/>
          </w:tcPr>
          <w:p w14:paraId="40CB1523" w14:textId="77777777" w:rsidR="00584FB3" w:rsidRDefault="00584FB3">
            <w:pPr>
              <w:jc w:val="right"/>
              <w:rPr>
                <w:rFonts w:ascii="宋体"/>
              </w:rPr>
            </w:pPr>
          </w:p>
        </w:tc>
      </w:tr>
      <w:tr w:rsidR="00584FB3" w14:paraId="40CB1528" w14:textId="77777777">
        <w:tc>
          <w:tcPr>
            <w:tcW w:w="0" w:type="auto"/>
            <w:gridSpan w:val="3"/>
            <w:shd w:val="clear" w:color="auto" w:fill="D7E4BC"/>
            <w:tcMar>
              <w:top w:w="40" w:type="dxa"/>
              <w:left w:w="20" w:type="dxa"/>
              <w:bottom w:w="40" w:type="dxa"/>
              <w:right w:w="20" w:type="dxa"/>
            </w:tcMar>
          </w:tcPr>
          <w:p w14:paraId="40CB1525" w14:textId="77777777" w:rsidR="00584FB3" w:rsidRDefault="00786180">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526" w14:textId="77777777" w:rsidR="00584FB3" w:rsidRDefault="00786180">
            <w:pPr>
              <w:jc w:val="right"/>
              <w:textAlignment w:val="bottom"/>
            </w:pPr>
            <w:r>
              <w:rPr>
                <w:rFonts w:ascii="Times New Roman" w:eastAsia="宋体" w:hAnsi="Times New Roman"/>
                <w:color w:val="000000"/>
                <w:sz w:val="20"/>
                <w:szCs w:val="20"/>
              </w:rPr>
              <w:t>10,161.6 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27" w14:textId="77777777" w:rsidR="00584FB3" w:rsidRDefault="00584FB3">
            <w:pPr>
              <w:jc w:val="right"/>
              <w:rPr>
                <w:rFonts w:ascii="宋体"/>
              </w:rPr>
            </w:pPr>
          </w:p>
        </w:tc>
      </w:tr>
      <w:tr w:rsidR="00584FB3" w14:paraId="40CB152C" w14:textId="77777777">
        <w:tc>
          <w:tcPr>
            <w:tcW w:w="0" w:type="auto"/>
            <w:gridSpan w:val="3"/>
            <w:shd w:val="clear" w:color="auto" w:fill="FFFFFF"/>
            <w:tcMar>
              <w:top w:w="40" w:type="dxa"/>
              <w:left w:w="20" w:type="dxa"/>
              <w:bottom w:w="40" w:type="dxa"/>
              <w:right w:w="20" w:type="dxa"/>
            </w:tcMar>
          </w:tcPr>
          <w:p w14:paraId="40CB1529" w14:textId="77777777" w:rsidR="00584FB3" w:rsidRDefault="00786180">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40CB152A" w14:textId="77777777" w:rsidR="00584FB3" w:rsidRDefault="00786180">
            <w:pPr>
              <w:jc w:val="right"/>
              <w:textAlignment w:val="bottom"/>
            </w:pPr>
            <w:r>
              <w:rPr>
                <w:rFonts w:ascii="Times New Roman" w:eastAsia="宋体" w:hAnsi="Times New Roman"/>
                <w:color w:val="000000"/>
                <w:sz w:val="20"/>
                <w:szCs w:val="20"/>
              </w:rPr>
              <w:t>(1,139.5)</w:t>
            </w:r>
          </w:p>
        </w:tc>
        <w:tc>
          <w:tcPr>
            <w:tcW w:w="0" w:type="auto"/>
            <w:shd w:val="clear" w:color="auto" w:fill="FFFFFF"/>
            <w:tcMar>
              <w:top w:w="40" w:type="dxa"/>
              <w:left w:w="0" w:type="dxa"/>
              <w:bottom w:w="40" w:type="dxa"/>
              <w:right w:w="20" w:type="dxa"/>
            </w:tcMar>
            <w:vAlign w:val="bottom"/>
          </w:tcPr>
          <w:p w14:paraId="40CB152B" w14:textId="77777777" w:rsidR="00584FB3" w:rsidRDefault="00584FB3">
            <w:pPr>
              <w:jc w:val="right"/>
              <w:rPr>
                <w:rFonts w:ascii="宋体"/>
              </w:rPr>
            </w:pPr>
          </w:p>
        </w:tc>
      </w:tr>
      <w:tr w:rsidR="00584FB3" w14:paraId="40CB1531" w14:textId="77777777">
        <w:tc>
          <w:tcPr>
            <w:tcW w:w="0" w:type="auto"/>
            <w:gridSpan w:val="3"/>
            <w:shd w:val="clear" w:color="auto" w:fill="D7E4BC"/>
            <w:tcMar>
              <w:top w:w="40" w:type="dxa"/>
              <w:left w:w="20" w:type="dxa"/>
              <w:bottom w:w="40" w:type="dxa"/>
              <w:right w:w="20" w:type="dxa"/>
            </w:tcMar>
          </w:tcPr>
          <w:p w14:paraId="40CB152D" w14:textId="77777777" w:rsidR="00584FB3" w:rsidRDefault="0078618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52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52F" w14:textId="77777777" w:rsidR="00584FB3" w:rsidRDefault="00786180">
            <w:pPr>
              <w:jc w:val="right"/>
              <w:textAlignment w:val="bottom"/>
            </w:pPr>
            <w:r>
              <w:rPr>
                <w:rFonts w:ascii="Times New Roman" w:eastAsia="宋体" w:hAnsi="Times New Roman"/>
                <w:color w:val="000000"/>
                <w:sz w:val="20"/>
                <w:szCs w:val="20"/>
              </w:rPr>
              <w:t>9,022.1 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530" w14:textId="77777777" w:rsidR="00584FB3" w:rsidRDefault="00584FB3">
            <w:pPr>
              <w:jc w:val="right"/>
              <w:rPr>
                <w:rFonts w:ascii="宋体"/>
              </w:rPr>
            </w:pPr>
          </w:p>
        </w:tc>
      </w:tr>
    </w:tbl>
    <w:p w14:paraId="40CB1532" w14:textId="77777777" w:rsidR="00584FB3" w:rsidRDefault="00786180">
      <w:pPr>
        <w:spacing w:before="120"/>
      </w:pPr>
      <w:r>
        <w:rPr>
          <w:rFonts w:ascii="Times New Roman" w:eastAsia="宋体" w:hAnsi="Times New Roman"/>
          <w:color w:val="000000"/>
          <w:sz w:val="20"/>
          <w:szCs w:val="20"/>
        </w:rPr>
        <w:t xml:space="preserve">As of December 27, 2020, we have entered into operating leases that have not yet commenced of $723.4 million, primarily related to real estate </w:t>
      </w:r>
      <w:r>
        <w:rPr>
          <w:rFonts w:ascii="Times New Roman" w:eastAsia="宋体" w:hAnsi="Times New Roman"/>
          <w:color w:val="000000"/>
          <w:sz w:val="20"/>
          <w:szCs w:val="20"/>
        </w:rPr>
        <w:t>leases. These leases will commence between fiscal year 2021 and fiscal year 2027 with lease terms ranging from 3 years to 20 years.</w:t>
      </w:r>
    </w:p>
    <w:p w14:paraId="40CB1533" w14:textId="77777777" w:rsidR="00584FB3" w:rsidRDefault="00786180">
      <w:pPr>
        <w:spacing w:before="120"/>
      </w:pPr>
      <w:r>
        <w:rPr>
          <w:rFonts w:ascii="Times New Roman" w:eastAsia="宋体" w:hAnsi="Times New Roman"/>
          <w:b/>
          <w:bCs/>
          <w:color w:val="000000"/>
          <w:sz w:val="20"/>
          <w:szCs w:val="20"/>
        </w:rPr>
        <w:t>Note 9: Deferred Revenue</w:t>
      </w:r>
    </w:p>
    <w:p w14:paraId="40CB1534" w14:textId="77777777" w:rsidR="00584FB3" w:rsidRDefault="00786180">
      <w:pPr>
        <w:spacing w:before="120"/>
      </w:pPr>
      <w:r>
        <w:rPr>
          <w:rFonts w:ascii="Times New Roman" w:eastAsia="宋体" w:hAnsi="Times New Roman"/>
          <w:color w:val="000000"/>
          <w:sz w:val="20"/>
          <w:szCs w:val="20"/>
        </w:rPr>
        <w:t>Our deferred revenue primarily consists of the prepaid royalty from Nestlé, for which we have conti</w:t>
      </w:r>
      <w:r>
        <w:rPr>
          <w:rFonts w:ascii="Times New Roman" w:eastAsia="宋体" w:hAnsi="Times New Roman"/>
          <w:color w:val="000000"/>
          <w:sz w:val="20"/>
          <w:szCs w:val="20"/>
        </w:rPr>
        <w:t>nuing performance obligations to support the Global Coffee Alliance, our unredeemed stored value card liability and unredeemed loyalty points (“Stars”) associated with our loyalty program.</w:t>
      </w:r>
    </w:p>
    <w:p w14:paraId="40CB1535" w14:textId="77777777" w:rsidR="00584FB3" w:rsidRDefault="00786180">
      <w:pPr>
        <w:spacing w:before="120"/>
      </w:pPr>
      <w:r>
        <w:rPr>
          <w:rFonts w:ascii="Times New Roman" w:eastAsia="宋体" w:hAnsi="Times New Roman"/>
          <w:color w:val="000000"/>
          <w:sz w:val="20"/>
          <w:szCs w:val="20"/>
        </w:rPr>
        <w:t>At December 27, 2020, the current and long-term deferred revenue re</w:t>
      </w:r>
      <w:r>
        <w:rPr>
          <w:rFonts w:ascii="Times New Roman" w:eastAsia="宋体" w:hAnsi="Times New Roman"/>
          <w:color w:val="000000"/>
          <w:sz w:val="20"/>
          <w:szCs w:val="20"/>
        </w:rPr>
        <w:t xml:space="preserve">lated to the Nestlé was $180.3 million and $6.5 billion, respectively. During both quarters ended December 27, 2020 and December 29, 2019, we recognized $44.2 million of prepaid royalty revenue related to Nestlé. </w:t>
      </w:r>
    </w:p>
    <w:p w14:paraId="40CB1536" w14:textId="77777777" w:rsidR="00584FB3" w:rsidRDefault="00786180">
      <w:pPr>
        <w:spacing w:before="120"/>
      </w:pPr>
      <w:r>
        <w:rPr>
          <w:rFonts w:ascii="Times New Roman" w:eastAsia="宋体" w:hAnsi="Times New Roman"/>
          <w:color w:val="000000"/>
          <w:sz w:val="20"/>
          <w:szCs w:val="20"/>
        </w:rPr>
        <w:t>Changes in our deferred revenue balance re</w:t>
      </w:r>
      <w:r>
        <w:rPr>
          <w:rFonts w:ascii="Times New Roman" w:eastAsia="宋体" w:hAnsi="Times New Roman"/>
          <w:color w:val="000000"/>
          <w:sz w:val="20"/>
          <w:szCs w:val="20"/>
        </w:rPr>
        <w:t>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861"/>
        <w:gridCol w:w="37"/>
        <w:gridCol w:w="120"/>
        <w:gridCol w:w="1230"/>
        <w:gridCol w:w="36"/>
      </w:tblGrid>
      <w:tr w:rsidR="00584FB3" w14:paraId="40CB153D" w14:textId="77777777">
        <w:trPr>
          <w:jc w:val="center"/>
        </w:trPr>
        <w:tc>
          <w:tcPr>
            <w:tcW w:w="50" w:type="pct"/>
            <w:shd w:val="clear" w:color="auto" w:fill="auto"/>
          </w:tcPr>
          <w:p w14:paraId="40CB1537" w14:textId="77777777" w:rsidR="00584FB3" w:rsidRDefault="00584FB3">
            <w:pPr>
              <w:rPr>
                <w:rFonts w:ascii="宋体"/>
              </w:rPr>
            </w:pPr>
          </w:p>
        </w:tc>
        <w:tc>
          <w:tcPr>
            <w:tcW w:w="4133" w:type="pct"/>
            <w:shd w:val="clear" w:color="auto" w:fill="auto"/>
          </w:tcPr>
          <w:p w14:paraId="40CB1538" w14:textId="77777777" w:rsidR="00584FB3" w:rsidRDefault="00584FB3">
            <w:pPr>
              <w:rPr>
                <w:rFonts w:ascii="宋体"/>
              </w:rPr>
            </w:pPr>
          </w:p>
        </w:tc>
        <w:tc>
          <w:tcPr>
            <w:tcW w:w="5" w:type="pct"/>
            <w:shd w:val="clear" w:color="auto" w:fill="auto"/>
          </w:tcPr>
          <w:p w14:paraId="40CB1539" w14:textId="77777777" w:rsidR="00584FB3" w:rsidRDefault="00584FB3">
            <w:pPr>
              <w:rPr>
                <w:rFonts w:ascii="宋体"/>
              </w:rPr>
            </w:pPr>
          </w:p>
        </w:tc>
        <w:tc>
          <w:tcPr>
            <w:tcW w:w="50" w:type="pct"/>
            <w:shd w:val="clear" w:color="auto" w:fill="auto"/>
          </w:tcPr>
          <w:p w14:paraId="40CB153A" w14:textId="77777777" w:rsidR="00584FB3" w:rsidRDefault="00584FB3">
            <w:pPr>
              <w:rPr>
                <w:rFonts w:ascii="宋体"/>
              </w:rPr>
            </w:pPr>
          </w:p>
        </w:tc>
        <w:tc>
          <w:tcPr>
            <w:tcW w:w="756" w:type="pct"/>
            <w:shd w:val="clear" w:color="auto" w:fill="auto"/>
          </w:tcPr>
          <w:p w14:paraId="40CB153B" w14:textId="77777777" w:rsidR="00584FB3" w:rsidRDefault="00584FB3">
            <w:pPr>
              <w:rPr>
                <w:rFonts w:ascii="宋体"/>
              </w:rPr>
            </w:pPr>
          </w:p>
        </w:tc>
        <w:tc>
          <w:tcPr>
            <w:tcW w:w="5" w:type="pct"/>
            <w:shd w:val="clear" w:color="auto" w:fill="auto"/>
          </w:tcPr>
          <w:p w14:paraId="40CB153C" w14:textId="77777777" w:rsidR="00584FB3" w:rsidRDefault="00584FB3">
            <w:pPr>
              <w:rPr>
                <w:rFonts w:ascii="宋体"/>
              </w:rPr>
            </w:pPr>
          </w:p>
        </w:tc>
      </w:tr>
      <w:tr w:rsidR="00584FB3" w14:paraId="40CB1540" w14:textId="77777777">
        <w:trPr>
          <w:jc w:val="center"/>
        </w:trPr>
        <w:tc>
          <w:tcPr>
            <w:tcW w:w="0" w:type="auto"/>
            <w:gridSpan w:val="3"/>
            <w:shd w:val="clear" w:color="auto" w:fill="auto"/>
            <w:tcMar>
              <w:top w:w="40" w:type="dxa"/>
              <w:left w:w="20" w:type="dxa"/>
              <w:bottom w:w="40" w:type="dxa"/>
              <w:right w:w="20" w:type="dxa"/>
            </w:tcMar>
            <w:vAlign w:val="bottom"/>
          </w:tcPr>
          <w:p w14:paraId="40CB153E" w14:textId="77777777" w:rsidR="00584FB3" w:rsidRDefault="00786180">
            <w:pPr>
              <w:textAlignment w:val="bottom"/>
            </w:pPr>
            <w:r>
              <w:rPr>
                <w:rFonts w:ascii="Times New Roman" w:eastAsia="宋体" w:hAnsi="Times New Roman"/>
                <w:b/>
                <w:bCs/>
                <w:color w:val="000000"/>
                <w:sz w:val="20"/>
                <w:szCs w:val="20"/>
              </w:rPr>
              <w:t>Quarter Ended December 27, 2020</w:t>
            </w:r>
          </w:p>
        </w:tc>
        <w:tc>
          <w:tcPr>
            <w:tcW w:w="0" w:type="auto"/>
            <w:gridSpan w:val="3"/>
            <w:shd w:val="clear" w:color="auto" w:fill="00704A"/>
            <w:tcMar>
              <w:top w:w="40" w:type="dxa"/>
              <w:left w:w="20" w:type="dxa"/>
              <w:bottom w:w="40" w:type="dxa"/>
              <w:right w:w="20" w:type="dxa"/>
            </w:tcMar>
            <w:vAlign w:val="bottom"/>
          </w:tcPr>
          <w:p w14:paraId="40CB153F"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1545" w14:textId="77777777">
        <w:trPr>
          <w:jc w:val="center"/>
        </w:trPr>
        <w:tc>
          <w:tcPr>
            <w:tcW w:w="0" w:type="auto"/>
            <w:gridSpan w:val="3"/>
            <w:shd w:val="clear" w:color="auto" w:fill="D7E4BC"/>
            <w:tcMar>
              <w:top w:w="40" w:type="dxa"/>
              <w:left w:w="20" w:type="dxa"/>
              <w:bottom w:w="40" w:type="dxa"/>
              <w:right w:w="20" w:type="dxa"/>
            </w:tcMar>
            <w:vAlign w:val="bottom"/>
          </w:tcPr>
          <w:p w14:paraId="40CB1541" w14:textId="77777777" w:rsidR="00584FB3" w:rsidRDefault="00786180">
            <w:pPr>
              <w:textAlignment w:val="bottom"/>
            </w:pPr>
            <w:r>
              <w:rPr>
                <w:rFonts w:ascii="Times New Roman" w:eastAsia="宋体" w:hAnsi="Times New Roman"/>
                <w:color w:val="000000"/>
                <w:sz w:val="20"/>
                <w:szCs w:val="20"/>
              </w:rPr>
              <w:t>Stored value cards and loyalty program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54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543" w14:textId="77777777" w:rsidR="00584FB3" w:rsidRDefault="00786180">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44" w14:textId="77777777" w:rsidR="00584FB3" w:rsidRDefault="00584FB3">
            <w:pPr>
              <w:jc w:val="right"/>
              <w:rPr>
                <w:rFonts w:ascii="宋体"/>
              </w:rPr>
            </w:pPr>
          </w:p>
        </w:tc>
      </w:tr>
      <w:tr w:rsidR="00584FB3" w14:paraId="40CB1549" w14:textId="77777777">
        <w:trPr>
          <w:jc w:val="center"/>
        </w:trPr>
        <w:tc>
          <w:tcPr>
            <w:tcW w:w="0" w:type="auto"/>
            <w:gridSpan w:val="3"/>
            <w:shd w:val="clear" w:color="auto" w:fill="FFFFFF"/>
            <w:tcMar>
              <w:top w:w="40" w:type="dxa"/>
              <w:left w:w="20" w:type="dxa"/>
              <w:bottom w:w="40" w:type="dxa"/>
              <w:right w:w="20" w:type="dxa"/>
            </w:tcMar>
            <w:vAlign w:val="bottom"/>
          </w:tcPr>
          <w:p w14:paraId="40CB1546" w14:textId="77777777" w:rsidR="00584FB3" w:rsidRDefault="00786180">
            <w:pPr>
              <w:textAlignment w:val="bottom"/>
            </w:pPr>
            <w:r>
              <w:rPr>
                <w:rFonts w:ascii="Times New Roman" w:eastAsia="宋体" w:hAnsi="Times New Roman"/>
                <w:color w:val="000000"/>
                <w:sz w:val="20"/>
                <w:szCs w:val="20"/>
              </w:rPr>
              <w:t xml:space="preserve">Revenue deferred - card activations, card reloads and Stars </w:t>
            </w:r>
            <w:r>
              <w:rPr>
                <w:rFonts w:ascii="Times New Roman" w:eastAsia="宋体" w:hAnsi="Times New Roman"/>
                <w:color w:val="000000"/>
                <w:sz w:val="20"/>
                <w:szCs w:val="20"/>
              </w:rPr>
              <w:t>earned</w:t>
            </w:r>
          </w:p>
        </w:tc>
        <w:tc>
          <w:tcPr>
            <w:tcW w:w="0" w:type="auto"/>
            <w:gridSpan w:val="2"/>
            <w:shd w:val="clear" w:color="auto" w:fill="FFFFFF"/>
            <w:tcMar>
              <w:top w:w="40" w:type="dxa"/>
              <w:left w:w="20" w:type="dxa"/>
              <w:bottom w:w="40" w:type="dxa"/>
              <w:right w:w="0" w:type="dxa"/>
            </w:tcMar>
            <w:vAlign w:val="bottom"/>
          </w:tcPr>
          <w:p w14:paraId="40CB1547" w14:textId="77777777" w:rsidR="00584FB3" w:rsidRDefault="00786180">
            <w:pPr>
              <w:jc w:val="right"/>
              <w:textAlignment w:val="bottom"/>
            </w:pPr>
            <w:r>
              <w:rPr>
                <w:rFonts w:ascii="Times New Roman" w:eastAsia="宋体" w:hAnsi="Times New Roman"/>
                <w:color w:val="000000"/>
                <w:sz w:val="20"/>
                <w:szCs w:val="20"/>
              </w:rPr>
              <w:t>3,437.4 </w:t>
            </w:r>
          </w:p>
        </w:tc>
        <w:tc>
          <w:tcPr>
            <w:tcW w:w="0" w:type="auto"/>
            <w:shd w:val="clear" w:color="auto" w:fill="FFFFFF"/>
            <w:tcMar>
              <w:top w:w="40" w:type="dxa"/>
              <w:left w:w="0" w:type="dxa"/>
              <w:bottom w:w="40" w:type="dxa"/>
              <w:right w:w="20" w:type="dxa"/>
            </w:tcMar>
            <w:vAlign w:val="bottom"/>
          </w:tcPr>
          <w:p w14:paraId="40CB1548" w14:textId="77777777" w:rsidR="00584FB3" w:rsidRDefault="00584FB3">
            <w:pPr>
              <w:jc w:val="right"/>
              <w:rPr>
                <w:rFonts w:ascii="宋体"/>
              </w:rPr>
            </w:pPr>
          </w:p>
        </w:tc>
      </w:tr>
      <w:tr w:rsidR="00584FB3" w14:paraId="40CB154D" w14:textId="77777777">
        <w:trPr>
          <w:jc w:val="center"/>
        </w:trPr>
        <w:tc>
          <w:tcPr>
            <w:tcW w:w="0" w:type="auto"/>
            <w:gridSpan w:val="3"/>
            <w:shd w:val="clear" w:color="auto" w:fill="D7E4BC"/>
            <w:tcMar>
              <w:top w:w="40" w:type="dxa"/>
              <w:left w:w="20" w:type="dxa"/>
              <w:bottom w:w="40" w:type="dxa"/>
              <w:right w:w="20" w:type="dxa"/>
            </w:tcMar>
            <w:vAlign w:val="bottom"/>
          </w:tcPr>
          <w:p w14:paraId="40CB154A" w14:textId="77777777" w:rsidR="00584FB3" w:rsidRDefault="00786180">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40CB154B" w14:textId="77777777" w:rsidR="00584FB3" w:rsidRDefault="00786180">
            <w:pPr>
              <w:jc w:val="right"/>
              <w:textAlignment w:val="bottom"/>
            </w:pPr>
            <w:r>
              <w:rPr>
                <w:rFonts w:ascii="Times New Roman" w:eastAsia="宋体" w:hAnsi="Times New Roman"/>
                <w:color w:val="000000"/>
                <w:sz w:val="20"/>
                <w:szCs w:val="20"/>
              </w:rPr>
              <w:t>(2,980.2)</w:t>
            </w:r>
          </w:p>
        </w:tc>
        <w:tc>
          <w:tcPr>
            <w:tcW w:w="0" w:type="auto"/>
            <w:shd w:val="clear" w:color="auto" w:fill="D7E4BC"/>
            <w:tcMar>
              <w:top w:w="40" w:type="dxa"/>
              <w:left w:w="0" w:type="dxa"/>
              <w:bottom w:w="40" w:type="dxa"/>
              <w:right w:w="20" w:type="dxa"/>
            </w:tcMar>
            <w:vAlign w:val="bottom"/>
          </w:tcPr>
          <w:p w14:paraId="40CB154C" w14:textId="77777777" w:rsidR="00584FB3" w:rsidRDefault="00584FB3">
            <w:pPr>
              <w:jc w:val="right"/>
              <w:rPr>
                <w:rFonts w:ascii="宋体"/>
              </w:rPr>
            </w:pPr>
          </w:p>
        </w:tc>
      </w:tr>
      <w:tr w:rsidR="00584FB3" w14:paraId="40CB1551" w14:textId="77777777">
        <w:trPr>
          <w:jc w:val="center"/>
        </w:trPr>
        <w:tc>
          <w:tcPr>
            <w:tcW w:w="0" w:type="auto"/>
            <w:gridSpan w:val="3"/>
            <w:shd w:val="clear" w:color="auto" w:fill="FFFFFF"/>
            <w:tcMar>
              <w:top w:w="40" w:type="dxa"/>
              <w:left w:w="20" w:type="dxa"/>
              <w:bottom w:w="40" w:type="dxa"/>
              <w:right w:w="20" w:type="dxa"/>
            </w:tcMar>
            <w:vAlign w:val="bottom"/>
          </w:tcPr>
          <w:p w14:paraId="40CB154E" w14:textId="77777777" w:rsidR="00584FB3" w:rsidRDefault="00786180">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0CB154F" w14:textId="77777777" w:rsidR="00584FB3" w:rsidRDefault="00786180">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40CB1550" w14:textId="77777777" w:rsidR="00584FB3" w:rsidRDefault="00584FB3">
            <w:pPr>
              <w:jc w:val="right"/>
              <w:rPr>
                <w:rFonts w:ascii="宋体"/>
              </w:rPr>
            </w:pPr>
          </w:p>
        </w:tc>
      </w:tr>
      <w:tr w:rsidR="00584FB3" w14:paraId="40CB1556" w14:textId="77777777">
        <w:trPr>
          <w:jc w:val="center"/>
        </w:trPr>
        <w:tc>
          <w:tcPr>
            <w:tcW w:w="0" w:type="auto"/>
            <w:gridSpan w:val="3"/>
            <w:shd w:val="clear" w:color="auto" w:fill="D7E4BC"/>
            <w:tcMar>
              <w:top w:w="40" w:type="dxa"/>
              <w:left w:w="20" w:type="dxa"/>
              <w:bottom w:w="40" w:type="dxa"/>
              <w:right w:w="20" w:type="dxa"/>
            </w:tcMar>
            <w:vAlign w:val="bottom"/>
          </w:tcPr>
          <w:p w14:paraId="40CB1552" w14:textId="77777777" w:rsidR="00584FB3" w:rsidRDefault="00786180">
            <w:pPr>
              <w:textAlignment w:val="bottom"/>
            </w:pPr>
            <w:r>
              <w:rPr>
                <w:rFonts w:ascii="Times New Roman" w:eastAsia="宋体" w:hAnsi="Times New Roman"/>
                <w:color w:val="000000"/>
                <w:sz w:val="20"/>
                <w:szCs w:val="20"/>
              </w:rPr>
              <w:t>Stored value cards and loyalty program at December 27, 2020</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553"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554" w14:textId="77777777" w:rsidR="00584FB3" w:rsidRDefault="00786180">
            <w:pPr>
              <w:jc w:val="right"/>
              <w:textAlignment w:val="bottom"/>
            </w:pPr>
            <w:r>
              <w:rPr>
                <w:rFonts w:ascii="Times New Roman" w:eastAsia="宋体" w:hAnsi="Times New Roman"/>
                <w:color w:val="000000"/>
                <w:sz w:val="20"/>
                <w:szCs w:val="20"/>
              </w:rPr>
              <w:t>1,750.0 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55" w14:textId="77777777" w:rsidR="00584FB3" w:rsidRDefault="00584FB3">
            <w:pPr>
              <w:jc w:val="right"/>
              <w:rPr>
                <w:rFonts w:ascii="宋体"/>
              </w:rPr>
            </w:pPr>
          </w:p>
        </w:tc>
      </w:tr>
      <w:tr w:rsidR="00584FB3" w14:paraId="40CB1559" w14:textId="77777777">
        <w:trPr>
          <w:trHeight w:val="240"/>
          <w:jc w:val="center"/>
        </w:trPr>
        <w:tc>
          <w:tcPr>
            <w:tcW w:w="0" w:type="auto"/>
            <w:gridSpan w:val="3"/>
            <w:shd w:val="clear" w:color="auto" w:fill="auto"/>
            <w:tcMar>
              <w:top w:w="0" w:type="dxa"/>
              <w:left w:w="20" w:type="dxa"/>
              <w:bottom w:w="0" w:type="dxa"/>
              <w:right w:w="20" w:type="dxa"/>
            </w:tcMar>
          </w:tcPr>
          <w:p w14:paraId="40CB1557"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1558" w14:textId="77777777" w:rsidR="00584FB3" w:rsidRDefault="00584FB3">
            <w:pPr>
              <w:rPr>
                <w:rFonts w:ascii="宋体"/>
              </w:rPr>
            </w:pPr>
          </w:p>
        </w:tc>
      </w:tr>
      <w:tr w:rsidR="00584FB3" w14:paraId="40CB155C" w14:textId="77777777">
        <w:trPr>
          <w:jc w:val="center"/>
        </w:trPr>
        <w:tc>
          <w:tcPr>
            <w:tcW w:w="0" w:type="auto"/>
            <w:gridSpan w:val="3"/>
            <w:shd w:val="clear" w:color="auto" w:fill="auto"/>
            <w:tcMar>
              <w:top w:w="40" w:type="dxa"/>
              <w:left w:w="20" w:type="dxa"/>
              <w:bottom w:w="40" w:type="dxa"/>
              <w:right w:w="20" w:type="dxa"/>
            </w:tcMar>
            <w:vAlign w:val="bottom"/>
          </w:tcPr>
          <w:p w14:paraId="40CB155A" w14:textId="77777777" w:rsidR="00584FB3" w:rsidRDefault="00786180">
            <w:pPr>
              <w:textAlignment w:val="bottom"/>
            </w:pPr>
            <w:r>
              <w:rPr>
                <w:rFonts w:ascii="Times New Roman" w:eastAsia="宋体" w:hAnsi="Times New Roman"/>
                <w:b/>
                <w:bCs/>
                <w:color w:val="000000"/>
                <w:sz w:val="20"/>
                <w:szCs w:val="20"/>
              </w:rPr>
              <w:t>Quarter Ended December 29, 2019</w:t>
            </w:r>
          </w:p>
        </w:tc>
        <w:tc>
          <w:tcPr>
            <w:tcW w:w="0" w:type="auto"/>
            <w:gridSpan w:val="3"/>
            <w:shd w:val="clear" w:color="auto" w:fill="00704A"/>
            <w:tcMar>
              <w:top w:w="40" w:type="dxa"/>
              <w:left w:w="20" w:type="dxa"/>
              <w:bottom w:w="40" w:type="dxa"/>
              <w:right w:w="20" w:type="dxa"/>
            </w:tcMar>
            <w:vAlign w:val="bottom"/>
          </w:tcPr>
          <w:p w14:paraId="40CB155B"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1561" w14:textId="77777777">
        <w:trPr>
          <w:jc w:val="center"/>
        </w:trPr>
        <w:tc>
          <w:tcPr>
            <w:tcW w:w="0" w:type="auto"/>
            <w:gridSpan w:val="3"/>
            <w:shd w:val="clear" w:color="auto" w:fill="D7E4BC"/>
            <w:tcMar>
              <w:top w:w="40" w:type="dxa"/>
              <w:left w:w="20" w:type="dxa"/>
              <w:bottom w:w="40" w:type="dxa"/>
              <w:right w:w="20" w:type="dxa"/>
            </w:tcMar>
            <w:vAlign w:val="bottom"/>
          </w:tcPr>
          <w:p w14:paraId="40CB155D" w14:textId="77777777" w:rsidR="00584FB3" w:rsidRDefault="00786180">
            <w:pPr>
              <w:textAlignment w:val="bottom"/>
            </w:pPr>
            <w:r>
              <w:rPr>
                <w:rFonts w:ascii="Times New Roman" w:eastAsia="宋体" w:hAnsi="Times New Roman"/>
                <w:color w:val="000000"/>
                <w:sz w:val="20"/>
                <w:szCs w:val="20"/>
              </w:rPr>
              <w:t xml:space="preserve">Stored value cards and </w:t>
            </w:r>
            <w:r>
              <w:rPr>
                <w:rFonts w:ascii="Times New Roman" w:eastAsia="宋体" w:hAnsi="Times New Roman"/>
                <w:color w:val="000000"/>
                <w:sz w:val="20"/>
                <w:szCs w:val="20"/>
              </w:rPr>
              <w:t>loyalty program at September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55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55F" w14:textId="77777777" w:rsidR="00584FB3" w:rsidRDefault="00786180">
            <w:pPr>
              <w:jc w:val="right"/>
              <w:textAlignment w:val="bottom"/>
            </w:pPr>
            <w:r>
              <w:rPr>
                <w:rFonts w:ascii="Times New Roman" w:eastAsia="宋体" w:hAnsi="Times New Roman"/>
                <w:color w:val="000000"/>
                <w:sz w:val="20"/>
                <w:szCs w:val="20"/>
              </w:rPr>
              <w:t>1,113.7 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60" w14:textId="77777777" w:rsidR="00584FB3" w:rsidRDefault="00584FB3">
            <w:pPr>
              <w:jc w:val="right"/>
              <w:rPr>
                <w:rFonts w:ascii="宋体"/>
              </w:rPr>
            </w:pPr>
          </w:p>
        </w:tc>
      </w:tr>
      <w:tr w:rsidR="00584FB3" w14:paraId="40CB1565" w14:textId="77777777">
        <w:trPr>
          <w:jc w:val="center"/>
        </w:trPr>
        <w:tc>
          <w:tcPr>
            <w:tcW w:w="0" w:type="auto"/>
            <w:gridSpan w:val="3"/>
            <w:shd w:val="clear" w:color="auto" w:fill="FFFFFF"/>
            <w:tcMar>
              <w:top w:w="40" w:type="dxa"/>
              <w:left w:w="20" w:type="dxa"/>
              <w:bottom w:w="40" w:type="dxa"/>
              <w:right w:w="20" w:type="dxa"/>
            </w:tcMar>
            <w:vAlign w:val="bottom"/>
          </w:tcPr>
          <w:p w14:paraId="40CB1562" w14:textId="77777777" w:rsidR="00584FB3" w:rsidRDefault="00786180">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40CB1563" w14:textId="77777777" w:rsidR="00584FB3" w:rsidRDefault="00786180">
            <w:pPr>
              <w:jc w:val="right"/>
              <w:textAlignment w:val="bottom"/>
            </w:pPr>
            <w:r>
              <w:rPr>
                <w:rFonts w:ascii="Times New Roman" w:eastAsia="宋体" w:hAnsi="Times New Roman"/>
                <w:color w:val="000000"/>
                <w:sz w:val="20"/>
                <w:szCs w:val="20"/>
              </w:rPr>
              <w:t>3,507.5 </w:t>
            </w:r>
          </w:p>
        </w:tc>
        <w:tc>
          <w:tcPr>
            <w:tcW w:w="0" w:type="auto"/>
            <w:shd w:val="clear" w:color="auto" w:fill="FFFFFF"/>
            <w:tcMar>
              <w:top w:w="40" w:type="dxa"/>
              <w:left w:w="0" w:type="dxa"/>
              <w:bottom w:w="40" w:type="dxa"/>
              <w:right w:w="20" w:type="dxa"/>
            </w:tcMar>
            <w:vAlign w:val="bottom"/>
          </w:tcPr>
          <w:p w14:paraId="40CB1564" w14:textId="77777777" w:rsidR="00584FB3" w:rsidRDefault="00584FB3">
            <w:pPr>
              <w:jc w:val="right"/>
              <w:rPr>
                <w:rFonts w:ascii="宋体"/>
              </w:rPr>
            </w:pPr>
          </w:p>
        </w:tc>
      </w:tr>
      <w:tr w:rsidR="00584FB3" w14:paraId="40CB1569" w14:textId="77777777">
        <w:trPr>
          <w:jc w:val="center"/>
        </w:trPr>
        <w:tc>
          <w:tcPr>
            <w:tcW w:w="0" w:type="auto"/>
            <w:gridSpan w:val="3"/>
            <w:shd w:val="clear" w:color="auto" w:fill="D7E4BC"/>
            <w:tcMar>
              <w:top w:w="40" w:type="dxa"/>
              <w:left w:w="20" w:type="dxa"/>
              <w:bottom w:w="40" w:type="dxa"/>
              <w:right w:w="20" w:type="dxa"/>
            </w:tcMar>
            <w:vAlign w:val="bottom"/>
          </w:tcPr>
          <w:p w14:paraId="40CB1566" w14:textId="77777777" w:rsidR="00584FB3" w:rsidRDefault="00786180">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40CB1567" w14:textId="77777777" w:rsidR="00584FB3" w:rsidRDefault="00786180">
            <w:pPr>
              <w:jc w:val="right"/>
              <w:textAlignment w:val="bottom"/>
            </w:pPr>
            <w:r>
              <w:rPr>
                <w:rFonts w:ascii="Times New Roman" w:eastAsia="宋体" w:hAnsi="Times New Roman"/>
                <w:color w:val="000000"/>
                <w:sz w:val="20"/>
                <w:szCs w:val="20"/>
              </w:rPr>
              <w:t>(3,061.9)</w:t>
            </w:r>
          </w:p>
        </w:tc>
        <w:tc>
          <w:tcPr>
            <w:tcW w:w="0" w:type="auto"/>
            <w:shd w:val="clear" w:color="auto" w:fill="D7E4BC"/>
            <w:tcMar>
              <w:top w:w="40" w:type="dxa"/>
              <w:left w:w="0" w:type="dxa"/>
              <w:bottom w:w="40" w:type="dxa"/>
              <w:right w:w="20" w:type="dxa"/>
            </w:tcMar>
            <w:vAlign w:val="bottom"/>
          </w:tcPr>
          <w:p w14:paraId="40CB1568" w14:textId="77777777" w:rsidR="00584FB3" w:rsidRDefault="00584FB3">
            <w:pPr>
              <w:jc w:val="right"/>
              <w:rPr>
                <w:rFonts w:ascii="宋体"/>
              </w:rPr>
            </w:pPr>
          </w:p>
        </w:tc>
      </w:tr>
      <w:tr w:rsidR="00584FB3" w14:paraId="40CB156D" w14:textId="77777777">
        <w:trPr>
          <w:jc w:val="center"/>
        </w:trPr>
        <w:tc>
          <w:tcPr>
            <w:tcW w:w="0" w:type="auto"/>
            <w:gridSpan w:val="3"/>
            <w:shd w:val="clear" w:color="auto" w:fill="FFFFFF"/>
            <w:tcMar>
              <w:top w:w="40" w:type="dxa"/>
              <w:left w:w="20" w:type="dxa"/>
              <w:bottom w:w="40" w:type="dxa"/>
              <w:right w:w="20" w:type="dxa"/>
            </w:tcMar>
            <w:vAlign w:val="bottom"/>
          </w:tcPr>
          <w:p w14:paraId="40CB156A" w14:textId="77777777" w:rsidR="00584FB3" w:rsidRDefault="00786180">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0CB156B" w14:textId="77777777" w:rsidR="00584FB3" w:rsidRDefault="00786180">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40CB156C" w14:textId="77777777" w:rsidR="00584FB3" w:rsidRDefault="00584FB3">
            <w:pPr>
              <w:jc w:val="right"/>
              <w:rPr>
                <w:rFonts w:ascii="宋体"/>
              </w:rPr>
            </w:pPr>
          </w:p>
        </w:tc>
      </w:tr>
      <w:tr w:rsidR="00584FB3" w14:paraId="40CB1572" w14:textId="77777777">
        <w:trPr>
          <w:jc w:val="center"/>
        </w:trPr>
        <w:tc>
          <w:tcPr>
            <w:tcW w:w="0" w:type="auto"/>
            <w:gridSpan w:val="3"/>
            <w:shd w:val="clear" w:color="auto" w:fill="D7E4BC"/>
            <w:tcMar>
              <w:top w:w="40" w:type="dxa"/>
              <w:left w:w="20" w:type="dxa"/>
              <w:bottom w:w="40" w:type="dxa"/>
              <w:right w:w="20" w:type="dxa"/>
            </w:tcMar>
            <w:vAlign w:val="bottom"/>
          </w:tcPr>
          <w:p w14:paraId="40CB156E" w14:textId="77777777" w:rsidR="00584FB3" w:rsidRDefault="00786180">
            <w:pPr>
              <w:textAlignment w:val="bottom"/>
            </w:pPr>
            <w:r>
              <w:rPr>
                <w:rFonts w:ascii="Times New Roman" w:eastAsia="宋体" w:hAnsi="Times New Roman"/>
                <w:color w:val="000000"/>
                <w:sz w:val="20"/>
                <w:szCs w:val="20"/>
              </w:rPr>
              <w:t xml:space="preserve">Stored value cards and loyalty </w:t>
            </w:r>
            <w:r>
              <w:rPr>
                <w:rFonts w:ascii="Times New Roman" w:eastAsia="宋体" w:hAnsi="Times New Roman"/>
                <w:color w:val="000000"/>
                <w:sz w:val="20"/>
                <w:szCs w:val="20"/>
              </w:rPr>
              <w:t>program at December 29, 2019</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56F"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570" w14:textId="77777777" w:rsidR="00584FB3" w:rsidRDefault="00786180">
            <w:pPr>
              <w:jc w:val="right"/>
              <w:textAlignment w:val="bottom"/>
            </w:pPr>
            <w:r>
              <w:rPr>
                <w:rFonts w:ascii="Times New Roman" w:eastAsia="宋体" w:hAnsi="Times New Roman"/>
                <w:color w:val="000000"/>
                <w:sz w:val="20"/>
                <w:szCs w:val="20"/>
              </w:rPr>
              <w:t>1,561.0 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571" w14:textId="77777777" w:rsidR="00584FB3" w:rsidRDefault="00584FB3">
            <w:pPr>
              <w:jc w:val="right"/>
              <w:rPr>
                <w:rFonts w:ascii="宋体"/>
              </w:rPr>
            </w:pPr>
          </w:p>
        </w:tc>
      </w:tr>
    </w:tbl>
    <w:p w14:paraId="40CB1573" w14:textId="77777777" w:rsidR="00584FB3" w:rsidRDefault="00786180">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stored value cards and loyalty program balances resulting from foreign currency translation.</w:t>
      </w:r>
      <w:r>
        <w:rPr>
          <w:rFonts w:ascii="Times New Roman" w:eastAsia="宋体" w:hAnsi="Times New Roman"/>
          <w:color w:val="000000"/>
          <w:sz w:val="13"/>
          <w:szCs w:val="13"/>
        </w:rPr>
        <w:t xml:space="preserve"> </w:t>
      </w:r>
    </w:p>
    <w:p w14:paraId="40CB1574" w14:textId="77777777" w:rsidR="00584FB3" w:rsidRDefault="00786180">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As of December 27, 2020 and December 29, 2019, </w:t>
      </w:r>
      <w:r>
        <w:rPr>
          <w:rFonts w:ascii="Times New Roman" w:eastAsia="宋体" w:hAnsi="Times New Roman"/>
          <w:color w:val="000000"/>
          <w:sz w:val="20"/>
          <w:szCs w:val="20"/>
        </w:rPr>
        <w:t>approximately $1,623.7 million and $1,460.9 million of these amounts were current, respectively.</w:t>
      </w:r>
    </w:p>
    <w:p w14:paraId="40CB1575" w14:textId="77777777" w:rsidR="00584FB3" w:rsidRDefault="00786180">
      <w:pPr>
        <w:jc w:val="center"/>
      </w:pPr>
      <w:r>
        <w:rPr>
          <w:rFonts w:ascii="Times New Roman" w:eastAsia="宋体" w:hAnsi="Times New Roman"/>
          <w:color w:val="000000"/>
          <w:sz w:val="20"/>
          <w:szCs w:val="20"/>
        </w:rPr>
        <w:t>21</w:t>
      </w:r>
    </w:p>
    <w:p w14:paraId="40CB1576" w14:textId="77777777" w:rsidR="00584FB3" w:rsidRDefault="00786180">
      <w:r>
        <w:pict w14:anchorId="40CB2A4A">
          <v:rect id="_x0000_i1045" style="width:415.3pt;height:1.5pt" o:hralign="center" o:hrstd="t" o:hr="t" fillcolor="#a0a0a0" stroked="f"/>
        </w:pict>
      </w:r>
    </w:p>
    <w:p w14:paraId="40CB1577" w14:textId="77777777" w:rsidR="00584FB3" w:rsidRDefault="00786180">
      <w:hyperlink r:id="rId96" w:anchor="i11706e4b673c41db9f2dcbdb897203bb_7" w:history="1">
        <w:r>
          <w:rPr>
            <w:rStyle w:val="a5"/>
            <w:rFonts w:ascii="Times New Roman" w:eastAsia="宋体" w:hAnsi="Times New Roman"/>
            <w:sz w:val="20"/>
            <w:szCs w:val="20"/>
          </w:rPr>
          <w:t>Table of Contents</w:t>
        </w:r>
      </w:hyperlink>
    </w:p>
    <w:p w14:paraId="40CB1578" w14:textId="77777777" w:rsidR="00584FB3" w:rsidRDefault="00786180">
      <w:pPr>
        <w:spacing w:before="120"/>
      </w:pPr>
      <w:r>
        <w:rPr>
          <w:rFonts w:ascii="Times New Roman" w:eastAsia="宋体" w:hAnsi="Times New Roman"/>
          <w:b/>
          <w:bCs/>
          <w:color w:val="000000"/>
          <w:sz w:val="20"/>
          <w:szCs w:val="20"/>
        </w:rPr>
        <w:t>Note 10:     Equity</w:t>
      </w:r>
      <w:r>
        <w:rPr>
          <w:rFonts w:ascii="Times New Roman" w:eastAsia="宋体" w:hAnsi="Times New Roman"/>
          <w:b/>
          <w:bCs/>
          <w:i/>
          <w:iCs/>
          <w:color w:val="000000"/>
          <w:sz w:val="20"/>
          <w:szCs w:val="20"/>
        </w:rPr>
        <w:t xml:space="preserve"> </w:t>
      </w:r>
    </w:p>
    <w:p w14:paraId="40CB1579" w14:textId="77777777" w:rsidR="00584FB3" w:rsidRDefault="00786180">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1"/>
        <w:gridCol w:w="2979"/>
        <w:gridCol w:w="39"/>
        <w:gridCol w:w="121"/>
        <w:gridCol w:w="1200"/>
        <w:gridCol w:w="36"/>
        <w:gridCol w:w="36"/>
        <w:gridCol w:w="36"/>
        <w:gridCol w:w="36"/>
        <w:gridCol w:w="120"/>
        <w:gridCol w:w="711"/>
        <w:gridCol w:w="36"/>
        <w:gridCol w:w="36"/>
        <w:gridCol w:w="36"/>
        <w:gridCol w:w="36"/>
        <w:gridCol w:w="121"/>
        <w:gridCol w:w="730"/>
        <w:gridCol w:w="36"/>
        <w:gridCol w:w="36"/>
        <w:gridCol w:w="36"/>
        <w:gridCol w:w="36"/>
        <w:gridCol w:w="121"/>
        <w:gridCol w:w="769"/>
        <w:gridCol w:w="36"/>
        <w:gridCol w:w="36"/>
        <w:gridCol w:w="36"/>
        <w:gridCol w:w="36"/>
        <w:gridCol w:w="120"/>
        <w:gridCol w:w="640"/>
        <w:gridCol w:w="36"/>
      </w:tblGrid>
      <w:tr w:rsidR="00584FB3" w14:paraId="40CB1598" w14:textId="77777777">
        <w:tc>
          <w:tcPr>
            <w:tcW w:w="50" w:type="pct"/>
            <w:shd w:val="clear" w:color="auto" w:fill="auto"/>
          </w:tcPr>
          <w:p w14:paraId="40CB157A" w14:textId="77777777" w:rsidR="00584FB3" w:rsidRDefault="00584FB3">
            <w:pPr>
              <w:rPr>
                <w:rFonts w:ascii="宋体"/>
              </w:rPr>
            </w:pPr>
          </w:p>
        </w:tc>
        <w:tc>
          <w:tcPr>
            <w:tcW w:w="1870" w:type="pct"/>
            <w:shd w:val="clear" w:color="auto" w:fill="auto"/>
          </w:tcPr>
          <w:p w14:paraId="40CB157B" w14:textId="77777777" w:rsidR="00584FB3" w:rsidRDefault="00584FB3">
            <w:pPr>
              <w:rPr>
                <w:rFonts w:ascii="宋体"/>
              </w:rPr>
            </w:pPr>
          </w:p>
        </w:tc>
        <w:tc>
          <w:tcPr>
            <w:tcW w:w="5" w:type="pct"/>
            <w:shd w:val="clear" w:color="auto" w:fill="auto"/>
          </w:tcPr>
          <w:p w14:paraId="40CB157C" w14:textId="77777777" w:rsidR="00584FB3" w:rsidRDefault="00584FB3">
            <w:pPr>
              <w:rPr>
                <w:rFonts w:ascii="宋体"/>
              </w:rPr>
            </w:pPr>
          </w:p>
        </w:tc>
        <w:tc>
          <w:tcPr>
            <w:tcW w:w="50" w:type="pct"/>
            <w:shd w:val="clear" w:color="auto" w:fill="auto"/>
          </w:tcPr>
          <w:p w14:paraId="40CB157D" w14:textId="77777777" w:rsidR="00584FB3" w:rsidRDefault="00584FB3">
            <w:pPr>
              <w:rPr>
                <w:rFonts w:ascii="宋体"/>
              </w:rPr>
            </w:pPr>
          </w:p>
        </w:tc>
        <w:tc>
          <w:tcPr>
            <w:tcW w:w="530" w:type="pct"/>
            <w:shd w:val="clear" w:color="auto" w:fill="auto"/>
          </w:tcPr>
          <w:p w14:paraId="40CB157E" w14:textId="77777777" w:rsidR="00584FB3" w:rsidRDefault="00584FB3">
            <w:pPr>
              <w:rPr>
                <w:rFonts w:ascii="宋体"/>
              </w:rPr>
            </w:pPr>
          </w:p>
        </w:tc>
        <w:tc>
          <w:tcPr>
            <w:tcW w:w="5" w:type="pct"/>
            <w:shd w:val="clear" w:color="auto" w:fill="auto"/>
          </w:tcPr>
          <w:p w14:paraId="40CB157F" w14:textId="77777777" w:rsidR="00584FB3" w:rsidRDefault="00584FB3">
            <w:pPr>
              <w:rPr>
                <w:rFonts w:ascii="宋体"/>
              </w:rPr>
            </w:pPr>
          </w:p>
        </w:tc>
        <w:tc>
          <w:tcPr>
            <w:tcW w:w="5" w:type="pct"/>
            <w:shd w:val="clear" w:color="auto" w:fill="auto"/>
          </w:tcPr>
          <w:p w14:paraId="40CB1580" w14:textId="77777777" w:rsidR="00584FB3" w:rsidRDefault="00584FB3">
            <w:pPr>
              <w:rPr>
                <w:rFonts w:ascii="宋体"/>
              </w:rPr>
            </w:pPr>
          </w:p>
        </w:tc>
        <w:tc>
          <w:tcPr>
            <w:tcW w:w="26" w:type="pct"/>
            <w:shd w:val="clear" w:color="auto" w:fill="auto"/>
          </w:tcPr>
          <w:p w14:paraId="40CB1581" w14:textId="77777777" w:rsidR="00584FB3" w:rsidRDefault="00584FB3">
            <w:pPr>
              <w:rPr>
                <w:rFonts w:ascii="宋体"/>
              </w:rPr>
            </w:pPr>
          </w:p>
        </w:tc>
        <w:tc>
          <w:tcPr>
            <w:tcW w:w="5" w:type="pct"/>
            <w:shd w:val="clear" w:color="auto" w:fill="auto"/>
          </w:tcPr>
          <w:p w14:paraId="40CB1582" w14:textId="77777777" w:rsidR="00584FB3" w:rsidRDefault="00584FB3">
            <w:pPr>
              <w:rPr>
                <w:rFonts w:ascii="宋体"/>
              </w:rPr>
            </w:pPr>
          </w:p>
        </w:tc>
        <w:tc>
          <w:tcPr>
            <w:tcW w:w="50" w:type="pct"/>
            <w:shd w:val="clear" w:color="auto" w:fill="auto"/>
          </w:tcPr>
          <w:p w14:paraId="40CB1583" w14:textId="77777777" w:rsidR="00584FB3" w:rsidRDefault="00584FB3">
            <w:pPr>
              <w:rPr>
                <w:rFonts w:ascii="宋体"/>
              </w:rPr>
            </w:pPr>
          </w:p>
        </w:tc>
        <w:tc>
          <w:tcPr>
            <w:tcW w:w="530" w:type="pct"/>
            <w:shd w:val="clear" w:color="auto" w:fill="auto"/>
          </w:tcPr>
          <w:p w14:paraId="40CB1584" w14:textId="77777777" w:rsidR="00584FB3" w:rsidRDefault="00584FB3">
            <w:pPr>
              <w:rPr>
                <w:rFonts w:ascii="宋体"/>
              </w:rPr>
            </w:pPr>
          </w:p>
        </w:tc>
        <w:tc>
          <w:tcPr>
            <w:tcW w:w="5" w:type="pct"/>
            <w:shd w:val="clear" w:color="auto" w:fill="auto"/>
          </w:tcPr>
          <w:p w14:paraId="40CB1585" w14:textId="77777777" w:rsidR="00584FB3" w:rsidRDefault="00584FB3">
            <w:pPr>
              <w:rPr>
                <w:rFonts w:ascii="宋体"/>
              </w:rPr>
            </w:pPr>
          </w:p>
        </w:tc>
        <w:tc>
          <w:tcPr>
            <w:tcW w:w="5" w:type="pct"/>
            <w:shd w:val="clear" w:color="auto" w:fill="auto"/>
          </w:tcPr>
          <w:p w14:paraId="40CB1586" w14:textId="77777777" w:rsidR="00584FB3" w:rsidRDefault="00584FB3">
            <w:pPr>
              <w:rPr>
                <w:rFonts w:ascii="宋体"/>
              </w:rPr>
            </w:pPr>
          </w:p>
        </w:tc>
        <w:tc>
          <w:tcPr>
            <w:tcW w:w="26" w:type="pct"/>
            <w:shd w:val="clear" w:color="auto" w:fill="auto"/>
          </w:tcPr>
          <w:p w14:paraId="40CB1587" w14:textId="77777777" w:rsidR="00584FB3" w:rsidRDefault="00584FB3">
            <w:pPr>
              <w:rPr>
                <w:rFonts w:ascii="宋体"/>
              </w:rPr>
            </w:pPr>
          </w:p>
        </w:tc>
        <w:tc>
          <w:tcPr>
            <w:tcW w:w="5" w:type="pct"/>
            <w:shd w:val="clear" w:color="auto" w:fill="auto"/>
          </w:tcPr>
          <w:p w14:paraId="40CB1588" w14:textId="77777777" w:rsidR="00584FB3" w:rsidRDefault="00584FB3">
            <w:pPr>
              <w:rPr>
                <w:rFonts w:ascii="宋体"/>
              </w:rPr>
            </w:pPr>
          </w:p>
        </w:tc>
        <w:tc>
          <w:tcPr>
            <w:tcW w:w="50" w:type="pct"/>
            <w:shd w:val="clear" w:color="auto" w:fill="auto"/>
          </w:tcPr>
          <w:p w14:paraId="40CB1589" w14:textId="77777777" w:rsidR="00584FB3" w:rsidRDefault="00584FB3">
            <w:pPr>
              <w:rPr>
                <w:rFonts w:ascii="宋体"/>
              </w:rPr>
            </w:pPr>
          </w:p>
        </w:tc>
        <w:tc>
          <w:tcPr>
            <w:tcW w:w="530" w:type="pct"/>
            <w:shd w:val="clear" w:color="auto" w:fill="auto"/>
          </w:tcPr>
          <w:p w14:paraId="40CB158A" w14:textId="77777777" w:rsidR="00584FB3" w:rsidRDefault="00584FB3">
            <w:pPr>
              <w:rPr>
                <w:rFonts w:ascii="宋体"/>
              </w:rPr>
            </w:pPr>
          </w:p>
        </w:tc>
        <w:tc>
          <w:tcPr>
            <w:tcW w:w="5" w:type="pct"/>
            <w:shd w:val="clear" w:color="auto" w:fill="auto"/>
          </w:tcPr>
          <w:p w14:paraId="40CB158B" w14:textId="77777777" w:rsidR="00584FB3" w:rsidRDefault="00584FB3">
            <w:pPr>
              <w:rPr>
                <w:rFonts w:ascii="宋体"/>
              </w:rPr>
            </w:pPr>
          </w:p>
        </w:tc>
        <w:tc>
          <w:tcPr>
            <w:tcW w:w="5" w:type="pct"/>
            <w:shd w:val="clear" w:color="auto" w:fill="auto"/>
          </w:tcPr>
          <w:p w14:paraId="40CB158C" w14:textId="77777777" w:rsidR="00584FB3" w:rsidRDefault="00584FB3">
            <w:pPr>
              <w:rPr>
                <w:rFonts w:ascii="宋体"/>
              </w:rPr>
            </w:pPr>
          </w:p>
        </w:tc>
        <w:tc>
          <w:tcPr>
            <w:tcW w:w="26" w:type="pct"/>
            <w:shd w:val="clear" w:color="auto" w:fill="auto"/>
          </w:tcPr>
          <w:p w14:paraId="40CB158D" w14:textId="77777777" w:rsidR="00584FB3" w:rsidRDefault="00584FB3">
            <w:pPr>
              <w:rPr>
                <w:rFonts w:ascii="宋体"/>
              </w:rPr>
            </w:pPr>
          </w:p>
        </w:tc>
        <w:tc>
          <w:tcPr>
            <w:tcW w:w="5" w:type="pct"/>
            <w:shd w:val="clear" w:color="auto" w:fill="auto"/>
          </w:tcPr>
          <w:p w14:paraId="40CB158E" w14:textId="77777777" w:rsidR="00584FB3" w:rsidRDefault="00584FB3">
            <w:pPr>
              <w:rPr>
                <w:rFonts w:ascii="宋体"/>
              </w:rPr>
            </w:pPr>
          </w:p>
        </w:tc>
        <w:tc>
          <w:tcPr>
            <w:tcW w:w="50" w:type="pct"/>
            <w:shd w:val="clear" w:color="auto" w:fill="auto"/>
          </w:tcPr>
          <w:p w14:paraId="40CB158F" w14:textId="77777777" w:rsidR="00584FB3" w:rsidRDefault="00584FB3">
            <w:pPr>
              <w:rPr>
                <w:rFonts w:ascii="宋体"/>
              </w:rPr>
            </w:pPr>
          </w:p>
        </w:tc>
        <w:tc>
          <w:tcPr>
            <w:tcW w:w="530" w:type="pct"/>
            <w:shd w:val="clear" w:color="auto" w:fill="auto"/>
          </w:tcPr>
          <w:p w14:paraId="40CB1590" w14:textId="77777777" w:rsidR="00584FB3" w:rsidRDefault="00584FB3">
            <w:pPr>
              <w:rPr>
                <w:rFonts w:ascii="宋体"/>
              </w:rPr>
            </w:pPr>
          </w:p>
        </w:tc>
        <w:tc>
          <w:tcPr>
            <w:tcW w:w="5" w:type="pct"/>
            <w:shd w:val="clear" w:color="auto" w:fill="auto"/>
          </w:tcPr>
          <w:p w14:paraId="40CB1591" w14:textId="77777777" w:rsidR="00584FB3" w:rsidRDefault="00584FB3">
            <w:pPr>
              <w:rPr>
                <w:rFonts w:ascii="宋体"/>
              </w:rPr>
            </w:pPr>
          </w:p>
        </w:tc>
        <w:tc>
          <w:tcPr>
            <w:tcW w:w="5" w:type="pct"/>
            <w:shd w:val="clear" w:color="auto" w:fill="auto"/>
          </w:tcPr>
          <w:p w14:paraId="40CB1592" w14:textId="77777777" w:rsidR="00584FB3" w:rsidRDefault="00584FB3">
            <w:pPr>
              <w:rPr>
                <w:rFonts w:ascii="宋体"/>
              </w:rPr>
            </w:pPr>
          </w:p>
        </w:tc>
        <w:tc>
          <w:tcPr>
            <w:tcW w:w="26" w:type="pct"/>
            <w:shd w:val="clear" w:color="auto" w:fill="auto"/>
          </w:tcPr>
          <w:p w14:paraId="40CB1593" w14:textId="77777777" w:rsidR="00584FB3" w:rsidRDefault="00584FB3">
            <w:pPr>
              <w:rPr>
                <w:rFonts w:ascii="宋体"/>
              </w:rPr>
            </w:pPr>
          </w:p>
        </w:tc>
        <w:tc>
          <w:tcPr>
            <w:tcW w:w="5" w:type="pct"/>
            <w:shd w:val="clear" w:color="auto" w:fill="auto"/>
          </w:tcPr>
          <w:p w14:paraId="40CB1594" w14:textId="77777777" w:rsidR="00584FB3" w:rsidRDefault="00584FB3">
            <w:pPr>
              <w:rPr>
                <w:rFonts w:ascii="宋体"/>
              </w:rPr>
            </w:pPr>
          </w:p>
        </w:tc>
        <w:tc>
          <w:tcPr>
            <w:tcW w:w="50" w:type="pct"/>
            <w:shd w:val="clear" w:color="auto" w:fill="auto"/>
          </w:tcPr>
          <w:p w14:paraId="40CB1595" w14:textId="77777777" w:rsidR="00584FB3" w:rsidRDefault="00584FB3">
            <w:pPr>
              <w:rPr>
                <w:rFonts w:ascii="宋体"/>
              </w:rPr>
            </w:pPr>
          </w:p>
        </w:tc>
        <w:tc>
          <w:tcPr>
            <w:tcW w:w="530" w:type="pct"/>
            <w:shd w:val="clear" w:color="auto" w:fill="auto"/>
          </w:tcPr>
          <w:p w14:paraId="40CB1596" w14:textId="77777777" w:rsidR="00584FB3" w:rsidRDefault="00584FB3">
            <w:pPr>
              <w:rPr>
                <w:rFonts w:ascii="宋体"/>
              </w:rPr>
            </w:pPr>
          </w:p>
        </w:tc>
        <w:tc>
          <w:tcPr>
            <w:tcW w:w="5" w:type="pct"/>
            <w:shd w:val="clear" w:color="auto" w:fill="auto"/>
          </w:tcPr>
          <w:p w14:paraId="40CB1597" w14:textId="77777777" w:rsidR="00584FB3" w:rsidRDefault="00584FB3">
            <w:pPr>
              <w:rPr>
                <w:rFonts w:ascii="宋体"/>
              </w:rPr>
            </w:pPr>
          </w:p>
        </w:tc>
      </w:tr>
      <w:tr w:rsidR="00584FB3" w14:paraId="40CB15A3" w14:textId="77777777">
        <w:tc>
          <w:tcPr>
            <w:tcW w:w="0" w:type="auto"/>
            <w:gridSpan w:val="3"/>
            <w:shd w:val="clear" w:color="auto" w:fill="auto"/>
            <w:tcMar>
              <w:top w:w="40" w:type="dxa"/>
              <w:left w:w="20" w:type="dxa"/>
              <w:bottom w:w="40" w:type="dxa"/>
              <w:right w:w="20" w:type="dxa"/>
            </w:tcMar>
            <w:vAlign w:val="bottom"/>
          </w:tcPr>
          <w:p w14:paraId="40CB1599" w14:textId="77777777" w:rsidR="00584FB3" w:rsidRDefault="00786180">
            <w:pPr>
              <w:textAlignment w:val="bottom"/>
            </w:pPr>
            <w:r>
              <w:rPr>
                <w:rFonts w:ascii="Times New Roman" w:eastAsia="宋体" w:hAnsi="Times New Roman"/>
                <w:b/>
                <w:bCs/>
                <w:color w:val="000000"/>
                <w:sz w:val="20"/>
                <w:szCs w:val="20"/>
              </w:rPr>
              <w:t>Quarter Ended</w:t>
            </w: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159A" w14:textId="77777777" w:rsidR="00584FB3" w:rsidRDefault="00786180">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top w:w="0" w:type="dxa"/>
              <w:left w:w="20" w:type="dxa"/>
              <w:bottom w:w="0" w:type="dxa"/>
              <w:right w:w="20" w:type="dxa"/>
            </w:tcMar>
          </w:tcPr>
          <w:p w14:paraId="40CB159B"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159C" w14:textId="77777777" w:rsidR="00584FB3" w:rsidRDefault="00786180">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tcPr>
          <w:p w14:paraId="40CB159D"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159E" w14:textId="77777777" w:rsidR="00584FB3" w:rsidRDefault="00786180">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tcPr>
          <w:p w14:paraId="40CB159F"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15A0" w14:textId="77777777" w:rsidR="00584FB3" w:rsidRDefault="00786180">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tcPr>
          <w:p w14:paraId="40CB15A1"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15A2"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15AE" w14:textId="77777777">
        <w:tc>
          <w:tcPr>
            <w:tcW w:w="0" w:type="auto"/>
            <w:gridSpan w:val="3"/>
            <w:shd w:val="clear" w:color="auto" w:fill="D7E4BC"/>
            <w:tcMar>
              <w:top w:w="40" w:type="dxa"/>
              <w:left w:w="20" w:type="dxa"/>
              <w:bottom w:w="40" w:type="dxa"/>
              <w:right w:w="20" w:type="dxa"/>
            </w:tcMar>
          </w:tcPr>
          <w:p w14:paraId="40CB15A4" w14:textId="77777777" w:rsidR="00584FB3" w:rsidRDefault="00786180">
            <w:pPr>
              <w:textAlignment w:val="top"/>
            </w:pPr>
            <w:r>
              <w:rPr>
                <w:rFonts w:ascii="Times New Roman" w:eastAsia="宋体" w:hAnsi="Times New Roman"/>
                <w:i/>
                <w:iCs/>
                <w:color w:val="000000"/>
                <w:sz w:val="20"/>
                <w:szCs w:val="20"/>
              </w:rPr>
              <w:t>December 27</w:t>
            </w:r>
            <w:r>
              <w:rPr>
                <w:rFonts w:ascii="Times New Roman" w:eastAsia="宋体" w:hAnsi="Times New Roman"/>
                <w:i/>
                <w:iCs/>
                <w:color w:val="000000"/>
                <w:sz w:val="20"/>
                <w:szCs w:val="20"/>
              </w:rPr>
              <w:t>, 2020</w:t>
            </w:r>
          </w:p>
        </w:tc>
        <w:tc>
          <w:tcPr>
            <w:tcW w:w="0" w:type="auto"/>
            <w:gridSpan w:val="3"/>
            <w:tcBorders>
              <w:top w:val="single" w:sz="8" w:space="0" w:color="000000"/>
            </w:tcBorders>
            <w:shd w:val="clear" w:color="auto" w:fill="D7E4BC"/>
            <w:tcMar>
              <w:top w:w="0" w:type="dxa"/>
              <w:left w:w="20" w:type="dxa"/>
              <w:bottom w:w="0" w:type="dxa"/>
              <w:right w:w="20" w:type="dxa"/>
            </w:tcMar>
          </w:tcPr>
          <w:p w14:paraId="40CB15A5"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5A6"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5A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5A8"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5A9"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5AA"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5A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5AC"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5AD" w14:textId="77777777" w:rsidR="00584FB3" w:rsidRDefault="00584FB3">
            <w:pPr>
              <w:rPr>
                <w:rFonts w:ascii="宋体"/>
              </w:rPr>
            </w:pPr>
          </w:p>
        </w:tc>
      </w:tr>
      <w:tr w:rsidR="00584FB3" w14:paraId="40CB15C3" w14:textId="77777777">
        <w:tc>
          <w:tcPr>
            <w:tcW w:w="0" w:type="auto"/>
            <w:gridSpan w:val="3"/>
            <w:shd w:val="clear" w:color="auto" w:fill="FFFFFF"/>
            <w:tcMar>
              <w:top w:w="40" w:type="dxa"/>
              <w:left w:w="20" w:type="dxa"/>
              <w:bottom w:w="40" w:type="dxa"/>
              <w:right w:w="20" w:type="dxa"/>
            </w:tcMar>
          </w:tcPr>
          <w:p w14:paraId="40CB15AF" w14:textId="77777777" w:rsidR="00584FB3" w:rsidRDefault="00786180">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40CB15B0"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5B1" w14:textId="77777777" w:rsidR="00584FB3" w:rsidRDefault="00786180">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40CB15B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B3"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5B4"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5B5" w14:textId="77777777" w:rsidR="00584FB3" w:rsidRDefault="00786180">
            <w:pPr>
              <w:jc w:val="right"/>
              <w:textAlignment w:val="bottom"/>
            </w:pPr>
            <w:r>
              <w:rPr>
                <w:rFonts w:ascii="Times New Roman" w:eastAsia="宋体" w:hAnsi="Times New Roman"/>
                <w:color w:val="000000"/>
                <w:sz w:val="20"/>
                <w:szCs w:val="20"/>
              </w:rPr>
              <w:t>(82.1)</w:t>
            </w:r>
          </w:p>
        </w:tc>
        <w:tc>
          <w:tcPr>
            <w:tcW w:w="0" w:type="auto"/>
            <w:shd w:val="clear" w:color="auto" w:fill="FFFFFF"/>
            <w:tcMar>
              <w:top w:w="40" w:type="dxa"/>
              <w:left w:w="0" w:type="dxa"/>
              <w:bottom w:w="40" w:type="dxa"/>
              <w:right w:w="20" w:type="dxa"/>
            </w:tcMar>
            <w:vAlign w:val="bottom"/>
          </w:tcPr>
          <w:p w14:paraId="40CB15B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B7"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5B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5B9" w14:textId="77777777" w:rsidR="00584FB3" w:rsidRDefault="00786180">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40CB15B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BB"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5BC"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5BD" w14:textId="77777777" w:rsidR="00584FB3" w:rsidRDefault="00786180">
            <w:pPr>
              <w:jc w:val="right"/>
              <w:textAlignment w:val="bottom"/>
            </w:pPr>
            <w:r>
              <w:rPr>
                <w:rFonts w:ascii="Times New Roman" w:eastAsia="宋体" w:hAnsi="Times New Roman"/>
                <w:color w:val="000000"/>
                <w:sz w:val="20"/>
                <w:szCs w:val="20"/>
              </w:rPr>
              <w:t>(299.7)</w:t>
            </w:r>
          </w:p>
        </w:tc>
        <w:tc>
          <w:tcPr>
            <w:tcW w:w="0" w:type="auto"/>
            <w:shd w:val="clear" w:color="auto" w:fill="FFFFFF"/>
            <w:tcMar>
              <w:top w:w="40" w:type="dxa"/>
              <w:left w:w="0" w:type="dxa"/>
              <w:bottom w:w="40" w:type="dxa"/>
              <w:right w:w="20" w:type="dxa"/>
            </w:tcMar>
            <w:vAlign w:val="bottom"/>
          </w:tcPr>
          <w:p w14:paraId="40CB15B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BF"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5C0"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5C1" w14:textId="77777777" w:rsidR="00584FB3" w:rsidRDefault="00786180">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40CB15C2" w14:textId="77777777" w:rsidR="00584FB3" w:rsidRDefault="00584FB3">
            <w:pPr>
              <w:jc w:val="right"/>
              <w:rPr>
                <w:rFonts w:ascii="宋体"/>
              </w:rPr>
            </w:pPr>
          </w:p>
        </w:tc>
      </w:tr>
      <w:tr w:rsidR="00584FB3" w14:paraId="40CB15D3" w14:textId="77777777">
        <w:tc>
          <w:tcPr>
            <w:tcW w:w="0" w:type="auto"/>
            <w:gridSpan w:val="3"/>
            <w:shd w:val="clear" w:color="auto" w:fill="D7E4BC"/>
            <w:tcMar>
              <w:top w:w="40" w:type="dxa"/>
              <w:left w:w="245" w:type="dxa"/>
              <w:bottom w:w="40" w:type="dxa"/>
              <w:right w:w="20" w:type="dxa"/>
            </w:tcMar>
          </w:tcPr>
          <w:p w14:paraId="40CB15C4" w14:textId="77777777" w:rsidR="00584FB3" w:rsidRDefault="00786180">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40CB15C5" w14:textId="77777777" w:rsidR="00584FB3" w:rsidRDefault="00786180">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bottom"/>
          </w:tcPr>
          <w:p w14:paraId="40CB15C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C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5C8" w14:textId="77777777" w:rsidR="00584FB3" w:rsidRDefault="00786180">
            <w:pPr>
              <w:jc w:val="right"/>
              <w:textAlignment w:val="bottom"/>
            </w:pPr>
            <w:r>
              <w:rPr>
                <w:rFonts w:ascii="Times New Roman" w:eastAsia="宋体" w:hAnsi="Times New Roman"/>
                <w:color w:val="000000"/>
                <w:sz w:val="20"/>
                <w:szCs w:val="20"/>
              </w:rPr>
              <w:t>4.8 </w:t>
            </w:r>
          </w:p>
        </w:tc>
        <w:tc>
          <w:tcPr>
            <w:tcW w:w="0" w:type="auto"/>
            <w:shd w:val="clear" w:color="auto" w:fill="D7E4BC"/>
            <w:tcMar>
              <w:top w:w="40" w:type="dxa"/>
              <w:left w:w="0" w:type="dxa"/>
              <w:bottom w:w="40" w:type="dxa"/>
              <w:right w:w="20" w:type="dxa"/>
            </w:tcMar>
            <w:vAlign w:val="bottom"/>
          </w:tcPr>
          <w:p w14:paraId="40CB15C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C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5CB" w14:textId="77777777" w:rsidR="00584FB3" w:rsidRDefault="00786180">
            <w:pPr>
              <w:jc w:val="right"/>
              <w:textAlignment w:val="bottom"/>
            </w:pPr>
            <w:r>
              <w:rPr>
                <w:rFonts w:ascii="Times New Roman" w:eastAsia="宋体" w:hAnsi="Times New Roman"/>
                <w:color w:val="000000"/>
                <w:sz w:val="20"/>
                <w:szCs w:val="20"/>
              </w:rPr>
              <w:t>(22.6)</w:t>
            </w:r>
          </w:p>
        </w:tc>
        <w:tc>
          <w:tcPr>
            <w:tcW w:w="0" w:type="auto"/>
            <w:shd w:val="clear" w:color="auto" w:fill="D7E4BC"/>
            <w:tcMar>
              <w:top w:w="40" w:type="dxa"/>
              <w:left w:w="0" w:type="dxa"/>
              <w:bottom w:w="40" w:type="dxa"/>
              <w:right w:w="20" w:type="dxa"/>
            </w:tcMar>
            <w:vAlign w:val="bottom"/>
          </w:tcPr>
          <w:p w14:paraId="40CB15C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C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5CE" w14:textId="77777777" w:rsidR="00584FB3" w:rsidRDefault="00786180">
            <w:pPr>
              <w:jc w:val="right"/>
              <w:textAlignment w:val="bottom"/>
            </w:pPr>
            <w:r>
              <w:rPr>
                <w:rFonts w:ascii="Times New Roman" w:eastAsia="宋体" w:hAnsi="Times New Roman"/>
                <w:color w:val="000000"/>
                <w:sz w:val="20"/>
                <w:szCs w:val="20"/>
              </w:rPr>
              <w:t>238.7 </w:t>
            </w:r>
          </w:p>
        </w:tc>
        <w:tc>
          <w:tcPr>
            <w:tcW w:w="0" w:type="auto"/>
            <w:shd w:val="clear" w:color="auto" w:fill="D7E4BC"/>
            <w:tcMar>
              <w:top w:w="40" w:type="dxa"/>
              <w:left w:w="0" w:type="dxa"/>
              <w:bottom w:w="40" w:type="dxa"/>
              <w:right w:w="20" w:type="dxa"/>
            </w:tcMar>
            <w:vAlign w:val="bottom"/>
          </w:tcPr>
          <w:p w14:paraId="40CB15C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D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5D1" w14:textId="77777777" w:rsidR="00584FB3" w:rsidRDefault="00786180">
            <w:pPr>
              <w:jc w:val="right"/>
              <w:textAlignment w:val="bottom"/>
            </w:pPr>
            <w:r>
              <w:rPr>
                <w:rFonts w:ascii="Times New Roman" w:eastAsia="宋体" w:hAnsi="Times New Roman"/>
                <w:color w:val="000000"/>
                <w:sz w:val="20"/>
                <w:szCs w:val="20"/>
              </w:rPr>
              <w:t>220.5 </w:t>
            </w:r>
          </w:p>
        </w:tc>
        <w:tc>
          <w:tcPr>
            <w:tcW w:w="0" w:type="auto"/>
            <w:shd w:val="clear" w:color="auto" w:fill="D7E4BC"/>
            <w:tcMar>
              <w:top w:w="40" w:type="dxa"/>
              <w:left w:w="0" w:type="dxa"/>
              <w:bottom w:w="40" w:type="dxa"/>
              <w:right w:w="20" w:type="dxa"/>
            </w:tcMar>
            <w:vAlign w:val="bottom"/>
          </w:tcPr>
          <w:p w14:paraId="40CB15D2" w14:textId="77777777" w:rsidR="00584FB3" w:rsidRDefault="00584FB3">
            <w:pPr>
              <w:jc w:val="right"/>
              <w:rPr>
                <w:rFonts w:ascii="宋体"/>
              </w:rPr>
            </w:pPr>
          </w:p>
        </w:tc>
      </w:tr>
      <w:tr w:rsidR="00584FB3" w14:paraId="40CB15E3" w14:textId="77777777">
        <w:tc>
          <w:tcPr>
            <w:tcW w:w="0" w:type="auto"/>
            <w:gridSpan w:val="3"/>
            <w:shd w:val="clear" w:color="auto" w:fill="FFFFFF"/>
            <w:tcMar>
              <w:top w:w="40" w:type="dxa"/>
              <w:left w:w="245" w:type="dxa"/>
              <w:bottom w:w="40" w:type="dxa"/>
              <w:right w:w="20" w:type="dxa"/>
            </w:tcMar>
          </w:tcPr>
          <w:p w14:paraId="40CB15D4" w14:textId="77777777" w:rsidR="00584FB3" w:rsidRDefault="00786180">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40CB15D5" w14:textId="77777777" w:rsidR="00584FB3" w:rsidRDefault="00786180">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40CB15D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D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5D8" w14:textId="77777777" w:rsidR="00584FB3" w:rsidRDefault="00786180">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40CB15D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D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5DB" w14:textId="77777777" w:rsidR="00584FB3" w:rsidRDefault="00786180">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40CB15D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D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5DE"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5D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5E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5E1" w14:textId="77777777" w:rsidR="00584FB3" w:rsidRDefault="00786180">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40CB15E2" w14:textId="77777777" w:rsidR="00584FB3" w:rsidRDefault="00584FB3">
            <w:pPr>
              <w:jc w:val="right"/>
              <w:rPr>
                <w:rFonts w:ascii="宋体"/>
              </w:rPr>
            </w:pPr>
          </w:p>
        </w:tc>
      </w:tr>
      <w:tr w:rsidR="00584FB3" w14:paraId="40CB15F3" w14:textId="77777777">
        <w:tc>
          <w:tcPr>
            <w:tcW w:w="0" w:type="auto"/>
            <w:gridSpan w:val="3"/>
            <w:shd w:val="clear" w:color="auto" w:fill="D7E4BC"/>
            <w:tcMar>
              <w:top w:w="40" w:type="dxa"/>
              <w:left w:w="20" w:type="dxa"/>
              <w:bottom w:w="40" w:type="dxa"/>
              <w:right w:w="20" w:type="dxa"/>
            </w:tcMar>
          </w:tcPr>
          <w:p w14:paraId="40CB15E4" w14:textId="77777777" w:rsidR="00584FB3" w:rsidRDefault="00786180">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5E5" w14:textId="77777777" w:rsidR="00584FB3" w:rsidRDefault="00786180">
            <w:pPr>
              <w:jc w:val="right"/>
              <w:textAlignment w:val="bottom"/>
            </w:pPr>
            <w:r>
              <w:rPr>
                <w:rFonts w:ascii="Times New Roman" w:eastAsia="宋体" w:hAnsi="Times New Roman"/>
                <w:color w:val="000000"/>
                <w:sz w:val="20"/>
                <w:szCs w:val="20"/>
              </w:rPr>
              <w:t>(1.6)</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E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E7"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5E8" w14:textId="77777777" w:rsidR="00584FB3" w:rsidRDefault="00786180">
            <w:pPr>
              <w:jc w:val="right"/>
              <w:textAlignment w:val="bottom"/>
            </w:pPr>
            <w:r>
              <w:rPr>
                <w:rFonts w:ascii="Times New Roman" w:eastAsia="宋体" w:hAnsi="Times New Roman"/>
                <w:color w:val="000000"/>
                <w:sz w:val="20"/>
                <w:szCs w:val="20"/>
              </w:rPr>
              <w:t>6.6 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E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EA"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5EB" w14:textId="77777777" w:rsidR="00584FB3" w:rsidRDefault="00786180">
            <w:pPr>
              <w:jc w:val="right"/>
              <w:textAlignment w:val="bottom"/>
            </w:pPr>
            <w:r>
              <w:rPr>
                <w:rFonts w:ascii="Times New Roman" w:eastAsia="宋体" w:hAnsi="Times New Roman"/>
                <w:color w:val="000000"/>
                <w:sz w:val="20"/>
                <w:szCs w:val="20"/>
              </w:rPr>
              <w:t>(25.0)</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E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ED"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5EE" w14:textId="77777777" w:rsidR="00584FB3" w:rsidRDefault="00786180">
            <w:pPr>
              <w:jc w:val="right"/>
              <w:textAlignment w:val="bottom"/>
            </w:pPr>
            <w:r>
              <w:rPr>
                <w:rFonts w:ascii="Times New Roman" w:eastAsia="宋体" w:hAnsi="Times New Roman"/>
                <w:color w:val="000000"/>
                <w:sz w:val="20"/>
                <w:szCs w:val="20"/>
              </w:rPr>
              <w:t>238.7 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E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5F0"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5F1" w14:textId="77777777" w:rsidR="00584FB3" w:rsidRDefault="00786180">
            <w:pPr>
              <w:jc w:val="right"/>
              <w:textAlignment w:val="bottom"/>
            </w:pPr>
            <w:r>
              <w:rPr>
                <w:rFonts w:ascii="Times New Roman" w:eastAsia="宋体" w:hAnsi="Times New Roman"/>
                <w:color w:val="000000"/>
                <w:sz w:val="20"/>
                <w:szCs w:val="20"/>
              </w:rPr>
              <w:t>218.7 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5F2" w14:textId="77777777" w:rsidR="00584FB3" w:rsidRDefault="00584FB3">
            <w:pPr>
              <w:jc w:val="right"/>
              <w:rPr>
                <w:rFonts w:ascii="宋体"/>
              </w:rPr>
            </w:pPr>
          </w:p>
        </w:tc>
      </w:tr>
      <w:tr w:rsidR="00584FB3" w14:paraId="40CB15FE" w14:textId="77777777">
        <w:trPr>
          <w:hidden/>
        </w:trPr>
        <w:tc>
          <w:tcPr>
            <w:tcW w:w="0" w:type="auto"/>
            <w:gridSpan w:val="3"/>
            <w:shd w:val="clear" w:color="auto" w:fill="auto"/>
          </w:tcPr>
          <w:p w14:paraId="40CB15F4" w14:textId="77777777" w:rsidR="00584FB3" w:rsidRDefault="00584FB3">
            <w:pPr>
              <w:rPr>
                <w:rFonts w:ascii="宋体"/>
                <w:vanish/>
              </w:rPr>
            </w:pPr>
          </w:p>
        </w:tc>
        <w:tc>
          <w:tcPr>
            <w:tcW w:w="0" w:type="auto"/>
            <w:gridSpan w:val="3"/>
            <w:shd w:val="clear" w:color="auto" w:fill="auto"/>
          </w:tcPr>
          <w:p w14:paraId="40CB15F5" w14:textId="77777777" w:rsidR="00584FB3" w:rsidRDefault="00584FB3">
            <w:pPr>
              <w:rPr>
                <w:rFonts w:ascii="宋体"/>
                <w:vanish/>
              </w:rPr>
            </w:pPr>
          </w:p>
        </w:tc>
        <w:tc>
          <w:tcPr>
            <w:tcW w:w="0" w:type="auto"/>
            <w:gridSpan w:val="3"/>
            <w:shd w:val="clear" w:color="auto" w:fill="auto"/>
          </w:tcPr>
          <w:p w14:paraId="40CB15F6" w14:textId="77777777" w:rsidR="00584FB3" w:rsidRDefault="00584FB3">
            <w:pPr>
              <w:rPr>
                <w:rFonts w:ascii="宋体"/>
                <w:vanish/>
              </w:rPr>
            </w:pPr>
          </w:p>
        </w:tc>
        <w:tc>
          <w:tcPr>
            <w:tcW w:w="0" w:type="auto"/>
            <w:gridSpan w:val="3"/>
            <w:shd w:val="clear" w:color="auto" w:fill="auto"/>
          </w:tcPr>
          <w:p w14:paraId="40CB15F7" w14:textId="77777777" w:rsidR="00584FB3" w:rsidRDefault="00584FB3">
            <w:pPr>
              <w:rPr>
                <w:rFonts w:ascii="宋体"/>
                <w:vanish/>
              </w:rPr>
            </w:pPr>
          </w:p>
        </w:tc>
        <w:tc>
          <w:tcPr>
            <w:tcW w:w="0" w:type="auto"/>
            <w:gridSpan w:val="3"/>
            <w:shd w:val="clear" w:color="auto" w:fill="auto"/>
          </w:tcPr>
          <w:p w14:paraId="40CB15F8" w14:textId="77777777" w:rsidR="00584FB3" w:rsidRDefault="00584FB3">
            <w:pPr>
              <w:rPr>
                <w:rFonts w:ascii="宋体"/>
                <w:vanish/>
              </w:rPr>
            </w:pPr>
          </w:p>
        </w:tc>
        <w:tc>
          <w:tcPr>
            <w:tcW w:w="0" w:type="auto"/>
            <w:gridSpan w:val="3"/>
            <w:shd w:val="clear" w:color="auto" w:fill="auto"/>
          </w:tcPr>
          <w:p w14:paraId="40CB15F9" w14:textId="77777777" w:rsidR="00584FB3" w:rsidRDefault="00584FB3">
            <w:pPr>
              <w:rPr>
                <w:rFonts w:ascii="宋体"/>
                <w:vanish/>
              </w:rPr>
            </w:pPr>
          </w:p>
        </w:tc>
        <w:tc>
          <w:tcPr>
            <w:tcW w:w="0" w:type="auto"/>
            <w:gridSpan w:val="3"/>
            <w:shd w:val="clear" w:color="auto" w:fill="auto"/>
          </w:tcPr>
          <w:p w14:paraId="40CB15FA" w14:textId="77777777" w:rsidR="00584FB3" w:rsidRDefault="00584FB3">
            <w:pPr>
              <w:rPr>
                <w:rFonts w:ascii="宋体"/>
                <w:vanish/>
              </w:rPr>
            </w:pPr>
          </w:p>
        </w:tc>
        <w:tc>
          <w:tcPr>
            <w:tcW w:w="0" w:type="auto"/>
            <w:gridSpan w:val="3"/>
            <w:shd w:val="clear" w:color="auto" w:fill="auto"/>
          </w:tcPr>
          <w:p w14:paraId="40CB15FB" w14:textId="77777777" w:rsidR="00584FB3" w:rsidRDefault="00584FB3">
            <w:pPr>
              <w:rPr>
                <w:rFonts w:ascii="宋体"/>
                <w:vanish/>
              </w:rPr>
            </w:pPr>
          </w:p>
        </w:tc>
        <w:tc>
          <w:tcPr>
            <w:tcW w:w="0" w:type="auto"/>
            <w:gridSpan w:val="3"/>
            <w:shd w:val="clear" w:color="auto" w:fill="auto"/>
          </w:tcPr>
          <w:p w14:paraId="40CB15FC" w14:textId="77777777" w:rsidR="00584FB3" w:rsidRDefault="00584FB3">
            <w:pPr>
              <w:rPr>
                <w:rFonts w:ascii="宋体"/>
                <w:vanish/>
              </w:rPr>
            </w:pPr>
          </w:p>
        </w:tc>
        <w:tc>
          <w:tcPr>
            <w:tcW w:w="0" w:type="auto"/>
            <w:gridSpan w:val="3"/>
            <w:shd w:val="clear" w:color="auto" w:fill="auto"/>
          </w:tcPr>
          <w:p w14:paraId="40CB15FD" w14:textId="77777777" w:rsidR="00584FB3" w:rsidRDefault="00584FB3">
            <w:pPr>
              <w:rPr>
                <w:rFonts w:ascii="宋体"/>
                <w:vanish/>
              </w:rPr>
            </w:pPr>
          </w:p>
        </w:tc>
      </w:tr>
      <w:tr w:rsidR="00584FB3" w14:paraId="40CB1609" w14:textId="77777777">
        <w:trPr>
          <w:hidden/>
        </w:trPr>
        <w:tc>
          <w:tcPr>
            <w:tcW w:w="0" w:type="auto"/>
            <w:gridSpan w:val="3"/>
            <w:shd w:val="clear" w:color="auto" w:fill="auto"/>
          </w:tcPr>
          <w:p w14:paraId="40CB15FF" w14:textId="77777777" w:rsidR="00584FB3" w:rsidRDefault="00584FB3">
            <w:pPr>
              <w:rPr>
                <w:rFonts w:ascii="宋体"/>
                <w:vanish/>
              </w:rPr>
            </w:pPr>
          </w:p>
        </w:tc>
        <w:tc>
          <w:tcPr>
            <w:tcW w:w="0" w:type="auto"/>
            <w:gridSpan w:val="3"/>
            <w:shd w:val="clear" w:color="auto" w:fill="auto"/>
          </w:tcPr>
          <w:p w14:paraId="40CB1600" w14:textId="77777777" w:rsidR="00584FB3" w:rsidRDefault="00584FB3">
            <w:pPr>
              <w:rPr>
                <w:rFonts w:ascii="宋体"/>
                <w:vanish/>
              </w:rPr>
            </w:pPr>
          </w:p>
        </w:tc>
        <w:tc>
          <w:tcPr>
            <w:tcW w:w="0" w:type="auto"/>
            <w:gridSpan w:val="3"/>
            <w:shd w:val="clear" w:color="auto" w:fill="auto"/>
          </w:tcPr>
          <w:p w14:paraId="40CB1601" w14:textId="77777777" w:rsidR="00584FB3" w:rsidRDefault="00584FB3">
            <w:pPr>
              <w:rPr>
                <w:rFonts w:ascii="宋体"/>
                <w:vanish/>
              </w:rPr>
            </w:pPr>
          </w:p>
        </w:tc>
        <w:tc>
          <w:tcPr>
            <w:tcW w:w="0" w:type="auto"/>
            <w:gridSpan w:val="3"/>
            <w:shd w:val="clear" w:color="auto" w:fill="auto"/>
          </w:tcPr>
          <w:p w14:paraId="40CB1602" w14:textId="77777777" w:rsidR="00584FB3" w:rsidRDefault="00584FB3">
            <w:pPr>
              <w:rPr>
                <w:rFonts w:ascii="宋体"/>
                <w:vanish/>
              </w:rPr>
            </w:pPr>
          </w:p>
        </w:tc>
        <w:tc>
          <w:tcPr>
            <w:tcW w:w="0" w:type="auto"/>
            <w:gridSpan w:val="3"/>
            <w:shd w:val="clear" w:color="auto" w:fill="auto"/>
          </w:tcPr>
          <w:p w14:paraId="40CB1603" w14:textId="77777777" w:rsidR="00584FB3" w:rsidRDefault="00584FB3">
            <w:pPr>
              <w:rPr>
                <w:rFonts w:ascii="宋体"/>
                <w:vanish/>
              </w:rPr>
            </w:pPr>
          </w:p>
        </w:tc>
        <w:tc>
          <w:tcPr>
            <w:tcW w:w="0" w:type="auto"/>
            <w:gridSpan w:val="3"/>
            <w:shd w:val="clear" w:color="auto" w:fill="auto"/>
          </w:tcPr>
          <w:p w14:paraId="40CB1604" w14:textId="77777777" w:rsidR="00584FB3" w:rsidRDefault="00584FB3">
            <w:pPr>
              <w:rPr>
                <w:rFonts w:ascii="宋体"/>
                <w:vanish/>
              </w:rPr>
            </w:pPr>
          </w:p>
        </w:tc>
        <w:tc>
          <w:tcPr>
            <w:tcW w:w="0" w:type="auto"/>
            <w:gridSpan w:val="3"/>
            <w:shd w:val="clear" w:color="auto" w:fill="auto"/>
          </w:tcPr>
          <w:p w14:paraId="40CB1605" w14:textId="77777777" w:rsidR="00584FB3" w:rsidRDefault="00584FB3">
            <w:pPr>
              <w:rPr>
                <w:rFonts w:ascii="宋体"/>
                <w:vanish/>
              </w:rPr>
            </w:pPr>
          </w:p>
        </w:tc>
        <w:tc>
          <w:tcPr>
            <w:tcW w:w="0" w:type="auto"/>
            <w:gridSpan w:val="3"/>
            <w:shd w:val="clear" w:color="auto" w:fill="auto"/>
          </w:tcPr>
          <w:p w14:paraId="40CB1606" w14:textId="77777777" w:rsidR="00584FB3" w:rsidRDefault="00584FB3">
            <w:pPr>
              <w:rPr>
                <w:rFonts w:ascii="宋体"/>
                <w:vanish/>
              </w:rPr>
            </w:pPr>
          </w:p>
        </w:tc>
        <w:tc>
          <w:tcPr>
            <w:tcW w:w="0" w:type="auto"/>
            <w:gridSpan w:val="3"/>
            <w:shd w:val="clear" w:color="auto" w:fill="auto"/>
          </w:tcPr>
          <w:p w14:paraId="40CB1607" w14:textId="77777777" w:rsidR="00584FB3" w:rsidRDefault="00584FB3">
            <w:pPr>
              <w:rPr>
                <w:rFonts w:ascii="宋体"/>
                <w:vanish/>
              </w:rPr>
            </w:pPr>
          </w:p>
        </w:tc>
        <w:tc>
          <w:tcPr>
            <w:tcW w:w="0" w:type="auto"/>
            <w:gridSpan w:val="3"/>
            <w:shd w:val="clear" w:color="auto" w:fill="auto"/>
          </w:tcPr>
          <w:p w14:paraId="40CB1608" w14:textId="77777777" w:rsidR="00584FB3" w:rsidRDefault="00584FB3">
            <w:pPr>
              <w:rPr>
                <w:rFonts w:ascii="宋体"/>
                <w:vanish/>
              </w:rPr>
            </w:pPr>
          </w:p>
        </w:tc>
      </w:tr>
      <w:tr w:rsidR="00584FB3" w14:paraId="40CB161E" w14:textId="77777777">
        <w:tc>
          <w:tcPr>
            <w:tcW w:w="0" w:type="auto"/>
            <w:gridSpan w:val="3"/>
            <w:shd w:val="clear" w:color="auto" w:fill="FFFFFF"/>
            <w:tcMar>
              <w:top w:w="40" w:type="dxa"/>
              <w:left w:w="20" w:type="dxa"/>
              <w:bottom w:w="40" w:type="dxa"/>
              <w:right w:w="20" w:type="dxa"/>
            </w:tcMar>
          </w:tcPr>
          <w:p w14:paraId="40CB160A" w14:textId="77777777" w:rsidR="00584FB3" w:rsidRDefault="00786180">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40CB160B"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60C" w14:textId="77777777" w:rsidR="00584FB3" w:rsidRDefault="00786180">
            <w:pPr>
              <w:jc w:val="right"/>
              <w:textAlignment w:val="bottom"/>
            </w:pPr>
            <w:r>
              <w:rPr>
                <w:rFonts w:ascii="Times New Roman" w:eastAsia="宋体" w:hAnsi="Times New Roman"/>
                <w:color w:val="000000"/>
                <w:sz w:val="20"/>
                <w:szCs w:val="20"/>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60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0E"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160F"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610" w14:textId="77777777" w:rsidR="00584FB3" w:rsidRDefault="00786180">
            <w:pPr>
              <w:jc w:val="right"/>
              <w:textAlignment w:val="bottom"/>
            </w:pPr>
            <w:r>
              <w:rPr>
                <w:rFonts w:ascii="Times New Roman" w:eastAsia="宋体" w:hAnsi="Times New Roman"/>
                <w:color w:val="000000"/>
                <w:sz w:val="20"/>
                <w:szCs w:val="20"/>
              </w:rPr>
              <w:t>(75.5)</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61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12"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1613"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614" w14:textId="77777777" w:rsidR="00584FB3" w:rsidRDefault="00786180">
            <w:pPr>
              <w:jc w:val="right"/>
              <w:textAlignment w:val="bottom"/>
            </w:pPr>
            <w:r>
              <w:rPr>
                <w:rFonts w:ascii="Times New Roman" w:eastAsia="宋体" w:hAnsi="Times New Roman"/>
                <w:color w:val="000000"/>
                <w:sz w:val="20"/>
                <w:szCs w:val="20"/>
              </w:rPr>
              <w:t>(13.5)</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61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16"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1617"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618" w14:textId="77777777" w:rsidR="00584FB3" w:rsidRDefault="00786180">
            <w:pPr>
              <w:jc w:val="right"/>
              <w:textAlignment w:val="bottom"/>
            </w:pPr>
            <w:r>
              <w:rPr>
                <w:rFonts w:ascii="Times New Roman" w:eastAsia="宋体" w:hAnsi="Times New Roman"/>
                <w:color w:val="000000"/>
                <w:sz w:val="20"/>
                <w:szCs w:val="20"/>
              </w:rPr>
              <w:t>(61.0)</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61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1A"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161B"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61C" w14:textId="77777777" w:rsidR="00584FB3" w:rsidRDefault="00786180">
            <w:pPr>
              <w:jc w:val="right"/>
              <w:textAlignment w:val="bottom"/>
            </w:pPr>
            <w:r>
              <w:rPr>
                <w:rFonts w:ascii="Times New Roman" w:eastAsia="宋体" w:hAnsi="Times New Roman"/>
                <w:color w:val="000000"/>
                <w:sz w:val="20"/>
                <w:szCs w:val="20"/>
              </w:rPr>
              <w:t>(145.9)</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61D" w14:textId="77777777" w:rsidR="00584FB3" w:rsidRDefault="00584FB3">
            <w:pPr>
              <w:jc w:val="right"/>
              <w:rPr>
                <w:rFonts w:ascii="宋体"/>
              </w:rPr>
            </w:pPr>
          </w:p>
        </w:tc>
      </w:tr>
      <w:tr w:rsidR="00584FB3" w14:paraId="40CB1629" w14:textId="77777777">
        <w:trPr>
          <w:trHeight w:val="240"/>
        </w:trPr>
        <w:tc>
          <w:tcPr>
            <w:tcW w:w="0" w:type="auto"/>
            <w:gridSpan w:val="3"/>
            <w:shd w:val="clear" w:color="auto" w:fill="FFFFFF"/>
            <w:tcMar>
              <w:top w:w="0" w:type="dxa"/>
              <w:left w:w="20" w:type="dxa"/>
              <w:bottom w:w="0" w:type="dxa"/>
              <w:right w:w="20" w:type="dxa"/>
            </w:tcMar>
          </w:tcPr>
          <w:p w14:paraId="40CB161F"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162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621"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1622"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623"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1624"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625"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162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627" w14:textId="77777777" w:rsidR="00584FB3" w:rsidRDefault="00584FB3">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CB1628" w14:textId="77777777" w:rsidR="00584FB3" w:rsidRDefault="00584FB3">
            <w:pPr>
              <w:rPr>
                <w:rFonts w:ascii="宋体"/>
              </w:rPr>
            </w:pPr>
          </w:p>
        </w:tc>
      </w:tr>
      <w:tr w:rsidR="00584FB3" w14:paraId="40CB1634" w14:textId="77777777">
        <w:tc>
          <w:tcPr>
            <w:tcW w:w="0" w:type="auto"/>
            <w:gridSpan w:val="3"/>
            <w:shd w:val="clear" w:color="auto" w:fill="D7E4BC"/>
            <w:tcMar>
              <w:top w:w="40" w:type="dxa"/>
              <w:left w:w="20" w:type="dxa"/>
              <w:bottom w:w="40" w:type="dxa"/>
              <w:right w:w="20" w:type="dxa"/>
            </w:tcMar>
          </w:tcPr>
          <w:p w14:paraId="40CB162A" w14:textId="77777777" w:rsidR="00584FB3" w:rsidRDefault="00786180">
            <w:pPr>
              <w:textAlignment w:val="top"/>
            </w:pPr>
            <w:r>
              <w:rPr>
                <w:rFonts w:ascii="Times New Roman" w:eastAsia="宋体" w:hAnsi="Times New Roman"/>
                <w:i/>
                <w:iCs/>
                <w:color w:val="000000"/>
                <w:sz w:val="20"/>
                <w:szCs w:val="20"/>
              </w:rPr>
              <w:t>December 29, 2019</w:t>
            </w:r>
          </w:p>
        </w:tc>
        <w:tc>
          <w:tcPr>
            <w:tcW w:w="0" w:type="auto"/>
            <w:gridSpan w:val="3"/>
            <w:shd w:val="clear" w:color="auto" w:fill="D7E4BC"/>
            <w:tcMar>
              <w:top w:w="0" w:type="dxa"/>
              <w:left w:w="20" w:type="dxa"/>
              <w:bottom w:w="0" w:type="dxa"/>
              <w:right w:w="20" w:type="dxa"/>
            </w:tcMar>
          </w:tcPr>
          <w:p w14:paraId="40CB162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2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2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2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2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3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3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3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633" w14:textId="77777777" w:rsidR="00584FB3" w:rsidRDefault="00584FB3">
            <w:pPr>
              <w:rPr>
                <w:rFonts w:ascii="宋体"/>
              </w:rPr>
            </w:pPr>
          </w:p>
        </w:tc>
      </w:tr>
      <w:tr w:rsidR="00584FB3" w14:paraId="40CB1649" w14:textId="77777777">
        <w:tc>
          <w:tcPr>
            <w:tcW w:w="0" w:type="auto"/>
            <w:gridSpan w:val="3"/>
            <w:shd w:val="clear" w:color="auto" w:fill="FFFFFF"/>
            <w:tcMar>
              <w:top w:w="40" w:type="dxa"/>
              <w:left w:w="20" w:type="dxa"/>
              <w:bottom w:w="40" w:type="dxa"/>
              <w:right w:w="20" w:type="dxa"/>
            </w:tcMar>
          </w:tcPr>
          <w:p w14:paraId="40CB1635" w14:textId="77777777" w:rsidR="00584FB3" w:rsidRDefault="00786180">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40CB1636"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637" w14:textId="77777777" w:rsidR="00584FB3" w:rsidRDefault="00786180">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40CB163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39"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63A"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63B" w14:textId="77777777" w:rsidR="00584FB3" w:rsidRDefault="00786180">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40CB163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3D"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63E"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63F" w14:textId="77777777" w:rsidR="00584FB3" w:rsidRDefault="00786180">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40CB164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41"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642"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643" w14:textId="77777777" w:rsidR="00584FB3" w:rsidRDefault="00786180">
            <w:pPr>
              <w:jc w:val="right"/>
              <w:textAlignment w:val="bottom"/>
            </w:pPr>
            <w:r>
              <w:rPr>
                <w:rFonts w:ascii="Times New Roman" w:eastAsia="宋体" w:hAnsi="Times New Roman"/>
                <w:color w:val="000000"/>
                <w:sz w:val="20"/>
                <w:szCs w:val="20"/>
              </w:rPr>
              <w:t>(508.1)</w:t>
            </w:r>
          </w:p>
        </w:tc>
        <w:tc>
          <w:tcPr>
            <w:tcW w:w="0" w:type="auto"/>
            <w:shd w:val="clear" w:color="auto" w:fill="FFFFFF"/>
            <w:tcMar>
              <w:top w:w="40" w:type="dxa"/>
              <w:left w:w="0" w:type="dxa"/>
              <w:bottom w:w="40" w:type="dxa"/>
              <w:right w:w="20" w:type="dxa"/>
            </w:tcMar>
            <w:vAlign w:val="bottom"/>
          </w:tcPr>
          <w:p w14:paraId="40CB164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45"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646"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647" w14:textId="77777777" w:rsidR="00584FB3" w:rsidRDefault="00786180">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left w:w="0" w:type="dxa"/>
              <w:bottom w:w="40" w:type="dxa"/>
              <w:right w:w="20" w:type="dxa"/>
            </w:tcMar>
            <w:vAlign w:val="bottom"/>
          </w:tcPr>
          <w:p w14:paraId="40CB1648" w14:textId="77777777" w:rsidR="00584FB3" w:rsidRDefault="00584FB3">
            <w:pPr>
              <w:jc w:val="right"/>
              <w:rPr>
                <w:rFonts w:ascii="宋体"/>
              </w:rPr>
            </w:pPr>
          </w:p>
        </w:tc>
      </w:tr>
      <w:tr w:rsidR="00584FB3" w14:paraId="40CB1659" w14:textId="77777777">
        <w:tc>
          <w:tcPr>
            <w:tcW w:w="0" w:type="auto"/>
            <w:gridSpan w:val="3"/>
            <w:shd w:val="clear" w:color="auto" w:fill="D7E4BC"/>
            <w:tcMar>
              <w:top w:w="40" w:type="dxa"/>
              <w:left w:w="245" w:type="dxa"/>
              <w:bottom w:w="40" w:type="dxa"/>
              <w:right w:w="20" w:type="dxa"/>
            </w:tcMar>
          </w:tcPr>
          <w:p w14:paraId="40CB164A" w14:textId="77777777" w:rsidR="00584FB3" w:rsidRDefault="00786180">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40CB164B" w14:textId="77777777" w:rsidR="00584FB3" w:rsidRDefault="00786180">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40CB164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4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64E" w14:textId="77777777" w:rsidR="00584FB3" w:rsidRDefault="00786180">
            <w:pPr>
              <w:jc w:val="right"/>
              <w:textAlignment w:val="bottom"/>
            </w:pPr>
            <w:r>
              <w:rPr>
                <w:rFonts w:ascii="Times New Roman" w:eastAsia="宋体" w:hAnsi="Times New Roman"/>
                <w:color w:val="000000"/>
                <w:sz w:val="20"/>
                <w:szCs w:val="20"/>
              </w:rPr>
              <w:t>25.8 </w:t>
            </w:r>
          </w:p>
        </w:tc>
        <w:tc>
          <w:tcPr>
            <w:tcW w:w="0" w:type="auto"/>
            <w:shd w:val="clear" w:color="auto" w:fill="D7E4BC"/>
            <w:tcMar>
              <w:top w:w="40" w:type="dxa"/>
              <w:left w:w="0" w:type="dxa"/>
              <w:bottom w:w="40" w:type="dxa"/>
              <w:right w:w="20" w:type="dxa"/>
            </w:tcMar>
            <w:vAlign w:val="bottom"/>
          </w:tcPr>
          <w:p w14:paraId="40CB164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5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651" w14:textId="77777777" w:rsidR="00584FB3" w:rsidRDefault="00786180">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left w:w="0" w:type="dxa"/>
              <w:bottom w:w="40" w:type="dxa"/>
              <w:right w:w="20" w:type="dxa"/>
            </w:tcMar>
            <w:vAlign w:val="bottom"/>
          </w:tcPr>
          <w:p w14:paraId="40CB165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5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654" w14:textId="77777777" w:rsidR="00584FB3" w:rsidRDefault="00786180">
            <w:pPr>
              <w:jc w:val="right"/>
              <w:textAlignment w:val="bottom"/>
            </w:pPr>
            <w:r>
              <w:rPr>
                <w:rFonts w:ascii="Times New Roman" w:eastAsia="宋体" w:hAnsi="Times New Roman"/>
                <w:color w:val="000000"/>
                <w:sz w:val="20"/>
                <w:szCs w:val="20"/>
              </w:rPr>
              <w:t>76.1 </w:t>
            </w:r>
          </w:p>
        </w:tc>
        <w:tc>
          <w:tcPr>
            <w:tcW w:w="0" w:type="auto"/>
            <w:shd w:val="clear" w:color="auto" w:fill="D7E4BC"/>
            <w:tcMar>
              <w:top w:w="40" w:type="dxa"/>
              <w:left w:w="0" w:type="dxa"/>
              <w:bottom w:w="40" w:type="dxa"/>
              <w:right w:w="20" w:type="dxa"/>
            </w:tcMar>
            <w:vAlign w:val="bottom"/>
          </w:tcPr>
          <w:p w14:paraId="40CB165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5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657" w14:textId="77777777" w:rsidR="00584FB3" w:rsidRDefault="00786180">
            <w:pPr>
              <w:jc w:val="right"/>
              <w:textAlignment w:val="bottom"/>
            </w:pPr>
            <w:r>
              <w:rPr>
                <w:rFonts w:ascii="Times New Roman" w:eastAsia="宋体" w:hAnsi="Times New Roman"/>
                <w:color w:val="000000"/>
                <w:sz w:val="20"/>
                <w:szCs w:val="20"/>
              </w:rPr>
              <w:t>119.5 </w:t>
            </w:r>
          </w:p>
        </w:tc>
        <w:tc>
          <w:tcPr>
            <w:tcW w:w="0" w:type="auto"/>
            <w:shd w:val="clear" w:color="auto" w:fill="D7E4BC"/>
            <w:tcMar>
              <w:top w:w="40" w:type="dxa"/>
              <w:left w:w="0" w:type="dxa"/>
              <w:bottom w:w="40" w:type="dxa"/>
              <w:right w:w="20" w:type="dxa"/>
            </w:tcMar>
            <w:vAlign w:val="bottom"/>
          </w:tcPr>
          <w:p w14:paraId="40CB1658" w14:textId="77777777" w:rsidR="00584FB3" w:rsidRDefault="00584FB3">
            <w:pPr>
              <w:jc w:val="right"/>
              <w:rPr>
                <w:rFonts w:ascii="宋体"/>
              </w:rPr>
            </w:pPr>
          </w:p>
        </w:tc>
      </w:tr>
      <w:tr w:rsidR="00584FB3" w14:paraId="40CB1669" w14:textId="77777777">
        <w:tc>
          <w:tcPr>
            <w:tcW w:w="0" w:type="auto"/>
            <w:gridSpan w:val="3"/>
            <w:shd w:val="clear" w:color="auto" w:fill="FFFFFF"/>
            <w:tcMar>
              <w:top w:w="40" w:type="dxa"/>
              <w:left w:w="245" w:type="dxa"/>
              <w:bottom w:w="40" w:type="dxa"/>
              <w:right w:w="20" w:type="dxa"/>
            </w:tcMar>
          </w:tcPr>
          <w:p w14:paraId="40CB165A" w14:textId="77777777" w:rsidR="00584FB3" w:rsidRDefault="00786180">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40CB165B"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40CB165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5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5E" w14:textId="77777777" w:rsidR="00584FB3" w:rsidRDefault="00786180">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40CB165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6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61" w14:textId="77777777" w:rsidR="00584FB3" w:rsidRDefault="00786180">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40CB166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6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64"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66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6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67" w14:textId="77777777" w:rsidR="00584FB3" w:rsidRDefault="00786180">
            <w:pPr>
              <w:jc w:val="right"/>
              <w:textAlignment w:val="bottom"/>
            </w:pPr>
            <w:r>
              <w:rPr>
                <w:rFonts w:ascii="Times New Roman" w:eastAsia="宋体" w:hAnsi="Times New Roman"/>
                <w:color w:val="000000"/>
                <w:sz w:val="20"/>
                <w:szCs w:val="20"/>
              </w:rPr>
              <w:t>(8.4)</w:t>
            </w:r>
          </w:p>
        </w:tc>
        <w:tc>
          <w:tcPr>
            <w:tcW w:w="0" w:type="auto"/>
            <w:shd w:val="clear" w:color="auto" w:fill="FFFFFF"/>
            <w:tcMar>
              <w:top w:w="40" w:type="dxa"/>
              <w:left w:w="0" w:type="dxa"/>
              <w:bottom w:w="40" w:type="dxa"/>
              <w:right w:w="20" w:type="dxa"/>
            </w:tcMar>
            <w:vAlign w:val="bottom"/>
          </w:tcPr>
          <w:p w14:paraId="40CB1668" w14:textId="77777777" w:rsidR="00584FB3" w:rsidRDefault="00584FB3">
            <w:pPr>
              <w:jc w:val="right"/>
              <w:rPr>
                <w:rFonts w:ascii="宋体"/>
              </w:rPr>
            </w:pPr>
          </w:p>
        </w:tc>
      </w:tr>
      <w:tr w:rsidR="00584FB3" w14:paraId="40CB1679" w14:textId="77777777">
        <w:tc>
          <w:tcPr>
            <w:tcW w:w="0" w:type="auto"/>
            <w:gridSpan w:val="3"/>
            <w:shd w:val="clear" w:color="auto" w:fill="D7E4BC"/>
            <w:tcMar>
              <w:top w:w="40" w:type="dxa"/>
              <w:left w:w="20" w:type="dxa"/>
              <w:bottom w:w="40" w:type="dxa"/>
              <w:right w:w="20" w:type="dxa"/>
            </w:tcMar>
          </w:tcPr>
          <w:p w14:paraId="40CB166A" w14:textId="77777777" w:rsidR="00584FB3" w:rsidRDefault="00786180">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66B" w14:textId="77777777" w:rsidR="00584FB3" w:rsidRDefault="0078618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66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6D"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66E" w14:textId="77777777" w:rsidR="00584FB3" w:rsidRDefault="00786180">
            <w:pPr>
              <w:jc w:val="right"/>
              <w:textAlignment w:val="bottom"/>
            </w:pPr>
            <w:r>
              <w:rPr>
                <w:rFonts w:ascii="Times New Roman" w:eastAsia="宋体" w:hAnsi="Times New Roman"/>
                <w:color w:val="000000"/>
                <w:sz w:val="20"/>
                <w:szCs w:val="20"/>
              </w:rPr>
              <w:t>19.7 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66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70"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671" w14:textId="77777777" w:rsidR="00584FB3" w:rsidRDefault="00786180">
            <w:pPr>
              <w:jc w:val="right"/>
              <w:textAlignment w:val="bottom"/>
            </w:pPr>
            <w:r>
              <w:rPr>
                <w:rFonts w:ascii="Times New Roman" w:eastAsia="宋体" w:hAnsi="Times New Roman"/>
                <w:color w:val="000000"/>
                <w:sz w:val="20"/>
                <w:szCs w:val="20"/>
              </w:rPr>
              <w:t>15.3 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67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73"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674" w14:textId="77777777" w:rsidR="00584FB3" w:rsidRDefault="00786180">
            <w:pPr>
              <w:jc w:val="right"/>
              <w:textAlignment w:val="bottom"/>
            </w:pPr>
            <w:r>
              <w:rPr>
                <w:rFonts w:ascii="Times New Roman" w:eastAsia="宋体" w:hAnsi="Times New Roman"/>
                <w:color w:val="000000"/>
                <w:sz w:val="20"/>
                <w:szCs w:val="20"/>
              </w:rPr>
              <w:t>76.1 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67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76"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677" w14:textId="77777777" w:rsidR="00584FB3" w:rsidRDefault="00786180">
            <w:pPr>
              <w:jc w:val="right"/>
              <w:textAlignment w:val="bottom"/>
            </w:pPr>
            <w:r>
              <w:rPr>
                <w:rFonts w:ascii="Times New Roman" w:eastAsia="宋体" w:hAnsi="Times New Roman"/>
                <w:color w:val="000000"/>
                <w:sz w:val="20"/>
                <w:szCs w:val="20"/>
              </w:rPr>
              <w:t>111.1 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678" w14:textId="77777777" w:rsidR="00584FB3" w:rsidRDefault="00584FB3">
            <w:pPr>
              <w:jc w:val="right"/>
              <w:rPr>
                <w:rFonts w:ascii="宋体"/>
              </w:rPr>
            </w:pPr>
          </w:p>
        </w:tc>
      </w:tr>
      <w:tr w:rsidR="00584FB3" w14:paraId="40CB1684" w14:textId="77777777">
        <w:trPr>
          <w:hidden/>
        </w:trPr>
        <w:tc>
          <w:tcPr>
            <w:tcW w:w="0" w:type="auto"/>
            <w:gridSpan w:val="3"/>
            <w:shd w:val="clear" w:color="auto" w:fill="auto"/>
          </w:tcPr>
          <w:p w14:paraId="40CB167A" w14:textId="77777777" w:rsidR="00584FB3" w:rsidRDefault="00584FB3">
            <w:pPr>
              <w:rPr>
                <w:rFonts w:ascii="宋体"/>
                <w:vanish/>
              </w:rPr>
            </w:pPr>
          </w:p>
        </w:tc>
        <w:tc>
          <w:tcPr>
            <w:tcW w:w="0" w:type="auto"/>
            <w:gridSpan w:val="3"/>
            <w:shd w:val="clear" w:color="auto" w:fill="auto"/>
          </w:tcPr>
          <w:p w14:paraId="40CB167B" w14:textId="77777777" w:rsidR="00584FB3" w:rsidRDefault="00584FB3">
            <w:pPr>
              <w:rPr>
                <w:rFonts w:ascii="宋体"/>
                <w:vanish/>
              </w:rPr>
            </w:pPr>
          </w:p>
        </w:tc>
        <w:tc>
          <w:tcPr>
            <w:tcW w:w="0" w:type="auto"/>
            <w:gridSpan w:val="3"/>
            <w:shd w:val="clear" w:color="auto" w:fill="auto"/>
          </w:tcPr>
          <w:p w14:paraId="40CB167C" w14:textId="77777777" w:rsidR="00584FB3" w:rsidRDefault="00584FB3">
            <w:pPr>
              <w:rPr>
                <w:rFonts w:ascii="宋体"/>
                <w:vanish/>
              </w:rPr>
            </w:pPr>
          </w:p>
        </w:tc>
        <w:tc>
          <w:tcPr>
            <w:tcW w:w="0" w:type="auto"/>
            <w:gridSpan w:val="3"/>
            <w:shd w:val="clear" w:color="auto" w:fill="auto"/>
          </w:tcPr>
          <w:p w14:paraId="40CB167D" w14:textId="77777777" w:rsidR="00584FB3" w:rsidRDefault="00584FB3">
            <w:pPr>
              <w:rPr>
                <w:rFonts w:ascii="宋体"/>
                <w:vanish/>
              </w:rPr>
            </w:pPr>
          </w:p>
        </w:tc>
        <w:tc>
          <w:tcPr>
            <w:tcW w:w="0" w:type="auto"/>
            <w:gridSpan w:val="3"/>
            <w:shd w:val="clear" w:color="auto" w:fill="auto"/>
          </w:tcPr>
          <w:p w14:paraId="40CB167E" w14:textId="77777777" w:rsidR="00584FB3" w:rsidRDefault="00584FB3">
            <w:pPr>
              <w:rPr>
                <w:rFonts w:ascii="宋体"/>
                <w:vanish/>
              </w:rPr>
            </w:pPr>
          </w:p>
        </w:tc>
        <w:tc>
          <w:tcPr>
            <w:tcW w:w="0" w:type="auto"/>
            <w:gridSpan w:val="3"/>
            <w:shd w:val="clear" w:color="auto" w:fill="auto"/>
          </w:tcPr>
          <w:p w14:paraId="40CB167F" w14:textId="77777777" w:rsidR="00584FB3" w:rsidRDefault="00584FB3">
            <w:pPr>
              <w:rPr>
                <w:rFonts w:ascii="宋体"/>
                <w:vanish/>
              </w:rPr>
            </w:pPr>
          </w:p>
        </w:tc>
        <w:tc>
          <w:tcPr>
            <w:tcW w:w="0" w:type="auto"/>
            <w:gridSpan w:val="3"/>
            <w:shd w:val="clear" w:color="auto" w:fill="auto"/>
          </w:tcPr>
          <w:p w14:paraId="40CB1680" w14:textId="77777777" w:rsidR="00584FB3" w:rsidRDefault="00584FB3">
            <w:pPr>
              <w:rPr>
                <w:rFonts w:ascii="宋体"/>
                <w:vanish/>
              </w:rPr>
            </w:pPr>
          </w:p>
        </w:tc>
        <w:tc>
          <w:tcPr>
            <w:tcW w:w="0" w:type="auto"/>
            <w:gridSpan w:val="3"/>
            <w:shd w:val="clear" w:color="auto" w:fill="auto"/>
          </w:tcPr>
          <w:p w14:paraId="40CB1681" w14:textId="77777777" w:rsidR="00584FB3" w:rsidRDefault="00584FB3">
            <w:pPr>
              <w:rPr>
                <w:rFonts w:ascii="宋体"/>
                <w:vanish/>
              </w:rPr>
            </w:pPr>
          </w:p>
        </w:tc>
        <w:tc>
          <w:tcPr>
            <w:tcW w:w="0" w:type="auto"/>
            <w:gridSpan w:val="3"/>
            <w:shd w:val="clear" w:color="auto" w:fill="auto"/>
          </w:tcPr>
          <w:p w14:paraId="40CB1682" w14:textId="77777777" w:rsidR="00584FB3" w:rsidRDefault="00584FB3">
            <w:pPr>
              <w:rPr>
                <w:rFonts w:ascii="宋体"/>
                <w:vanish/>
              </w:rPr>
            </w:pPr>
          </w:p>
        </w:tc>
        <w:tc>
          <w:tcPr>
            <w:tcW w:w="0" w:type="auto"/>
            <w:gridSpan w:val="3"/>
            <w:shd w:val="clear" w:color="auto" w:fill="auto"/>
          </w:tcPr>
          <w:p w14:paraId="40CB1683" w14:textId="77777777" w:rsidR="00584FB3" w:rsidRDefault="00584FB3">
            <w:pPr>
              <w:rPr>
                <w:rFonts w:ascii="宋体"/>
                <w:vanish/>
              </w:rPr>
            </w:pPr>
          </w:p>
        </w:tc>
      </w:tr>
      <w:tr w:rsidR="00584FB3" w14:paraId="40CB1694" w14:textId="77777777">
        <w:tc>
          <w:tcPr>
            <w:tcW w:w="0" w:type="auto"/>
            <w:gridSpan w:val="3"/>
            <w:shd w:val="clear" w:color="auto" w:fill="FFFFFF"/>
            <w:tcMar>
              <w:top w:w="40" w:type="dxa"/>
              <w:left w:w="20" w:type="dxa"/>
              <w:bottom w:w="40" w:type="dxa"/>
              <w:right w:w="20" w:type="dxa"/>
            </w:tcMar>
          </w:tcPr>
          <w:p w14:paraId="40CB1685" w14:textId="77777777" w:rsidR="00584FB3" w:rsidRDefault="00786180">
            <w:pPr>
              <w:textAlignment w:val="top"/>
            </w:pPr>
            <w:r>
              <w:rPr>
                <w:rFonts w:ascii="Times New Roman" w:eastAsia="宋体" w:hAnsi="Times New Roman"/>
                <w:color w:val="000000"/>
                <w:sz w:val="20"/>
                <w:szCs w:val="20"/>
              </w:rPr>
              <w:t>Cumulative effect of accounting adoption</w:t>
            </w:r>
          </w:p>
        </w:tc>
        <w:tc>
          <w:tcPr>
            <w:tcW w:w="0" w:type="auto"/>
            <w:gridSpan w:val="2"/>
            <w:shd w:val="clear" w:color="auto" w:fill="FFFFFF"/>
            <w:tcMar>
              <w:top w:w="40" w:type="dxa"/>
              <w:left w:w="20" w:type="dxa"/>
              <w:bottom w:w="40" w:type="dxa"/>
              <w:right w:w="0" w:type="dxa"/>
            </w:tcMar>
            <w:vAlign w:val="bottom"/>
          </w:tcPr>
          <w:p w14:paraId="40CB1686" w14:textId="77777777" w:rsidR="00584FB3" w:rsidRDefault="00786180">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40CB168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8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89" w14:textId="77777777" w:rsidR="00584FB3" w:rsidRDefault="00786180">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40CB168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8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8C" w14:textId="77777777" w:rsidR="00584FB3" w:rsidRDefault="0078618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40CB168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8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8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69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69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692" w14:textId="77777777" w:rsidR="00584FB3" w:rsidRDefault="00786180">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40CB1693" w14:textId="77777777" w:rsidR="00584FB3" w:rsidRDefault="00584FB3">
            <w:pPr>
              <w:jc w:val="right"/>
              <w:rPr>
                <w:rFonts w:ascii="宋体"/>
              </w:rPr>
            </w:pPr>
          </w:p>
        </w:tc>
      </w:tr>
      <w:tr w:rsidR="00584FB3" w14:paraId="40CB16A9" w14:textId="77777777">
        <w:tc>
          <w:tcPr>
            <w:tcW w:w="0" w:type="auto"/>
            <w:gridSpan w:val="3"/>
            <w:shd w:val="clear" w:color="auto" w:fill="D7E4BC"/>
            <w:tcMar>
              <w:top w:w="40" w:type="dxa"/>
              <w:left w:w="20" w:type="dxa"/>
              <w:bottom w:w="40" w:type="dxa"/>
              <w:right w:w="20" w:type="dxa"/>
            </w:tcMar>
          </w:tcPr>
          <w:p w14:paraId="40CB1695" w14:textId="77777777" w:rsidR="00584FB3" w:rsidRDefault="00786180">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69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697" w14:textId="77777777" w:rsidR="00584FB3" w:rsidRDefault="00786180">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69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99"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69A"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69B" w14:textId="77777777" w:rsidR="00584FB3" w:rsidRDefault="00786180">
            <w:pPr>
              <w:jc w:val="right"/>
              <w:textAlignment w:val="bottom"/>
            </w:pPr>
            <w:r>
              <w:rPr>
                <w:rFonts w:ascii="Times New Roman" w:eastAsia="宋体" w:hAnsi="Times New Roman"/>
                <w:color w:val="000000"/>
                <w:sz w:val="20"/>
                <w:szCs w:val="20"/>
              </w:rPr>
              <w:t>33.7 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69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9D"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69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69F" w14:textId="77777777" w:rsidR="00584FB3" w:rsidRDefault="00786180">
            <w:pPr>
              <w:jc w:val="right"/>
              <w:textAlignment w:val="bottom"/>
            </w:pPr>
            <w:r>
              <w:rPr>
                <w:rFonts w:ascii="Times New Roman" w:eastAsia="宋体" w:hAnsi="Times New Roman"/>
                <w:color w:val="000000"/>
                <w:sz w:val="20"/>
                <w:szCs w:val="20"/>
              </w:rPr>
              <w:t>7.7 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6A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A1"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6A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6A3" w14:textId="77777777" w:rsidR="00584FB3" w:rsidRDefault="00786180">
            <w:pPr>
              <w:jc w:val="right"/>
              <w:textAlignment w:val="bottom"/>
            </w:pPr>
            <w:r>
              <w:rPr>
                <w:rFonts w:ascii="Times New Roman" w:eastAsia="宋体" w:hAnsi="Times New Roman"/>
                <w:color w:val="000000"/>
                <w:sz w:val="20"/>
                <w:szCs w:val="20"/>
              </w:rPr>
              <w:t>(432.0)</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6A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6A5"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6A6"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6A7" w14:textId="77777777" w:rsidR="00584FB3" w:rsidRDefault="00786180">
            <w:pPr>
              <w:jc w:val="right"/>
              <w:textAlignment w:val="bottom"/>
            </w:pPr>
            <w:r>
              <w:rPr>
                <w:rFonts w:ascii="Times New Roman" w:eastAsia="宋体" w:hAnsi="Times New Roman"/>
                <w:color w:val="000000"/>
                <w:sz w:val="20"/>
                <w:szCs w:val="20"/>
              </w:rPr>
              <w:t>(387.4)</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6A8" w14:textId="77777777" w:rsidR="00584FB3" w:rsidRDefault="00584FB3">
            <w:pPr>
              <w:jc w:val="right"/>
              <w:rPr>
                <w:rFonts w:ascii="宋体"/>
              </w:rPr>
            </w:pPr>
          </w:p>
        </w:tc>
      </w:tr>
      <w:tr w:rsidR="00584FB3" w14:paraId="40CB16B4" w14:textId="77777777">
        <w:trPr>
          <w:hidden/>
        </w:trPr>
        <w:tc>
          <w:tcPr>
            <w:tcW w:w="0" w:type="auto"/>
            <w:gridSpan w:val="3"/>
            <w:shd w:val="clear" w:color="auto" w:fill="auto"/>
          </w:tcPr>
          <w:p w14:paraId="40CB16AA" w14:textId="77777777" w:rsidR="00584FB3" w:rsidRDefault="00584FB3">
            <w:pPr>
              <w:rPr>
                <w:rFonts w:ascii="宋体"/>
                <w:vanish/>
              </w:rPr>
            </w:pPr>
          </w:p>
        </w:tc>
        <w:tc>
          <w:tcPr>
            <w:tcW w:w="0" w:type="auto"/>
            <w:gridSpan w:val="3"/>
            <w:shd w:val="clear" w:color="auto" w:fill="auto"/>
          </w:tcPr>
          <w:p w14:paraId="40CB16AB" w14:textId="77777777" w:rsidR="00584FB3" w:rsidRDefault="00584FB3">
            <w:pPr>
              <w:rPr>
                <w:rFonts w:ascii="宋体"/>
                <w:vanish/>
              </w:rPr>
            </w:pPr>
          </w:p>
        </w:tc>
        <w:tc>
          <w:tcPr>
            <w:tcW w:w="0" w:type="auto"/>
            <w:gridSpan w:val="3"/>
            <w:shd w:val="clear" w:color="auto" w:fill="auto"/>
          </w:tcPr>
          <w:p w14:paraId="40CB16AC" w14:textId="77777777" w:rsidR="00584FB3" w:rsidRDefault="00584FB3">
            <w:pPr>
              <w:rPr>
                <w:rFonts w:ascii="宋体"/>
                <w:vanish/>
              </w:rPr>
            </w:pPr>
          </w:p>
        </w:tc>
        <w:tc>
          <w:tcPr>
            <w:tcW w:w="0" w:type="auto"/>
            <w:gridSpan w:val="3"/>
            <w:shd w:val="clear" w:color="auto" w:fill="auto"/>
          </w:tcPr>
          <w:p w14:paraId="40CB16AD" w14:textId="77777777" w:rsidR="00584FB3" w:rsidRDefault="00584FB3">
            <w:pPr>
              <w:rPr>
                <w:rFonts w:ascii="宋体"/>
                <w:vanish/>
              </w:rPr>
            </w:pPr>
          </w:p>
        </w:tc>
        <w:tc>
          <w:tcPr>
            <w:tcW w:w="0" w:type="auto"/>
            <w:gridSpan w:val="3"/>
            <w:shd w:val="clear" w:color="auto" w:fill="auto"/>
          </w:tcPr>
          <w:p w14:paraId="40CB16AE" w14:textId="77777777" w:rsidR="00584FB3" w:rsidRDefault="00584FB3">
            <w:pPr>
              <w:rPr>
                <w:rFonts w:ascii="宋体"/>
                <w:vanish/>
              </w:rPr>
            </w:pPr>
          </w:p>
        </w:tc>
        <w:tc>
          <w:tcPr>
            <w:tcW w:w="0" w:type="auto"/>
            <w:gridSpan w:val="3"/>
            <w:shd w:val="clear" w:color="auto" w:fill="auto"/>
          </w:tcPr>
          <w:p w14:paraId="40CB16AF" w14:textId="77777777" w:rsidR="00584FB3" w:rsidRDefault="00584FB3">
            <w:pPr>
              <w:rPr>
                <w:rFonts w:ascii="宋体"/>
                <w:vanish/>
              </w:rPr>
            </w:pPr>
          </w:p>
        </w:tc>
        <w:tc>
          <w:tcPr>
            <w:tcW w:w="0" w:type="auto"/>
            <w:gridSpan w:val="3"/>
            <w:shd w:val="clear" w:color="auto" w:fill="auto"/>
          </w:tcPr>
          <w:p w14:paraId="40CB16B0" w14:textId="77777777" w:rsidR="00584FB3" w:rsidRDefault="00584FB3">
            <w:pPr>
              <w:rPr>
                <w:rFonts w:ascii="宋体"/>
                <w:vanish/>
              </w:rPr>
            </w:pPr>
          </w:p>
        </w:tc>
        <w:tc>
          <w:tcPr>
            <w:tcW w:w="0" w:type="auto"/>
            <w:gridSpan w:val="3"/>
            <w:shd w:val="clear" w:color="auto" w:fill="auto"/>
          </w:tcPr>
          <w:p w14:paraId="40CB16B1" w14:textId="77777777" w:rsidR="00584FB3" w:rsidRDefault="00584FB3">
            <w:pPr>
              <w:rPr>
                <w:rFonts w:ascii="宋体"/>
                <w:vanish/>
              </w:rPr>
            </w:pPr>
          </w:p>
        </w:tc>
        <w:tc>
          <w:tcPr>
            <w:tcW w:w="0" w:type="auto"/>
            <w:gridSpan w:val="3"/>
            <w:shd w:val="clear" w:color="auto" w:fill="auto"/>
          </w:tcPr>
          <w:p w14:paraId="40CB16B2" w14:textId="77777777" w:rsidR="00584FB3" w:rsidRDefault="00584FB3">
            <w:pPr>
              <w:rPr>
                <w:rFonts w:ascii="宋体"/>
                <w:vanish/>
              </w:rPr>
            </w:pPr>
          </w:p>
        </w:tc>
        <w:tc>
          <w:tcPr>
            <w:tcW w:w="0" w:type="auto"/>
            <w:gridSpan w:val="3"/>
            <w:shd w:val="clear" w:color="auto" w:fill="auto"/>
          </w:tcPr>
          <w:p w14:paraId="40CB16B3" w14:textId="77777777" w:rsidR="00584FB3" w:rsidRDefault="00584FB3">
            <w:pPr>
              <w:rPr>
                <w:rFonts w:ascii="宋体"/>
                <w:vanish/>
              </w:rPr>
            </w:pPr>
          </w:p>
        </w:tc>
      </w:tr>
      <w:tr w:rsidR="00584FB3" w14:paraId="40CB16BF" w14:textId="77777777">
        <w:trPr>
          <w:hidden/>
        </w:trPr>
        <w:tc>
          <w:tcPr>
            <w:tcW w:w="0" w:type="auto"/>
            <w:gridSpan w:val="3"/>
            <w:shd w:val="clear" w:color="auto" w:fill="auto"/>
          </w:tcPr>
          <w:p w14:paraId="40CB16B5" w14:textId="77777777" w:rsidR="00584FB3" w:rsidRDefault="00584FB3">
            <w:pPr>
              <w:rPr>
                <w:rFonts w:ascii="宋体"/>
                <w:vanish/>
              </w:rPr>
            </w:pPr>
          </w:p>
        </w:tc>
        <w:tc>
          <w:tcPr>
            <w:tcW w:w="0" w:type="auto"/>
            <w:gridSpan w:val="3"/>
            <w:shd w:val="clear" w:color="auto" w:fill="auto"/>
          </w:tcPr>
          <w:p w14:paraId="40CB16B6" w14:textId="77777777" w:rsidR="00584FB3" w:rsidRDefault="00584FB3">
            <w:pPr>
              <w:rPr>
                <w:rFonts w:ascii="宋体"/>
                <w:vanish/>
              </w:rPr>
            </w:pPr>
          </w:p>
        </w:tc>
        <w:tc>
          <w:tcPr>
            <w:tcW w:w="0" w:type="auto"/>
            <w:gridSpan w:val="3"/>
            <w:shd w:val="clear" w:color="auto" w:fill="auto"/>
          </w:tcPr>
          <w:p w14:paraId="40CB16B7" w14:textId="77777777" w:rsidR="00584FB3" w:rsidRDefault="00584FB3">
            <w:pPr>
              <w:rPr>
                <w:rFonts w:ascii="宋体"/>
                <w:vanish/>
              </w:rPr>
            </w:pPr>
          </w:p>
        </w:tc>
        <w:tc>
          <w:tcPr>
            <w:tcW w:w="0" w:type="auto"/>
            <w:gridSpan w:val="3"/>
            <w:shd w:val="clear" w:color="auto" w:fill="auto"/>
          </w:tcPr>
          <w:p w14:paraId="40CB16B8" w14:textId="77777777" w:rsidR="00584FB3" w:rsidRDefault="00584FB3">
            <w:pPr>
              <w:rPr>
                <w:rFonts w:ascii="宋体"/>
                <w:vanish/>
              </w:rPr>
            </w:pPr>
          </w:p>
        </w:tc>
        <w:tc>
          <w:tcPr>
            <w:tcW w:w="0" w:type="auto"/>
            <w:gridSpan w:val="3"/>
            <w:shd w:val="clear" w:color="auto" w:fill="auto"/>
          </w:tcPr>
          <w:p w14:paraId="40CB16B9" w14:textId="77777777" w:rsidR="00584FB3" w:rsidRDefault="00584FB3">
            <w:pPr>
              <w:rPr>
                <w:rFonts w:ascii="宋体"/>
                <w:vanish/>
              </w:rPr>
            </w:pPr>
          </w:p>
        </w:tc>
        <w:tc>
          <w:tcPr>
            <w:tcW w:w="0" w:type="auto"/>
            <w:gridSpan w:val="3"/>
            <w:shd w:val="clear" w:color="auto" w:fill="auto"/>
          </w:tcPr>
          <w:p w14:paraId="40CB16BA" w14:textId="77777777" w:rsidR="00584FB3" w:rsidRDefault="00584FB3">
            <w:pPr>
              <w:rPr>
                <w:rFonts w:ascii="宋体"/>
                <w:vanish/>
              </w:rPr>
            </w:pPr>
          </w:p>
        </w:tc>
        <w:tc>
          <w:tcPr>
            <w:tcW w:w="0" w:type="auto"/>
            <w:gridSpan w:val="3"/>
            <w:shd w:val="clear" w:color="auto" w:fill="auto"/>
          </w:tcPr>
          <w:p w14:paraId="40CB16BB" w14:textId="77777777" w:rsidR="00584FB3" w:rsidRDefault="00584FB3">
            <w:pPr>
              <w:rPr>
                <w:rFonts w:ascii="宋体"/>
                <w:vanish/>
              </w:rPr>
            </w:pPr>
          </w:p>
        </w:tc>
        <w:tc>
          <w:tcPr>
            <w:tcW w:w="0" w:type="auto"/>
            <w:gridSpan w:val="3"/>
            <w:shd w:val="clear" w:color="auto" w:fill="auto"/>
          </w:tcPr>
          <w:p w14:paraId="40CB16BC" w14:textId="77777777" w:rsidR="00584FB3" w:rsidRDefault="00584FB3">
            <w:pPr>
              <w:rPr>
                <w:rFonts w:ascii="宋体"/>
                <w:vanish/>
              </w:rPr>
            </w:pPr>
          </w:p>
        </w:tc>
        <w:tc>
          <w:tcPr>
            <w:tcW w:w="0" w:type="auto"/>
            <w:gridSpan w:val="3"/>
            <w:shd w:val="clear" w:color="auto" w:fill="auto"/>
          </w:tcPr>
          <w:p w14:paraId="40CB16BD" w14:textId="77777777" w:rsidR="00584FB3" w:rsidRDefault="00584FB3">
            <w:pPr>
              <w:rPr>
                <w:rFonts w:ascii="宋体"/>
                <w:vanish/>
              </w:rPr>
            </w:pPr>
          </w:p>
        </w:tc>
        <w:tc>
          <w:tcPr>
            <w:tcW w:w="0" w:type="auto"/>
            <w:gridSpan w:val="3"/>
            <w:shd w:val="clear" w:color="auto" w:fill="auto"/>
          </w:tcPr>
          <w:p w14:paraId="40CB16BE" w14:textId="77777777" w:rsidR="00584FB3" w:rsidRDefault="00584FB3">
            <w:pPr>
              <w:rPr>
                <w:rFonts w:ascii="宋体"/>
                <w:vanish/>
              </w:rPr>
            </w:pPr>
          </w:p>
        </w:tc>
      </w:tr>
      <w:tr w:rsidR="00584FB3" w14:paraId="40CB16CA" w14:textId="77777777">
        <w:trPr>
          <w:hidden/>
        </w:trPr>
        <w:tc>
          <w:tcPr>
            <w:tcW w:w="0" w:type="auto"/>
            <w:gridSpan w:val="3"/>
            <w:shd w:val="clear" w:color="auto" w:fill="auto"/>
          </w:tcPr>
          <w:p w14:paraId="40CB16C0" w14:textId="77777777" w:rsidR="00584FB3" w:rsidRDefault="00584FB3">
            <w:pPr>
              <w:rPr>
                <w:rFonts w:ascii="宋体"/>
                <w:vanish/>
              </w:rPr>
            </w:pPr>
          </w:p>
        </w:tc>
        <w:tc>
          <w:tcPr>
            <w:tcW w:w="0" w:type="auto"/>
            <w:gridSpan w:val="3"/>
            <w:shd w:val="clear" w:color="auto" w:fill="auto"/>
          </w:tcPr>
          <w:p w14:paraId="40CB16C1" w14:textId="77777777" w:rsidR="00584FB3" w:rsidRDefault="00584FB3">
            <w:pPr>
              <w:rPr>
                <w:rFonts w:ascii="宋体"/>
                <w:vanish/>
              </w:rPr>
            </w:pPr>
          </w:p>
        </w:tc>
        <w:tc>
          <w:tcPr>
            <w:tcW w:w="0" w:type="auto"/>
            <w:gridSpan w:val="3"/>
            <w:shd w:val="clear" w:color="auto" w:fill="auto"/>
          </w:tcPr>
          <w:p w14:paraId="40CB16C2" w14:textId="77777777" w:rsidR="00584FB3" w:rsidRDefault="00584FB3">
            <w:pPr>
              <w:rPr>
                <w:rFonts w:ascii="宋体"/>
                <w:vanish/>
              </w:rPr>
            </w:pPr>
          </w:p>
        </w:tc>
        <w:tc>
          <w:tcPr>
            <w:tcW w:w="0" w:type="auto"/>
            <w:gridSpan w:val="3"/>
            <w:shd w:val="clear" w:color="auto" w:fill="auto"/>
          </w:tcPr>
          <w:p w14:paraId="40CB16C3" w14:textId="77777777" w:rsidR="00584FB3" w:rsidRDefault="00584FB3">
            <w:pPr>
              <w:rPr>
                <w:rFonts w:ascii="宋体"/>
                <w:vanish/>
              </w:rPr>
            </w:pPr>
          </w:p>
        </w:tc>
        <w:tc>
          <w:tcPr>
            <w:tcW w:w="0" w:type="auto"/>
            <w:gridSpan w:val="3"/>
            <w:shd w:val="clear" w:color="auto" w:fill="auto"/>
          </w:tcPr>
          <w:p w14:paraId="40CB16C4" w14:textId="77777777" w:rsidR="00584FB3" w:rsidRDefault="00584FB3">
            <w:pPr>
              <w:rPr>
                <w:rFonts w:ascii="宋体"/>
                <w:vanish/>
              </w:rPr>
            </w:pPr>
          </w:p>
        </w:tc>
        <w:tc>
          <w:tcPr>
            <w:tcW w:w="0" w:type="auto"/>
            <w:gridSpan w:val="3"/>
            <w:shd w:val="clear" w:color="auto" w:fill="auto"/>
          </w:tcPr>
          <w:p w14:paraId="40CB16C5" w14:textId="77777777" w:rsidR="00584FB3" w:rsidRDefault="00584FB3">
            <w:pPr>
              <w:rPr>
                <w:rFonts w:ascii="宋体"/>
                <w:vanish/>
              </w:rPr>
            </w:pPr>
          </w:p>
        </w:tc>
        <w:tc>
          <w:tcPr>
            <w:tcW w:w="0" w:type="auto"/>
            <w:gridSpan w:val="3"/>
            <w:shd w:val="clear" w:color="auto" w:fill="auto"/>
          </w:tcPr>
          <w:p w14:paraId="40CB16C6" w14:textId="77777777" w:rsidR="00584FB3" w:rsidRDefault="00584FB3">
            <w:pPr>
              <w:rPr>
                <w:rFonts w:ascii="宋体"/>
                <w:vanish/>
              </w:rPr>
            </w:pPr>
          </w:p>
        </w:tc>
        <w:tc>
          <w:tcPr>
            <w:tcW w:w="0" w:type="auto"/>
            <w:gridSpan w:val="3"/>
            <w:shd w:val="clear" w:color="auto" w:fill="auto"/>
          </w:tcPr>
          <w:p w14:paraId="40CB16C7" w14:textId="77777777" w:rsidR="00584FB3" w:rsidRDefault="00584FB3">
            <w:pPr>
              <w:rPr>
                <w:rFonts w:ascii="宋体"/>
                <w:vanish/>
              </w:rPr>
            </w:pPr>
          </w:p>
        </w:tc>
        <w:tc>
          <w:tcPr>
            <w:tcW w:w="0" w:type="auto"/>
            <w:gridSpan w:val="3"/>
            <w:shd w:val="clear" w:color="auto" w:fill="auto"/>
          </w:tcPr>
          <w:p w14:paraId="40CB16C8" w14:textId="77777777" w:rsidR="00584FB3" w:rsidRDefault="00584FB3">
            <w:pPr>
              <w:rPr>
                <w:rFonts w:ascii="宋体"/>
                <w:vanish/>
              </w:rPr>
            </w:pPr>
          </w:p>
        </w:tc>
        <w:tc>
          <w:tcPr>
            <w:tcW w:w="0" w:type="auto"/>
            <w:gridSpan w:val="3"/>
            <w:shd w:val="clear" w:color="auto" w:fill="auto"/>
          </w:tcPr>
          <w:p w14:paraId="40CB16C9" w14:textId="77777777" w:rsidR="00584FB3" w:rsidRDefault="00584FB3">
            <w:pPr>
              <w:rPr>
                <w:rFonts w:ascii="宋体"/>
                <w:vanish/>
              </w:rPr>
            </w:pPr>
          </w:p>
        </w:tc>
      </w:tr>
      <w:tr w:rsidR="00584FB3" w14:paraId="40CB16D5" w14:textId="77777777">
        <w:trPr>
          <w:hidden/>
        </w:trPr>
        <w:tc>
          <w:tcPr>
            <w:tcW w:w="0" w:type="auto"/>
            <w:gridSpan w:val="3"/>
            <w:shd w:val="clear" w:color="auto" w:fill="auto"/>
          </w:tcPr>
          <w:p w14:paraId="40CB16CB" w14:textId="77777777" w:rsidR="00584FB3" w:rsidRDefault="00584FB3">
            <w:pPr>
              <w:rPr>
                <w:rFonts w:ascii="宋体"/>
                <w:vanish/>
              </w:rPr>
            </w:pPr>
          </w:p>
        </w:tc>
        <w:tc>
          <w:tcPr>
            <w:tcW w:w="0" w:type="auto"/>
            <w:gridSpan w:val="3"/>
            <w:shd w:val="clear" w:color="auto" w:fill="auto"/>
          </w:tcPr>
          <w:p w14:paraId="40CB16CC" w14:textId="77777777" w:rsidR="00584FB3" w:rsidRDefault="00584FB3">
            <w:pPr>
              <w:rPr>
                <w:rFonts w:ascii="宋体"/>
                <w:vanish/>
              </w:rPr>
            </w:pPr>
          </w:p>
        </w:tc>
        <w:tc>
          <w:tcPr>
            <w:tcW w:w="0" w:type="auto"/>
            <w:gridSpan w:val="3"/>
            <w:shd w:val="clear" w:color="auto" w:fill="auto"/>
          </w:tcPr>
          <w:p w14:paraId="40CB16CD" w14:textId="77777777" w:rsidR="00584FB3" w:rsidRDefault="00584FB3">
            <w:pPr>
              <w:rPr>
                <w:rFonts w:ascii="宋体"/>
                <w:vanish/>
              </w:rPr>
            </w:pPr>
          </w:p>
        </w:tc>
        <w:tc>
          <w:tcPr>
            <w:tcW w:w="0" w:type="auto"/>
            <w:gridSpan w:val="3"/>
            <w:shd w:val="clear" w:color="auto" w:fill="auto"/>
          </w:tcPr>
          <w:p w14:paraId="40CB16CE" w14:textId="77777777" w:rsidR="00584FB3" w:rsidRDefault="00584FB3">
            <w:pPr>
              <w:rPr>
                <w:rFonts w:ascii="宋体"/>
                <w:vanish/>
              </w:rPr>
            </w:pPr>
          </w:p>
        </w:tc>
        <w:tc>
          <w:tcPr>
            <w:tcW w:w="0" w:type="auto"/>
            <w:gridSpan w:val="3"/>
            <w:shd w:val="clear" w:color="auto" w:fill="auto"/>
          </w:tcPr>
          <w:p w14:paraId="40CB16CF" w14:textId="77777777" w:rsidR="00584FB3" w:rsidRDefault="00584FB3">
            <w:pPr>
              <w:rPr>
                <w:rFonts w:ascii="宋体"/>
                <w:vanish/>
              </w:rPr>
            </w:pPr>
          </w:p>
        </w:tc>
        <w:tc>
          <w:tcPr>
            <w:tcW w:w="0" w:type="auto"/>
            <w:gridSpan w:val="3"/>
            <w:shd w:val="clear" w:color="auto" w:fill="auto"/>
          </w:tcPr>
          <w:p w14:paraId="40CB16D0" w14:textId="77777777" w:rsidR="00584FB3" w:rsidRDefault="00584FB3">
            <w:pPr>
              <w:rPr>
                <w:rFonts w:ascii="宋体"/>
                <w:vanish/>
              </w:rPr>
            </w:pPr>
          </w:p>
        </w:tc>
        <w:tc>
          <w:tcPr>
            <w:tcW w:w="0" w:type="auto"/>
            <w:gridSpan w:val="3"/>
            <w:shd w:val="clear" w:color="auto" w:fill="auto"/>
          </w:tcPr>
          <w:p w14:paraId="40CB16D1" w14:textId="77777777" w:rsidR="00584FB3" w:rsidRDefault="00584FB3">
            <w:pPr>
              <w:rPr>
                <w:rFonts w:ascii="宋体"/>
                <w:vanish/>
              </w:rPr>
            </w:pPr>
          </w:p>
        </w:tc>
        <w:tc>
          <w:tcPr>
            <w:tcW w:w="0" w:type="auto"/>
            <w:gridSpan w:val="3"/>
            <w:shd w:val="clear" w:color="auto" w:fill="auto"/>
          </w:tcPr>
          <w:p w14:paraId="40CB16D2" w14:textId="77777777" w:rsidR="00584FB3" w:rsidRDefault="00584FB3">
            <w:pPr>
              <w:rPr>
                <w:rFonts w:ascii="宋体"/>
                <w:vanish/>
              </w:rPr>
            </w:pPr>
          </w:p>
        </w:tc>
        <w:tc>
          <w:tcPr>
            <w:tcW w:w="0" w:type="auto"/>
            <w:gridSpan w:val="3"/>
            <w:shd w:val="clear" w:color="auto" w:fill="auto"/>
          </w:tcPr>
          <w:p w14:paraId="40CB16D3" w14:textId="77777777" w:rsidR="00584FB3" w:rsidRDefault="00584FB3">
            <w:pPr>
              <w:rPr>
                <w:rFonts w:ascii="宋体"/>
                <w:vanish/>
              </w:rPr>
            </w:pPr>
          </w:p>
        </w:tc>
        <w:tc>
          <w:tcPr>
            <w:tcW w:w="0" w:type="auto"/>
            <w:gridSpan w:val="3"/>
            <w:shd w:val="clear" w:color="auto" w:fill="auto"/>
          </w:tcPr>
          <w:p w14:paraId="40CB16D4" w14:textId="77777777" w:rsidR="00584FB3" w:rsidRDefault="00584FB3">
            <w:pPr>
              <w:rPr>
                <w:rFonts w:ascii="宋体"/>
                <w:vanish/>
              </w:rPr>
            </w:pPr>
          </w:p>
        </w:tc>
      </w:tr>
      <w:tr w:rsidR="00584FB3" w14:paraId="40CB16E0" w14:textId="77777777">
        <w:trPr>
          <w:hidden/>
        </w:trPr>
        <w:tc>
          <w:tcPr>
            <w:tcW w:w="0" w:type="auto"/>
            <w:gridSpan w:val="3"/>
            <w:shd w:val="clear" w:color="auto" w:fill="auto"/>
          </w:tcPr>
          <w:p w14:paraId="40CB16D6" w14:textId="77777777" w:rsidR="00584FB3" w:rsidRDefault="00584FB3">
            <w:pPr>
              <w:rPr>
                <w:rFonts w:ascii="宋体"/>
                <w:vanish/>
              </w:rPr>
            </w:pPr>
          </w:p>
        </w:tc>
        <w:tc>
          <w:tcPr>
            <w:tcW w:w="0" w:type="auto"/>
            <w:gridSpan w:val="3"/>
            <w:shd w:val="clear" w:color="auto" w:fill="auto"/>
          </w:tcPr>
          <w:p w14:paraId="40CB16D7" w14:textId="77777777" w:rsidR="00584FB3" w:rsidRDefault="00584FB3">
            <w:pPr>
              <w:rPr>
                <w:rFonts w:ascii="宋体"/>
                <w:vanish/>
              </w:rPr>
            </w:pPr>
          </w:p>
        </w:tc>
        <w:tc>
          <w:tcPr>
            <w:tcW w:w="0" w:type="auto"/>
            <w:gridSpan w:val="3"/>
            <w:shd w:val="clear" w:color="auto" w:fill="auto"/>
          </w:tcPr>
          <w:p w14:paraId="40CB16D8" w14:textId="77777777" w:rsidR="00584FB3" w:rsidRDefault="00584FB3">
            <w:pPr>
              <w:rPr>
                <w:rFonts w:ascii="宋体"/>
                <w:vanish/>
              </w:rPr>
            </w:pPr>
          </w:p>
        </w:tc>
        <w:tc>
          <w:tcPr>
            <w:tcW w:w="0" w:type="auto"/>
            <w:gridSpan w:val="3"/>
            <w:shd w:val="clear" w:color="auto" w:fill="auto"/>
          </w:tcPr>
          <w:p w14:paraId="40CB16D9" w14:textId="77777777" w:rsidR="00584FB3" w:rsidRDefault="00584FB3">
            <w:pPr>
              <w:rPr>
                <w:rFonts w:ascii="宋体"/>
                <w:vanish/>
              </w:rPr>
            </w:pPr>
          </w:p>
        </w:tc>
        <w:tc>
          <w:tcPr>
            <w:tcW w:w="0" w:type="auto"/>
            <w:gridSpan w:val="3"/>
            <w:shd w:val="clear" w:color="auto" w:fill="auto"/>
          </w:tcPr>
          <w:p w14:paraId="40CB16DA" w14:textId="77777777" w:rsidR="00584FB3" w:rsidRDefault="00584FB3">
            <w:pPr>
              <w:rPr>
                <w:rFonts w:ascii="宋体"/>
                <w:vanish/>
              </w:rPr>
            </w:pPr>
          </w:p>
        </w:tc>
        <w:tc>
          <w:tcPr>
            <w:tcW w:w="0" w:type="auto"/>
            <w:gridSpan w:val="3"/>
            <w:shd w:val="clear" w:color="auto" w:fill="auto"/>
          </w:tcPr>
          <w:p w14:paraId="40CB16DB" w14:textId="77777777" w:rsidR="00584FB3" w:rsidRDefault="00584FB3">
            <w:pPr>
              <w:rPr>
                <w:rFonts w:ascii="宋体"/>
                <w:vanish/>
              </w:rPr>
            </w:pPr>
          </w:p>
        </w:tc>
        <w:tc>
          <w:tcPr>
            <w:tcW w:w="0" w:type="auto"/>
            <w:gridSpan w:val="3"/>
            <w:shd w:val="clear" w:color="auto" w:fill="auto"/>
          </w:tcPr>
          <w:p w14:paraId="40CB16DC" w14:textId="77777777" w:rsidR="00584FB3" w:rsidRDefault="00584FB3">
            <w:pPr>
              <w:rPr>
                <w:rFonts w:ascii="宋体"/>
                <w:vanish/>
              </w:rPr>
            </w:pPr>
          </w:p>
        </w:tc>
        <w:tc>
          <w:tcPr>
            <w:tcW w:w="0" w:type="auto"/>
            <w:gridSpan w:val="3"/>
            <w:shd w:val="clear" w:color="auto" w:fill="auto"/>
          </w:tcPr>
          <w:p w14:paraId="40CB16DD" w14:textId="77777777" w:rsidR="00584FB3" w:rsidRDefault="00584FB3">
            <w:pPr>
              <w:rPr>
                <w:rFonts w:ascii="宋体"/>
                <w:vanish/>
              </w:rPr>
            </w:pPr>
          </w:p>
        </w:tc>
        <w:tc>
          <w:tcPr>
            <w:tcW w:w="0" w:type="auto"/>
            <w:gridSpan w:val="3"/>
            <w:shd w:val="clear" w:color="auto" w:fill="auto"/>
          </w:tcPr>
          <w:p w14:paraId="40CB16DE" w14:textId="77777777" w:rsidR="00584FB3" w:rsidRDefault="00584FB3">
            <w:pPr>
              <w:rPr>
                <w:rFonts w:ascii="宋体"/>
                <w:vanish/>
              </w:rPr>
            </w:pPr>
          </w:p>
        </w:tc>
        <w:tc>
          <w:tcPr>
            <w:tcW w:w="0" w:type="auto"/>
            <w:gridSpan w:val="3"/>
            <w:shd w:val="clear" w:color="auto" w:fill="auto"/>
          </w:tcPr>
          <w:p w14:paraId="40CB16DF" w14:textId="77777777" w:rsidR="00584FB3" w:rsidRDefault="00584FB3">
            <w:pPr>
              <w:rPr>
                <w:rFonts w:ascii="宋体"/>
                <w:vanish/>
              </w:rPr>
            </w:pPr>
          </w:p>
        </w:tc>
      </w:tr>
      <w:tr w:rsidR="00584FB3" w14:paraId="40CB16EB" w14:textId="77777777">
        <w:trPr>
          <w:hidden/>
        </w:trPr>
        <w:tc>
          <w:tcPr>
            <w:tcW w:w="0" w:type="auto"/>
            <w:gridSpan w:val="3"/>
            <w:shd w:val="clear" w:color="auto" w:fill="auto"/>
          </w:tcPr>
          <w:p w14:paraId="40CB16E1" w14:textId="77777777" w:rsidR="00584FB3" w:rsidRDefault="00584FB3">
            <w:pPr>
              <w:rPr>
                <w:rFonts w:ascii="宋体"/>
                <w:vanish/>
              </w:rPr>
            </w:pPr>
          </w:p>
        </w:tc>
        <w:tc>
          <w:tcPr>
            <w:tcW w:w="0" w:type="auto"/>
            <w:gridSpan w:val="3"/>
            <w:shd w:val="clear" w:color="auto" w:fill="auto"/>
          </w:tcPr>
          <w:p w14:paraId="40CB16E2" w14:textId="77777777" w:rsidR="00584FB3" w:rsidRDefault="00584FB3">
            <w:pPr>
              <w:rPr>
                <w:rFonts w:ascii="宋体"/>
                <w:vanish/>
              </w:rPr>
            </w:pPr>
          </w:p>
        </w:tc>
        <w:tc>
          <w:tcPr>
            <w:tcW w:w="0" w:type="auto"/>
            <w:gridSpan w:val="3"/>
            <w:shd w:val="clear" w:color="auto" w:fill="auto"/>
          </w:tcPr>
          <w:p w14:paraId="40CB16E3" w14:textId="77777777" w:rsidR="00584FB3" w:rsidRDefault="00584FB3">
            <w:pPr>
              <w:rPr>
                <w:rFonts w:ascii="宋体"/>
                <w:vanish/>
              </w:rPr>
            </w:pPr>
          </w:p>
        </w:tc>
        <w:tc>
          <w:tcPr>
            <w:tcW w:w="0" w:type="auto"/>
            <w:gridSpan w:val="3"/>
            <w:shd w:val="clear" w:color="auto" w:fill="auto"/>
          </w:tcPr>
          <w:p w14:paraId="40CB16E4" w14:textId="77777777" w:rsidR="00584FB3" w:rsidRDefault="00584FB3">
            <w:pPr>
              <w:rPr>
                <w:rFonts w:ascii="宋体"/>
                <w:vanish/>
              </w:rPr>
            </w:pPr>
          </w:p>
        </w:tc>
        <w:tc>
          <w:tcPr>
            <w:tcW w:w="0" w:type="auto"/>
            <w:gridSpan w:val="3"/>
            <w:shd w:val="clear" w:color="auto" w:fill="auto"/>
          </w:tcPr>
          <w:p w14:paraId="40CB16E5" w14:textId="77777777" w:rsidR="00584FB3" w:rsidRDefault="00584FB3">
            <w:pPr>
              <w:rPr>
                <w:rFonts w:ascii="宋体"/>
                <w:vanish/>
              </w:rPr>
            </w:pPr>
          </w:p>
        </w:tc>
        <w:tc>
          <w:tcPr>
            <w:tcW w:w="0" w:type="auto"/>
            <w:gridSpan w:val="3"/>
            <w:shd w:val="clear" w:color="auto" w:fill="auto"/>
          </w:tcPr>
          <w:p w14:paraId="40CB16E6" w14:textId="77777777" w:rsidR="00584FB3" w:rsidRDefault="00584FB3">
            <w:pPr>
              <w:rPr>
                <w:rFonts w:ascii="宋体"/>
                <w:vanish/>
              </w:rPr>
            </w:pPr>
          </w:p>
        </w:tc>
        <w:tc>
          <w:tcPr>
            <w:tcW w:w="0" w:type="auto"/>
            <w:gridSpan w:val="3"/>
            <w:shd w:val="clear" w:color="auto" w:fill="auto"/>
          </w:tcPr>
          <w:p w14:paraId="40CB16E7" w14:textId="77777777" w:rsidR="00584FB3" w:rsidRDefault="00584FB3">
            <w:pPr>
              <w:rPr>
                <w:rFonts w:ascii="宋体"/>
                <w:vanish/>
              </w:rPr>
            </w:pPr>
          </w:p>
        </w:tc>
        <w:tc>
          <w:tcPr>
            <w:tcW w:w="0" w:type="auto"/>
            <w:gridSpan w:val="3"/>
            <w:shd w:val="clear" w:color="auto" w:fill="auto"/>
          </w:tcPr>
          <w:p w14:paraId="40CB16E8" w14:textId="77777777" w:rsidR="00584FB3" w:rsidRDefault="00584FB3">
            <w:pPr>
              <w:rPr>
                <w:rFonts w:ascii="宋体"/>
                <w:vanish/>
              </w:rPr>
            </w:pPr>
          </w:p>
        </w:tc>
        <w:tc>
          <w:tcPr>
            <w:tcW w:w="0" w:type="auto"/>
            <w:gridSpan w:val="3"/>
            <w:shd w:val="clear" w:color="auto" w:fill="auto"/>
          </w:tcPr>
          <w:p w14:paraId="40CB16E9" w14:textId="77777777" w:rsidR="00584FB3" w:rsidRDefault="00584FB3">
            <w:pPr>
              <w:rPr>
                <w:rFonts w:ascii="宋体"/>
                <w:vanish/>
              </w:rPr>
            </w:pPr>
          </w:p>
        </w:tc>
        <w:tc>
          <w:tcPr>
            <w:tcW w:w="0" w:type="auto"/>
            <w:gridSpan w:val="3"/>
            <w:shd w:val="clear" w:color="auto" w:fill="auto"/>
          </w:tcPr>
          <w:p w14:paraId="40CB16EA" w14:textId="77777777" w:rsidR="00584FB3" w:rsidRDefault="00584FB3">
            <w:pPr>
              <w:rPr>
                <w:rFonts w:ascii="宋体"/>
                <w:vanish/>
              </w:rPr>
            </w:pPr>
          </w:p>
        </w:tc>
      </w:tr>
      <w:tr w:rsidR="00584FB3" w14:paraId="40CB16F6" w14:textId="77777777">
        <w:trPr>
          <w:hidden/>
        </w:trPr>
        <w:tc>
          <w:tcPr>
            <w:tcW w:w="0" w:type="auto"/>
            <w:gridSpan w:val="3"/>
            <w:shd w:val="clear" w:color="auto" w:fill="auto"/>
          </w:tcPr>
          <w:p w14:paraId="40CB16EC" w14:textId="77777777" w:rsidR="00584FB3" w:rsidRDefault="00584FB3">
            <w:pPr>
              <w:rPr>
                <w:rFonts w:ascii="宋体"/>
                <w:vanish/>
              </w:rPr>
            </w:pPr>
          </w:p>
        </w:tc>
        <w:tc>
          <w:tcPr>
            <w:tcW w:w="0" w:type="auto"/>
            <w:gridSpan w:val="3"/>
            <w:shd w:val="clear" w:color="auto" w:fill="auto"/>
          </w:tcPr>
          <w:p w14:paraId="40CB16ED" w14:textId="77777777" w:rsidR="00584FB3" w:rsidRDefault="00584FB3">
            <w:pPr>
              <w:rPr>
                <w:rFonts w:ascii="宋体"/>
                <w:vanish/>
              </w:rPr>
            </w:pPr>
          </w:p>
        </w:tc>
        <w:tc>
          <w:tcPr>
            <w:tcW w:w="0" w:type="auto"/>
            <w:gridSpan w:val="3"/>
            <w:shd w:val="clear" w:color="auto" w:fill="auto"/>
          </w:tcPr>
          <w:p w14:paraId="40CB16EE" w14:textId="77777777" w:rsidR="00584FB3" w:rsidRDefault="00584FB3">
            <w:pPr>
              <w:rPr>
                <w:rFonts w:ascii="宋体"/>
                <w:vanish/>
              </w:rPr>
            </w:pPr>
          </w:p>
        </w:tc>
        <w:tc>
          <w:tcPr>
            <w:tcW w:w="0" w:type="auto"/>
            <w:gridSpan w:val="3"/>
            <w:shd w:val="clear" w:color="auto" w:fill="auto"/>
          </w:tcPr>
          <w:p w14:paraId="40CB16EF" w14:textId="77777777" w:rsidR="00584FB3" w:rsidRDefault="00584FB3">
            <w:pPr>
              <w:rPr>
                <w:rFonts w:ascii="宋体"/>
                <w:vanish/>
              </w:rPr>
            </w:pPr>
          </w:p>
        </w:tc>
        <w:tc>
          <w:tcPr>
            <w:tcW w:w="0" w:type="auto"/>
            <w:gridSpan w:val="3"/>
            <w:shd w:val="clear" w:color="auto" w:fill="auto"/>
          </w:tcPr>
          <w:p w14:paraId="40CB16F0" w14:textId="77777777" w:rsidR="00584FB3" w:rsidRDefault="00584FB3">
            <w:pPr>
              <w:rPr>
                <w:rFonts w:ascii="宋体"/>
                <w:vanish/>
              </w:rPr>
            </w:pPr>
          </w:p>
        </w:tc>
        <w:tc>
          <w:tcPr>
            <w:tcW w:w="0" w:type="auto"/>
            <w:gridSpan w:val="3"/>
            <w:shd w:val="clear" w:color="auto" w:fill="auto"/>
          </w:tcPr>
          <w:p w14:paraId="40CB16F1" w14:textId="77777777" w:rsidR="00584FB3" w:rsidRDefault="00584FB3">
            <w:pPr>
              <w:rPr>
                <w:rFonts w:ascii="宋体"/>
                <w:vanish/>
              </w:rPr>
            </w:pPr>
          </w:p>
        </w:tc>
        <w:tc>
          <w:tcPr>
            <w:tcW w:w="0" w:type="auto"/>
            <w:gridSpan w:val="3"/>
            <w:shd w:val="clear" w:color="auto" w:fill="auto"/>
          </w:tcPr>
          <w:p w14:paraId="40CB16F2" w14:textId="77777777" w:rsidR="00584FB3" w:rsidRDefault="00584FB3">
            <w:pPr>
              <w:rPr>
                <w:rFonts w:ascii="宋体"/>
                <w:vanish/>
              </w:rPr>
            </w:pPr>
          </w:p>
        </w:tc>
        <w:tc>
          <w:tcPr>
            <w:tcW w:w="0" w:type="auto"/>
            <w:gridSpan w:val="3"/>
            <w:shd w:val="clear" w:color="auto" w:fill="auto"/>
          </w:tcPr>
          <w:p w14:paraId="40CB16F3" w14:textId="77777777" w:rsidR="00584FB3" w:rsidRDefault="00584FB3">
            <w:pPr>
              <w:rPr>
                <w:rFonts w:ascii="宋体"/>
                <w:vanish/>
              </w:rPr>
            </w:pPr>
          </w:p>
        </w:tc>
        <w:tc>
          <w:tcPr>
            <w:tcW w:w="0" w:type="auto"/>
            <w:gridSpan w:val="3"/>
            <w:shd w:val="clear" w:color="auto" w:fill="auto"/>
          </w:tcPr>
          <w:p w14:paraId="40CB16F4" w14:textId="77777777" w:rsidR="00584FB3" w:rsidRDefault="00584FB3">
            <w:pPr>
              <w:rPr>
                <w:rFonts w:ascii="宋体"/>
                <w:vanish/>
              </w:rPr>
            </w:pPr>
          </w:p>
        </w:tc>
        <w:tc>
          <w:tcPr>
            <w:tcW w:w="0" w:type="auto"/>
            <w:gridSpan w:val="3"/>
            <w:shd w:val="clear" w:color="auto" w:fill="auto"/>
          </w:tcPr>
          <w:p w14:paraId="40CB16F5" w14:textId="77777777" w:rsidR="00584FB3" w:rsidRDefault="00584FB3">
            <w:pPr>
              <w:rPr>
                <w:rFonts w:ascii="宋体"/>
                <w:vanish/>
              </w:rPr>
            </w:pPr>
          </w:p>
        </w:tc>
      </w:tr>
      <w:tr w:rsidR="00584FB3" w14:paraId="40CB1701" w14:textId="77777777">
        <w:trPr>
          <w:hidden/>
        </w:trPr>
        <w:tc>
          <w:tcPr>
            <w:tcW w:w="0" w:type="auto"/>
            <w:gridSpan w:val="3"/>
            <w:shd w:val="clear" w:color="auto" w:fill="auto"/>
          </w:tcPr>
          <w:p w14:paraId="40CB16F7" w14:textId="77777777" w:rsidR="00584FB3" w:rsidRDefault="00584FB3">
            <w:pPr>
              <w:rPr>
                <w:rFonts w:ascii="宋体"/>
                <w:vanish/>
              </w:rPr>
            </w:pPr>
          </w:p>
        </w:tc>
        <w:tc>
          <w:tcPr>
            <w:tcW w:w="0" w:type="auto"/>
            <w:gridSpan w:val="3"/>
            <w:shd w:val="clear" w:color="auto" w:fill="auto"/>
          </w:tcPr>
          <w:p w14:paraId="40CB16F8" w14:textId="77777777" w:rsidR="00584FB3" w:rsidRDefault="00584FB3">
            <w:pPr>
              <w:rPr>
                <w:rFonts w:ascii="宋体"/>
                <w:vanish/>
              </w:rPr>
            </w:pPr>
          </w:p>
        </w:tc>
        <w:tc>
          <w:tcPr>
            <w:tcW w:w="0" w:type="auto"/>
            <w:gridSpan w:val="3"/>
            <w:shd w:val="clear" w:color="auto" w:fill="auto"/>
          </w:tcPr>
          <w:p w14:paraId="40CB16F9" w14:textId="77777777" w:rsidR="00584FB3" w:rsidRDefault="00584FB3">
            <w:pPr>
              <w:rPr>
                <w:rFonts w:ascii="宋体"/>
                <w:vanish/>
              </w:rPr>
            </w:pPr>
          </w:p>
        </w:tc>
        <w:tc>
          <w:tcPr>
            <w:tcW w:w="0" w:type="auto"/>
            <w:gridSpan w:val="3"/>
            <w:shd w:val="clear" w:color="auto" w:fill="auto"/>
          </w:tcPr>
          <w:p w14:paraId="40CB16FA" w14:textId="77777777" w:rsidR="00584FB3" w:rsidRDefault="00584FB3">
            <w:pPr>
              <w:rPr>
                <w:rFonts w:ascii="宋体"/>
                <w:vanish/>
              </w:rPr>
            </w:pPr>
          </w:p>
        </w:tc>
        <w:tc>
          <w:tcPr>
            <w:tcW w:w="0" w:type="auto"/>
            <w:gridSpan w:val="3"/>
            <w:shd w:val="clear" w:color="auto" w:fill="auto"/>
          </w:tcPr>
          <w:p w14:paraId="40CB16FB" w14:textId="77777777" w:rsidR="00584FB3" w:rsidRDefault="00584FB3">
            <w:pPr>
              <w:rPr>
                <w:rFonts w:ascii="宋体"/>
                <w:vanish/>
              </w:rPr>
            </w:pPr>
          </w:p>
        </w:tc>
        <w:tc>
          <w:tcPr>
            <w:tcW w:w="0" w:type="auto"/>
            <w:gridSpan w:val="3"/>
            <w:shd w:val="clear" w:color="auto" w:fill="auto"/>
          </w:tcPr>
          <w:p w14:paraId="40CB16FC" w14:textId="77777777" w:rsidR="00584FB3" w:rsidRDefault="00584FB3">
            <w:pPr>
              <w:rPr>
                <w:rFonts w:ascii="宋体"/>
                <w:vanish/>
              </w:rPr>
            </w:pPr>
          </w:p>
        </w:tc>
        <w:tc>
          <w:tcPr>
            <w:tcW w:w="0" w:type="auto"/>
            <w:gridSpan w:val="3"/>
            <w:shd w:val="clear" w:color="auto" w:fill="auto"/>
          </w:tcPr>
          <w:p w14:paraId="40CB16FD" w14:textId="77777777" w:rsidR="00584FB3" w:rsidRDefault="00584FB3">
            <w:pPr>
              <w:rPr>
                <w:rFonts w:ascii="宋体"/>
                <w:vanish/>
              </w:rPr>
            </w:pPr>
          </w:p>
        </w:tc>
        <w:tc>
          <w:tcPr>
            <w:tcW w:w="0" w:type="auto"/>
            <w:gridSpan w:val="3"/>
            <w:shd w:val="clear" w:color="auto" w:fill="auto"/>
          </w:tcPr>
          <w:p w14:paraId="40CB16FE" w14:textId="77777777" w:rsidR="00584FB3" w:rsidRDefault="00584FB3">
            <w:pPr>
              <w:rPr>
                <w:rFonts w:ascii="宋体"/>
                <w:vanish/>
              </w:rPr>
            </w:pPr>
          </w:p>
        </w:tc>
        <w:tc>
          <w:tcPr>
            <w:tcW w:w="0" w:type="auto"/>
            <w:gridSpan w:val="3"/>
            <w:shd w:val="clear" w:color="auto" w:fill="auto"/>
          </w:tcPr>
          <w:p w14:paraId="40CB16FF" w14:textId="77777777" w:rsidR="00584FB3" w:rsidRDefault="00584FB3">
            <w:pPr>
              <w:rPr>
                <w:rFonts w:ascii="宋体"/>
                <w:vanish/>
              </w:rPr>
            </w:pPr>
          </w:p>
        </w:tc>
        <w:tc>
          <w:tcPr>
            <w:tcW w:w="0" w:type="auto"/>
            <w:gridSpan w:val="3"/>
            <w:shd w:val="clear" w:color="auto" w:fill="auto"/>
          </w:tcPr>
          <w:p w14:paraId="40CB1700" w14:textId="77777777" w:rsidR="00584FB3" w:rsidRDefault="00584FB3">
            <w:pPr>
              <w:rPr>
                <w:rFonts w:ascii="宋体"/>
                <w:vanish/>
              </w:rPr>
            </w:pPr>
          </w:p>
        </w:tc>
      </w:tr>
      <w:tr w:rsidR="00584FB3" w14:paraId="40CB170C" w14:textId="77777777">
        <w:trPr>
          <w:hidden/>
        </w:trPr>
        <w:tc>
          <w:tcPr>
            <w:tcW w:w="0" w:type="auto"/>
            <w:gridSpan w:val="3"/>
            <w:shd w:val="clear" w:color="auto" w:fill="auto"/>
          </w:tcPr>
          <w:p w14:paraId="40CB1702" w14:textId="77777777" w:rsidR="00584FB3" w:rsidRDefault="00584FB3">
            <w:pPr>
              <w:rPr>
                <w:rFonts w:ascii="宋体"/>
                <w:vanish/>
              </w:rPr>
            </w:pPr>
          </w:p>
        </w:tc>
        <w:tc>
          <w:tcPr>
            <w:tcW w:w="0" w:type="auto"/>
            <w:gridSpan w:val="3"/>
            <w:shd w:val="clear" w:color="auto" w:fill="auto"/>
          </w:tcPr>
          <w:p w14:paraId="40CB1703" w14:textId="77777777" w:rsidR="00584FB3" w:rsidRDefault="00584FB3">
            <w:pPr>
              <w:rPr>
                <w:rFonts w:ascii="宋体"/>
                <w:vanish/>
              </w:rPr>
            </w:pPr>
          </w:p>
        </w:tc>
        <w:tc>
          <w:tcPr>
            <w:tcW w:w="0" w:type="auto"/>
            <w:gridSpan w:val="3"/>
            <w:shd w:val="clear" w:color="auto" w:fill="auto"/>
          </w:tcPr>
          <w:p w14:paraId="40CB1704" w14:textId="77777777" w:rsidR="00584FB3" w:rsidRDefault="00584FB3">
            <w:pPr>
              <w:rPr>
                <w:rFonts w:ascii="宋体"/>
                <w:vanish/>
              </w:rPr>
            </w:pPr>
          </w:p>
        </w:tc>
        <w:tc>
          <w:tcPr>
            <w:tcW w:w="0" w:type="auto"/>
            <w:gridSpan w:val="3"/>
            <w:shd w:val="clear" w:color="auto" w:fill="auto"/>
          </w:tcPr>
          <w:p w14:paraId="40CB1705" w14:textId="77777777" w:rsidR="00584FB3" w:rsidRDefault="00584FB3">
            <w:pPr>
              <w:rPr>
                <w:rFonts w:ascii="宋体"/>
                <w:vanish/>
              </w:rPr>
            </w:pPr>
          </w:p>
        </w:tc>
        <w:tc>
          <w:tcPr>
            <w:tcW w:w="0" w:type="auto"/>
            <w:gridSpan w:val="3"/>
            <w:shd w:val="clear" w:color="auto" w:fill="auto"/>
          </w:tcPr>
          <w:p w14:paraId="40CB1706" w14:textId="77777777" w:rsidR="00584FB3" w:rsidRDefault="00584FB3">
            <w:pPr>
              <w:rPr>
                <w:rFonts w:ascii="宋体"/>
                <w:vanish/>
              </w:rPr>
            </w:pPr>
          </w:p>
        </w:tc>
        <w:tc>
          <w:tcPr>
            <w:tcW w:w="0" w:type="auto"/>
            <w:gridSpan w:val="3"/>
            <w:shd w:val="clear" w:color="auto" w:fill="auto"/>
          </w:tcPr>
          <w:p w14:paraId="40CB1707" w14:textId="77777777" w:rsidR="00584FB3" w:rsidRDefault="00584FB3">
            <w:pPr>
              <w:rPr>
                <w:rFonts w:ascii="宋体"/>
                <w:vanish/>
              </w:rPr>
            </w:pPr>
          </w:p>
        </w:tc>
        <w:tc>
          <w:tcPr>
            <w:tcW w:w="0" w:type="auto"/>
            <w:gridSpan w:val="3"/>
            <w:shd w:val="clear" w:color="auto" w:fill="auto"/>
          </w:tcPr>
          <w:p w14:paraId="40CB1708" w14:textId="77777777" w:rsidR="00584FB3" w:rsidRDefault="00584FB3">
            <w:pPr>
              <w:rPr>
                <w:rFonts w:ascii="宋体"/>
                <w:vanish/>
              </w:rPr>
            </w:pPr>
          </w:p>
        </w:tc>
        <w:tc>
          <w:tcPr>
            <w:tcW w:w="0" w:type="auto"/>
            <w:gridSpan w:val="3"/>
            <w:shd w:val="clear" w:color="auto" w:fill="auto"/>
          </w:tcPr>
          <w:p w14:paraId="40CB1709" w14:textId="77777777" w:rsidR="00584FB3" w:rsidRDefault="00584FB3">
            <w:pPr>
              <w:rPr>
                <w:rFonts w:ascii="宋体"/>
                <w:vanish/>
              </w:rPr>
            </w:pPr>
          </w:p>
        </w:tc>
        <w:tc>
          <w:tcPr>
            <w:tcW w:w="0" w:type="auto"/>
            <w:gridSpan w:val="3"/>
            <w:shd w:val="clear" w:color="auto" w:fill="auto"/>
          </w:tcPr>
          <w:p w14:paraId="40CB170A" w14:textId="77777777" w:rsidR="00584FB3" w:rsidRDefault="00584FB3">
            <w:pPr>
              <w:rPr>
                <w:rFonts w:ascii="宋体"/>
                <w:vanish/>
              </w:rPr>
            </w:pPr>
          </w:p>
        </w:tc>
        <w:tc>
          <w:tcPr>
            <w:tcW w:w="0" w:type="auto"/>
            <w:gridSpan w:val="3"/>
            <w:shd w:val="clear" w:color="auto" w:fill="auto"/>
          </w:tcPr>
          <w:p w14:paraId="40CB170B" w14:textId="77777777" w:rsidR="00584FB3" w:rsidRDefault="00584FB3">
            <w:pPr>
              <w:rPr>
                <w:rFonts w:ascii="宋体"/>
                <w:vanish/>
              </w:rPr>
            </w:pPr>
          </w:p>
        </w:tc>
      </w:tr>
      <w:tr w:rsidR="00584FB3" w14:paraId="40CB1717" w14:textId="77777777">
        <w:trPr>
          <w:hidden/>
        </w:trPr>
        <w:tc>
          <w:tcPr>
            <w:tcW w:w="0" w:type="auto"/>
            <w:gridSpan w:val="3"/>
            <w:shd w:val="clear" w:color="auto" w:fill="auto"/>
          </w:tcPr>
          <w:p w14:paraId="40CB170D" w14:textId="77777777" w:rsidR="00584FB3" w:rsidRDefault="00584FB3">
            <w:pPr>
              <w:rPr>
                <w:rFonts w:ascii="宋体"/>
                <w:vanish/>
              </w:rPr>
            </w:pPr>
          </w:p>
        </w:tc>
        <w:tc>
          <w:tcPr>
            <w:tcW w:w="0" w:type="auto"/>
            <w:gridSpan w:val="3"/>
            <w:shd w:val="clear" w:color="auto" w:fill="auto"/>
          </w:tcPr>
          <w:p w14:paraId="40CB170E" w14:textId="77777777" w:rsidR="00584FB3" w:rsidRDefault="00584FB3">
            <w:pPr>
              <w:rPr>
                <w:rFonts w:ascii="宋体"/>
                <w:vanish/>
              </w:rPr>
            </w:pPr>
          </w:p>
        </w:tc>
        <w:tc>
          <w:tcPr>
            <w:tcW w:w="0" w:type="auto"/>
            <w:gridSpan w:val="3"/>
            <w:shd w:val="clear" w:color="auto" w:fill="auto"/>
          </w:tcPr>
          <w:p w14:paraId="40CB170F" w14:textId="77777777" w:rsidR="00584FB3" w:rsidRDefault="00584FB3">
            <w:pPr>
              <w:rPr>
                <w:rFonts w:ascii="宋体"/>
                <w:vanish/>
              </w:rPr>
            </w:pPr>
          </w:p>
        </w:tc>
        <w:tc>
          <w:tcPr>
            <w:tcW w:w="0" w:type="auto"/>
            <w:gridSpan w:val="3"/>
            <w:shd w:val="clear" w:color="auto" w:fill="auto"/>
          </w:tcPr>
          <w:p w14:paraId="40CB1710" w14:textId="77777777" w:rsidR="00584FB3" w:rsidRDefault="00584FB3">
            <w:pPr>
              <w:rPr>
                <w:rFonts w:ascii="宋体"/>
                <w:vanish/>
              </w:rPr>
            </w:pPr>
          </w:p>
        </w:tc>
        <w:tc>
          <w:tcPr>
            <w:tcW w:w="0" w:type="auto"/>
            <w:gridSpan w:val="3"/>
            <w:shd w:val="clear" w:color="auto" w:fill="auto"/>
          </w:tcPr>
          <w:p w14:paraId="40CB1711" w14:textId="77777777" w:rsidR="00584FB3" w:rsidRDefault="00584FB3">
            <w:pPr>
              <w:rPr>
                <w:rFonts w:ascii="宋体"/>
                <w:vanish/>
              </w:rPr>
            </w:pPr>
          </w:p>
        </w:tc>
        <w:tc>
          <w:tcPr>
            <w:tcW w:w="0" w:type="auto"/>
            <w:gridSpan w:val="3"/>
            <w:shd w:val="clear" w:color="auto" w:fill="auto"/>
          </w:tcPr>
          <w:p w14:paraId="40CB1712" w14:textId="77777777" w:rsidR="00584FB3" w:rsidRDefault="00584FB3">
            <w:pPr>
              <w:rPr>
                <w:rFonts w:ascii="宋体"/>
                <w:vanish/>
              </w:rPr>
            </w:pPr>
          </w:p>
        </w:tc>
        <w:tc>
          <w:tcPr>
            <w:tcW w:w="0" w:type="auto"/>
            <w:gridSpan w:val="3"/>
            <w:shd w:val="clear" w:color="auto" w:fill="auto"/>
          </w:tcPr>
          <w:p w14:paraId="40CB1713" w14:textId="77777777" w:rsidR="00584FB3" w:rsidRDefault="00584FB3">
            <w:pPr>
              <w:rPr>
                <w:rFonts w:ascii="宋体"/>
                <w:vanish/>
              </w:rPr>
            </w:pPr>
          </w:p>
        </w:tc>
        <w:tc>
          <w:tcPr>
            <w:tcW w:w="0" w:type="auto"/>
            <w:gridSpan w:val="3"/>
            <w:shd w:val="clear" w:color="auto" w:fill="auto"/>
          </w:tcPr>
          <w:p w14:paraId="40CB1714" w14:textId="77777777" w:rsidR="00584FB3" w:rsidRDefault="00584FB3">
            <w:pPr>
              <w:rPr>
                <w:rFonts w:ascii="宋体"/>
                <w:vanish/>
              </w:rPr>
            </w:pPr>
          </w:p>
        </w:tc>
        <w:tc>
          <w:tcPr>
            <w:tcW w:w="0" w:type="auto"/>
            <w:gridSpan w:val="3"/>
            <w:shd w:val="clear" w:color="auto" w:fill="auto"/>
          </w:tcPr>
          <w:p w14:paraId="40CB1715" w14:textId="77777777" w:rsidR="00584FB3" w:rsidRDefault="00584FB3">
            <w:pPr>
              <w:rPr>
                <w:rFonts w:ascii="宋体"/>
                <w:vanish/>
              </w:rPr>
            </w:pPr>
          </w:p>
        </w:tc>
        <w:tc>
          <w:tcPr>
            <w:tcW w:w="0" w:type="auto"/>
            <w:gridSpan w:val="3"/>
            <w:shd w:val="clear" w:color="auto" w:fill="auto"/>
          </w:tcPr>
          <w:p w14:paraId="40CB1716" w14:textId="77777777" w:rsidR="00584FB3" w:rsidRDefault="00584FB3">
            <w:pPr>
              <w:rPr>
                <w:rFonts w:ascii="宋体"/>
                <w:vanish/>
              </w:rPr>
            </w:pPr>
          </w:p>
        </w:tc>
      </w:tr>
      <w:tr w:rsidR="00584FB3" w14:paraId="40CB1722" w14:textId="77777777">
        <w:trPr>
          <w:hidden/>
        </w:trPr>
        <w:tc>
          <w:tcPr>
            <w:tcW w:w="0" w:type="auto"/>
            <w:gridSpan w:val="3"/>
            <w:shd w:val="clear" w:color="auto" w:fill="auto"/>
          </w:tcPr>
          <w:p w14:paraId="40CB1718" w14:textId="77777777" w:rsidR="00584FB3" w:rsidRDefault="00584FB3">
            <w:pPr>
              <w:rPr>
                <w:rFonts w:ascii="宋体"/>
                <w:vanish/>
              </w:rPr>
            </w:pPr>
          </w:p>
        </w:tc>
        <w:tc>
          <w:tcPr>
            <w:tcW w:w="0" w:type="auto"/>
            <w:gridSpan w:val="3"/>
            <w:shd w:val="clear" w:color="auto" w:fill="auto"/>
          </w:tcPr>
          <w:p w14:paraId="40CB1719" w14:textId="77777777" w:rsidR="00584FB3" w:rsidRDefault="00584FB3">
            <w:pPr>
              <w:rPr>
                <w:rFonts w:ascii="宋体"/>
                <w:vanish/>
              </w:rPr>
            </w:pPr>
          </w:p>
        </w:tc>
        <w:tc>
          <w:tcPr>
            <w:tcW w:w="0" w:type="auto"/>
            <w:gridSpan w:val="3"/>
            <w:shd w:val="clear" w:color="auto" w:fill="auto"/>
          </w:tcPr>
          <w:p w14:paraId="40CB171A" w14:textId="77777777" w:rsidR="00584FB3" w:rsidRDefault="00584FB3">
            <w:pPr>
              <w:rPr>
                <w:rFonts w:ascii="宋体"/>
                <w:vanish/>
              </w:rPr>
            </w:pPr>
          </w:p>
        </w:tc>
        <w:tc>
          <w:tcPr>
            <w:tcW w:w="0" w:type="auto"/>
            <w:gridSpan w:val="3"/>
            <w:shd w:val="clear" w:color="auto" w:fill="auto"/>
          </w:tcPr>
          <w:p w14:paraId="40CB171B" w14:textId="77777777" w:rsidR="00584FB3" w:rsidRDefault="00584FB3">
            <w:pPr>
              <w:rPr>
                <w:rFonts w:ascii="宋体"/>
                <w:vanish/>
              </w:rPr>
            </w:pPr>
          </w:p>
        </w:tc>
        <w:tc>
          <w:tcPr>
            <w:tcW w:w="0" w:type="auto"/>
            <w:gridSpan w:val="3"/>
            <w:shd w:val="clear" w:color="auto" w:fill="auto"/>
          </w:tcPr>
          <w:p w14:paraId="40CB171C" w14:textId="77777777" w:rsidR="00584FB3" w:rsidRDefault="00584FB3">
            <w:pPr>
              <w:rPr>
                <w:rFonts w:ascii="宋体"/>
                <w:vanish/>
              </w:rPr>
            </w:pPr>
          </w:p>
        </w:tc>
        <w:tc>
          <w:tcPr>
            <w:tcW w:w="0" w:type="auto"/>
            <w:gridSpan w:val="3"/>
            <w:shd w:val="clear" w:color="auto" w:fill="auto"/>
          </w:tcPr>
          <w:p w14:paraId="40CB171D" w14:textId="77777777" w:rsidR="00584FB3" w:rsidRDefault="00584FB3">
            <w:pPr>
              <w:rPr>
                <w:rFonts w:ascii="宋体"/>
                <w:vanish/>
              </w:rPr>
            </w:pPr>
          </w:p>
        </w:tc>
        <w:tc>
          <w:tcPr>
            <w:tcW w:w="0" w:type="auto"/>
            <w:gridSpan w:val="3"/>
            <w:shd w:val="clear" w:color="auto" w:fill="auto"/>
          </w:tcPr>
          <w:p w14:paraId="40CB171E" w14:textId="77777777" w:rsidR="00584FB3" w:rsidRDefault="00584FB3">
            <w:pPr>
              <w:rPr>
                <w:rFonts w:ascii="宋体"/>
                <w:vanish/>
              </w:rPr>
            </w:pPr>
          </w:p>
        </w:tc>
        <w:tc>
          <w:tcPr>
            <w:tcW w:w="0" w:type="auto"/>
            <w:gridSpan w:val="3"/>
            <w:shd w:val="clear" w:color="auto" w:fill="auto"/>
          </w:tcPr>
          <w:p w14:paraId="40CB171F" w14:textId="77777777" w:rsidR="00584FB3" w:rsidRDefault="00584FB3">
            <w:pPr>
              <w:rPr>
                <w:rFonts w:ascii="宋体"/>
                <w:vanish/>
              </w:rPr>
            </w:pPr>
          </w:p>
        </w:tc>
        <w:tc>
          <w:tcPr>
            <w:tcW w:w="0" w:type="auto"/>
            <w:gridSpan w:val="3"/>
            <w:shd w:val="clear" w:color="auto" w:fill="auto"/>
          </w:tcPr>
          <w:p w14:paraId="40CB1720" w14:textId="77777777" w:rsidR="00584FB3" w:rsidRDefault="00584FB3">
            <w:pPr>
              <w:rPr>
                <w:rFonts w:ascii="宋体"/>
                <w:vanish/>
              </w:rPr>
            </w:pPr>
          </w:p>
        </w:tc>
        <w:tc>
          <w:tcPr>
            <w:tcW w:w="0" w:type="auto"/>
            <w:gridSpan w:val="3"/>
            <w:shd w:val="clear" w:color="auto" w:fill="auto"/>
          </w:tcPr>
          <w:p w14:paraId="40CB1721" w14:textId="77777777" w:rsidR="00584FB3" w:rsidRDefault="00584FB3">
            <w:pPr>
              <w:rPr>
                <w:rFonts w:ascii="宋体"/>
                <w:vanish/>
              </w:rPr>
            </w:pPr>
          </w:p>
        </w:tc>
      </w:tr>
      <w:tr w:rsidR="00584FB3" w14:paraId="40CB172D" w14:textId="77777777">
        <w:trPr>
          <w:hidden/>
        </w:trPr>
        <w:tc>
          <w:tcPr>
            <w:tcW w:w="0" w:type="auto"/>
            <w:gridSpan w:val="3"/>
            <w:shd w:val="clear" w:color="auto" w:fill="auto"/>
          </w:tcPr>
          <w:p w14:paraId="40CB1723" w14:textId="77777777" w:rsidR="00584FB3" w:rsidRDefault="00584FB3">
            <w:pPr>
              <w:rPr>
                <w:rFonts w:ascii="宋体"/>
                <w:vanish/>
              </w:rPr>
            </w:pPr>
          </w:p>
        </w:tc>
        <w:tc>
          <w:tcPr>
            <w:tcW w:w="0" w:type="auto"/>
            <w:gridSpan w:val="3"/>
            <w:shd w:val="clear" w:color="auto" w:fill="auto"/>
          </w:tcPr>
          <w:p w14:paraId="40CB1724" w14:textId="77777777" w:rsidR="00584FB3" w:rsidRDefault="00584FB3">
            <w:pPr>
              <w:rPr>
                <w:rFonts w:ascii="宋体"/>
                <w:vanish/>
              </w:rPr>
            </w:pPr>
          </w:p>
        </w:tc>
        <w:tc>
          <w:tcPr>
            <w:tcW w:w="0" w:type="auto"/>
            <w:gridSpan w:val="3"/>
            <w:shd w:val="clear" w:color="auto" w:fill="auto"/>
          </w:tcPr>
          <w:p w14:paraId="40CB1725" w14:textId="77777777" w:rsidR="00584FB3" w:rsidRDefault="00584FB3">
            <w:pPr>
              <w:rPr>
                <w:rFonts w:ascii="宋体"/>
                <w:vanish/>
              </w:rPr>
            </w:pPr>
          </w:p>
        </w:tc>
        <w:tc>
          <w:tcPr>
            <w:tcW w:w="0" w:type="auto"/>
            <w:gridSpan w:val="3"/>
            <w:shd w:val="clear" w:color="auto" w:fill="auto"/>
          </w:tcPr>
          <w:p w14:paraId="40CB1726" w14:textId="77777777" w:rsidR="00584FB3" w:rsidRDefault="00584FB3">
            <w:pPr>
              <w:rPr>
                <w:rFonts w:ascii="宋体"/>
                <w:vanish/>
              </w:rPr>
            </w:pPr>
          </w:p>
        </w:tc>
        <w:tc>
          <w:tcPr>
            <w:tcW w:w="0" w:type="auto"/>
            <w:gridSpan w:val="3"/>
            <w:shd w:val="clear" w:color="auto" w:fill="auto"/>
          </w:tcPr>
          <w:p w14:paraId="40CB1727" w14:textId="77777777" w:rsidR="00584FB3" w:rsidRDefault="00584FB3">
            <w:pPr>
              <w:rPr>
                <w:rFonts w:ascii="宋体"/>
                <w:vanish/>
              </w:rPr>
            </w:pPr>
          </w:p>
        </w:tc>
        <w:tc>
          <w:tcPr>
            <w:tcW w:w="0" w:type="auto"/>
            <w:gridSpan w:val="3"/>
            <w:shd w:val="clear" w:color="auto" w:fill="auto"/>
          </w:tcPr>
          <w:p w14:paraId="40CB1728" w14:textId="77777777" w:rsidR="00584FB3" w:rsidRDefault="00584FB3">
            <w:pPr>
              <w:rPr>
                <w:rFonts w:ascii="宋体"/>
                <w:vanish/>
              </w:rPr>
            </w:pPr>
          </w:p>
        </w:tc>
        <w:tc>
          <w:tcPr>
            <w:tcW w:w="0" w:type="auto"/>
            <w:gridSpan w:val="3"/>
            <w:shd w:val="clear" w:color="auto" w:fill="auto"/>
          </w:tcPr>
          <w:p w14:paraId="40CB1729" w14:textId="77777777" w:rsidR="00584FB3" w:rsidRDefault="00584FB3">
            <w:pPr>
              <w:rPr>
                <w:rFonts w:ascii="宋体"/>
                <w:vanish/>
              </w:rPr>
            </w:pPr>
          </w:p>
        </w:tc>
        <w:tc>
          <w:tcPr>
            <w:tcW w:w="0" w:type="auto"/>
            <w:gridSpan w:val="3"/>
            <w:shd w:val="clear" w:color="auto" w:fill="auto"/>
          </w:tcPr>
          <w:p w14:paraId="40CB172A" w14:textId="77777777" w:rsidR="00584FB3" w:rsidRDefault="00584FB3">
            <w:pPr>
              <w:rPr>
                <w:rFonts w:ascii="宋体"/>
                <w:vanish/>
              </w:rPr>
            </w:pPr>
          </w:p>
        </w:tc>
        <w:tc>
          <w:tcPr>
            <w:tcW w:w="0" w:type="auto"/>
            <w:gridSpan w:val="3"/>
            <w:shd w:val="clear" w:color="auto" w:fill="auto"/>
          </w:tcPr>
          <w:p w14:paraId="40CB172B" w14:textId="77777777" w:rsidR="00584FB3" w:rsidRDefault="00584FB3">
            <w:pPr>
              <w:rPr>
                <w:rFonts w:ascii="宋体"/>
                <w:vanish/>
              </w:rPr>
            </w:pPr>
          </w:p>
        </w:tc>
        <w:tc>
          <w:tcPr>
            <w:tcW w:w="0" w:type="auto"/>
            <w:gridSpan w:val="3"/>
            <w:shd w:val="clear" w:color="auto" w:fill="auto"/>
          </w:tcPr>
          <w:p w14:paraId="40CB172C" w14:textId="77777777" w:rsidR="00584FB3" w:rsidRDefault="00584FB3">
            <w:pPr>
              <w:rPr>
                <w:rFonts w:ascii="宋体"/>
                <w:vanish/>
              </w:rPr>
            </w:pPr>
          </w:p>
        </w:tc>
      </w:tr>
      <w:tr w:rsidR="00584FB3" w14:paraId="40CB1738" w14:textId="77777777">
        <w:trPr>
          <w:hidden/>
        </w:trPr>
        <w:tc>
          <w:tcPr>
            <w:tcW w:w="0" w:type="auto"/>
            <w:gridSpan w:val="3"/>
            <w:shd w:val="clear" w:color="auto" w:fill="auto"/>
          </w:tcPr>
          <w:p w14:paraId="40CB172E" w14:textId="77777777" w:rsidR="00584FB3" w:rsidRDefault="00584FB3">
            <w:pPr>
              <w:rPr>
                <w:rFonts w:ascii="宋体"/>
                <w:vanish/>
              </w:rPr>
            </w:pPr>
          </w:p>
        </w:tc>
        <w:tc>
          <w:tcPr>
            <w:tcW w:w="0" w:type="auto"/>
            <w:gridSpan w:val="3"/>
            <w:shd w:val="clear" w:color="auto" w:fill="auto"/>
          </w:tcPr>
          <w:p w14:paraId="40CB172F" w14:textId="77777777" w:rsidR="00584FB3" w:rsidRDefault="00584FB3">
            <w:pPr>
              <w:rPr>
                <w:rFonts w:ascii="宋体"/>
                <w:vanish/>
              </w:rPr>
            </w:pPr>
          </w:p>
        </w:tc>
        <w:tc>
          <w:tcPr>
            <w:tcW w:w="0" w:type="auto"/>
            <w:gridSpan w:val="3"/>
            <w:shd w:val="clear" w:color="auto" w:fill="auto"/>
          </w:tcPr>
          <w:p w14:paraId="40CB1730" w14:textId="77777777" w:rsidR="00584FB3" w:rsidRDefault="00584FB3">
            <w:pPr>
              <w:rPr>
                <w:rFonts w:ascii="宋体"/>
                <w:vanish/>
              </w:rPr>
            </w:pPr>
          </w:p>
        </w:tc>
        <w:tc>
          <w:tcPr>
            <w:tcW w:w="0" w:type="auto"/>
            <w:gridSpan w:val="3"/>
            <w:shd w:val="clear" w:color="auto" w:fill="auto"/>
          </w:tcPr>
          <w:p w14:paraId="40CB1731" w14:textId="77777777" w:rsidR="00584FB3" w:rsidRDefault="00584FB3">
            <w:pPr>
              <w:rPr>
                <w:rFonts w:ascii="宋体"/>
                <w:vanish/>
              </w:rPr>
            </w:pPr>
          </w:p>
        </w:tc>
        <w:tc>
          <w:tcPr>
            <w:tcW w:w="0" w:type="auto"/>
            <w:gridSpan w:val="3"/>
            <w:shd w:val="clear" w:color="auto" w:fill="auto"/>
          </w:tcPr>
          <w:p w14:paraId="40CB1732" w14:textId="77777777" w:rsidR="00584FB3" w:rsidRDefault="00584FB3">
            <w:pPr>
              <w:rPr>
                <w:rFonts w:ascii="宋体"/>
                <w:vanish/>
              </w:rPr>
            </w:pPr>
          </w:p>
        </w:tc>
        <w:tc>
          <w:tcPr>
            <w:tcW w:w="0" w:type="auto"/>
            <w:gridSpan w:val="3"/>
            <w:shd w:val="clear" w:color="auto" w:fill="auto"/>
          </w:tcPr>
          <w:p w14:paraId="40CB1733" w14:textId="77777777" w:rsidR="00584FB3" w:rsidRDefault="00584FB3">
            <w:pPr>
              <w:rPr>
                <w:rFonts w:ascii="宋体"/>
                <w:vanish/>
              </w:rPr>
            </w:pPr>
          </w:p>
        </w:tc>
        <w:tc>
          <w:tcPr>
            <w:tcW w:w="0" w:type="auto"/>
            <w:gridSpan w:val="3"/>
            <w:shd w:val="clear" w:color="auto" w:fill="auto"/>
          </w:tcPr>
          <w:p w14:paraId="40CB1734" w14:textId="77777777" w:rsidR="00584FB3" w:rsidRDefault="00584FB3">
            <w:pPr>
              <w:rPr>
                <w:rFonts w:ascii="宋体"/>
                <w:vanish/>
              </w:rPr>
            </w:pPr>
          </w:p>
        </w:tc>
        <w:tc>
          <w:tcPr>
            <w:tcW w:w="0" w:type="auto"/>
            <w:gridSpan w:val="3"/>
            <w:shd w:val="clear" w:color="auto" w:fill="auto"/>
          </w:tcPr>
          <w:p w14:paraId="40CB1735" w14:textId="77777777" w:rsidR="00584FB3" w:rsidRDefault="00584FB3">
            <w:pPr>
              <w:rPr>
                <w:rFonts w:ascii="宋体"/>
                <w:vanish/>
              </w:rPr>
            </w:pPr>
          </w:p>
        </w:tc>
        <w:tc>
          <w:tcPr>
            <w:tcW w:w="0" w:type="auto"/>
            <w:gridSpan w:val="3"/>
            <w:shd w:val="clear" w:color="auto" w:fill="auto"/>
          </w:tcPr>
          <w:p w14:paraId="40CB1736" w14:textId="77777777" w:rsidR="00584FB3" w:rsidRDefault="00584FB3">
            <w:pPr>
              <w:rPr>
                <w:rFonts w:ascii="宋体"/>
                <w:vanish/>
              </w:rPr>
            </w:pPr>
          </w:p>
        </w:tc>
        <w:tc>
          <w:tcPr>
            <w:tcW w:w="0" w:type="auto"/>
            <w:gridSpan w:val="3"/>
            <w:shd w:val="clear" w:color="auto" w:fill="auto"/>
          </w:tcPr>
          <w:p w14:paraId="40CB1737" w14:textId="77777777" w:rsidR="00584FB3" w:rsidRDefault="00584FB3">
            <w:pPr>
              <w:rPr>
                <w:rFonts w:ascii="宋体"/>
                <w:vanish/>
              </w:rPr>
            </w:pPr>
          </w:p>
        </w:tc>
      </w:tr>
      <w:tr w:rsidR="00584FB3" w14:paraId="40CB1743" w14:textId="77777777">
        <w:trPr>
          <w:hidden/>
        </w:trPr>
        <w:tc>
          <w:tcPr>
            <w:tcW w:w="0" w:type="auto"/>
            <w:gridSpan w:val="3"/>
            <w:shd w:val="clear" w:color="auto" w:fill="auto"/>
          </w:tcPr>
          <w:p w14:paraId="40CB1739" w14:textId="77777777" w:rsidR="00584FB3" w:rsidRDefault="00584FB3">
            <w:pPr>
              <w:rPr>
                <w:rFonts w:ascii="宋体"/>
                <w:vanish/>
              </w:rPr>
            </w:pPr>
          </w:p>
        </w:tc>
        <w:tc>
          <w:tcPr>
            <w:tcW w:w="0" w:type="auto"/>
            <w:gridSpan w:val="3"/>
            <w:shd w:val="clear" w:color="auto" w:fill="auto"/>
          </w:tcPr>
          <w:p w14:paraId="40CB173A" w14:textId="77777777" w:rsidR="00584FB3" w:rsidRDefault="00584FB3">
            <w:pPr>
              <w:rPr>
                <w:rFonts w:ascii="宋体"/>
                <w:vanish/>
              </w:rPr>
            </w:pPr>
          </w:p>
        </w:tc>
        <w:tc>
          <w:tcPr>
            <w:tcW w:w="0" w:type="auto"/>
            <w:gridSpan w:val="3"/>
            <w:shd w:val="clear" w:color="auto" w:fill="auto"/>
          </w:tcPr>
          <w:p w14:paraId="40CB173B" w14:textId="77777777" w:rsidR="00584FB3" w:rsidRDefault="00584FB3">
            <w:pPr>
              <w:rPr>
                <w:rFonts w:ascii="宋体"/>
                <w:vanish/>
              </w:rPr>
            </w:pPr>
          </w:p>
        </w:tc>
        <w:tc>
          <w:tcPr>
            <w:tcW w:w="0" w:type="auto"/>
            <w:gridSpan w:val="3"/>
            <w:shd w:val="clear" w:color="auto" w:fill="auto"/>
          </w:tcPr>
          <w:p w14:paraId="40CB173C" w14:textId="77777777" w:rsidR="00584FB3" w:rsidRDefault="00584FB3">
            <w:pPr>
              <w:rPr>
                <w:rFonts w:ascii="宋体"/>
                <w:vanish/>
              </w:rPr>
            </w:pPr>
          </w:p>
        </w:tc>
        <w:tc>
          <w:tcPr>
            <w:tcW w:w="0" w:type="auto"/>
            <w:gridSpan w:val="3"/>
            <w:shd w:val="clear" w:color="auto" w:fill="auto"/>
          </w:tcPr>
          <w:p w14:paraId="40CB173D" w14:textId="77777777" w:rsidR="00584FB3" w:rsidRDefault="00584FB3">
            <w:pPr>
              <w:rPr>
                <w:rFonts w:ascii="宋体"/>
                <w:vanish/>
              </w:rPr>
            </w:pPr>
          </w:p>
        </w:tc>
        <w:tc>
          <w:tcPr>
            <w:tcW w:w="0" w:type="auto"/>
            <w:gridSpan w:val="3"/>
            <w:shd w:val="clear" w:color="auto" w:fill="auto"/>
          </w:tcPr>
          <w:p w14:paraId="40CB173E" w14:textId="77777777" w:rsidR="00584FB3" w:rsidRDefault="00584FB3">
            <w:pPr>
              <w:rPr>
                <w:rFonts w:ascii="宋体"/>
                <w:vanish/>
              </w:rPr>
            </w:pPr>
          </w:p>
        </w:tc>
        <w:tc>
          <w:tcPr>
            <w:tcW w:w="0" w:type="auto"/>
            <w:gridSpan w:val="3"/>
            <w:shd w:val="clear" w:color="auto" w:fill="auto"/>
          </w:tcPr>
          <w:p w14:paraId="40CB173F" w14:textId="77777777" w:rsidR="00584FB3" w:rsidRDefault="00584FB3">
            <w:pPr>
              <w:rPr>
                <w:rFonts w:ascii="宋体"/>
                <w:vanish/>
              </w:rPr>
            </w:pPr>
          </w:p>
        </w:tc>
        <w:tc>
          <w:tcPr>
            <w:tcW w:w="0" w:type="auto"/>
            <w:gridSpan w:val="3"/>
            <w:shd w:val="clear" w:color="auto" w:fill="auto"/>
          </w:tcPr>
          <w:p w14:paraId="40CB1740" w14:textId="77777777" w:rsidR="00584FB3" w:rsidRDefault="00584FB3">
            <w:pPr>
              <w:rPr>
                <w:rFonts w:ascii="宋体"/>
                <w:vanish/>
              </w:rPr>
            </w:pPr>
          </w:p>
        </w:tc>
        <w:tc>
          <w:tcPr>
            <w:tcW w:w="0" w:type="auto"/>
            <w:gridSpan w:val="3"/>
            <w:shd w:val="clear" w:color="auto" w:fill="auto"/>
          </w:tcPr>
          <w:p w14:paraId="40CB1741" w14:textId="77777777" w:rsidR="00584FB3" w:rsidRDefault="00584FB3">
            <w:pPr>
              <w:rPr>
                <w:rFonts w:ascii="宋体"/>
                <w:vanish/>
              </w:rPr>
            </w:pPr>
          </w:p>
        </w:tc>
        <w:tc>
          <w:tcPr>
            <w:tcW w:w="0" w:type="auto"/>
            <w:gridSpan w:val="3"/>
            <w:shd w:val="clear" w:color="auto" w:fill="auto"/>
          </w:tcPr>
          <w:p w14:paraId="40CB1742" w14:textId="77777777" w:rsidR="00584FB3" w:rsidRDefault="00584FB3">
            <w:pPr>
              <w:rPr>
                <w:rFonts w:ascii="宋体"/>
                <w:vanish/>
              </w:rPr>
            </w:pPr>
          </w:p>
        </w:tc>
      </w:tr>
      <w:tr w:rsidR="00584FB3" w14:paraId="40CB174E" w14:textId="77777777">
        <w:trPr>
          <w:hidden/>
        </w:trPr>
        <w:tc>
          <w:tcPr>
            <w:tcW w:w="0" w:type="auto"/>
            <w:gridSpan w:val="3"/>
            <w:shd w:val="clear" w:color="auto" w:fill="auto"/>
          </w:tcPr>
          <w:p w14:paraId="40CB1744" w14:textId="77777777" w:rsidR="00584FB3" w:rsidRDefault="00584FB3">
            <w:pPr>
              <w:rPr>
                <w:rFonts w:ascii="宋体"/>
                <w:vanish/>
              </w:rPr>
            </w:pPr>
          </w:p>
        </w:tc>
        <w:tc>
          <w:tcPr>
            <w:tcW w:w="0" w:type="auto"/>
            <w:gridSpan w:val="3"/>
            <w:shd w:val="clear" w:color="auto" w:fill="auto"/>
          </w:tcPr>
          <w:p w14:paraId="40CB1745" w14:textId="77777777" w:rsidR="00584FB3" w:rsidRDefault="00584FB3">
            <w:pPr>
              <w:rPr>
                <w:rFonts w:ascii="宋体"/>
                <w:vanish/>
              </w:rPr>
            </w:pPr>
          </w:p>
        </w:tc>
        <w:tc>
          <w:tcPr>
            <w:tcW w:w="0" w:type="auto"/>
            <w:gridSpan w:val="3"/>
            <w:shd w:val="clear" w:color="auto" w:fill="auto"/>
          </w:tcPr>
          <w:p w14:paraId="40CB1746" w14:textId="77777777" w:rsidR="00584FB3" w:rsidRDefault="00584FB3">
            <w:pPr>
              <w:rPr>
                <w:rFonts w:ascii="宋体"/>
                <w:vanish/>
              </w:rPr>
            </w:pPr>
          </w:p>
        </w:tc>
        <w:tc>
          <w:tcPr>
            <w:tcW w:w="0" w:type="auto"/>
            <w:gridSpan w:val="3"/>
            <w:shd w:val="clear" w:color="auto" w:fill="auto"/>
          </w:tcPr>
          <w:p w14:paraId="40CB1747" w14:textId="77777777" w:rsidR="00584FB3" w:rsidRDefault="00584FB3">
            <w:pPr>
              <w:rPr>
                <w:rFonts w:ascii="宋体"/>
                <w:vanish/>
              </w:rPr>
            </w:pPr>
          </w:p>
        </w:tc>
        <w:tc>
          <w:tcPr>
            <w:tcW w:w="0" w:type="auto"/>
            <w:gridSpan w:val="3"/>
            <w:shd w:val="clear" w:color="auto" w:fill="auto"/>
          </w:tcPr>
          <w:p w14:paraId="40CB1748" w14:textId="77777777" w:rsidR="00584FB3" w:rsidRDefault="00584FB3">
            <w:pPr>
              <w:rPr>
                <w:rFonts w:ascii="宋体"/>
                <w:vanish/>
              </w:rPr>
            </w:pPr>
          </w:p>
        </w:tc>
        <w:tc>
          <w:tcPr>
            <w:tcW w:w="0" w:type="auto"/>
            <w:gridSpan w:val="3"/>
            <w:shd w:val="clear" w:color="auto" w:fill="auto"/>
          </w:tcPr>
          <w:p w14:paraId="40CB1749" w14:textId="77777777" w:rsidR="00584FB3" w:rsidRDefault="00584FB3">
            <w:pPr>
              <w:rPr>
                <w:rFonts w:ascii="宋体"/>
                <w:vanish/>
              </w:rPr>
            </w:pPr>
          </w:p>
        </w:tc>
        <w:tc>
          <w:tcPr>
            <w:tcW w:w="0" w:type="auto"/>
            <w:gridSpan w:val="3"/>
            <w:shd w:val="clear" w:color="auto" w:fill="auto"/>
          </w:tcPr>
          <w:p w14:paraId="40CB174A" w14:textId="77777777" w:rsidR="00584FB3" w:rsidRDefault="00584FB3">
            <w:pPr>
              <w:rPr>
                <w:rFonts w:ascii="宋体"/>
                <w:vanish/>
              </w:rPr>
            </w:pPr>
          </w:p>
        </w:tc>
        <w:tc>
          <w:tcPr>
            <w:tcW w:w="0" w:type="auto"/>
            <w:gridSpan w:val="3"/>
            <w:shd w:val="clear" w:color="auto" w:fill="auto"/>
          </w:tcPr>
          <w:p w14:paraId="40CB174B" w14:textId="77777777" w:rsidR="00584FB3" w:rsidRDefault="00584FB3">
            <w:pPr>
              <w:rPr>
                <w:rFonts w:ascii="宋体"/>
                <w:vanish/>
              </w:rPr>
            </w:pPr>
          </w:p>
        </w:tc>
        <w:tc>
          <w:tcPr>
            <w:tcW w:w="0" w:type="auto"/>
            <w:gridSpan w:val="3"/>
            <w:shd w:val="clear" w:color="auto" w:fill="auto"/>
          </w:tcPr>
          <w:p w14:paraId="40CB174C" w14:textId="77777777" w:rsidR="00584FB3" w:rsidRDefault="00584FB3">
            <w:pPr>
              <w:rPr>
                <w:rFonts w:ascii="宋体"/>
                <w:vanish/>
              </w:rPr>
            </w:pPr>
          </w:p>
        </w:tc>
        <w:tc>
          <w:tcPr>
            <w:tcW w:w="0" w:type="auto"/>
            <w:gridSpan w:val="3"/>
            <w:shd w:val="clear" w:color="auto" w:fill="auto"/>
          </w:tcPr>
          <w:p w14:paraId="40CB174D" w14:textId="77777777" w:rsidR="00584FB3" w:rsidRDefault="00584FB3">
            <w:pPr>
              <w:rPr>
                <w:rFonts w:ascii="宋体"/>
                <w:vanish/>
              </w:rPr>
            </w:pPr>
          </w:p>
        </w:tc>
      </w:tr>
      <w:tr w:rsidR="00584FB3" w14:paraId="40CB1759" w14:textId="77777777">
        <w:trPr>
          <w:hidden/>
        </w:trPr>
        <w:tc>
          <w:tcPr>
            <w:tcW w:w="0" w:type="auto"/>
            <w:gridSpan w:val="3"/>
            <w:shd w:val="clear" w:color="auto" w:fill="auto"/>
          </w:tcPr>
          <w:p w14:paraId="40CB174F" w14:textId="77777777" w:rsidR="00584FB3" w:rsidRDefault="00584FB3">
            <w:pPr>
              <w:rPr>
                <w:rFonts w:ascii="宋体"/>
                <w:vanish/>
              </w:rPr>
            </w:pPr>
          </w:p>
        </w:tc>
        <w:tc>
          <w:tcPr>
            <w:tcW w:w="0" w:type="auto"/>
            <w:gridSpan w:val="3"/>
            <w:shd w:val="clear" w:color="auto" w:fill="auto"/>
          </w:tcPr>
          <w:p w14:paraId="40CB1750" w14:textId="77777777" w:rsidR="00584FB3" w:rsidRDefault="00584FB3">
            <w:pPr>
              <w:rPr>
                <w:rFonts w:ascii="宋体"/>
                <w:vanish/>
              </w:rPr>
            </w:pPr>
          </w:p>
        </w:tc>
        <w:tc>
          <w:tcPr>
            <w:tcW w:w="0" w:type="auto"/>
            <w:gridSpan w:val="3"/>
            <w:shd w:val="clear" w:color="auto" w:fill="auto"/>
          </w:tcPr>
          <w:p w14:paraId="40CB1751" w14:textId="77777777" w:rsidR="00584FB3" w:rsidRDefault="00584FB3">
            <w:pPr>
              <w:rPr>
                <w:rFonts w:ascii="宋体"/>
                <w:vanish/>
              </w:rPr>
            </w:pPr>
          </w:p>
        </w:tc>
        <w:tc>
          <w:tcPr>
            <w:tcW w:w="0" w:type="auto"/>
            <w:gridSpan w:val="3"/>
            <w:shd w:val="clear" w:color="auto" w:fill="auto"/>
          </w:tcPr>
          <w:p w14:paraId="40CB1752" w14:textId="77777777" w:rsidR="00584FB3" w:rsidRDefault="00584FB3">
            <w:pPr>
              <w:rPr>
                <w:rFonts w:ascii="宋体"/>
                <w:vanish/>
              </w:rPr>
            </w:pPr>
          </w:p>
        </w:tc>
        <w:tc>
          <w:tcPr>
            <w:tcW w:w="0" w:type="auto"/>
            <w:gridSpan w:val="3"/>
            <w:shd w:val="clear" w:color="auto" w:fill="auto"/>
          </w:tcPr>
          <w:p w14:paraId="40CB1753" w14:textId="77777777" w:rsidR="00584FB3" w:rsidRDefault="00584FB3">
            <w:pPr>
              <w:rPr>
                <w:rFonts w:ascii="宋体"/>
                <w:vanish/>
              </w:rPr>
            </w:pPr>
          </w:p>
        </w:tc>
        <w:tc>
          <w:tcPr>
            <w:tcW w:w="0" w:type="auto"/>
            <w:gridSpan w:val="3"/>
            <w:shd w:val="clear" w:color="auto" w:fill="auto"/>
          </w:tcPr>
          <w:p w14:paraId="40CB1754" w14:textId="77777777" w:rsidR="00584FB3" w:rsidRDefault="00584FB3">
            <w:pPr>
              <w:rPr>
                <w:rFonts w:ascii="宋体"/>
                <w:vanish/>
              </w:rPr>
            </w:pPr>
          </w:p>
        </w:tc>
        <w:tc>
          <w:tcPr>
            <w:tcW w:w="0" w:type="auto"/>
            <w:gridSpan w:val="3"/>
            <w:shd w:val="clear" w:color="auto" w:fill="auto"/>
          </w:tcPr>
          <w:p w14:paraId="40CB1755" w14:textId="77777777" w:rsidR="00584FB3" w:rsidRDefault="00584FB3">
            <w:pPr>
              <w:rPr>
                <w:rFonts w:ascii="宋体"/>
                <w:vanish/>
              </w:rPr>
            </w:pPr>
          </w:p>
        </w:tc>
        <w:tc>
          <w:tcPr>
            <w:tcW w:w="0" w:type="auto"/>
            <w:gridSpan w:val="3"/>
            <w:shd w:val="clear" w:color="auto" w:fill="auto"/>
          </w:tcPr>
          <w:p w14:paraId="40CB1756" w14:textId="77777777" w:rsidR="00584FB3" w:rsidRDefault="00584FB3">
            <w:pPr>
              <w:rPr>
                <w:rFonts w:ascii="宋体"/>
                <w:vanish/>
              </w:rPr>
            </w:pPr>
          </w:p>
        </w:tc>
        <w:tc>
          <w:tcPr>
            <w:tcW w:w="0" w:type="auto"/>
            <w:gridSpan w:val="3"/>
            <w:shd w:val="clear" w:color="auto" w:fill="auto"/>
          </w:tcPr>
          <w:p w14:paraId="40CB1757" w14:textId="77777777" w:rsidR="00584FB3" w:rsidRDefault="00584FB3">
            <w:pPr>
              <w:rPr>
                <w:rFonts w:ascii="宋体"/>
                <w:vanish/>
              </w:rPr>
            </w:pPr>
          </w:p>
        </w:tc>
        <w:tc>
          <w:tcPr>
            <w:tcW w:w="0" w:type="auto"/>
            <w:gridSpan w:val="3"/>
            <w:shd w:val="clear" w:color="auto" w:fill="auto"/>
          </w:tcPr>
          <w:p w14:paraId="40CB1758" w14:textId="77777777" w:rsidR="00584FB3" w:rsidRDefault="00584FB3">
            <w:pPr>
              <w:rPr>
                <w:rFonts w:ascii="宋体"/>
                <w:vanish/>
              </w:rPr>
            </w:pPr>
          </w:p>
        </w:tc>
      </w:tr>
      <w:tr w:rsidR="00584FB3" w14:paraId="40CB1764" w14:textId="77777777">
        <w:trPr>
          <w:hidden/>
        </w:trPr>
        <w:tc>
          <w:tcPr>
            <w:tcW w:w="0" w:type="auto"/>
            <w:gridSpan w:val="3"/>
            <w:shd w:val="clear" w:color="auto" w:fill="auto"/>
          </w:tcPr>
          <w:p w14:paraId="40CB175A" w14:textId="77777777" w:rsidR="00584FB3" w:rsidRDefault="00584FB3">
            <w:pPr>
              <w:rPr>
                <w:rFonts w:ascii="宋体"/>
                <w:vanish/>
              </w:rPr>
            </w:pPr>
          </w:p>
        </w:tc>
        <w:tc>
          <w:tcPr>
            <w:tcW w:w="0" w:type="auto"/>
            <w:gridSpan w:val="3"/>
            <w:shd w:val="clear" w:color="auto" w:fill="auto"/>
          </w:tcPr>
          <w:p w14:paraId="40CB175B" w14:textId="77777777" w:rsidR="00584FB3" w:rsidRDefault="00584FB3">
            <w:pPr>
              <w:rPr>
                <w:rFonts w:ascii="宋体"/>
                <w:vanish/>
              </w:rPr>
            </w:pPr>
          </w:p>
        </w:tc>
        <w:tc>
          <w:tcPr>
            <w:tcW w:w="0" w:type="auto"/>
            <w:gridSpan w:val="3"/>
            <w:shd w:val="clear" w:color="auto" w:fill="auto"/>
          </w:tcPr>
          <w:p w14:paraId="40CB175C" w14:textId="77777777" w:rsidR="00584FB3" w:rsidRDefault="00584FB3">
            <w:pPr>
              <w:rPr>
                <w:rFonts w:ascii="宋体"/>
                <w:vanish/>
              </w:rPr>
            </w:pPr>
          </w:p>
        </w:tc>
        <w:tc>
          <w:tcPr>
            <w:tcW w:w="0" w:type="auto"/>
            <w:gridSpan w:val="3"/>
            <w:shd w:val="clear" w:color="auto" w:fill="auto"/>
          </w:tcPr>
          <w:p w14:paraId="40CB175D" w14:textId="77777777" w:rsidR="00584FB3" w:rsidRDefault="00584FB3">
            <w:pPr>
              <w:rPr>
                <w:rFonts w:ascii="宋体"/>
                <w:vanish/>
              </w:rPr>
            </w:pPr>
          </w:p>
        </w:tc>
        <w:tc>
          <w:tcPr>
            <w:tcW w:w="0" w:type="auto"/>
            <w:gridSpan w:val="3"/>
            <w:shd w:val="clear" w:color="auto" w:fill="auto"/>
          </w:tcPr>
          <w:p w14:paraId="40CB175E" w14:textId="77777777" w:rsidR="00584FB3" w:rsidRDefault="00584FB3">
            <w:pPr>
              <w:rPr>
                <w:rFonts w:ascii="宋体"/>
                <w:vanish/>
              </w:rPr>
            </w:pPr>
          </w:p>
        </w:tc>
        <w:tc>
          <w:tcPr>
            <w:tcW w:w="0" w:type="auto"/>
            <w:gridSpan w:val="3"/>
            <w:shd w:val="clear" w:color="auto" w:fill="auto"/>
          </w:tcPr>
          <w:p w14:paraId="40CB175F" w14:textId="77777777" w:rsidR="00584FB3" w:rsidRDefault="00584FB3">
            <w:pPr>
              <w:rPr>
                <w:rFonts w:ascii="宋体"/>
                <w:vanish/>
              </w:rPr>
            </w:pPr>
          </w:p>
        </w:tc>
        <w:tc>
          <w:tcPr>
            <w:tcW w:w="0" w:type="auto"/>
            <w:gridSpan w:val="3"/>
            <w:shd w:val="clear" w:color="auto" w:fill="auto"/>
          </w:tcPr>
          <w:p w14:paraId="40CB1760" w14:textId="77777777" w:rsidR="00584FB3" w:rsidRDefault="00584FB3">
            <w:pPr>
              <w:rPr>
                <w:rFonts w:ascii="宋体"/>
                <w:vanish/>
              </w:rPr>
            </w:pPr>
          </w:p>
        </w:tc>
        <w:tc>
          <w:tcPr>
            <w:tcW w:w="0" w:type="auto"/>
            <w:gridSpan w:val="3"/>
            <w:shd w:val="clear" w:color="auto" w:fill="auto"/>
          </w:tcPr>
          <w:p w14:paraId="40CB1761" w14:textId="77777777" w:rsidR="00584FB3" w:rsidRDefault="00584FB3">
            <w:pPr>
              <w:rPr>
                <w:rFonts w:ascii="宋体"/>
                <w:vanish/>
              </w:rPr>
            </w:pPr>
          </w:p>
        </w:tc>
        <w:tc>
          <w:tcPr>
            <w:tcW w:w="0" w:type="auto"/>
            <w:gridSpan w:val="3"/>
            <w:shd w:val="clear" w:color="auto" w:fill="auto"/>
          </w:tcPr>
          <w:p w14:paraId="40CB1762" w14:textId="77777777" w:rsidR="00584FB3" w:rsidRDefault="00584FB3">
            <w:pPr>
              <w:rPr>
                <w:rFonts w:ascii="宋体"/>
                <w:vanish/>
              </w:rPr>
            </w:pPr>
          </w:p>
        </w:tc>
        <w:tc>
          <w:tcPr>
            <w:tcW w:w="0" w:type="auto"/>
            <w:gridSpan w:val="3"/>
            <w:shd w:val="clear" w:color="auto" w:fill="auto"/>
          </w:tcPr>
          <w:p w14:paraId="40CB1763" w14:textId="77777777" w:rsidR="00584FB3" w:rsidRDefault="00584FB3">
            <w:pPr>
              <w:rPr>
                <w:rFonts w:ascii="宋体"/>
                <w:vanish/>
              </w:rPr>
            </w:pPr>
          </w:p>
        </w:tc>
      </w:tr>
      <w:tr w:rsidR="00584FB3" w14:paraId="40CB176F" w14:textId="77777777">
        <w:trPr>
          <w:hidden/>
        </w:trPr>
        <w:tc>
          <w:tcPr>
            <w:tcW w:w="0" w:type="auto"/>
            <w:gridSpan w:val="3"/>
            <w:shd w:val="clear" w:color="auto" w:fill="auto"/>
          </w:tcPr>
          <w:p w14:paraId="40CB1765" w14:textId="77777777" w:rsidR="00584FB3" w:rsidRDefault="00584FB3">
            <w:pPr>
              <w:rPr>
                <w:rFonts w:ascii="宋体"/>
                <w:vanish/>
              </w:rPr>
            </w:pPr>
          </w:p>
        </w:tc>
        <w:tc>
          <w:tcPr>
            <w:tcW w:w="0" w:type="auto"/>
            <w:gridSpan w:val="3"/>
            <w:shd w:val="clear" w:color="auto" w:fill="auto"/>
          </w:tcPr>
          <w:p w14:paraId="40CB1766" w14:textId="77777777" w:rsidR="00584FB3" w:rsidRDefault="00584FB3">
            <w:pPr>
              <w:rPr>
                <w:rFonts w:ascii="宋体"/>
                <w:vanish/>
              </w:rPr>
            </w:pPr>
          </w:p>
        </w:tc>
        <w:tc>
          <w:tcPr>
            <w:tcW w:w="0" w:type="auto"/>
            <w:gridSpan w:val="3"/>
            <w:shd w:val="clear" w:color="auto" w:fill="auto"/>
          </w:tcPr>
          <w:p w14:paraId="40CB1767" w14:textId="77777777" w:rsidR="00584FB3" w:rsidRDefault="00584FB3">
            <w:pPr>
              <w:rPr>
                <w:rFonts w:ascii="宋体"/>
                <w:vanish/>
              </w:rPr>
            </w:pPr>
          </w:p>
        </w:tc>
        <w:tc>
          <w:tcPr>
            <w:tcW w:w="0" w:type="auto"/>
            <w:gridSpan w:val="3"/>
            <w:shd w:val="clear" w:color="auto" w:fill="auto"/>
          </w:tcPr>
          <w:p w14:paraId="40CB1768" w14:textId="77777777" w:rsidR="00584FB3" w:rsidRDefault="00584FB3">
            <w:pPr>
              <w:rPr>
                <w:rFonts w:ascii="宋体"/>
                <w:vanish/>
              </w:rPr>
            </w:pPr>
          </w:p>
        </w:tc>
        <w:tc>
          <w:tcPr>
            <w:tcW w:w="0" w:type="auto"/>
            <w:gridSpan w:val="3"/>
            <w:shd w:val="clear" w:color="auto" w:fill="auto"/>
          </w:tcPr>
          <w:p w14:paraId="40CB1769" w14:textId="77777777" w:rsidR="00584FB3" w:rsidRDefault="00584FB3">
            <w:pPr>
              <w:rPr>
                <w:rFonts w:ascii="宋体"/>
                <w:vanish/>
              </w:rPr>
            </w:pPr>
          </w:p>
        </w:tc>
        <w:tc>
          <w:tcPr>
            <w:tcW w:w="0" w:type="auto"/>
            <w:gridSpan w:val="3"/>
            <w:shd w:val="clear" w:color="auto" w:fill="auto"/>
          </w:tcPr>
          <w:p w14:paraId="40CB176A" w14:textId="77777777" w:rsidR="00584FB3" w:rsidRDefault="00584FB3">
            <w:pPr>
              <w:rPr>
                <w:rFonts w:ascii="宋体"/>
                <w:vanish/>
              </w:rPr>
            </w:pPr>
          </w:p>
        </w:tc>
        <w:tc>
          <w:tcPr>
            <w:tcW w:w="0" w:type="auto"/>
            <w:gridSpan w:val="3"/>
            <w:shd w:val="clear" w:color="auto" w:fill="auto"/>
          </w:tcPr>
          <w:p w14:paraId="40CB176B" w14:textId="77777777" w:rsidR="00584FB3" w:rsidRDefault="00584FB3">
            <w:pPr>
              <w:rPr>
                <w:rFonts w:ascii="宋体"/>
                <w:vanish/>
              </w:rPr>
            </w:pPr>
          </w:p>
        </w:tc>
        <w:tc>
          <w:tcPr>
            <w:tcW w:w="0" w:type="auto"/>
            <w:gridSpan w:val="3"/>
            <w:shd w:val="clear" w:color="auto" w:fill="auto"/>
          </w:tcPr>
          <w:p w14:paraId="40CB176C" w14:textId="77777777" w:rsidR="00584FB3" w:rsidRDefault="00584FB3">
            <w:pPr>
              <w:rPr>
                <w:rFonts w:ascii="宋体"/>
                <w:vanish/>
              </w:rPr>
            </w:pPr>
          </w:p>
        </w:tc>
        <w:tc>
          <w:tcPr>
            <w:tcW w:w="0" w:type="auto"/>
            <w:gridSpan w:val="3"/>
            <w:shd w:val="clear" w:color="auto" w:fill="auto"/>
          </w:tcPr>
          <w:p w14:paraId="40CB176D" w14:textId="77777777" w:rsidR="00584FB3" w:rsidRDefault="00584FB3">
            <w:pPr>
              <w:rPr>
                <w:rFonts w:ascii="宋体"/>
                <w:vanish/>
              </w:rPr>
            </w:pPr>
          </w:p>
        </w:tc>
        <w:tc>
          <w:tcPr>
            <w:tcW w:w="0" w:type="auto"/>
            <w:gridSpan w:val="3"/>
            <w:shd w:val="clear" w:color="auto" w:fill="auto"/>
          </w:tcPr>
          <w:p w14:paraId="40CB176E" w14:textId="77777777" w:rsidR="00584FB3" w:rsidRDefault="00584FB3">
            <w:pPr>
              <w:rPr>
                <w:rFonts w:ascii="宋体"/>
                <w:vanish/>
              </w:rPr>
            </w:pPr>
          </w:p>
        </w:tc>
      </w:tr>
      <w:tr w:rsidR="00584FB3" w14:paraId="40CB177A" w14:textId="77777777">
        <w:trPr>
          <w:hidden/>
        </w:trPr>
        <w:tc>
          <w:tcPr>
            <w:tcW w:w="0" w:type="auto"/>
            <w:gridSpan w:val="3"/>
            <w:shd w:val="clear" w:color="auto" w:fill="auto"/>
          </w:tcPr>
          <w:p w14:paraId="40CB1770" w14:textId="77777777" w:rsidR="00584FB3" w:rsidRDefault="00584FB3">
            <w:pPr>
              <w:rPr>
                <w:rFonts w:ascii="宋体"/>
                <w:vanish/>
              </w:rPr>
            </w:pPr>
          </w:p>
        </w:tc>
        <w:tc>
          <w:tcPr>
            <w:tcW w:w="0" w:type="auto"/>
            <w:gridSpan w:val="3"/>
            <w:shd w:val="clear" w:color="auto" w:fill="auto"/>
          </w:tcPr>
          <w:p w14:paraId="40CB1771" w14:textId="77777777" w:rsidR="00584FB3" w:rsidRDefault="00584FB3">
            <w:pPr>
              <w:rPr>
                <w:rFonts w:ascii="宋体"/>
                <w:vanish/>
              </w:rPr>
            </w:pPr>
          </w:p>
        </w:tc>
        <w:tc>
          <w:tcPr>
            <w:tcW w:w="0" w:type="auto"/>
            <w:gridSpan w:val="3"/>
            <w:shd w:val="clear" w:color="auto" w:fill="auto"/>
          </w:tcPr>
          <w:p w14:paraId="40CB1772" w14:textId="77777777" w:rsidR="00584FB3" w:rsidRDefault="00584FB3">
            <w:pPr>
              <w:rPr>
                <w:rFonts w:ascii="宋体"/>
                <w:vanish/>
              </w:rPr>
            </w:pPr>
          </w:p>
        </w:tc>
        <w:tc>
          <w:tcPr>
            <w:tcW w:w="0" w:type="auto"/>
            <w:gridSpan w:val="3"/>
            <w:shd w:val="clear" w:color="auto" w:fill="auto"/>
          </w:tcPr>
          <w:p w14:paraId="40CB1773" w14:textId="77777777" w:rsidR="00584FB3" w:rsidRDefault="00584FB3">
            <w:pPr>
              <w:rPr>
                <w:rFonts w:ascii="宋体"/>
                <w:vanish/>
              </w:rPr>
            </w:pPr>
          </w:p>
        </w:tc>
        <w:tc>
          <w:tcPr>
            <w:tcW w:w="0" w:type="auto"/>
            <w:gridSpan w:val="3"/>
            <w:shd w:val="clear" w:color="auto" w:fill="auto"/>
          </w:tcPr>
          <w:p w14:paraId="40CB1774" w14:textId="77777777" w:rsidR="00584FB3" w:rsidRDefault="00584FB3">
            <w:pPr>
              <w:rPr>
                <w:rFonts w:ascii="宋体"/>
                <w:vanish/>
              </w:rPr>
            </w:pPr>
          </w:p>
        </w:tc>
        <w:tc>
          <w:tcPr>
            <w:tcW w:w="0" w:type="auto"/>
            <w:gridSpan w:val="3"/>
            <w:shd w:val="clear" w:color="auto" w:fill="auto"/>
          </w:tcPr>
          <w:p w14:paraId="40CB1775" w14:textId="77777777" w:rsidR="00584FB3" w:rsidRDefault="00584FB3">
            <w:pPr>
              <w:rPr>
                <w:rFonts w:ascii="宋体"/>
                <w:vanish/>
              </w:rPr>
            </w:pPr>
          </w:p>
        </w:tc>
        <w:tc>
          <w:tcPr>
            <w:tcW w:w="0" w:type="auto"/>
            <w:gridSpan w:val="3"/>
            <w:shd w:val="clear" w:color="auto" w:fill="auto"/>
          </w:tcPr>
          <w:p w14:paraId="40CB1776" w14:textId="77777777" w:rsidR="00584FB3" w:rsidRDefault="00584FB3">
            <w:pPr>
              <w:rPr>
                <w:rFonts w:ascii="宋体"/>
                <w:vanish/>
              </w:rPr>
            </w:pPr>
          </w:p>
        </w:tc>
        <w:tc>
          <w:tcPr>
            <w:tcW w:w="0" w:type="auto"/>
            <w:gridSpan w:val="3"/>
            <w:shd w:val="clear" w:color="auto" w:fill="auto"/>
          </w:tcPr>
          <w:p w14:paraId="40CB1777" w14:textId="77777777" w:rsidR="00584FB3" w:rsidRDefault="00584FB3">
            <w:pPr>
              <w:rPr>
                <w:rFonts w:ascii="宋体"/>
                <w:vanish/>
              </w:rPr>
            </w:pPr>
          </w:p>
        </w:tc>
        <w:tc>
          <w:tcPr>
            <w:tcW w:w="0" w:type="auto"/>
            <w:gridSpan w:val="3"/>
            <w:shd w:val="clear" w:color="auto" w:fill="auto"/>
          </w:tcPr>
          <w:p w14:paraId="40CB1778" w14:textId="77777777" w:rsidR="00584FB3" w:rsidRDefault="00584FB3">
            <w:pPr>
              <w:rPr>
                <w:rFonts w:ascii="宋体"/>
                <w:vanish/>
              </w:rPr>
            </w:pPr>
          </w:p>
        </w:tc>
        <w:tc>
          <w:tcPr>
            <w:tcW w:w="0" w:type="auto"/>
            <w:gridSpan w:val="3"/>
            <w:shd w:val="clear" w:color="auto" w:fill="auto"/>
          </w:tcPr>
          <w:p w14:paraId="40CB1779" w14:textId="77777777" w:rsidR="00584FB3" w:rsidRDefault="00584FB3">
            <w:pPr>
              <w:rPr>
                <w:rFonts w:ascii="宋体"/>
                <w:vanish/>
              </w:rPr>
            </w:pPr>
          </w:p>
        </w:tc>
      </w:tr>
      <w:tr w:rsidR="00584FB3" w14:paraId="40CB1785" w14:textId="77777777">
        <w:trPr>
          <w:hidden/>
        </w:trPr>
        <w:tc>
          <w:tcPr>
            <w:tcW w:w="0" w:type="auto"/>
            <w:gridSpan w:val="3"/>
            <w:shd w:val="clear" w:color="auto" w:fill="auto"/>
          </w:tcPr>
          <w:p w14:paraId="40CB177B" w14:textId="77777777" w:rsidR="00584FB3" w:rsidRDefault="00584FB3">
            <w:pPr>
              <w:rPr>
                <w:rFonts w:ascii="宋体"/>
                <w:vanish/>
              </w:rPr>
            </w:pPr>
          </w:p>
        </w:tc>
        <w:tc>
          <w:tcPr>
            <w:tcW w:w="0" w:type="auto"/>
            <w:gridSpan w:val="3"/>
            <w:shd w:val="clear" w:color="auto" w:fill="auto"/>
          </w:tcPr>
          <w:p w14:paraId="40CB177C" w14:textId="77777777" w:rsidR="00584FB3" w:rsidRDefault="00584FB3">
            <w:pPr>
              <w:rPr>
                <w:rFonts w:ascii="宋体"/>
                <w:vanish/>
              </w:rPr>
            </w:pPr>
          </w:p>
        </w:tc>
        <w:tc>
          <w:tcPr>
            <w:tcW w:w="0" w:type="auto"/>
            <w:gridSpan w:val="3"/>
            <w:shd w:val="clear" w:color="auto" w:fill="auto"/>
          </w:tcPr>
          <w:p w14:paraId="40CB177D" w14:textId="77777777" w:rsidR="00584FB3" w:rsidRDefault="00584FB3">
            <w:pPr>
              <w:rPr>
                <w:rFonts w:ascii="宋体"/>
                <w:vanish/>
              </w:rPr>
            </w:pPr>
          </w:p>
        </w:tc>
        <w:tc>
          <w:tcPr>
            <w:tcW w:w="0" w:type="auto"/>
            <w:gridSpan w:val="3"/>
            <w:shd w:val="clear" w:color="auto" w:fill="auto"/>
          </w:tcPr>
          <w:p w14:paraId="40CB177E" w14:textId="77777777" w:rsidR="00584FB3" w:rsidRDefault="00584FB3">
            <w:pPr>
              <w:rPr>
                <w:rFonts w:ascii="宋体"/>
                <w:vanish/>
              </w:rPr>
            </w:pPr>
          </w:p>
        </w:tc>
        <w:tc>
          <w:tcPr>
            <w:tcW w:w="0" w:type="auto"/>
            <w:gridSpan w:val="3"/>
            <w:shd w:val="clear" w:color="auto" w:fill="auto"/>
          </w:tcPr>
          <w:p w14:paraId="40CB177F" w14:textId="77777777" w:rsidR="00584FB3" w:rsidRDefault="00584FB3">
            <w:pPr>
              <w:rPr>
                <w:rFonts w:ascii="宋体"/>
                <w:vanish/>
              </w:rPr>
            </w:pPr>
          </w:p>
        </w:tc>
        <w:tc>
          <w:tcPr>
            <w:tcW w:w="0" w:type="auto"/>
            <w:gridSpan w:val="3"/>
            <w:shd w:val="clear" w:color="auto" w:fill="auto"/>
          </w:tcPr>
          <w:p w14:paraId="40CB1780" w14:textId="77777777" w:rsidR="00584FB3" w:rsidRDefault="00584FB3">
            <w:pPr>
              <w:rPr>
                <w:rFonts w:ascii="宋体"/>
                <w:vanish/>
              </w:rPr>
            </w:pPr>
          </w:p>
        </w:tc>
        <w:tc>
          <w:tcPr>
            <w:tcW w:w="0" w:type="auto"/>
            <w:gridSpan w:val="3"/>
            <w:shd w:val="clear" w:color="auto" w:fill="auto"/>
          </w:tcPr>
          <w:p w14:paraId="40CB1781" w14:textId="77777777" w:rsidR="00584FB3" w:rsidRDefault="00584FB3">
            <w:pPr>
              <w:rPr>
                <w:rFonts w:ascii="宋体"/>
                <w:vanish/>
              </w:rPr>
            </w:pPr>
          </w:p>
        </w:tc>
        <w:tc>
          <w:tcPr>
            <w:tcW w:w="0" w:type="auto"/>
            <w:gridSpan w:val="3"/>
            <w:shd w:val="clear" w:color="auto" w:fill="auto"/>
          </w:tcPr>
          <w:p w14:paraId="40CB1782" w14:textId="77777777" w:rsidR="00584FB3" w:rsidRDefault="00584FB3">
            <w:pPr>
              <w:rPr>
                <w:rFonts w:ascii="宋体"/>
                <w:vanish/>
              </w:rPr>
            </w:pPr>
          </w:p>
        </w:tc>
        <w:tc>
          <w:tcPr>
            <w:tcW w:w="0" w:type="auto"/>
            <w:gridSpan w:val="3"/>
            <w:shd w:val="clear" w:color="auto" w:fill="auto"/>
          </w:tcPr>
          <w:p w14:paraId="40CB1783" w14:textId="77777777" w:rsidR="00584FB3" w:rsidRDefault="00584FB3">
            <w:pPr>
              <w:rPr>
                <w:rFonts w:ascii="宋体"/>
                <w:vanish/>
              </w:rPr>
            </w:pPr>
          </w:p>
        </w:tc>
        <w:tc>
          <w:tcPr>
            <w:tcW w:w="0" w:type="auto"/>
            <w:gridSpan w:val="3"/>
            <w:shd w:val="clear" w:color="auto" w:fill="auto"/>
          </w:tcPr>
          <w:p w14:paraId="40CB1784" w14:textId="77777777" w:rsidR="00584FB3" w:rsidRDefault="00584FB3">
            <w:pPr>
              <w:rPr>
                <w:rFonts w:ascii="宋体"/>
                <w:vanish/>
              </w:rPr>
            </w:pPr>
          </w:p>
        </w:tc>
      </w:tr>
      <w:tr w:rsidR="00584FB3" w14:paraId="40CB1790" w14:textId="77777777">
        <w:trPr>
          <w:hidden/>
        </w:trPr>
        <w:tc>
          <w:tcPr>
            <w:tcW w:w="0" w:type="auto"/>
            <w:gridSpan w:val="3"/>
            <w:shd w:val="clear" w:color="auto" w:fill="auto"/>
          </w:tcPr>
          <w:p w14:paraId="40CB1786" w14:textId="77777777" w:rsidR="00584FB3" w:rsidRDefault="00584FB3">
            <w:pPr>
              <w:rPr>
                <w:rFonts w:ascii="宋体"/>
                <w:vanish/>
              </w:rPr>
            </w:pPr>
          </w:p>
        </w:tc>
        <w:tc>
          <w:tcPr>
            <w:tcW w:w="0" w:type="auto"/>
            <w:gridSpan w:val="3"/>
            <w:shd w:val="clear" w:color="auto" w:fill="auto"/>
          </w:tcPr>
          <w:p w14:paraId="40CB1787" w14:textId="77777777" w:rsidR="00584FB3" w:rsidRDefault="00584FB3">
            <w:pPr>
              <w:rPr>
                <w:rFonts w:ascii="宋体"/>
                <w:vanish/>
              </w:rPr>
            </w:pPr>
          </w:p>
        </w:tc>
        <w:tc>
          <w:tcPr>
            <w:tcW w:w="0" w:type="auto"/>
            <w:gridSpan w:val="3"/>
            <w:shd w:val="clear" w:color="auto" w:fill="auto"/>
          </w:tcPr>
          <w:p w14:paraId="40CB1788" w14:textId="77777777" w:rsidR="00584FB3" w:rsidRDefault="00584FB3">
            <w:pPr>
              <w:rPr>
                <w:rFonts w:ascii="宋体"/>
                <w:vanish/>
              </w:rPr>
            </w:pPr>
          </w:p>
        </w:tc>
        <w:tc>
          <w:tcPr>
            <w:tcW w:w="0" w:type="auto"/>
            <w:gridSpan w:val="3"/>
            <w:shd w:val="clear" w:color="auto" w:fill="auto"/>
          </w:tcPr>
          <w:p w14:paraId="40CB1789" w14:textId="77777777" w:rsidR="00584FB3" w:rsidRDefault="00584FB3">
            <w:pPr>
              <w:rPr>
                <w:rFonts w:ascii="宋体"/>
                <w:vanish/>
              </w:rPr>
            </w:pPr>
          </w:p>
        </w:tc>
        <w:tc>
          <w:tcPr>
            <w:tcW w:w="0" w:type="auto"/>
            <w:gridSpan w:val="3"/>
            <w:shd w:val="clear" w:color="auto" w:fill="auto"/>
          </w:tcPr>
          <w:p w14:paraId="40CB178A" w14:textId="77777777" w:rsidR="00584FB3" w:rsidRDefault="00584FB3">
            <w:pPr>
              <w:rPr>
                <w:rFonts w:ascii="宋体"/>
                <w:vanish/>
              </w:rPr>
            </w:pPr>
          </w:p>
        </w:tc>
        <w:tc>
          <w:tcPr>
            <w:tcW w:w="0" w:type="auto"/>
            <w:gridSpan w:val="3"/>
            <w:shd w:val="clear" w:color="auto" w:fill="auto"/>
          </w:tcPr>
          <w:p w14:paraId="40CB178B" w14:textId="77777777" w:rsidR="00584FB3" w:rsidRDefault="00584FB3">
            <w:pPr>
              <w:rPr>
                <w:rFonts w:ascii="宋体"/>
                <w:vanish/>
              </w:rPr>
            </w:pPr>
          </w:p>
        </w:tc>
        <w:tc>
          <w:tcPr>
            <w:tcW w:w="0" w:type="auto"/>
            <w:gridSpan w:val="3"/>
            <w:shd w:val="clear" w:color="auto" w:fill="auto"/>
          </w:tcPr>
          <w:p w14:paraId="40CB178C" w14:textId="77777777" w:rsidR="00584FB3" w:rsidRDefault="00584FB3">
            <w:pPr>
              <w:rPr>
                <w:rFonts w:ascii="宋体"/>
                <w:vanish/>
              </w:rPr>
            </w:pPr>
          </w:p>
        </w:tc>
        <w:tc>
          <w:tcPr>
            <w:tcW w:w="0" w:type="auto"/>
            <w:gridSpan w:val="3"/>
            <w:shd w:val="clear" w:color="auto" w:fill="auto"/>
          </w:tcPr>
          <w:p w14:paraId="40CB178D" w14:textId="77777777" w:rsidR="00584FB3" w:rsidRDefault="00584FB3">
            <w:pPr>
              <w:rPr>
                <w:rFonts w:ascii="宋体"/>
                <w:vanish/>
              </w:rPr>
            </w:pPr>
          </w:p>
        </w:tc>
        <w:tc>
          <w:tcPr>
            <w:tcW w:w="0" w:type="auto"/>
            <w:gridSpan w:val="3"/>
            <w:shd w:val="clear" w:color="auto" w:fill="auto"/>
          </w:tcPr>
          <w:p w14:paraId="40CB178E" w14:textId="77777777" w:rsidR="00584FB3" w:rsidRDefault="00584FB3">
            <w:pPr>
              <w:rPr>
                <w:rFonts w:ascii="宋体"/>
                <w:vanish/>
              </w:rPr>
            </w:pPr>
          </w:p>
        </w:tc>
        <w:tc>
          <w:tcPr>
            <w:tcW w:w="0" w:type="auto"/>
            <w:gridSpan w:val="3"/>
            <w:shd w:val="clear" w:color="auto" w:fill="auto"/>
          </w:tcPr>
          <w:p w14:paraId="40CB178F" w14:textId="77777777" w:rsidR="00584FB3" w:rsidRDefault="00584FB3">
            <w:pPr>
              <w:rPr>
                <w:rFonts w:ascii="宋体"/>
                <w:vanish/>
              </w:rPr>
            </w:pPr>
          </w:p>
        </w:tc>
      </w:tr>
      <w:tr w:rsidR="00584FB3" w14:paraId="40CB179B" w14:textId="77777777">
        <w:trPr>
          <w:hidden/>
        </w:trPr>
        <w:tc>
          <w:tcPr>
            <w:tcW w:w="0" w:type="auto"/>
            <w:gridSpan w:val="3"/>
            <w:shd w:val="clear" w:color="auto" w:fill="auto"/>
          </w:tcPr>
          <w:p w14:paraId="40CB1791" w14:textId="77777777" w:rsidR="00584FB3" w:rsidRDefault="00584FB3">
            <w:pPr>
              <w:rPr>
                <w:rFonts w:ascii="宋体"/>
                <w:vanish/>
              </w:rPr>
            </w:pPr>
          </w:p>
        </w:tc>
        <w:tc>
          <w:tcPr>
            <w:tcW w:w="0" w:type="auto"/>
            <w:gridSpan w:val="3"/>
            <w:shd w:val="clear" w:color="auto" w:fill="auto"/>
          </w:tcPr>
          <w:p w14:paraId="40CB1792" w14:textId="77777777" w:rsidR="00584FB3" w:rsidRDefault="00584FB3">
            <w:pPr>
              <w:rPr>
                <w:rFonts w:ascii="宋体"/>
                <w:vanish/>
              </w:rPr>
            </w:pPr>
          </w:p>
        </w:tc>
        <w:tc>
          <w:tcPr>
            <w:tcW w:w="0" w:type="auto"/>
            <w:gridSpan w:val="3"/>
            <w:shd w:val="clear" w:color="auto" w:fill="auto"/>
          </w:tcPr>
          <w:p w14:paraId="40CB1793" w14:textId="77777777" w:rsidR="00584FB3" w:rsidRDefault="00584FB3">
            <w:pPr>
              <w:rPr>
                <w:rFonts w:ascii="宋体"/>
                <w:vanish/>
              </w:rPr>
            </w:pPr>
          </w:p>
        </w:tc>
        <w:tc>
          <w:tcPr>
            <w:tcW w:w="0" w:type="auto"/>
            <w:gridSpan w:val="3"/>
            <w:shd w:val="clear" w:color="auto" w:fill="auto"/>
          </w:tcPr>
          <w:p w14:paraId="40CB1794" w14:textId="77777777" w:rsidR="00584FB3" w:rsidRDefault="00584FB3">
            <w:pPr>
              <w:rPr>
                <w:rFonts w:ascii="宋体"/>
                <w:vanish/>
              </w:rPr>
            </w:pPr>
          </w:p>
        </w:tc>
        <w:tc>
          <w:tcPr>
            <w:tcW w:w="0" w:type="auto"/>
            <w:gridSpan w:val="3"/>
            <w:shd w:val="clear" w:color="auto" w:fill="auto"/>
          </w:tcPr>
          <w:p w14:paraId="40CB1795" w14:textId="77777777" w:rsidR="00584FB3" w:rsidRDefault="00584FB3">
            <w:pPr>
              <w:rPr>
                <w:rFonts w:ascii="宋体"/>
                <w:vanish/>
              </w:rPr>
            </w:pPr>
          </w:p>
        </w:tc>
        <w:tc>
          <w:tcPr>
            <w:tcW w:w="0" w:type="auto"/>
            <w:gridSpan w:val="3"/>
            <w:shd w:val="clear" w:color="auto" w:fill="auto"/>
          </w:tcPr>
          <w:p w14:paraId="40CB1796" w14:textId="77777777" w:rsidR="00584FB3" w:rsidRDefault="00584FB3">
            <w:pPr>
              <w:rPr>
                <w:rFonts w:ascii="宋体"/>
                <w:vanish/>
              </w:rPr>
            </w:pPr>
          </w:p>
        </w:tc>
        <w:tc>
          <w:tcPr>
            <w:tcW w:w="0" w:type="auto"/>
            <w:gridSpan w:val="3"/>
            <w:shd w:val="clear" w:color="auto" w:fill="auto"/>
          </w:tcPr>
          <w:p w14:paraId="40CB1797" w14:textId="77777777" w:rsidR="00584FB3" w:rsidRDefault="00584FB3">
            <w:pPr>
              <w:rPr>
                <w:rFonts w:ascii="宋体"/>
                <w:vanish/>
              </w:rPr>
            </w:pPr>
          </w:p>
        </w:tc>
        <w:tc>
          <w:tcPr>
            <w:tcW w:w="0" w:type="auto"/>
            <w:gridSpan w:val="3"/>
            <w:shd w:val="clear" w:color="auto" w:fill="auto"/>
          </w:tcPr>
          <w:p w14:paraId="40CB1798" w14:textId="77777777" w:rsidR="00584FB3" w:rsidRDefault="00584FB3">
            <w:pPr>
              <w:rPr>
                <w:rFonts w:ascii="宋体"/>
                <w:vanish/>
              </w:rPr>
            </w:pPr>
          </w:p>
        </w:tc>
        <w:tc>
          <w:tcPr>
            <w:tcW w:w="0" w:type="auto"/>
            <w:gridSpan w:val="3"/>
            <w:shd w:val="clear" w:color="auto" w:fill="auto"/>
          </w:tcPr>
          <w:p w14:paraId="40CB1799" w14:textId="77777777" w:rsidR="00584FB3" w:rsidRDefault="00584FB3">
            <w:pPr>
              <w:rPr>
                <w:rFonts w:ascii="宋体"/>
                <w:vanish/>
              </w:rPr>
            </w:pPr>
          </w:p>
        </w:tc>
        <w:tc>
          <w:tcPr>
            <w:tcW w:w="0" w:type="auto"/>
            <w:gridSpan w:val="3"/>
            <w:shd w:val="clear" w:color="auto" w:fill="auto"/>
          </w:tcPr>
          <w:p w14:paraId="40CB179A" w14:textId="77777777" w:rsidR="00584FB3" w:rsidRDefault="00584FB3">
            <w:pPr>
              <w:rPr>
                <w:rFonts w:ascii="宋体"/>
                <w:vanish/>
              </w:rPr>
            </w:pPr>
          </w:p>
        </w:tc>
      </w:tr>
    </w:tbl>
    <w:p w14:paraId="40CB179C" w14:textId="77777777" w:rsidR="00584FB3" w:rsidRDefault="00786180">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3064"/>
        <w:gridCol w:w="37"/>
        <w:gridCol w:w="36"/>
        <w:gridCol w:w="36"/>
        <w:gridCol w:w="36"/>
        <w:gridCol w:w="120"/>
        <w:gridCol w:w="788"/>
        <w:gridCol w:w="36"/>
        <w:gridCol w:w="36"/>
        <w:gridCol w:w="36"/>
        <w:gridCol w:w="36"/>
        <w:gridCol w:w="120"/>
        <w:gridCol w:w="788"/>
        <w:gridCol w:w="36"/>
        <w:gridCol w:w="36"/>
        <w:gridCol w:w="36"/>
        <w:gridCol w:w="36"/>
        <w:gridCol w:w="39"/>
        <w:gridCol w:w="2903"/>
        <w:gridCol w:w="38"/>
      </w:tblGrid>
      <w:tr w:rsidR="00584FB3" w14:paraId="40CB17B2" w14:textId="77777777">
        <w:tc>
          <w:tcPr>
            <w:tcW w:w="50" w:type="pct"/>
            <w:shd w:val="clear" w:color="auto" w:fill="auto"/>
          </w:tcPr>
          <w:p w14:paraId="40CB179D" w14:textId="77777777" w:rsidR="00584FB3" w:rsidRDefault="00584FB3">
            <w:pPr>
              <w:rPr>
                <w:rFonts w:ascii="宋体"/>
              </w:rPr>
            </w:pPr>
          </w:p>
        </w:tc>
        <w:tc>
          <w:tcPr>
            <w:tcW w:w="1860" w:type="pct"/>
            <w:shd w:val="clear" w:color="auto" w:fill="auto"/>
          </w:tcPr>
          <w:p w14:paraId="40CB179E" w14:textId="77777777" w:rsidR="00584FB3" w:rsidRDefault="00584FB3">
            <w:pPr>
              <w:rPr>
                <w:rFonts w:ascii="宋体"/>
              </w:rPr>
            </w:pPr>
          </w:p>
        </w:tc>
        <w:tc>
          <w:tcPr>
            <w:tcW w:w="5" w:type="pct"/>
            <w:shd w:val="clear" w:color="auto" w:fill="auto"/>
          </w:tcPr>
          <w:p w14:paraId="40CB179F" w14:textId="77777777" w:rsidR="00584FB3" w:rsidRDefault="00584FB3">
            <w:pPr>
              <w:rPr>
                <w:rFonts w:ascii="宋体"/>
              </w:rPr>
            </w:pPr>
          </w:p>
        </w:tc>
        <w:tc>
          <w:tcPr>
            <w:tcW w:w="5" w:type="pct"/>
            <w:shd w:val="clear" w:color="auto" w:fill="auto"/>
          </w:tcPr>
          <w:p w14:paraId="40CB17A0" w14:textId="77777777" w:rsidR="00584FB3" w:rsidRDefault="00584FB3">
            <w:pPr>
              <w:rPr>
                <w:rFonts w:ascii="宋体"/>
              </w:rPr>
            </w:pPr>
          </w:p>
        </w:tc>
        <w:tc>
          <w:tcPr>
            <w:tcW w:w="26" w:type="pct"/>
            <w:shd w:val="clear" w:color="auto" w:fill="auto"/>
          </w:tcPr>
          <w:p w14:paraId="40CB17A1" w14:textId="77777777" w:rsidR="00584FB3" w:rsidRDefault="00584FB3">
            <w:pPr>
              <w:rPr>
                <w:rFonts w:ascii="宋体"/>
              </w:rPr>
            </w:pPr>
          </w:p>
        </w:tc>
        <w:tc>
          <w:tcPr>
            <w:tcW w:w="5" w:type="pct"/>
            <w:shd w:val="clear" w:color="auto" w:fill="auto"/>
          </w:tcPr>
          <w:p w14:paraId="40CB17A2" w14:textId="77777777" w:rsidR="00584FB3" w:rsidRDefault="00584FB3">
            <w:pPr>
              <w:rPr>
                <w:rFonts w:ascii="宋体"/>
              </w:rPr>
            </w:pPr>
          </w:p>
        </w:tc>
        <w:tc>
          <w:tcPr>
            <w:tcW w:w="50" w:type="pct"/>
            <w:shd w:val="clear" w:color="auto" w:fill="auto"/>
          </w:tcPr>
          <w:p w14:paraId="40CB17A3" w14:textId="77777777" w:rsidR="00584FB3" w:rsidRDefault="00584FB3">
            <w:pPr>
              <w:rPr>
                <w:rFonts w:ascii="宋体"/>
              </w:rPr>
            </w:pPr>
          </w:p>
        </w:tc>
        <w:tc>
          <w:tcPr>
            <w:tcW w:w="515" w:type="pct"/>
            <w:shd w:val="clear" w:color="auto" w:fill="auto"/>
          </w:tcPr>
          <w:p w14:paraId="40CB17A4" w14:textId="77777777" w:rsidR="00584FB3" w:rsidRDefault="00584FB3">
            <w:pPr>
              <w:rPr>
                <w:rFonts w:ascii="宋体"/>
              </w:rPr>
            </w:pPr>
          </w:p>
        </w:tc>
        <w:tc>
          <w:tcPr>
            <w:tcW w:w="5" w:type="pct"/>
            <w:shd w:val="clear" w:color="auto" w:fill="auto"/>
          </w:tcPr>
          <w:p w14:paraId="40CB17A5" w14:textId="77777777" w:rsidR="00584FB3" w:rsidRDefault="00584FB3">
            <w:pPr>
              <w:rPr>
                <w:rFonts w:ascii="宋体"/>
              </w:rPr>
            </w:pPr>
          </w:p>
        </w:tc>
        <w:tc>
          <w:tcPr>
            <w:tcW w:w="5" w:type="pct"/>
            <w:shd w:val="clear" w:color="auto" w:fill="auto"/>
          </w:tcPr>
          <w:p w14:paraId="40CB17A6" w14:textId="77777777" w:rsidR="00584FB3" w:rsidRDefault="00584FB3">
            <w:pPr>
              <w:rPr>
                <w:rFonts w:ascii="宋体"/>
              </w:rPr>
            </w:pPr>
          </w:p>
        </w:tc>
        <w:tc>
          <w:tcPr>
            <w:tcW w:w="26" w:type="pct"/>
            <w:shd w:val="clear" w:color="auto" w:fill="auto"/>
          </w:tcPr>
          <w:p w14:paraId="40CB17A7" w14:textId="77777777" w:rsidR="00584FB3" w:rsidRDefault="00584FB3">
            <w:pPr>
              <w:rPr>
                <w:rFonts w:ascii="宋体"/>
              </w:rPr>
            </w:pPr>
          </w:p>
        </w:tc>
        <w:tc>
          <w:tcPr>
            <w:tcW w:w="5" w:type="pct"/>
            <w:shd w:val="clear" w:color="auto" w:fill="auto"/>
          </w:tcPr>
          <w:p w14:paraId="40CB17A8" w14:textId="77777777" w:rsidR="00584FB3" w:rsidRDefault="00584FB3">
            <w:pPr>
              <w:rPr>
                <w:rFonts w:ascii="宋体"/>
              </w:rPr>
            </w:pPr>
          </w:p>
        </w:tc>
        <w:tc>
          <w:tcPr>
            <w:tcW w:w="50" w:type="pct"/>
            <w:shd w:val="clear" w:color="auto" w:fill="auto"/>
          </w:tcPr>
          <w:p w14:paraId="40CB17A9" w14:textId="77777777" w:rsidR="00584FB3" w:rsidRDefault="00584FB3">
            <w:pPr>
              <w:rPr>
                <w:rFonts w:ascii="宋体"/>
              </w:rPr>
            </w:pPr>
          </w:p>
        </w:tc>
        <w:tc>
          <w:tcPr>
            <w:tcW w:w="515" w:type="pct"/>
            <w:shd w:val="clear" w:color="auto" w:fill="auto"/>
          </w:tcPr>
          <w:p w14:paraId="40CB17AA" w14:textId="77777777" w:rsidR="00584FB3" w:rsidRDefault="00584FB3">
            <w:pPr>
              <w:rPr>
                <w:rFonts w:ascii="宋体"/>
              </w:rPr>
            </w:pPr>
          </w:p>
        </w:tc>
        <w:tc>
          <w:tcPr>
            <w:tcW w:w="5" w:type="pct"/>
            <w:shd w:val="clear" w:color="auto" w:fill="auto"/>
          </w:tcPr>
          <w:p w14:paraId="40CB17AB" w14:textId="77777777" w:rsidR="00584FB3" w:rsidRDefault="00584FB3">
            <w:pPr>
              <w:rPr>
                <w:rFonts w:ascii="宋体"/>
              </w:rPr>
            </w:pPr>
          </w:p>
        </w:tc>
        <w:tc>
          <w:tcPr>
            <w:tcW w:w="5" w:type="pct"/>
            <w:shd w:val="clear" w:color="auto" w:fill="auto"/>
          </w:tcPr>
          <w:p w14:paraId="40CB17AC" w14:textId="77777777" w:rsidR="00584FB3" w:rsidRDefault="00584FB3">
            <w:pPr>
              <w:rPr>
                <w:rFonts w:ascii="宋体"/>
              </w:rPr>
            </w:pPr>
          </w:p>
        </w:tc>
        <w:tc>
          <w:tcPr>
            <w:tcW w:w="26" w:type="pct"/>
            <w:shd w:val="clear" w:color="auto" w:fill="auto"/>
          </w:tcPr>
          <w:p w14:paraId="40CB17AD" w14:textId="77777777" w:rsidR="00584FB3" w:rsidRDefault="00584FB3">
            <w:pPr>
              <w:rPr>
                <w:rFonts w:ascii="宋体"/>
              </w:rPr>
            </w:pPr>
          </w:p>
        </w:tc>
        <w:tc>
          <w:tcPr>
            <w:tcW w:w="5" w:type="pct"/>
            <w:shd w:val="clear" w:color="auto" w:fill="auto"/>
          </w:tcPr>
          <w:p w14:paraId="40CB17AE" w14:textId="77777777" w:rsidR="00584FB3" w:rsidRDefault="00584FB3">
            <w:pPr>
              <w:rPr>
                <w:rFonts w:ascii="宋体"/>
              </w:rPr>
            </w:pPr>
          </w:p>
        </w:tc>
        <w:tc>
          <w:tcPr>
            <w:tcW w:w="50" w:type="pct"/>
            <w:shd w:val="clear" w:color="auto" w:fill="auto"/>
          </w:tcPr>
          <w:p w14:paraId="40CB17AF" w14:textId="77777777" w:rsidR="00584FB3" w:rsidRDefault="00584FB3">
            <w:pPr>
              <w:rPr>
                <w:rFonts w:ascii="宋体"/>
              </w:rPr>
            </w:pPr>
          </w:p>
        </w:tc>
        <w:tc>
          <w:tcPr>
            <w:tcW w:w="1780" w:type="pct"/>
            <w:shd w:val="clear" w:color="auto" w:fill="auto"/>
          </w:tcPr>
          <w:p w14:paraId="40CB17B0" w14:textId="77777777" w:rsidR="00584FB3" w:rsidRDefault="00584FB3">
            <w:pPr>
              <w:rPr>
                <w:rFonts w:ascii="宋体"/>
              </w:rPr>
            </w:pPr>
          </w:p>
        </w:tc>
        <w:tc>
          <w:tcPr>
            <w:tcW w:w="5" w:type="pct"/>
            <w:shd w:val="clear" w:color="auto" w:fill="auto"/>
          </w:tcPr>
          <w:p w14:paraId="40CB17B1" w14:textId="77777777" w:rsidR="00584FB3" w:rsidRDefault="00584FB3">
            <w:pPr>
              <w:rPr>
                <w:rFonts w:ascii="宋体"/>
              </w:rPr>
            </w:pPr>
          </w:p>
        </w:tc>
      </w:tr>
      <w:tr w:rsidR="00584FB3" w14:paraId="40CB17BA" w14:textId="77777777">
        <w:tc>
          <w:tcPr>
            <w:tcW w:w="0" w:type="auto"/>
            <w:gridSpan w:val="3"/>
            <w:shd w:val="clear" w:color="auto" w:fill="auto"/>
            <w:tcMar>
              <w:top w:w="40" w:type="dxa"/>
              <w:left w:w="20" w:type="dxa"/>
              <w:bottom w:w="40" w:type="dxa"/>
              <w:right w:w="20" w:type="dxa"/>
            </w:tcMar>
            <w:vAlign w:val="bottom"/>
          </w:tcPr>
          <w:p w14:paraId="40CB17B3" w14:textId="77777777" w:rsidR="00584FB3" w:rsidRDefault="00786180">
            <w:pPr>
              <w:textAlignment w:val="bottom"/>
            </w:pPr>
            <w:r>
              <w:rPr>
                <w:rFonts w:ascii="Times New Roman" w:eastAsia="宋体" w:hAnsi="Times New Roman"/>
                <w:b/>
                <w:bCs/>
                <w:color w:val="000000"/>
                <w:sz w:val="20"/>
                <w:szCs w:val="20"/>
              </w:rPr>
              <w:t>Quarter Ended</w:t>
            </w:r>
          </w:p>
        </w:tc>
        <w:tc>
          <w:tcPr>
            <w:tcW w:w="0" w:type="auto"/>
            <w:gridSpan w:val="3"/>
            <w:shd w:val="clear" w:color="auto" w:fill="auto"/>
            <w:tcMar>
              <w:top w:w="0" w:type="dxa"/>
              <w:left w:w="20" w:type="dxa"/>
              <w:bottom w:w="0" w:type="dxa"/>
              <w:right w:w="20" w:type="dxa"/>
            </w:tcMar>
          </w:tcPr>
          <w:p w14:paraId="40CB17B4"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7B5"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7B6"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7B7"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7B8"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7B9" w14:textId="77777777" w:rsidR="00584FB3" w:rsidRDefault="00584FB3">
            <w:pPr>
              <w:rPr>
                <w:rFonts w:ascii="宋体"/>
              </w:rPr>
            </w:pPr>
          </w:p>
        </w:tc>
      </w:tr>
      <w:tr w:rsidR="00584FB3" w14:paraId="40CB17C0" w14:textId="77777777">
        <w:trPr>
          <w:trHeight w:val="420"/>
        </w:trPr>
        <w:tc>
          <w:tcPr>
            <w:tcW w:w="0" w:type="auto"/>
            <w:gridSpan w:val="3"/>
            <w:vMerge w:val="restart"/>
            <w:shd w:val="clear" w:color="auto" w:fill="00704A"/>
            <w:tcMar>
              <w:top w:w="40" w:type="dxa"/>
              <w:left w:w="20" w:type="dxa"/>
              <w:bottom w:w="40" w:type="dxa"/>
              <w:right w:w="20" w:type="dxa"/>
            </w:tcMar>
            <w:vAlign w:val="bottom"/>
          </w:tcPr>
          <w:p w14:paraId="40CB17BB" w14:textId="77777777" w:rsidR="00584FB3" w:rsidRDefault="00786180">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top w:w="0" w:type="dxa"/>
              <w:left w:w="20" w:type="dxa"/>
              <w:bottom w:w="0" w:type="dxa"/>
              <w:right w:w="20" w:type="dxa"/>
            </w:tcMar>
          </w:tcPr>
          <w:p w14:paraId="40CB17BC"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17BD" w14:textId="77777777" w:rsidR="00584FB3" w:rsidRDefault="00786180">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tcPr>
          <w:p w14:paraId="40CB17BE" w14:textId="77777777" w:rsidR="00584FB3" w:rsidRDefault="00584FB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0CB17BF" w14:textId="77777777" w:rsidR="00584FB3" w:rsidRDefault="00786180">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584FB3" w14:paraId="40CB17C8" w14:textId="77777777">
        <w:trPr>
          <w:trHeight w:val="240"/>
        </w:trPr>
        <w:tc>
          <w:tcPr>
            <w:tcW w:w="0" w:type="auto"/>
            <w:gridSpan w:val="3"/>
            <w:vMerge/>
            <w:shd w:val="clear" w:color="auto" w:fill="00704A"/>
            <w:tcMar>
              <w:top w:w="40" w:type="dxa"/>
              <w:left w:w="20" w:type="dxa"/>
              <w:bottom w:w="40" w:type="dxa"/>
              <w:right w:w="20" w:type="dxa"/>
            </w:tcMar>
            <w:vAlign w:val="bottom"/>
          </w:tcPr>
          <w:p w14:paraId="40CB17C1" w14:textId="77777777" w:rsidR="00584FB3" w:rsidRDefault="00584FB3">
            <w:pPr>
              <w:jc w:val="center"/>
              <w:rPr>
                <w:rFonts w:ascii="宋体"/>
              </w:rPr>
            </w:pPr>
          </w:p>
        </w:tc>
        <w:tc>
          <w:tcPr>
            <w:tcW w:w="0" w:type="auto"/>
            <w:gridSpan w:val="3"/>
            <w:shd w:val="clear" w:color="auto" w:fill="auto"/>
            <w:tcMar>
              <w:top w:w="0" w:type="dxa"/>
              <w:left w:w="20" w:type="dxa"/>
              <w:bottom w:w="0" w:type="dxa"/>
              <w:right w:w="20" w:type="dxa"/>
            </w:tcMar>
          </w:tcPr>
          <w:p w14:paraId="40CB17C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7C3" w14:textId="77777777" w:rsidR="00584FB3" w:rsidRDefault="00786180">
            <w:pPr>
              <w:jc w:val="center"/>
              <w:textAlignment w:val="bottom"/>
            </w:pPr>
            <w:r>
              <w:rPr>
                <w:rFonts w:ascii="Times New Roman" w:eastAsia="宋体" w:hAnsi="Times New Roman"/>
                <w:b/>
                <w:bCs/>
                <w:color w:val="FFFFFF"/>
                <w:sz w:val="16"/>
                <w:szCs w:val="16"/>
              </w:rPr>
              <w:t xml:space="preserve">Dec 27, </w:t>
            </w:r>
            <w:r>
              <w:rPr>
                <w:rFonts w:ascii="Times New Roman" w:eastAsia="宋体" w:hAnsi="Times New Roman"/>
                <w:b/>
                <w:bCs/>
                <w:color w:val="FFFFFF"/>
                <w:sz w:val="16"/>
                <w:szCs w:val="16"/>
              </w:rPr>
              <w:t>2020</w:t>
            </w:r>
          </w:p>
        </w:tc>
        <w:tc>
          <w:tcPr>
            <w:tcW w:w="0" w:type="auto"/>
            <w:gridSpan w:val="3"/>
            <w:shd w:val="clear" w:color="auto" w:fill="auto"/>
            <w:tcMar>
              <w:top w:w="0" w:type="dxa"/>
              <w:left w:w="20" w:type="dxa"/>
              <w:bottom w:w="0" w:type="dxa"/>
              <w:right w:w="20" w:type="dxa"/>
            </w:tcMar>
          </w:tcPr>
          <w:p w14:paraId="40CB17C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7C5"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tcMar>
              <w:top w:w="0" w:type="dxa"/>
              <w:left w:w="20" w:type="dxa"/>
              <w:bottom w:w="0" w:type="dxa"/>
              <w:right w:w="20" w:type="dxa"/>
            </w:tcMar>
          </w:tcPr>
          <w:p w14:paraId="40CB17C6" w14:textId="77777777" w:rsidR="00584FB3" w:rsidRDefault="00584FB3">
            <w:pPr>
              <w:rPr>
                <w:rFonts w:ascii="宋体"/>
              </w:rPr>
            </w:pPr>
          </w:p>
        </w:tc>
        <w:tc>
          <w:tcPr>
            <w:tcW w:w="0" w:type="auto"/>
            <w:gridSpan w:val="3"/>
            <w:vMerge/>
            <w:shd w:val="clear" w:color="auto" w:fill="00704A"/>
            <w:tcMar>
              <w:top w:w="40" w:type="dxa"/>
              <w:left w:w="20" w:type="dxa"/>
              <w:bottom w:w="40" w:type="dxa"/>
              <w:right w:w="20" w:type="dxa"/>
            </w:tcMar>
            <w:vAlign w:val="bottom"/>
          </w:tcPr>
          <w:p w14:paraId="40CB17C7" w14:textId="77777777" w:rsidR="00584FB3" w:rsidRDefault="00584FB3">
            <w:pPr>
              <w:jc w:val="center"/>
              <w:rPr>
                <w:rFonts w:ascii="宋体"/>
              </w:rPr>
            </w:pPr>
          </w:p>
        </w:tc>
      </w:tr>
      <w:tr w:rsidR="00584FB3" w14:paraId="40CB17D4"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40CB17C9" w14:textId="77777777" w:rsidR="00584FB3" w:rsidRDefault="00786180">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tcPr>
          <w:p w14:paraId="40CB17CA"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40CB17CB" w14:textId="77777777" w:rsidR="00584FB3" w:rsidRDefault="00786180">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40CB17CC" w14:textId="77777777" w:rsidR="00584FB3" w:rsidRDefault="00786180">
            <w:pPr>
              <w:jc w:val="right"/>
              <w:textAlignment w:val="top"/>
            </w:pPr>
            <w:r>
              <w:rPr>
                <w:rFonts w:ascii="Times New Roman" w:eastAsia="宋体" w:hAnsi="Times New Roman"/>
                <w:color w:val="000000"/>
                <w:sz w:val="20"/>
                <w:szCs w:val="20"/>
              </w:rPr>
              <w:t>1.5 </w:t>
            </w:r>
          </w:p>
        </w:tc>
        <w:tc>
          <w:tcPr>
            <w:tcW w:w="0" w:type="auto"/>
            <w:tcBorders>
              <w:top w:val="single" w:sz="8" w:space="0" w:color="000000"/>
            </w:tcBorders>
            <w:shd w:val="clear" w:color="auto" w:fill="D7E4BC"/>
            <w:tcMar>
              <w:top w:w="40" w:type="dxa"/>
              <w:left w:w="0" w:type="dxa"/>
              <w:bottom w:w="40" w:type="dxa"/>
              <w:right w:w="20" w:type="dxa"/>
            </w:tcMar>
          </w:tcPr>
          <w:p w14:paraId="40CB17C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7CE"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40CB17CF" w14:textId="77777777" w:rsidR="00584FB3" w:rsidRDefault="00786180">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40CB17D0" w14:textId="77777777" w:rsidR="00584FB3" w:rsidRDefault="00786180">
            <w:pPr>
              <w:jc w:val="right"/>
              <w:textAlignment w:val="top"/>
            </w:pPr>
            <w:r>
              <w:rPr>
                <w:rFonts w:ascii="Times New Roman" w:eastAsia="宋体" w:hAnsi="Times New Roman"/>
                <w:color w:val="000000"/>
                <w:sz w:val="20"/>
                <w:szCs w:val="20"/>
              </w:rPr>
              <w:t>(0.2)</w:t>
            </w:r>
          </w:p>
        </w:tc>
        <w:tc>
          <w:tcPr>
            <w:tcW w:w="0" w:type="auto"/>
            <w:tcBorders>
              <w:top w:val="single" w:sz="8" w:space="0" w:color="000000"/>
            </w:tcBorders>
            <w:shd w:val="clear" w:color="auto" w:fill="D7E4BC"/>
            <w:tcMar>
              <w:top w:w="40" w:type="dxa"/>
              <w:left w:w="0" w:type="dxa"/>
              <w:bottom w:w="40" w:type="dxa"/>
              <w:right w:w="20" w:type="dxa"/>
            </w:tcMar>
          </w:tcPr>
          <w:p w14:paraId="40CB17D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7D2" w14:textId="77777777" w:rsidR="00584FB3" w:rsidRDefault="00584FB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40CB17D3" w14:textId="77777777" w:rsidR="00584FB3" w:rsidRDefault="00786180">
            <w:pPr>
              <w:textAlignment w:val="top"/>
            </w:pPr>
            <w:r>
              <w:rPr>
                <w:rFonts w:ascii="Times New Roman" w:eastAsia="宋体" w:hAnsi="Times New Roman"/>
                <w:color w:val="000000"/>
                <w:sz w:val="20"/>
                <w:szCs w:val="20"/>
              </w:rPr>
              <w:t>Interest income and other, net</w:t>
            </w:r>
          </w:p>
        </w:tc>
      </w:tr>
      <w:tr w:rsidR="00584FB3" w14:paraId="40CB17DE" w14:textId="77777777">
        <w:tc>
          <w:tcPr>
            <w:tcW w:w="0" w:type="auto"/>
            <w:gridSpan w:val="3"/>
            <w:shd w:val="clear" w:color="auto" w:fill="FFFFFF"/>
            <w:tcMar>
              <w:top w:w="40" w:type="dxa"/>
              <w:left w:w="20" w:type="dxa"/>
              <w:bottom w:w="40" w:type="dxa"/>
              <w:right w:w="20" w:type="dxa"/>
            </w:tcMar>
          </w:tcPr>
          <w:p w14:paraId="40CB17D5" w14:textId="77777777" w:rsidR="00584FB3" w:rsidRDefault="00786180">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tcPr>
          <w:p w14:paraId="40CB17D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17D7" w14:textId="77777777" w:rsidR="00584FB3" w:rsidRDefault="00786180">
            <w:pPr>
              <w:jc w:val="right"/>
              <w:textAlignment w:val="top"/>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tcPr>
          <w:p w14:paraId="40CB17D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7D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17DA" w14:textId="77777777" w:rsidR="00584FB3" w:rsidRDefault="00786180">
            <w:pPr>
              <w:jc w:val="right"/>
              <w:textAlignment w:val="top"/>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tcPr>
          <w:p w14:paraId="40CB17D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7DC"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tcPr>
          <w:p w14:paraId="40CB17DD" w14:textId="77777777" w:rsidR="00584FB3" w:rsidRDefault="00786180">
            <w:pPr>
              <w:textAlignment w:val="top"/>
            </w:pPr>
            <w:r>
              <w:rPr>
                <w:rFonts w:ascii="Times New Roman" w:eastAsia="宋体" w:hAnsi="Times New Roman"/>
                <w:color w:val="000000"/>
                <w:sz w:val="20"/>
                <w:szCs w:val="20"/>
              </w:rPr>
              <w:t xml:space="preserve">Please refer to </w:t>
            </w:r>
            <w:hyperlink r:id="rId97" w:anchor="i11706e4b673c41db9f2dcbdb897203bb_43"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Derivative Finan</w:t>
            </w:r>
            <w:r>
              <w:rPr>
                <w:rFonts w:ascii="Times New Roman" w:eastAsia="宋体" w:hAnsi="Times New Roman"/>
                <w:color w:val="000000"/>
                <w:sz w:val="20"/>
                <w:szCs w:val="20"/>
              </w:rPr>
              <w:t xml:space="preserve">cial Instruments for additional information. </w:t>
            </w:r>
          </w:p>
        </w:tc>
      </w:tr>
      <w:tr w:rsidR="00584FB3" w14:paraId="40CB17E8" w14:textId="77777777">
        <w:tc>
          <w:tcPr>
            <w:tcW w:w="0" w:type="auto"/>
            <w:gridSpan w:val="3"/>
            <w:shd w:val="clear" w:color="auto" w:fill="D7E4BC"/>
            <w:tcMar>
              <w:top w:w="40" w:type="dxa"/>
              <w:left w:w="20" w:type="dxa"/>
              <w:bottom w:w="40" w:type="dxa"/>
              <w:right w:w="20" w:type="dxa"/>
            </w:tcMar>
            <w:vAlign w:val="center"/>
          </w:tcPr>
          <w:p w14:paraId="40CB17DF" w14:textId="77777777" w:rsidR="00584FB3" w:rsidRDefault="00786180">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tcPr>
          <w:p w14:paraId="40CB17E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tcPr>
          <w:p w14:paraId="40CB17E1" w14:textId="77777777" w:rsidR="00584FB3" w:rsidRDefault="00786180">
            <w:pPr>
              <w:jc w:val="right"/>
              <w:textAlignment w:val="top"/>
            </w:pPr>
            <w:r>
              <w:rPr>
                <w:rFonts w:ascii="Times New Roman" w:eastAsia="宋体" w:hAnsi="Times New Roman"/>
                <w:color w:val="000000"/>
                <w:sz w:val="20"/>
                <w:szCs w:val="20"/>
              </w:rPr>
              <w:t>3.2 </w:t>
            </w:r>
          </w:p>
        </w:tc>
        <w:tc>
          <w:tcPr>
            <w:tcW w:w="0" w:type="auto"/>
            <w:shd w:val="clear" w:color="auto" w:fill="D7E4BC"/>
            <w:tcMar>
              <w:top w:w="40" w:type="dxa"/>
              <w:left w:w="0" w:type="dxa"/>
              <w:bottom w:w="40" w:type="dxa"/>
              <w:right w:w="20" w:type="dxa"/>
            </w:tcMar>
          </w:tcPr>
          <w:p w14:paraId="40CB17E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7E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tcPr>
          <w:p w14:paraId="40CB17E4" w14:textId="77777777" w:rsidR="00584FB3" w:rsidRDefault="00786180">
            <w:pPr>
              <w:jc w:val="right"/>
              <w:textAlignment w:val="top"/>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tcPr>
          <w:p w14:paraId="40CB17E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7E6"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tcPr>
          <w:p w14:paraId="40CB17E7" w14:textId="77777777" w:rsidR="00584FB3" w:rsidRDefault="00786180">
            <w:pPr>
              <w:textAlignment w:val="top"/>
            </w:pPr>
            <w:r>
              <w:rPr>
                <w:rFonts w:ascii="Times New Roman" w:eastAsia="宋体" w:hAnsi="Times New Roman"/>
                <w:color w:val="000000"/>
                <w:sz w:val="20"/>
                <w:szCs w:val="20"/>
              </w:rPr>
              <w:t>Interest expense</w:t>
            </w:r>
          </w:p>
        </w:tc>
      </w:tr>
      <w:tr w:rsidR="00584FB3" w14:paraId="40CB17F0" w14:textId="77777777">
        <w:trPr>
          <w:hidden/>
        </w:trPr>
        <w:tc>
          <w:tcPr>
            <w:tcW w:w="0" w:type="auto"/>
            <w:gridSpan w:val="3"/>
            <w:shd w:val="clear" w:color="auto" w:fill="auto"/>
          </w:tcPr>
          <w:p w14:paraId="40CB17E9" w14:textId="77777777" w:rsidR="00584FB3" w:rsidRDefault="00584FB3">
            <w:pPr>
              <w:rPr>
                <w:rFonts w:ascii="宋体"/>
                <w:vanish/>
              </w:rPr>
            </w:pPr>
          </w:p>
        </w:tc>
        <w:tc>
          <w:tcPr>
            <w:tcW w:w="0" w:type="auto"/>
            <w:gridSpan w:val="3"/>
            <w:shd w:val="clear" w:color="auto" w:fill="auto"/>
          </w:tcPr>
          <w:p w14:paraId="40CB17EA" w14:textId="77777777" w:rsidR="00584FB3" w:rsidRDefault="00584FB3">
            <w:pPr>
              <w:rPr>
                <w:rFonts w:ascii="宋体"/>
                <w:vanish/>
              </w:rPr>
            </w:pPr>
          </w:p>
        </w:tc>
        <w:tc>
          <w:tcPr>
            <w:tcW w:w="0" w:type="auto"/>
            <w:gridSpan w:val="3"/>
            <w:shd w:val="clear" w:color="auto" w:fill="auto"/>
          </w:tcPr>
          <w:p w14:paraId="40CB17EB" w14:textId="77777777" w:rsidR="00584FB3" w:rsidRDefault="00584FB3">
            <w:pPr>
              <w:rPr>
                <w:rFonts w:ascii="宋体"/>
                <w:vanish/>
              </w:rPr>
            </w:pPr>
          </w:p>
        </w:tc>
        <w:tc>
          <w:tcPr>
            <w:tcW w:w="0" w:type="auto"/>
            <w:gridSpan w:val="3"/>
            <w:shd w:val="clear" w:color="auto" w:fill="auto"/>
          </w:tcPr>
          <w:p w14:paraId="40CB17EC" w14:textId="77777777" w:rsidR="00584FB3" w:rsidRDefault="00584FB3">
            <w:pPr>
              <w:rPr>
                <w:rFonts w:ascii="宋体"/>
                <w:vanish/>
              </w:rPr>
            </w:pPr>
          </w:p>
        </w:tc>
        <w:tc>
          <w:tcPr>
            <w:tcW w:w="0" w:type="auto"/>
            <w:gridSpan w:val="3"/>
            <w:shd w:val="clear" w:color="auto" w:fill="auto"/>
          </w:tcPr>
          <w:p w14:paraId="40CB17ED" w14:textId="77777777" w:rsidR="00584FB3" w:rsidRDefault="00584FB3">
            <w:pPr>
              <w:rPr>
                <w:rFonts w:ascii="宋体"/>
                <w:vanish/>
              </w:rPr>
            </w:pPr>
          </w:p>
        </w:tc>
        <w:tc>
          <w:tcPr>
            <w:tcW w:w="0" w:type="auto"/>
            <w:gridSpan w:val="3"/>
            <w:shd w:val="clear" w:color="auto" w:fill="auto"/>
          </w:tcPr>
          <w:p w14:paraId="40CB17EE" w14:textId="77777777" w:rsidR="00584FB3" w:rsidRDefault="00584FB3">
            <w:pPr>
              <w:rPr>
                <w:rFonts w:ascii="宋体"/>
                <w:vanish/>
              </w:rPr>
            </w:pPr>
          </w:p>
        </w:tc>
        <w:tc>
          <w:tcPr>
            <w:tcW w:w="0" w:type="auto"/>
            <w:gridSpan w:val="3"/>
            <w:shd w:val="clear" w:color="auto" w:fill="auto"/>
          </w:tcPr>
          <w:p w14:paraId="40CB17EF" w14:textId="77777777" w:rsidR="00584FB3" w:rsidRDefault="00584FB3">
            <w:pPr>
              <w:rPr>
                <w:rFonts w:ascii="宋体"/>
                <w:vanish/>
              </w:rPr>
            </w:pPr>
          </w:p>
        </w:tc>
      </w:tr>
      <w:tr w:rsidR="00584FB3" w14:paraId="40CB17F8" w14:textId="77777777">
        <w:trPr>
          <w:hidden/>
        </w:trPr>
        <w:tc>
          <w:tcPr>
            <w:tcW w:w="0" w:type="auto"/>
            <w:gridSpan w:val="3"/>
            <w:shd w:val="clear" w:color="auto" w:fill="auto"/>
          </w:tcPr>
          <w:p w14:paraId="40CB17F1" w14:textId="77777777" w:rsidR="00584FB3" w:rsidRDefault="00584FB3">
            <w:pPr>
              <w:rPr>
                <w:rFonts w:ascii="宋体"/>
                <w:vanish/>
              </w:rPr>
            </w:pPr>
          </w:p>
        </w:tc>
        <w:tc>
          <w:tcPr>
            <w:tcW w:w="0" w:type="auto"/>
            <w:gridSpan w:val="3"/>
            <w:shd w:val="clear" w:color="auto" w:fill="auto"/>
          </w:tcPr>
          <w:p w14:paraId="40CB17F2" w14:textId="77777777" w:rsidR="00584FB3" w:rsidRDefault="00584FB3">
            <w:pPr>
              <w:rPr>
                <w:rFonts w:ascii="宋体"/>
                <w:vanish/>
              </w:rPr>
            </w:pPr>
          </w:p>
        </w:tc>
        <w:tc>
          <w:tcPr>
            <w:tcW w:w="0" w:type="auto"/>
            <w:gridSpan w:val="3"/>
            <w:shd w:val="clear" w:color="auto" w:fill="auto"/>
          </w:tcPr>
          <w:p w14:paraId="40CB17F3" w14:textId="77777777" w:rsidR="00584FB3" w:rsidRDefault="00584FB3">
            <w:pPr>
              <w:rPr>
                <w:rFonts w:ascii="宋体"/>
                <w:vanish/>
              </w:rPr>
            </w:pPr>
          </w:p>
        </w:tc>
        <w:tc>
          <w:tcPr>
            <w:tcW w:w="0" w:type="auto"/>
            <w:gridSpan w:val="3"/>
            <w:shd w:val="clear" w:color="auto" w:fill="auto"/>
          </w:tcPr>
          <w:p w14:paraId="40CB17F4" w14:textId="77777777" w:rsidR="00584FB3" w:rsidRDefault="00584FB3">
            <w:pPr>
              <w:rPr>
                <w:rFonts w:ascii="宋体"/>
                <w:vanish/>
              </w:rPr>
            </w:pPr>
          </w:p>
        </w:tc>
        <w:tc>
          <w:tcPr>
            <w:tcW w:w="0" w:type="auto"/>
            <w:gridSpan w:val="3"/>
            <w:shd w:val="clear" w:color="auto" w:fill="auto"/>
          </w:tcPr>
          <w:p w14:paraId="40CB17F5" w14:textId="77777777" w:rsidR="00584FB3" w:rsidRDefault="00584FB3">
            <w:pPr>
              <w:rPr>
                <w:rFonts w:ascii="宋体"/>
                <w:vanish/>
              </w:rPr>
            </w:pPr>
          </w:p>
        </w:tc>
        <w:tc>
          <w:tcPr>
            <w:tcW w:w="0" w:type="auto"/>
            <w:gridSpan w:val="3"/>
            <w:shd w:val="clear" w:color="auto" w:fill="auto"/>
          </w:tcPr>
          <w:p w14:paraId="40CB17F6" w14:textId="77777777" w:rsidR="00584FB3" w:rsidRDefault="00584FB3">
            <w:pPr>
              <w:rPr>
                <w:rFonts w:ascii="宋体"/>
                <w:vanish/>
              </w:rPr>
            </w:pPr>
          </w:p>
        </w:tc>
        <w:tc>
          <w:tcPr>
            <w:tcW w:w="0" w:type="auto"/>
            <w:gridSpan w:val="3"/>
            <w:shd w:val="clear" w:color="auto" w:fill="auto"/>
          </w:tcPr>
          <w:p w14:paraId="40CB17F7" w14:textId="77777777" w:rsidR="00584FB3" w:rsidRDefault="00584FB3">
            <w:pPr>
              <w:rPr>
                <w:rFonts w:ascii="宋体"/>
                <w:vanish/>
              </w:rPr>
            </w:pPr>
          </w:p>
        </w:tc>
      </w:tr>
      <w:tr w:rsidR="00584FB3" w14:paraId="40CB1802" w14:textId="77777777">
        <w:tc>
          <w:tcPr>
            <w:tcW w:w="0" w:type="auto"/>
            <w:gridSpan w:val="3"/>
            <w:shd w:val="clear" w:color="auto" w:fill="FFFFFF"/>
            <w:tcMar>
              <w:top w:w="0" w:type="dxa"/>
              <w:left w:w="20" w:type="dxa"/>
              <w:bottom w:w="0" w:type="dxa"/>
              <w:right w:w="20" w:type="dxa"/>
            </w:tcMar>
          </w:tcPr>
          <w:p w14:paraId="40CB17F9"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7FA"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40CB17FB" w14:textId="77777777" w:rsidR="00584FB3" w:rsidRDefault="00786180">
            <w:pPr>
              <w:jc w:val="right"/>
              <w:textAlignment w:val="top"/>
            </w:pPr>
            <w:r>
              <w:rPr>
                <w:rFonts w:ascii="Times New Roman" w:eastAsia="宋体" w:hAnsi="Times New Roman"/>
                <w:color w:val="000000"/>
                <w:sz w:val="20"/>
                <w:szCs w:val="20"/>
              </w:rPr>
              <w:t>3.6 </w:t>
            </w:r>
          </w:p>
        </w:tc>
        <w:tc>
          <w:tcPr>
            <w:tcW w:w="0" w:type="auto"/>
            <w:tcBorders>
              <w:top w:val="single" w:sz="8" w:space="0" w:color="000000"/>
            </w:tcBorders>
            <w:shd w:val="clear" w:color="auto" w:fill="FFFFFF"/>
            <w:tcMar>
              <w:top w:w="40" w:type="dxa"/>
              <w:left w:w="0" w:type="dxa"/>
              <w:bottom w:w="40" w:type="dxa"/>
              <w:right w:w="20" w:type="dxa"/>
            </w:tcMar>
          </w:tcPr>
          <w:p w14:paraId="40CB17F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7FD"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40CB17FE" w14:textId="77777777" w:rsidR="00584FB3" w:rsidRDefault="00786180">
            <w:pPr>
              <w:jc w:val="right"/>
              <w:textAlignment w:val="top"/>
            </w:pPr>
            <w:r>
              <w:rPr>
                <w:rFonts w:ascii="Times New Roman" w:eastAsia="宋体" w:hAnsi="Times New Roman"/>
                <w:color w:val="000000"/>
                <w:sz w:val="20"/>
                <w:szCs w:val="20"/>
              </w:rPr>
              <w:t>10.7 </w:t>
            </w:r>
          </w:p>
        </w:tc>
        <w:tc>
          <w:tcPr>
            <w:tcW w:w="0" w:type="auto"/>
            <w:tcBorders>
              <w:top w:val="single" w:sz="8" w:space="0" w:color="000000"/>
            </w:tcBorders>
            <w:shd w:val="clear" w:color="auto" w:fill="FFFFFF"/>
            <w:tcMar>
              <w:top w:w="40" w:type="dxa"/>
              <w:left w:w="0" w:type="dxa"/>
              <w:bottom w:w="40" w:type="dxa"/>
              <w:right w:w="20" w:type="dxa"/>
            </w:tcMar>
          </w:tcPr>
          <w:p w14:paraId="40CB17F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800"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tcPr>
          <w:p w14:paraId="40CB1801" w14:textId="77777777" w:rsidR="00584FB3" w:rsidRDefault="00786180">
            <w:pPr>
              <w:textAlignment w:val="top"/>
            </w:pPr>
            <w:r>
              <w:rPr>
                <w:rFonts w:ascii="Times New Roman" w:eastAsia="宋体" w:hAnsi="Times New Roman"/>
                <w:color w:val="000000"/>
                <w:sz w:val="20"/>
                <w:szCs w:val="20"/>
              </w:rPr>
              <w:t>Total before tax</w:t>
            </w:r>
          </w:p>
        </w:tc>
      </w:tr>
      <w:tr w:rsidR="00584FB3" w14:paraId="40CB180C" w14:textId="77777777">
        <w:tc>
          <w:tcPr>
            <w:tcW w:w="0" w:type="auto"/>
            <w:gridSpan w:val="3"/>
            <w:shd w:val="clear" w:color="auto" w:fill="D7E4BC"/>
            <w:tcMar>
              <w:top w:w="0" w:type="dxa"/>
              <w:left w:w="20" w:type="dxa"/>
              <w:bottom w:w="0" w:type="dxa"/>
              <w:right w:w="20" w:type="dxa"/>
            </w:tcMar>
          </w:tcPr>
          <w:p w14:paraId="40CB180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80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1805" w14:textId="77777777" w:rsidR="00584FB3" w:rsidRDefault="00786180">
            <w:pPr>
              <w:jc w:val="right"/>
              <w:textAlignment w:val="center"/>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center"/>
          </w:tcPr>
          <w:p w14:paraId="40CB180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80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1808" w14:textId="77777777" w:rsidR="00584FB3" w:rsidRDefault="00786180">
            <w:pPr>
              <w:jc w:val="right"/>
              <w:textAlignment w:val="center"/>
            </w:pPr>
            <w:r>
              <w:rPr>
                <w:rFonts w:ascii="Times New Roman" w:eastAsia="宋体" w:hAnsi="Times New Roman"/>
                <w:color w:val="000000"/>
                <w:sz w:val="20"/>
                <w:szCs w:val="20"/>
              </w:rPr>
              <w:t>(2.3)</w:t>
            </w:r>
          </w:p>
        </w:tc>
        <w:tc>
          <w:tcPr>
            <w:tcW w:w="0" w:type="auto"/>
            <w:shd w:val="clear" w:color="auto" w:fill="D7E4BC"/>
            <w:tcMar>
              <w:top w:w="40" w:type="dxa"/>
              <w:left w:w="0" w:type="dxa"/>
              <w:bottom w:w="40" w:type="dxa"/>
              <w:right w:w="20" w:type="dxa"/>
            </w:tcMar>
            <w:vAlign w:val="center"/>
          </w:tcPr>
          <w:p w14:paraId="40CB180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80A"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tcPr>
          <w:p w14:paraId="40CB180B" w14:textId="77777777" w:rsidR="00584FB3" w:rsidRDefault="00786180">
            <w:pPr>
              <w:textAlignment w:val="top"/>
            </w:pPr>
            <w:r>
              <w:rPr>
                <w:rFonts w:ascii="Times New Roman" w:eastAsia="宋体" w:hAnsi="Times New Roman"/>
                <w:color w:val="000000"/>
                <w:sz w:val="20"/>
                <w:szCs w:val="20"/>
              </w:rPr>
              <w:t>Tax (expense)/benefit</w:t>
            </w:r>
          </w:p>
        </w:tc>
      </w:tr>
      <w:tr w:rsidR="00584FB3" w14:paraId="40CB1818" w14:textId="77777777">
        <w:tc>
          <w:tcPr>
            <w:tcW w:w="0" w:type="auto"/>
            <w:gridSpan w:val="3"/>
            <w:shd w:val="clear" w:color="auto" w:fill="FFFFFF"/>
            <w:tcMar>
              <w:top w:w="0" w:type="dxa"/>
              <w:left w:w="20" w:type="dxa"/>
              <w:bottom w:w="0" w:type="dxa"/>
              <w:right w:w="20" w:type="dxa"/>
            </w:tcMar>
          </w:tcPr>
          <w:p w14:paraId="40CB180D"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80E"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40CB180F" w14:textId="77777777" w:rsidR="00584FB3" w:rsidRDefault="00786180">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40CB1810" w14:textId="77777777" w:rsidR="00584FB3" w:rsidRDefault="00786180">
            <w:pPr>
              <w:jc w:val="right"/>
              <w:textAlignment w:val="top"/>
            </w:pPr>
            <w:r>
              <w:rPr>
                <w:rFonts w:ascii="Times New Roman" w:eastAsia="宋体" w:hAnsi="Times New Roman"/>
                <w:color w:val="000000"/>
                <w:sz w:val="20"/>
                <w:szCs w:val="20"/>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40CB181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812"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40CB1813" w14:textId="77777777" w:rsidR="00584FB3" w:rsidRDefault="00786180">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40CB1814" w14:textId="77777777" w:rsidR="00584FB3" w:rsidRDefault="00786180">
            <w:pPr>
              <w:jc w:val="right"/>
              <w:textAlignment w:val="top"/>
            </w:pPr>
            <w:r>
              <w:rPr>
                <w:rFonts w:ascii="Times New Roman" w:eastAsia="宋体" w:hAnsi="Times New Roman"/>
                <w:color w:val="000000"/>
                <w:sz w:val="20"/>
                <w:szCs w:val="20"/>
              </w:rPr>
              <w:t>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40CB181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816"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tcPr>
          <w:p w14:paraId="40CB1817" w14:textId="77777777" w:rsidR="00584FB3" w:rsidRDefault="00786180">
            <w:pPr>
              <w:textAlignment w:val="top"/>
            </w:pPr>
            <w:r>
              <w:rPr>
                <w:rFonts w:ascii="Times New Roman" w:eastAsia="宋体" w:hAnsi="Times New Roman"/>
                <w:color w:val="000000"/>
                <w:sz w:val="20"/>
                <w:szCs w:val="20"/>
              </w:rPr>
              <w:t>Net of tax</w:t>
            </w:r>
          </w:p>
        </w:tc>
      </w:tr>
      <w:tr w:rsidR="00584FB3" w14:paraId="40CB182C" w14:textId="77777777">
        <w:trPr>
          <w:hidden/>
        </w:trPr>
        <w:tc>
          <w:tcPr>
            <w:tcW w:w="0" w:type="auto"/>
            <w:gridSpan w:val="3"/>
            <w:shd w:val="clear" w:color="auto" w:fill="auto"/>
          </w:tcPr>
          <w:p w14:paraId="40CB1819" w14:textId="77777777" w:rsidR="00584FB3" w:rsidRDefault="00584FB3">
            <w:pPr>
              <w:rPr>
                <w:rFonts w:ascii="宋体"/>
                <w:vanish/>
              </w:rPr>
            </w:pPr>
          </w:p>
        </w:tc>
        <w:tc>
          <w:tcPr>
            <w:tcW w:w="0" w:type="auto"/>
            <w:shd w:val="clear" w:color="auto" w:fill="auto"/>
          </w:tcPr>
          <w:p w14:paraId="40CB181A" w14:textId="77777777" w:rsidR="00584FB3" w:rsidRDefault="00584FB3">
            <w:pPr>
              <w:rPr>
                <w:rFonts w:ascii="宋体"/>
              </w:rPr>
            </w:pPr>
          </w:p>
        </w:tc>
        <w:tc>
          <w:tcPr>
            <w:tcW w:w="0" w:type="auto"/>
            <w:shd w:val="clear" w:color="auto" w:fill="auto"/>
          </w:tcPr>
          <w:p w14:paraId="40CB181B" w14:textId="77777777" w:rsidR="00584FB3" w:rsidRDefault="00584FB3">
            <w:pPr>
              <w:rPr>
                <w:rFonts w:ascii="宋体"/>
              </w:rPr>
            </w:pPr>
          </w:p>
        </w:tc>
        <w:tc>
          <w:tcPr>
            <w:tcW w:w="0" w:type="auto"/>
            <w:shd w:val="clear" w:color="auto" w:fill="auto"/>
          </w:tcPr>
          <w:p w14:paraId="40CB181C" w14:textId="77777777" w:rsidR="00584FB3" w:rsidRDefault="00584FB3">
            <w:pPr>
              <w:rPr>
                <w:rFonts w:ascii="宋体"/>
              </w:rPr>
            </w:pPr>
          </w:p>
        </w:tc>
        <w:tc>
          <w:tcPr>
            <w:tcW w:w="0" w:type="auto"/>
            <w:shd w:val="clear" w:color="auto" w:fill="auto"/>
          </w:tcPr>
          <w:p w14:paraId="40CB181D" w14:textId="77777777" w:rsidR="00584FB3" w:rsidRDefault="00584FB3">
            <w:pPr>
              <w:rPr>
                <w:rFonts w:ascii="宋体"/>
              </w:rPr>
            </w:pPr>
          </w:p>
        </w:tc>
        <w:tc>
          <w:tcPr>
            <w:tcW w:w="0" w:type="auto"/>
            <w:shd w:val="clear" w:color="auto" w:fill="auto"/>
          </w:tcPr>
          <w:p w14:paraId="40CB181E" w14:textId="77777777" w:rsidR="00584FB3" w:rsidRDefault="00584FB3">
            <w:pPr>
              <w:rPr>
                <w:rFonts w:ascii="宋体"/>
              </w:rPr>
            </w:pPr>
          </w:p>
        </w:tc>
        <w:tc>
          <w:tcPr>
            <w:tcW w:w="0" w:type="auto"/>
            <w:shd w:val="clear" w:color="auto" w:fill="auto"/>
          </w:tcPr>
          <w:p w14:paraId="40CB181F" w14:textId="77777777" w:rsidR="00584FB3" w:rsidRDefault="00584FB3">
            <w:pPr>
              <w:rPr>
                <w:rFonts w:ascii="宋体"/>
              </w:rPr>
            </w:pPr>
          </w:p>
        </w:tc>
        <w:tc>
          <w:tcPr>
            <w:tcW w:w="0" w:type="auto"/>
            <w:shd w:val="clear" w:color="auto" w:fill="auto"/>
          </w:tcPr>
          <w:p w14:paraId="40CB1820" w14:textId="77777777" w:rsidR="00584FB3" w:rsidRDefault="00584FB3">
            <w:pPr>
              <w:rPr>
                <w:rFonts w:ascii="宋体"/>
              </w:rPr>
            </w:pPr>
          </w:p>
        </w:tc>
        <w:tc>
          <w:tcPr>
            <w:tcW w:w="0" w:type="auto"/>
            <w:shd w:val="clear" w:color="auto" w:fill="auto"/>
          </w:tcPr>
          <w:p w14:paraId="40CB1821" w14:textId="77777777" w:rsidR="00584FB3" w:rsidRDefault="00584FB3">
            <w:pPr>
              <w:rPr>
                <w:rFonts w:ascii="宋体"/>
              </w:rPr>
            </w:pPr>
          </w:p>
        </w:tc>
        <w:tc>
          <w:tcPr>
            <w:tcW w:w="0" w:type="auto"/>
            <w:shd w:val="clear" w:color="auto" w:fill="auto"/>
          </w:tcPr>
          <w:p w14:paraId="40CB1822" w14:textId="77777777" w:rsidR="00584FB3" w:rsidRDefault="00584FB3">
            <w:pPr>
              <w:rPr>
                <w:rFonts w:ascii="宋体"/>
              </w:rPr>
            </w:pPr>
          </w:p>
        </w:tc>
        <w:tc>
          <w:tcPr>
            <w:tcW w:w="0" w:type="auto"/>
            <w:shd w:val="clear" w:color="auto" w:fill="auto"/>
          </w:tcPr>
          <w:p w14:paraId="40CB1823" w14:textId="77777777" w:rsidR="00584FB3" w:rsidRDefault="00584FB3">
            <w:pPr>
              <w:rPr>
                <w:rFonts w:ascii="宋体"/>
              </w:rPr>
            </w:pPr>
          </w:p>
        </w:tc>
        <w:tc>
          <w:tcPr>
            <w:tcW w:w="0" w:type="auto"/>
            <w:shd w:val="clear" w:color="auto" w:fill="auto"/>
          </w:tcPr>
          <w:p w14:paraId="40CB1824" w14:textId="77777777" w:rsidR="00584FB3" w:rsidRDefault="00584FB3">
            <w:pPr>
              <w:rPr>
                <w:rFonts w:ascii="宋体"/>
              </w:rPr>
            </w:pPr>
          </w:p>
        </w:tc>
        <w:tc>
          <w:tcPr>
            <w:tcW w:w="0" w:type="auto"/>
            <w:shd w:val="clear" w:color="auto" w:fill="auto"/>
          </w:tcPr>
          <w:p w14:paraId="40CB1825" w14:textId="77777777" w:rsidR="00584FB3" w:rsidRDefault="00584FB3">
            <w:pPr>
              <w:rPr>
                <w:rFonts w:ascii="宋体"/>
              </w:rPr>
            </w:pPr>
          </w:p>
        </w:tc>
        <w:tc>
          <w:tcPr>
            <w:tcW w:w="0" w:type="auto"/>
            <w:shd w:val="clear" w:color="auto" w:fill="auto"/>
          </w:tcPr>
          <w:p w14:paraId="40CB1826" w14:textId="77777777" w:rsidR="00584FB3" w:rsidRDefault="00584FB3">
            <w:pPr>
              <w:rPr>
                <w:rFonts w:ascii="宋体"/>
              </w:rPr>
            </w:pPr>
          </w:p>
        </w:tc>
        <w:tc>
          <w:tcPr>
            <w:tcW w:w="0" w:type="auto"/>
            <w:shd w:val="clear" w:color="auto" w:fill="auto"/>
          </w:tcPr>
          <w:p w14:paraId="40CB1827" w14:textId="77777777" w:rsidR="00584FB3" w:rsidRDefault="00584FB3">
            <w:pPr>
              <w:rPr>
                <w:rFonts w:ascii="宋体"/>
              </w:rPr>
            </w:pPr>
          </w:p>
        </w:tc>
        <w:tc>
          <w:tcPr>
            <w:tcW w:w="0" w:type="auto"/>
            <w:shd w:val="clear" w:color="auto" w:fill="auto"/>
          </w:tcPr>
          <w:p w14:paraId="40CB1828" w14:textId="77777777" w:rsidR="00584FB3" w:rsidRDefault="00584FB3">
            <w:pPr>
              <w:rPr>
                <w:rFonts w:ascii="宋体"/>
              </w:rPr>
            </w:pPr>
          </w:p>
        </w:tc>
        <w:tc>
          <w:tcPr>
            <w:tcW w:w="0" w:type="auto"/>
            <w:shd w:val="clear" w:color="auto" w:fill="auto"/>
          </w:tcPr>
          <w:p w14:paraId="40CB1829" w14:textId="77777777" w:rsidR="00584FB3" w:rsidRDefault="00584FB3">
            <w:pPr>
              <w:rPr>
                <w:rFonts w:ascii="宋体"/>
              </w:rPr>
            </w:pPr>
          </w:p>
        </w:tc>
        <w:tc>
          <w:tcPr>
            <w:tcW w:w="0" w:type="auto"/>
            <w:shd w:val="clear" w:color="auto" w:fill="auto"/>
          </w:tcPr>
          <w:p w14:paraId="40CB182A" w14:textId="77777777" w:rsidR="00584FB3" w:rsidRDefault="00584FB3">
            <w:pPr>
              <w:rPr>
                <w:rFonts w:ascii="宋体"/>
              </w:rPr>
            </w:pPr>
          </w:p>
        </w:tc>
        <w:tc>
          <w:tcPr>
            <w:tcW w:w="0" w:type="auto"/>
            <w:shd w:val="clear" w:color="auto" w:fill="auto"/>
          </w:tcPr>
          <w:p w14:paraId="40CB182B" w14:textId="77777777" w:rsidR="00584FB3" w:rsidRDefault="00584FB3">
            <w:pPr>
              <w:rPr>
                <w:rFonts w:ascii="宋体"/>
              </w:rPr>
            </w:pPr>
          </w:p>
        </w:tc>
      </w:tr>
      <w:tr w:rsidR="00584FB3" w14:paraId="40CB1834" w14:textId="77777777">
        <w:trPr>
          <w:hidden/>
        </w:trPr>
        <w:tc>
          <w:tcPr>
            <w:tcW w:w="0" w:type="auto"/>
            <w:gridSpan w:val="3"/>
            <w:shd w:val="clear" w:color="auto" w:fill="auto"/>
          </w:tcPr>
          <w:p w14:paraId="40CB182D" w14:textId="77777777" w:rsidR="00584FB3" w:rsidRDefault="00584FB3">
            <w:pPr>
              <w:rPr>
                <w:rFonts w:ascii="宋体"/>
                <w:vanish/>
              </w:rPr>
            </w:pPr>
          </w:p>
        </w:tc>
        <w:tc>
          <w:tcPr>
            <w:tcW w:w="0" w:type="auto"/>
            <w:gridSpan w:val="3"/>
            <w:shd w:val="clear" w:color="auto" w:fill="auto"/>
          </w:tcPr>
          <w:p w14:paraId="40CB182E" w14:textId="77777777" w:rsidR="00584FB3" w:rsidRDefault="00584FB3">
            <w:pPr>
              <w:rPr>
                <w:rFonts w:ascii="宋体"/>
                <w:vanish/>
              </w:rPr>
            </w:pPr>
          </w:p>
        </w:tc>
        <w:tc>
          <w:tcPr>
            <w:tcW w:w="0" w:type="auto"/>
            <w:gridSpan w:val="3"/>
            <w:shd w:val="clear" w:color="auto" w:fill="auto"/>
          </w:tcPr>
          <w:p w14:paraId="40CB182F" w14:textId="77777777" w:rsidR="00584FB3" w:rsidRDefault="00584FB3">
            <w:pPr>
              <w:rPr>
                <w:rFonts w:ascii="宋体"/>
                <w:vanish/>
              </w:rPr>
            </w:pPr>
          </w:p>
        </w:tc>
        <w:tc>
          <w:tcPr>
            <w:tcW w:w="0" w:type="auto"/>
            <w:gridSpan w:val="3"/>
            <w:shd w:val="clear" w:color="auto" w:fill="auto"/>
          </w:tcPr>
          <w:p w14:paraId="40CB1830" w14:textId="77777777" w:rsidR="00584FB3" w:rsidRDefault="00584FB3">
            <w:pPr>
              <w:rPr>
                <w:rFonts w:ascii="宋体"/>
                <w:vanish/>
              </w:rPr>
            </w:pPr>
          </w:p>
        </w:tc>
        <w:tc>
          <w:tcPr>
            <w:tcW w:w="0" w:type="auto"/>
            <w:gridSpan w:val="3"/>
            <w:shd w:val="clear" w:color="auto" w:fill="auto"/>
          </w:tcPr>
          <w:p w14:paraId="40CB1831" w14:textId="77777777" w:rsidR="00584FB3" w:rsidRDefault="00584FB3">
            <w:pPr>
              <w:rPr>
                <w:rFonts w:ascii="宋体"/>
                <w:vanish/>
              </w:rPr>
            </w:pPr>
          </w:p>
        </w:tc>
        <w:tc>
          <w:tcPr>
            <w:tcW w:w="0" w:type="auto"/>
            <w:gridSpan w:val="3"/>
            <w:shd w:val="clear" w:color="auto" w:fill="auto"/>
          </w:tcPr>
          <w:p w14:paraId="40CB1832" w14:textId="77777777" w:rsidR="00584FB3" w:rsidRDefault="00584FB3">
            <w:pPr>
              <w:rPr>
                <w:rFonts w:ascii="宋体"/>
                <w:vanish/>
              </w:rPr>
            </w:pPr>
          </w:p>
        </w:tc>
        <w:tc>
          <w:tcPr>
            <w:tcW w:w="0" w:type="auto"/>
            <w:gridSpan w:val="3"/>
            <w:shd w:val="clear" w:color="auto" w:fill="auto"/>
          </w:tcPr>
          <w:p w14:paraId="40CB1833" w14:textId="77777777" w:rsidR="00584FB3" w:rsidRDefault="00584FB3">
            <w:pPr>
              <w:rPr>
                <w:rFonts w:ascii="宋体"/>
                <w:vanish/>
              </w:rPr>
            </w:pPr>
          </w:p>
        </w:tc>
      </w:tr>
      <w:tr w:rsidR="00584FB3" w14:paraId="40CB183C" w14:textId="77777777">
        <w:trPr>
          <w:hidden/>
        </w:trPr>
        <w:tc>
          <w:tcPr>
            <w:tcW w:w="0" w:type="auto"/>
            <w:gridSpan w:val="3"/>
            <w:shd w:val="clear" w:color="auto" w:fill="auto"/>
          </w:tcPr>
          <w:p w14:paraId="40CB1835" w14:textId="77777777" w:rsidR="00584FB3" w:rsidRDefault="00584FB3">
            <w:pPr>
              <w:rPr>
                <w:rFonts w:ascii="宋体"/>
                <w:vanish/>
              </w:rPr>
            </w:pPr>
          </w:p>
        </w:tc>
        <w:tc>
          <w:tcPr>
            <w:tcW w:w="0" w:type="auto"/>
            <w:gridSpan w:val="3"/>
            <w:shd w:val="clear" w:color="auto" w:fill="auto"/>
          </w:tcPr>
          <w:p w14:paraId="40CB1836" w14:textId="77777777" w:rsidR="00584FB3" w:rsidRDefault="00584FB3">
            <w:pPr>
              <w:rPr>
                <w:rFonts w:ascii="宋体"/>
                <w:vanish/>
              </w:rPr>
            </w:pPr>
          </w:p>
        </w:tc>
        <w:tc>
          <w:tcPr>
            <w:tcW w:w="0" w:type="auto"/>
            <w:gridSpan w:val="3"/>
            <w:shd w:val="clear" w:color="auto" w:fill="auto"/>
          </w:tcPr>
          <w:p w14:paraId="40CB1837" w14:textId="77777777" w:rsidR="00584FB3" w:rsidRDefault="00584FB3">
            <w:pPr>
              <w:rPr>
                <w:rFonts w:ascii="宋体"/>
                <w:vanish/>
              </w:rPr>
            </w:pPr>
          </w:p>
        </w:tc>
        <w:tc>
          <w:tcPr>
            <w:tcW w:w="0" w:type="auto"/>
            <w:gridSpan w:val="3"/>
            <w:shd w:val="clear" w:color="auto" w:fill="auto"/>
          </w:tcPr>
          <w:p w14:paraId="40CB1838" w14:textId="77777777" w:rsidR="00584FB3" w:rsidRDefault="00584FB3">
            <w:pPr>
              <w:rPr>
                <w:rFonts w:ascii="宋体"/>
                <w:vanish/>
              </w:rPr>
            </w:pPr>
          </w:p>
        </w:tc>
        <w:tc>
          <w:tcPr>
            <w:tcW w:w="0" w:type="auto"/>
            <w:gridSpan w:val="3"/>
            <w:shd w:val="clear" w:color="auto" w:fill="auto"/>
          </w:tcPr>
          <w:p w14:paraId="40CB1839" w14:textId="77777777" w:rsidR="00584FB3" w:rsidRDefault="00584FB3">
            <w:pPr>
              <w:rPr>
                <w:rFonts w:ascii="宋体"/>
                <w:vanish/>
              </w:rPr>
            </w:pPr>
          </w:p>
        </w:tc>
        <w:tc>
          <w:tcPr>
            <w:tcW w:w="0" w:type="auto"/>
            <w:gridSpan w:val="3"/>
            <w:shd w:val="clear" w:color="auto" w:fill="auto"/>
          </w:tcPr>
          <w:p w14:paraId="40CB183A" w14:textId="77777777" w:rsidR="00584FB3" w:rsidRDefault="00584FB3">
            <w:pPr>
              <w:rPr>
                <w:rFonts w:ascii="宋体"/>
                <w:vanish/>
              </w:rPr>
            </w:pPr>
          </w:p>
        </w:tc>
        <w:tc>
          <w:tcPr>
            <w:tcW w:w="0" w:type="auto"/>
            <w:gridSpan w:val="3"/>
            <w:shd w:val="clear" w:color="auto" w:fill="auto"/>
          </w:tcPr>
          <w:p w14:paraId="40CB183B" w14:textId="77777777" w:rsidR="00584FB3" w:rsidRDefault="00584FB3">
            <w:pPr>
              <w:rPr>
                <w:rFonts w:ascii="宋体"/>
                <w:vanish/>
              </w:rPr>
            </w:pPr>
          </w:p>
        </w:tc>
      </w:tr>
      <w:tr w:rsidR="00584FB3" w14:paraId="40CB1844" w14:textId="77777777">
        <w:trPr>
          <w:hidden/>
        </w:trPr>
        <w:tc>
          <w:tcPr>
            <w:tcW w:w="0" w:type="auto"/>
            <w:gridSpan w:val="3"/>
            <w:shd w:val="clear" w:color="auto" w:fill="auto"/>
          </w:tcPr>
          <w:p w14:paraId="40CB183D" w14:textId="77777777" w:rsidR="00584FB3" w:rsidRDefault="00584FB3">
            <w:pPr>
              <w:rPr>
                <w:rFonts w:ascii="宋体"/>
                <w:vanish/>
              </w:rPr>
            </w:pPr>
          </w:p>
        </w:tc>
        <w:tc>
          <w:tcPr>
            <w:tcW w:w="0" w:type="auto"/>
            <w:gridSpan w:val="3"/>
            <w:shd w:val="clear" w:color="auto" w:fill="auto"/>
          </w:tcPr>
          <w:p w14:paraId="40CB183E" w14:textId="77777777" w:rsidR="00584FB3" w:rsidRDefault="00584FB3">
            <w:pPr>
              <w:rPr>
                <w:rFonts w:ascii="宋体"/>
                <w:vanish/>
              </w:rPr>
            </w:pPr>
          </w:p>
        </w:tc>
        <w:tc>
          <w:tcPr>
            <w:tcW w:w="0" w:type="auto"/>
            <w:gridSpan w:val="3"/>
            <w:shd w:val="clear" w:color="auto" w:fill="auto"/>
          </w:tcPr>
          <w:p w14:paraId="40CB183F" w14:textId="77777777" w:rsidR="00584FB3" w:rsidRDefault="00584FB3">
            <w:pPr>
              <w:rPr>
                <w:rFonts w:ascii="宋体"/>
                <w:vanish/>
              </w:rPr>
            </w:pPr>
          </w:p>
        </w:tc>
        <w:tc>
          <w:tcPr>
            <w:tcW w:w="0" w:type="auto"/>
            <w:gridSpan w:val="3"/>
            <w:shd w:val="clear" w:color="auto" w:fill="auto"/>
          </w:tcPr>
          <w:p w14:paraId="40CB1840" w14:textId="77777777" w:rsidR="00584FB3" w:rsidRDefault="00584FB3">
            <w:pPr>
              <w:rPr>
                <w:rFonts w:ascii="宋体"/>
                <w:vanish/>
              </w:rPr>
            </w:pPr>
          </w:p>
        </w:tc>
        <w:tc>
          <w:tcPr>
            <w:tcW w:w="0" w:type="auto"/>
            <w:gridSpan w:val="3"/>
            <w:shd w:val="clear" w:color="auto" w:fill="auto"/>
          </w:tcPr>
          <w:p w14:paraId="40CB1841" w14:textId="77777777" w:rsidR="00584FB3" w:rsidRDefault="00584FB3">
            <w:pPr>
              <w:rPr>
                <w:rFonts w:ascii="宋体"/>
                <w:vanish/>
              </w:rPr>
            </w:pPr>
          </w:p>
        </w:tc>
        <w:tc>
          <w:tcPr>
            <w:tcW w:w="0" w:type="auto"/>
            <w:gridSpan w:val="3"/>
            <w:shd w:val="clear" w:color="auto" w:fill="auto"/>
          </w:tcPr>
          <w:p w14:paraId="40CB1842" w14:textId="77777777" w:rsidR="00584FB3" w:rsidRDefault="00584FB3">
            <w:pPr>
              <w:rPr>
                <w:rFonts w:ascii="宋体"/>
                <w:vanish/>
              </w:rPr>
            </w:pPr>
          </w:p>
        </w:tc>
        <w:tc>
          <w:tcPr>
            <w:tcW w:w="0" w:type="auto"/>
            <w:gridSpan w:val="3"/>
            <w:shd w:val="clear" w:color="auto" w:fill="auto"/>
          </w:tcPr>
          <w:p w14:paraId="40CB1843" w14:textId="77777777" w:rsidR="00584FB3" w:rsidRDefault="00584FB3">
            <w:pPr>
              <w:rPr>
                <w:rFonts w:ascii="宋体"/>
                <w:vanish/>
              </w:rPr>
            </w:pPr>
          </w:p>
        </w:tc>
      </w:tr>
      <w:tr w:rsidR="00584FB3" w14:paraId="40CB1850" w14:textId="77777777">
        <w:trPr>
          <w:hidden/>
        </w:trPr>
        <w:tc>
          <w:tcPr>
            <w:tcW w:w="0" w:type="auto"/>
            <w:gridSpan w:val="3"/>
            <w:shd w:val="clear" w:color="auto" w:fill="auto"/>
          </w:tcPr>
          <w:p w14:paraId="40CB1845" w14:textId="77777777" w:rsidR="00584FB3" w:rsidRDefault="00584FB3">
            <w:pPr>
              <w:rPr>
                <w:rFonts w:ascii="宋体"/>
                <w:vanish/>
              </w:rPr>
            </w:pPr>
          </w:p>
        </w:tc>
        <w:tc>
          <w:tcPr>
            <w:tcW w:w="0" w:type="auto"/>
            <w:gridSpan w:val="3"/>
            <w:shd w:val="clear" w:color="auto" w:fill="auto"/>
          </w:tcPr>
          <w:p w14:paraId="40CB1846" w14:textId="77777777" w:rsidR="00584FB3" w:rsidRDefault="00584FB3">
            <w:pPr>
              <w:rPr>
                <w:rFonts w:ascii="宋体"/>
                <w:vanish/>
              </w:rPr>
            </w:pPr>
          </w:p>
        </w:tc>
        <w:tc>
          <w:tcPr>
            <w:tcW w:w="0" w:type="auto"/>
            <w:gridSpan w:val="3"/>
            <w:shd w:val="clear" w:color="auto" w:fill="auto"/>
          </w:tcPr>
          <w:p w14:paraId="40CB1847" w14:textId="77777777" w:rsidR="00584FB3" w:rsidRDefault="00584FB3">
            <w:pPr>
              <w:rPr>
                <w:rFonts w:ascii="宋体"/>
                <w:vanish/>
              </w:rPr>
            </w:pPr>
          </w:p>
        </w:tc>
        <w:tc>
          <w:tcPr>
            <w:tcW w:w="0" w:type="auto"/>
            <w:gridSpan w:val="3"/>
            <w:shd w:val="clear" w:color="auto" w:fill="auto"/>
          </w:tcPr>
          <w:p w14:paraId="40CB1848" w14:textId="77777777" w:rsidR="00584FB3" w:rsidRDefault="00584FB3">
            <w:pPr>
              <w:rPr>
                <w:rFonts w:ascii="宋体"/>
                <w:vanish/>
              </w:rPr>
            </w:pPr>
          </w:p>
        </w:tc>
        <w:tc>
          <w:tcPr>
            <w:tcW w:w="0" w:type="auto"/>
            <w:gridSpan w:val="3"/>
            <w:shd w:val="clear" w:color="auto" w:fill="auto"/>
          </w:tcPr>
          <w:p w14:paraId="40CB1849" w14:textId="77777777" w:rsidR="00584FB3" w:rsidRDefault="00584FB3">
            <w:pPr>
              <w:rPr>
                <w:rFonts w:ascii="宋体"/>
                <w:vanish/>
              </w:rPr>
            </w:pPr>
          </w:p>
        </w:tc>
        <w:tc>
          <w:tcPr>
            <w:tcW w:w="0" w:type="auto"/>
            <w:shd w:val="clear" w:color="auto" w:fill="auto"/>
          </w:tcPr>
          <w:p w14:paraId="40CB184A" w14:textId="77777777" w:rsidR="00584FB3" w:rsidRDefault="00584FB3">
            <w:pPr>
              <w:rPr>
                <w:rFonts w:ascii="宋体"/>
              </w:rPr>
            </w:pPr>
          </w:p>
        </w:tc>
        <w:tc>
          <w:tcPr>
            <w:tcW w:w="0" w:type="auto"/>
            <w:shd w:val="clear" w:color="auto" w:fill="auto"/>
          </w:tcPr>
          <w:p w14:paraId="40CB184B" w14:textId="77777777" w:rsidR="00584FB3" w:rsidRDefault="00584FB3">
            <w:pPr>
              <w:rPr>
                <w:rFonts w:ascii="宋体"/>
              </w:rPr>
            </w:pPr>
          </w:p>
        </w:tc>
        <w:tc>
          <w:tcPr>
            <w:tcW w:w="0" w:type="auto"/>
            <w:shd w:val="clear" w:color="auto" w:fill="auto"/>
          </w:tcPr>
          <w:p w14:paraId="40CB184C" w14:textId="77777777" w:rsidR="00584FB3" w:rsidRDefault="00584FB3">
            <w:pPr>
              <w:rPr>
                <w:rFonts w:ascii="宋体"/>
              </w:rPr>
            </w:pPr>
          </w:p>
        </w:tc>
        <w:tc>
          <w:tcPr>
            <w:tcW w:w="0" w:type="auto"/>
            <w:shd w:val="clear" w:color="auto" w:fill="auto"/>
          </w:tcPr>
          <w:p w14:paraId="40CB184D" w14:textId="77777777" w:rsidR="00584FB3" w:rsidRDefault="00584FB3">
            <w:pPr>
              <w:rPr>
                <w:rFonts w:ascii="宋体"/>
              </w:rPr>
            </w:pPr>
          </w:p>
        </w:tc>
        <w:tc>
          <w:tcPr>
            <w:tcW w:w="0" w:type="auto"/>
            <w:shd w:val="clear" w:color="auto" w:fill="auto"/>
          </w:tcPr>
          <w:p w14:paraId="40CB184E" w14:textId="77777777" w:rsidR="00584FB3" w:rsidRDefault="00584FB3">
            <w:pPr>
              <w:rPr>
                <w:rFonts w:ascii="宋体"/>
              </w:rPr>
            </w:pPr>
          </w:p>
        </w:tc>
        <w:tc>
          <w:tcPr>
            <w:tcW w:w="0" w:type="auto"/>
            <w:shd w:val="clear" w:color="auto" w:fill="auto"/>
          </w:tcPr>
          <w:p w14:paraId="40CB184F" w14:textId="77777777" w:rsidR="00584FB3" w:rsidRDefault="00584FB3">
            <w:pPr>
              <w:rPr>
                <w:rFonts w:ascii="宋体"/>
              </w:rPr>
            </w:pPr>
          </w:p>
        </w:tc>
      </w:tr>
      <w:tr w:rsidR="00584FB3" w14:paraId="40CB185C" w14:textId="77777777">
        <w:trPr>
          <w:hidden/>
        </w:trPr>
        <w:tc>
          <w:tcPr>
            <w:tcW w:w="0" w:type="auto"/>
            <w:gridSpan w:val="3"/>
            <w:shd w:val="clear" w:color="auto" w:fill="auto"/>
          </w:tcPr>
          <w:p w14:paraId="40CB1851" w14:textId="77777777" w:rsidR="00584FB3" w:rsidRDefault="00584FB3">
            <w:pPr>
              <w:rPr>
                <w:rFonts w:ascii="宋体"/>
                <w:vanish/>
              </w:rPr>
            </w:pPr>
          </w:p>
        </w:tc>
        <w:tc>
          <w:tcPr>
            <w:tcW w:w="0" w:type="auto"/>
            <w:gridSpan w:val="3"/>
            <w:shd w:val="clear" w:color="auto" w:fill="auto"/>
          </w:tcPr>
          <w:p w14:paraId="40CB1852" w14:textId="77777777" w:rsidR="00584FB3" w:rsidRDefault="00584FB3">
            <w:pPr>
              <w:rPr>
                <w:rFonts w:ascii="宋体"/>
                <w:vanish/>
              </w:rPr>
            </w:pPr>
          </w:p>
        </w:tc>
        <w:tc>
          <w:tcPr>
            <w:tcW w:w="0" w:type="auto"/>
            <w:gridSpan w:val="3"/>
            <w:shd w:val="clear" w:color="auto" w:fill="auto"/>
          </w:tcPr>
          <w:p w14:paraId="40CB1853" w14:textId="77777777" w:rsidR="00584FB3" w:rsidRDefault="00584FB3">
            <w:pPr>
              <w:rPr>
                <w:rFonts w:ascii="宋体"/>
                <w:vanish/>
              </w:rPr>
            </w:pPr>
          </w:p>
        </w:tc>
        <w:tc>
          <w:tcPr>
            <w:tcW w:w="0" w:type="auto"/>
            <w:gridSpan w:val="3"/>
            <w:shd w:val="clear" w:color="auto" w:fill="auto"/>
          </w:tcPr>
          <w:p w14:paraId="40CB1854" w14:textId="77777777" w:rsidR="00584FB3" w:rsidRDefault="00584FB3">
            <w:pPr>
              <w:rPr>
                <w:rFonts w:ascii="宋体"/>
                <w:vanish/>
              </w:rPr>
            </w:pPr>
          </w:p>
        </w:tc>
        <w:tc>
          <w:tcPr>
            <w:tcW w:w="0" w:type="auto"/>
            <w:gridSpan w:val="3"/>
            <w:shd w:val="clear" w:color="auto" w:fill="auto"/>
          </w:tcPr>
          <w:p w14:paraId="40CB1855" w14:textId="77777777" w:rsidR="00584FB3" w:rsidRDefault="00584FB3">
            <w:pPr>
              <w:rPr>
                <w:rFonts w:ascii="宋体"/>
                <w:vanish/>
              </w:rPr>
            </w:pPr>
          </w:p>
        </w:tc>
        <w:tc>
          <w:tcPr>
            <w:tcW w:w="0" w:type="auto"/>
            <w:shd w:val="clear" w:color="auto" w:fill="auto"/>
          </w:tcPr>
          <w:p w14:paraId="40CB1856" w14:textId="77777777" w:rsidR="00584FB3" w:rsidRDefault="00584FB3">
            <w:pPr>
              <w:rPr>
                <w:rFonts w:ascii="宋体"/>
              </w:rPr>
            </w:pPr>
          </w:p>
        </w:tc>
        <w:tc>
          <w:tcPr>
            <w:tcW w:w="0" w:type="auto"/>
            <w:shd w:val="clear" w:color="auto" w:fill="auto"/>
          </w:tcPr>
          <w:p w14:paraId="40CB1857" w14:textId="77777777" w:rsidR="00584FB3" w:rsidRDefault="00584FB3">
            <w:pPr>
              <w:rPr>
                <w:rFonts w:ascii="宋体"/>
              </w:rPr>
            </w:pPr>
          </w:p>
        </w:tc>
        <w:tc>
          <w:tcPr>
            <w:tcW w:w="0" w:type="auto"/>
            <w:shd w:val="clear" w:color="auto" w:fill="auto"/>
          </w:tcPr>
          <w:p w14:paraId="40CB1858" w14:textId="77777777" w:rsidR="00584FB3" w:rsidRDefault="00584FB3">
            <w:pPr>
              <w:rPr>
                <w:rFonts w:ascii="宋体"/>
              </w:rPr>
            </w:pPr>
          </w:p>
        </w:tc>
        <w:tc>
          <w:tcPr>
            <w:tcW w:w="0" w:type="auto"/>
            <w:shd w:val="clear" w:color="auto" w:fill="auto"/>
          </w:tcPr>
          <w:p w14:paraId="40CB1859" w14:textId="77777777" w:rsidR="00584FB3" w:rsidRDefault="00584FB3">
            <w:pPr>
              <w:rPr>
                <w:rFonts w:ascii="宋体"/>
              </w:rPr>
            </w:pPr>
          </w:p>
        </w:tc>
        <w:tc>
          <w:tcPr>
            <w:tcW w:w="0" w:type="auto"/>
            <w:shd w:val="clear" w:color="auto" w:fill="auto"/>
          </w:tcPr>
          <w:p w14:paraId="40CB185A" w14:textId="77777777" w:rsidR="00584FB3" w:rsidRDefault="00584FB3">
            <w:pPr>
              <w:rPr>
                <w:rFonts w:ascii="宋体"/>
              </w:rPr>
            </w:pPr>
          </w:p>
        </w:tc>
        <w:tc>
          <w:tcPr>
            <w:tcW w:w="0" w:type="auto"/>
            <w:shd w:val="clear" w:color="auto" w:fill="auto"/>
          </w:tcPr>
          <w:p w14:paraId="40CB185B" w14:textId="77777777" w:rsidR="00584FB3" w:rsidRDefault="00584FB3">
            <w:pPr>
              <w:rPr>
                <w:rFonts w:ascii="宋体"/>
              </w:rPr>
            </w:pPr>
          </w:p>
        </w:tc>
      </w:tr>
      <w:tr w:rsidR="00584FB3" w14:paraId="40CB1864" w14:textId="77777777">
        <w:trPr>
          <w:hidden/>
        </w:trPr>
        <w:tc>
          <w:tcPr>
            <w:tcW w:w="0" w:type="auto"/>
            <w:gridSpan w:val="3"/>
            <w:shd w:val="clear" w:color="auto" w:fill="auto"/>
          </w:tcPr>
          <w:p w14:paraId="40CB185D" w14:textId="77777777" w:rsidR="00584FB3" w:rsidRDefault="00584FB3">
            <w:pPr>
              <w:rPr>
                <w:rFonts w:ascii="宋体"/>
                <w:vanish/>
              </w:rPr>
            </w:pPr>
          </w:p>
        </w:tc>
        <w:tc>
          <w:tcPr>
            <w:tcW w:w="0" w:type="auto"/>
            <w:gridSpan w:val="3"/>
            <w:shd w:val="clear" w:color="auto" w:fill="auto"/>
          </w:tcPr>
          <w:p w14:paraId="40CB185E" w14:textId="77777777" w:rsidR="00584FB3" w:rsidRDefault="00584FB3">
            <w:pPr>
              <w:rPr>
                <w:rFonts w:ascii="宋体"/>
                <w:vanish/>
              </w:rPr>
            </w:pPr>
          </w:p>
        </w:tc>
        <w:tc>
          <w:tcPr>
            <w:tcW w:w="0" w:type="auto"/>
            <w:gridSpan w:val="3"/>
            <w:shd w:val="clear" w:color="auto" w:fill="auto"/>
          </w:tcPr>
          <w:p w14:paraId="40CB185F" w14:textId="77777777" w:rsidR="00584FB3" w:rsidRDefault="00584FB3">
            <w:pPr>
              <w:rPr>
                <w:rFonts w:ascii="宋体"/>
                <w:vanish/>
              </w:rPr>
            </w:pPr>
          </w:p>
        </w:tc>
        <w:tc>
          <w:tcPr>
            <w:tcW w:w="0" w:type="auto"/>
            <w:gridSpan w:val="3"/>
            <w:shd w:val="clear" w:color="auto" w:fill="auto"/>
          </w:tcPr>
          <w:p w14:paraId="40CB1860" w14:textId="77777777" w:rsidR="00584FB3" w:rsidRDefault="00584FB3">
            <w:pPr>
              <w:rPr>
                <w:rFonts w:ascii="宋体"/>
                <w:vanish/>
              </w:rPr>
            </w:pPr>
          </w:p>
        </w:tc>
        <w:tc>
          <w:tcPr>
            <w:tcW w:w="0" w:type="auto"/>
            <w:gridSpan w:val="3"/>
            <w:shd w:val="clear" w:color="auto" w:fill="auto"/>
          </w:tcPr>
          <w:p w14:paraId="40CB1861" w14:textId="77777777" w:rsidR="00584FB3" w:rsidRDefault="00584FB3">
            <w:pPr>
              <w:rPr>
                <w:rFonts w:ascii="宋体"/>
                <w:vanish/>
              </w:rPr>
            </w:pPr>
          </w:p>
        </w:tc>
        <w:tc>
          <w:tcPr>
            <w:tcW w:w="0" w:type="auto"/>
            <w:gridSpan w:val="3"/>
            <w:shd w:val="clear" w:color="auto" w:fill="auto"/>
          </w:tcPr>
          <w:p w14:paraId="40CB1862" w14:textId="77777777" w:rsidR="00584FB3" w:rsidRDefault="00584FB3">
            <w:pPr>
              <w:rPr>
                <w:rFonts w:ascii="宋体"/>
                <w:vanish/>
              </w:rPr>
            </w:pPr>
          </w:p>
        </w:tc>
        <w:tc>
          <w:tcPr>
            <w:tcW w:w="0" w:type="auto"/>
            <w:gridSpan w:val="3"/>
            <w:shd w:val="clear" w:color="auto" w:fill="auto"/>
          </w:tcPr>
          <w:p w14:paraId="40CB1863" w14:textId="77777777" w:rsidR="00584FB3" w:rsidRDefault="00584FB3">
            <w:pPr>
              <w:rPr>
                <w:rFonts w:ascii="宋体"/>
                <w:vanish/>
              </w:rPr>
            </w:pPr>
          </w:p>
        </w:tc>
      </w:tr>
      <w:tr w:rsidR="00584FB3" w14:paraId="40CB186C" w14:textId="77777777">
        <w:trPr>
          <w:hidden/>
        </w:trPr>
        <w:tc>
          <w:tcPr>
            <w:tcW w:w="0" w:type="auto"/>
            <w:gridSpan w:val="3"/>
            <w:shd w:val="clear" w:color="auto" w:fill="auto"/>
          </w:tcPr>
          <w:p w14:paraId="40CB1865" w14:textId="77777777" w:rsidR="00584FB3" w:rsidRDefault="00584FB3">
            <w:pPr>
              <w:rPr>
                <w:rFonts w:ascii="宋体"/>
                <w:vanish/>
              </w:rPr>
            </w:pPr>
          </w:p>
        </w:tc>
        <w:tc>
          <w:tcPr>
            <w:tcW w:w="0" w:type="auto"/>
            <w:gridSpan w:val="3"/>
            <w:shd w:val="clear" w:color="auto" w:fill="auto"/>
          </w:tcPr>
          <w:p w14:paraId="40CB1866" w14:textId="77777777" w:rsidR="00584FB3" w:rsidRDefault="00584FB3">
            <w:pPr>
              <w:rPr>
                <w:rFonts w:ascii="宋体"/>
                <w:vanish/>
              </w:rPr>
            </w:pPr>
          </w:p>
        </w:tc>
        <w:tc>
          <w:tcPr>
            <w:tcW w:w="0" w:type="auto"/>
            <w:gridSpan w:val="3"/>
            <w:shd w:val="clear" w:color="auto" w:fill="auto"/>
          </w:tcPr>
          <w:p w14:paraId="40CB1867" w14:textId="77777777" w:rsidR="00584FB3" w:rsidRDefault="00584FB3">
            <w:pPr>
              <w:rPr>
                <w:rFonts w:ascii="宋体"/>
                <w:vanish/>
              </w:rPr>
            </w:pPr>
          </w:p>
        </w:tc>
        <w:tc>
          <w:tcPr>
            <w:tcW w:w="0" w:type="auto"/>
            <w:gridSpan w:val="3"/>
            <w:shd w:val="clear" w:color="auto" w:fill="auto"/>
          </w:tcPr>
          <w:p w14:paraId="40CB1868" w14:textId="77777777" w:rsidR="00584FB3" w:rsidRDefault="00584FB3">
            <w:pPr>
              <w:rPr>
                <w:rFonts w:ascii="宋体"/>
                <w:vanish/>
              </w:rPr>
            </w:pPr>
          </w:p>
        </w:tc>
        <w:tc>
          <w:tcPr>
            <w:tcW w:w="0" w:type="auto"/>
            <w:gridSpan w:val="3"/>
            <w:shd w:val="clear" w:color="auto" w:fill="auto"/>
          </w:tcPr>
          <w:p w14:paraId="40CB1869" w14:textId="77777777" w:rsidR="00584FB3" w:rsidRDefault="00584FB3">
            <w:pPr>
              <w:rPr>
                <w:rFonts w:ascii="宋体"/>
                <w:vanish/>
              </w:rPr>
            </w:pPr>
          </w:p>
        </w:tc>
        <w:tc>
          <w:tcPr>
            <w:tcW w:w="0" w:type="auto"/>
            <w:gridSpan w:val="3"/>
            <w:shd w:val="clear" w:color="auto" w:fill="auto"/>
          </w:tcPr>
          <w:p w14:paraId="40CB186A" w14:textId="77777777" w:rsidR="00584FB3" w:rsidRDefault="00584FB3">
            <w:pPr>
              <w:rPr>
                <w:rFonts w:ascii="宋体"/>
                <w:vanish/>
              </w:rPr>
            </w:pPr>
          </w:p>
        </w:tc>
        <w:tc>
          <w:tcPr>
            <w:tcW w:w="0" w:type="auto"/>
            <w:gridSpan w:val="3"/>
            <w:shd w:val="clear" w:color="auto" w:fill="auto"/>
          </w:tcPr>
          <w:p w14:paraId="40CB186B" w14:textId="77777777" w:rsidR="00584FB3" w:rsidRDefault="00584FB3">
            <w:pPr>
              <w:rPr>
                <w:rFonts w:ascii="宋体"/>
                <w:vanish/>
              </w:rPr>
            </w:pPr>
          </w:p>
        </w:tc>
      </w:tr>
      <w:tr w:rsidR="00584FB3" w14:paraId="40CB1874" w14:textId="77777777">
        <w:trPr>
          <w:hidden/>
        </w:trPr>
        <w:tc>
          <w:tcPr>
            <w:tcW w:w="0" w:type="auto"/>
            <w:gridSpan w:val="3"/>
            <w:shd w:val="clear" w:color="auto" w:fill="auto"/>
          </w:tcPr>
          <w:p w14:paraId="40CB186D" w14:textId="77777777" w:rsidR="00584FB3" w:rsidRDefault="00584FB3">
            <w:pPr>
              <w:rPr>
                <w:rFonts w:ascii="宋体"/>
                <w:vanish/>
              </w:rPr>
            </w:pPr>
          </w:p>
        </w:tc>
        <w:tc>
          <w:tcPr>
            <w:tcW w:w="0" w:type="auto"/>
            <w:gridSpan w:val="3"/>
            <w:shd w:val="clear" w:color="auto" w:fill="auto"/>
          </w:tcPr>
          <w:p w14:paraId="40CB186E" w14:textId="77777777" w:rsidR="00584FB3" w:rsidRDefault="00584FB3">
            <w:pPr>
              <w:rPr>
                <w:rFonts w:ascii="宋体"/>
                <w:vanish/>
              </w:rPr>
            </w:pPr>
          </w:p>
        </w:tc>
        <w:tc>
          <w:tcPr>
            <w:tcW w:w="0" w:type="auto"/>
            <w:gridSpan w:val="3"/>
            <w:shd w:val="clear" w:color="auto" w:fill="auto"/>
          </w:tcPr>
          <w:p w14:paraId="40CB186F" w14:textId="77777777" w:rsidR="00584FB3" w:rsidRDefault="00584FB3">
            <w:pPr>
              <w:rPr>
                <w:rFonts w:ascii="宋体"/>
                <w:vanish/>
              </w:rPr>
            </w:pPr>
          </w:p>
        </w:tc>
        <w:tc>
          <w:tcPr>
            <w:tcW w:w="0" w:type="auto"/>
            <w:gridSpan w:val="3"/>
            <w:shd w:val="clear" w:color="auto" w:fill="auto"/>
          </w:tcPr>
          <w:p w14:paraId="40CB1870" w14:textId="77777777" w:rsidR="00584FB3" w:rsidRDefault="00584FB3">
            <w:pPr>
              <w:rPr>
                <w:rFonts w:ascii="宋体"/>
                <w:vanish/>
              </w:rPr>
            </w:pPr>
          </w:p>
        </w:tc>
        <w:tc>
          <w:tcPr>
            <w:tcW w:w="0" w:type="auto"/>
            <w:gridSpan w:val="3"/>
            <w:shd w:val="clear" w:color="auto" w:fill="auto"/>
          </w:tcPr>
          <w:p w14:paraId="40CB1871" w14:textId="77777777" w:rsidR="00584FB3" w:rsidRDefault="00584FB3">
            <w:pPr>
              <w:rPr>
                <w:rFonts w:ascii="宋体"/>
                <w:vanish/>
              </w:rPr>
            </w:pPr>
          </w:p>
        </w:tc>
        <w:tc>
          <w:tcPr>
            <w:tcW w:w="0" w:type="auto"/>
            <w:gridSpan w:val="3"/>
            <w:shd w:val="clear" w:color="auto" w:fill="auto"/>
          </w:tcPr>
          <w:p w14:paraId="40CB1872" w14:textId="77777777" w:rsidR="00584FB3" w:rsidRDefault="00584FB3">
            <w:pPr>
              <w:rPr>
                <w:rFonts w:ascii="宋体"/>
                <w:vanish/>
              </w:rPr>
            </w:pPr>
          </w:p>
        </w:tc>
        <w:tc>
          <w:tcPr>
            <w:tcW w:w="0" w:type="auto"/>
            <w:gridSpan w:val="3"/>
            <w:shd w:val="clear" w:color="auto" w:fill="auto"/>
          </w:tcPr>
          <w:p w14:paraId="40CB1873" w14:textId="77777777" w:rsidR="00584FB3" w:rsidRDefault="00584FB3">
            <w:pPr>
              <w:rPr>
                <w:rFonts w:ascii="宋体"/>
                <w:vanish/>
              </w:rPr>
            </w:pPr>
          </w:p>
        </w:tc>
      </w:tr>
      <w:tr w:rsidR="00584FB3" w14:paraId="40CB187C" w14:textId="77777777">
        <w:trPr>
          <w:hidden/>
        </w:trPr>
        <w:tc>
          <w:tcPr>
            <w:tcW w:w="0" w:type="auto"/>
            <w:gridSpan w:val="3"/>
            <w:shd w:val="clear" w:color="auto" w:fill="auto"/>
          </w:tcPr>
          <w:p w14:paraId="40CB1875" w14:textId="77777777" w:rsidR="00584FB3" w:rsidRDefault="00584FB3">
            <w:pPr>
              <w:rPr>
                <w:rFonts w:ascii="宋体"/>
                <w:vanish/>
              </w:rPr>
            </w:pPr>
          </w:p>
        </w:tc>
        <w:tc>
          <w:tcPr>
            <w:tcW w:w="0" w:type="auto"/>
            <w:gridSpan w:val="3"/>
            <w:shd w:val="clear" w:color="auto" w:fill="auto"/>
          </w:tcPr>
          <w:p w14:paraId="40CB1876" w14:textId="77777777" w:rsidR="00584FB3" w:rsidRDefault="00584FB3">
            <w:pPr>
              <w:rPr>
                <w:rFonts w:ascii="宋体"/>
                <w:vanish/>
              </w:rPr>
            </w:pPr>
          </w:p>
        </w:tc>
        <w:tc>
          <w:tcPr>
            <w:tcW w:w="0" w:type="auto"/>
            <w:gridSpan w:val="3"/>
            <w:shd w:val="clear" w:color="auto" w:fill="auto"/>
          </w:tcPr>
          <w:p w14:paraId="40CB1877" w14:textId="77777777" w:rsidR="00584FB3" w:rsidRDefault="00584FB3">
            <w:pPr>
              <w:rPr>
                <w:rFonts w:ascii="宋体"/>
                <w:vanish/>
              </w:rPr>
            </w:pPr>
          </w:p>
        </w:tc>
        <w:tc>
          <w:tcPr>
            <w:tcW w:w="0" w:type="auto"/>
            <w:gridSpan w:val="3"/>
            <w:shd w:val="clear" w:color="auto" w:fill="auto"/>
          </w:tcPr>
          <w:p w14:paraId="40CB1878" w14:textId="77777777" w:rsidR="00584FB3" w:rsidRDefault="00584FB3">
            <w:pPr>
              <w:rPr>
                <w:rFonts w:ascii="宋体"/>
                <w:vanish/>
              </w:rPr>
            </w:pPr>
          </w:p>
        </w:tc>
        <w:tc>
          <w:tcPr>
            <w:tcW w:w="0" w:type="auto"/>
            <w:gridSpan w:val="3"/>
            <w:shd w:val="clear" w:color="auto" w:fill="auto"/>
          </w:tcPr>
          <w:p w14:paraId="40CB1879" w14:textId="77777777" w:rsidR="00584FB3" w:rsidRDefault="00584FB3">
            <w:pPr>
              <w:rPr>
                <w:rFonts w:ascii="宋体"/>
                <w:vanish/>
              </w:rPr>
            </w:pPr>
          </w:p>
        </w:tc>
        <w:tc>
          <w:tcPr>
            <w:tcW w:w="0" w:type="auto"/>
            <w:gridSpan w:val="3"/>
            <w:shd w:val="clear" w:color="auto" w:fill="auto"/>
          </w:tcPr>
          <w:p w14:paraId="40CB187A" w14:textId="77777777" w:rsidR="00584FB3" w:rsidRDefault="00584FB3">
            <w:pPr>
              <w:rPr>
                <w:rFonts w:ascii="宋体"/>
                <w:vanish/>
              </w:rPr>
            </w:pPr>
          </w:p>
        </w:tc>
        <w:tc>
          <w:tcPr>
            <w:tcW w:w="0" w:type="auto"/>
            <w:gridSpan w:val="3"/>
            <w:shd w:val="clear" w:color="auto" w:fill="auto"/>
          </w:tcPr>
          <w:p w14:paraId="40CB187B" w14:textId="77777777" w:rsidR="00584FB3" w:rsidRDefault="00584FB3">
            <w:pPr>
              <w:rPr>
                <w:rFonts w:ascii="宋体"/>
                <w:vanish/>
              </w:rPr>
            </w:pPr>
          </w:p>
        </w:tc>
      </w:tr>
      <w:tr w:rsidR="00584FB3" w14:paraId="40CB1884" w14:textId="77777777">
        <w:trPr>
          <w:hidden/>
        </w:trPr>
        <w:tc>
          <w:tcPr>
            <w:tcW w:w="0" w:type="auto"/>
            <w:gridSpan w:val="3"/>
            <w:shd w:val="clear" w:color="auto" w:fill="auto"/>
          </w:tcPr>
          <w:p w14:paraId="40CB187D" w14:textId="77777777" w:rsidR="00584FB3" w:rsidRDefault="00584FB3">
            <w:pPr>
              <w:rPr>
                <w:rFonts w:ascii="宋体"/>
                <w:vanish/>
              </w:rPr>
            </w:pPr>
          </w:p>
        </w:tc>
        <w:tc>
          <w:tcPr>
            <w:tcW w:w="0" w:type="auto"/>
            <w:gridSpan w:val="3"/>
            <w:shd w:val="clear" w:color="auto" w:fill="auto"/>
          </w:tcPr>
          <w:p w14:paraId="40CB187E" w14:textId="77777777" w:rsidR="00584FB3" w:rsidRDefault="00584FB3">
            <w:pPr>
              <w:rPr>
                <w:rFonts w:ascii="宋体"/>
                <w:vanish/>
              </w:rPr>
            </w:pPr>
          </w:p>
        </w:tc>
        <w:tc>
          <w:tcPr>
            <w:tcW w:w="0" w:type="auto"/>
            <w:gridSpan w:val="3"/>
            <w:shd w:val="clear" w:color="auto" w:fill="auto"/>
          </w:tcPr>
          <w:p w14:paraId="40CB187F" w14:textId="77777777" w:rsidR="00584FB3" w:rsidRDefault="00584FB3">
            <w:pPr>
              <w:rPr>
                <w:rFonts w:ascii="宋体"/>
                <w:vanish/>
              </w:rPr>
            </w:pPr>
          </w:p>
        </w:tc>
        <w:tc>
          <w:tcPr>
            <w:tcW w:w="0" w:type="auto"/>
            <w:gridSpan w:val="3"/>
            <w:shd w:val="clear" w:color="auto" w:fill="auto"/>
          </w:tcPr>
          <w:p w14:paraId="40CB1880" w14:textId="77777777" w:rsidR="00584FB3" w:rsidRDefault="00584FB3">
            <w:pPr>
              <w:rPr>
                <w:rFonts w:ascii="宋体"/>
                <w:vanish/>
              </w:rPr>
            </w:pPr>
          </w:p>
        </w:tc>
        <w:tc>
          <w:tcPr>
            <w:tcW w:w="0" w:type="auto"/>
            <w:gridSpan w:val="3"/>
            <w:shd w:val="clear" w:color="auto" w:fill="auto"/>
          </w:tcPr>
          <w:p w14:paraId="40CB1881" w14:textId="77777777" w:rsidR="00584FB3" w:rsidRDefault="00584FB3">
            <w:pPr>
              <w:rPr>
                <w:rFonts w:ascii="宋体"/>
                <w:vanish/>
              </w:rPr>
            </w:pPr>
          </w:p>
        </w:tc>
        <w:tc>
          <w:tcPr>
            <w:tcW w:w="0" w:type="auto"/>
            <w:gridSpan w:val="3"/>
            <w:shd w:val="clear" w:color="auto" w:fill="auto"/>
          </w:tcPr>
          <w:p w14:paraId="40CB1882" w14:textId="77777777" w:rsidR="00584FB3" w:rsidRDefault="00584FB3">
            <w:pPr>
              <w:rPr>
                <w:rFonts w:ascii="宋体"/>
                <w:vanish/>
              </w:rPr>
            </w:pPr>
          </w:p>
        </w:tc>
        <w:tc>
          <w:tcPr>
            <w:tcW w:w="0" w:type="auto"/>
            <w:gridSpan w:val="3"/>
            <w:shd w:val="clear" w:color="auto" w:fill="auto"/>
          </w:tcPr>
          <w:p w14:paraId="40CB1883" w14:textId="77777777" w:rsidR="00584FB3" w:rsidRDefault="00584FB3">
            <w:pPr>
              <w:rPr>
                <w:rFonts w:ascii="宋体"/>
                <w:vanish/>
              </w:rPr>
            </w:pPr>
          </w:p>
        </w:tc>
      </w:tr>
      <w:tr w:rsidR="00584FB3" w14:paraId="40CB188C" w14:textId="77777777">
        <w:trPr>
          <w:hidden/>
        </w:trPr>
        <w:tc>
          <w:tcPr>
            <w:tcW w:w="0" w:type="auto"/>
            <w:gridSpan w:val="3"/>
            <w:shd w:val="clear" w:color="auto" w:fill="auto"/>
          </w:tcPr>
          <w:p w14:paraId="40CB1885" w14:textId="77777777" w:rsidR="00584FB3" w:rsidRDefault="00584FB3">
            <w:pPr>
              <w:rPr>
                <w:rFonts w:ascii="宋体"/>
                <w:vanish/>
              </w:rPr>
            </w:pPr>
          </w:p>
        </w:tc>
        <w:tc>
          <w:tcPr>
            <w:tcW w:w="0" w:type="auto"/>
            <w:gridSpan w:val="3"/>
            <w:shd w:val="clear" w:color="auto" w:fill="auto"/>
          </w:tcPr>
          <w:p w14:paraId="40CB1886" w14:textId="77777777" w:rsidR="00584FB3" w:rsidRDefault="00584FB3">
            <w:pPr>
              <w:rPr>
                <w:rFonts w:ascii="宋体"/>
                <w:vanish/>
              </w:rPr>
            </w:pPr>
          </w:p>
        </w:tc>
        <w:tc>
          <w:tcPr>
            <w:tcW w:w="0" w:type="auto"/>
            <w:gridSpan w:val="3"/>
            <w:shd w:val="clear" w:color="auto" w:fill="auto"/>
          </w:tcPr>
          <w:p w14:paraId="40CB1887" w14:textId="77777777" w:rsidR="00584FB3" w:rsidRDefault="00584FB3">
            <w:pPr>
              <w:rPr>
                <w:rFonts w:ascii="宋体"/>
                <w:vanish/>
              </w:rPr>
            </w:pPr>
          </w:p>
        </w:tc>
        <w:tc>
          <w:tcPr>
            <w:tcW w:w="0" w:type="auto"/>
            <w:gridSpan w:val="3"/>
            <w:shd w:val="clear" w:color="auto" w:fill="auto"/>
          </w:tcPr>
          <w:p w14:paraId="40CB1888" w14:textId="77777777" w:rsidR="00584FB3" w:rsidRDefault="00584FB3">
            <w:pPr>
              <w:rPr>
                <w:rFonts w:ascii="宋体"/>
                <w:vanish/>
              </w:rPr>
            </w:pPr>
          </w:p>
        </w:tc>
        <w:tc>
          <w:tcPr>
            <w:tcW w:w="0" w:type="auto"/>
            <w:gridSpan w:val="3"/>
            <w:shd w:val="clear" w:color="auto" w:fill="auto"/>
          </w:tcPr>
          <w:p w14:paraId="40CB1889" w14:textId="77777777" w:rsidR="00584FB3" w:rsidRDefault="00584FB3">
            <w:pPr>
              <w:rPr>
                <w:rFonts w:ascii="宋体"/>
                <w:vanish/>
              </w:rPr>
            </w:pPr>
          </w:p>
        </w:tc>
        <w:tc>
          <w:tcPr>
            <w:tcW w:w="0" w:type="auto"/>
            <w:gridSpan w:val="3"/>
            <w:shd w:val="clear" w:color="auto" w:fill="auto"/>
          </w:tcPr>
          <w:p w14:paraId="40CB188A" w14:textId="77777777" w:rsidR="00584FB3" w:rsidRDefault="00584FB3">
            <w:pPr>
              <w:rPr>
                <w:rFonts w:ascii="宋体"/>
                <w:vanish/>
              </w:rPr>
            </w:pPr>
          </w:p>
        </w:tc>
        <w:tc>
          <w:tcPr>
            <w:tcW w:w="0" w:type="auto"/>
            <w:gridSpan w:val="3"/>
            <w:shd w:val="clear" w:color="auto" w:fill="auto"/>
          </w:tcPr>
          <w:p w14:paraId="40CB188B" w14:textId="77777777" w:rsidR="00584FB3" w:rsidRDefault="00584FB3">
            <w:pPr>
              <w:rPr>
                <w:rFonts w:ascii="宋体"/>
                <w:vanish/>
              </w:rPr>
            </w:pPr>
          </w:p>
        </w:tc>
      </w:tr>
      <w:tr w:rsidR="00584FB3" w14:paraId="40CB1894" w14:textId="77777777">
        <w:trPr>
          <w:hidden/>
        </w:trPr>
        <w:tc>
          <w:tcPr>
            <w:tcW w:w="0" w:type="auto"/>
            <w:gridSpan w:val="3"/>
            <w:shd w:val="clear" w:color="auto" w:fill="auto"/>
          </w:tcPr>
          <w:p w14:paraId="40CB188D" w14:textId="77777777" w:rsidR="00584FB3" w:rsidRDefault="00584FB3">
            <w:pPr>
              <w:rPr>
                <w:rFonts w:ascii="宋体"/>
                <w:vanish/>
              </w:rPr>
            </w:pPr>
          </w:p>
        </w:tc>
        <w:tc>
          <w:tcPr>
            <w:tcW w:w="0" w:type="auto"/>
            <w:gridSpan w:val="3"/>
            <w:shd w:val="clear" w:color="auto" w:fill="auto"/>
          </w:tcPr>
          <w:p w14:paraId="40CB188E" w14:textId="77777777" w:rsidR="00584FB3" w:rsidRDefault="00584FB3">
            <w:pPr>
              <w:rPr>
                <w:rFonts w:ascii="宋体"/>
                <w:vanish/>
              </w:rPr>
            </w:pPr>
          </w:p>
        </w:tc>
        <w:tc>
          <w:tcPr>
            <w:tcW w:w="0" w:type="auto"/>
            <w:gridSpan w:val="3"/>
            <w:shd w:val="clear" w:color="auto" w:fill="auto"/>
          </w:tcPr>
          <w:p w14:paraId="40CB188F" w14:textId="77777777" w:rsidR="00584FB3" w:rsidRDefault="00584FB3">
            <w:pPr>
              <w:rPr>
                <w:rFonts w:ascii="宋体"/>
                <w:vanish/>
              </w:rPr>
            </w:pPr>
          </w:p>
        </w:tc>
        <w:tc>
          <w:tcPr>
            <w:tcW w:w="0" w:type="auto"/>
            <w:gridSpan w:val="3"/>
            <w:shd w:val="clear" w:color="auto" w:fill="auto"/>
          </w:tcPr>
          <w:p w14:paraId="40CB1890" w14:textId="77777777" w:rsidR="00584FB3" w:rsidRDefault="00584FB3">
            <w:pPr>
              <w:rPr>
                <w:rFonts w:ascii="宋体"/>
                <w:vanish/>
              </w:rPr>
            </w:pPr>
          </w:p>
        </w:tc>
        <w:tc>
          <w:tcPr>
            <w:tcW w:w="0" w:type="auto"/>
            <w:gridSpan w:val="3"/>
            <w:shd w:val="clear" w:color="auto" w:fill="auto"/>
          </w:tcPr>
          <w:p w14:paraId="40CB1891" w14:textId="77777777" w:rsidR="00584FB3" w:rsidRDefault="00584FB3">
            <w:pPr>
              <w:rPr>
                <w:rFonts w:ascii="宋体"/>
                <w:vanish/>
              </w:rPr>
            </w:pPr>
          </w:p>
        </w:tc>
        <w:tc>
          <w:tcPr>
            <w:tcW w:w="0" w:type="auto"/>
            <w:gridSpan w:val="3"/>
            <w:shd w:val="clear" w:color="auto" w:fill="auto"/>
          </w:tcPr>
          <w:p w14:paraId="40CB1892" w14:textId="77777777" w:rsidR="00584FB3" w:rsidRDefault="00584FB3">
            <w:pPr>
              <w:rPr>
                <w:rFonts w:ascii="宋体"/>
                <w:vanish/>
              </w:rPr>
            </w:pPr>
          </w:p>
        </w:tc>
        <w:tc>
          <w:tcPr>
            <w:tcW w:w="0" w:type="auto"/>
            <w:gridSpan w:val="3"/>
            <w:shd w:val="clear" w:color="auto" w:fill="auto"/>
          </w:tcPr>
          <w:p w14:paraId="40CB1893" w14:textId="77777777" w:rsidR="00584FB3" w:rsidRDefault="00584FB3">
            <w:pPr>
              <w:rPr>
                <w:rFonts w:ascii="宋体"/>
                <w:vanish/>
              </w:rPr>
            </w:pPr>
          </w:p>
        </w:tc>
      </w:tr>
      <w:tr w:rsidR="00584FB3" w14:paraId="40CB189C" w14:textId="77777777">
        <w:trPr>
          <w:hidden/>
        </w:trPr>
        <w:tc>
          <w:tcPr>
            <w:tcW w:w="0" w:type="auto"/>
            <w:gridSpan w:val="3"/>
            <w:shd w:val="clear" w:color="auto" w:fill="auto"/>
          </w:tcPr>
          <w:p w14:paraId="40CB1895" w14:textId="77777777" w:rsidR="00584FB3" w:rsidRDefault="00584FB3">
            <w:pPr>
              <w:rPr>
                <w:rFonts w:ascii="宋体"/>
                <w:vanish/>
              </w:rPr>
            </w:pPr>
          </w:p>
        </w:tc>
        <w:tc>
          <w:tcPr>
            <w:tcW w:w="0" w:type="auto"/>
            <w:gridSpan w:val="3"/>
            <w:shd w:val="clear" w:color="auto" w:fill="auto"/>
          </w:tcPr>
          <w:p w14:paraId="40CB1896" w14:textId="77777777" w:rsidR="00584FB3" w:rsidRDefault="00584FB3">
            <w:pPr>
              <w:rPr>
                <w:rFonts w:ascii="宋体"/>
                <w:vanish/>
              </w:rPr>
            </w:pPr>
          </w:p>
        </w:tc>
        <w:tc>
          <w:tcPr>
            <w:tcW w:w="0" w:type="auto"/>
            <w:gridSpan w:val="3"/>
            <w:shd w:val="clear" w:color="auto" w:fill="auto"/>
          </w:tcPr>
          <w:p w14:paraId="40CB1897" w14:textId="77777777" w:rsidR="00584FB3" w:rsidRDefault="00584FB3">
            <w:pPr>
              <w:rPr>
                <w:rFonts w:ascii="宋体"/>
                <w:vanish/>
              </w:rPr>
            </w:pPr>
          </w:p>
        </w:tc>
        <w:tc>
          <w:tcPr>
            <w:tcW w:w="0" w:type="auto"/>
            <w:gridSpan w:val="3"/>
            <w:shd w:val="clear" w:color="auto" w:fill="auto"/>
          </w:tcPr>
          <w:p w14:paraId="40CB1898" w14:textId="77777777" w:rsidR="00584FB3" w:rsidRDefault="00584FB3">
            <w:pPr>
              <w:rPr>
                <w:rFonts w:ascii="宋体"/>
                <w:vanish/>
              </w:rPr>
            </w:pPr>
          </w:p>
        </w:tc>
        <w:tc>
          <w:tcPr>
            <w:tcW w:w="0" w:type="auto"/>
            <w:gridSpan w:val="3"/>
            <w:shd w:val="clear" w:color="auto" w:fill="auto"/>
          </w:tcPr>
          <w:p w14:paraId="40CB1899" w14:textId="77777777" w:rsidR="00584FB3" w:rsidRDefault="00584FB3">
            <w:pPr>
              <w:rPr>
                <w:rFonts w:ascii="宋体"/>
                <w:vanish/>
              </w:rPr>
            </w:pPr>
          </w:p>
        </w:tc>
        <w:tc>
          <w:tcPr>
            <w:tcW w:w="0" w:type="auto"/>
            <w:gridSpan w:val="3"/>
            <w:shd w:val="clear" w:color="auto" w:fill="auto"/>
          </w:tcPr>
          <w:p w14:paraId="40CB189A" w14:textId="77777777" w:rsidR="00584FB3" w:rsidRDefault="00584FB3">
            <w:pPr>
              <w:rPr>
                <w:rFonts w:ascii="宋体"/>
                <w:vanish/>
              </w:rPr>
            </w:pPr>
          </w:p>
        </w:tc>
        <w:tc>
          <w:tcPr>
            <w:tcW w:w="0" w:type="auto"/>
            <w:gridSpan w:val="3"/>
            <w:shd w:val="clear" w:color="auto" w:fill="auto"/>
          </w:tcPr>
          <w:p w14:paraId="40CB189B" w14:textId="77777777" w:rsidR="00584FB3" w:rsidRDefault="00584FB3">
            <w:pPr>
              <w:rPr>
                <w:rFonts w:ascii="宋体"/>
                <w:vanish/>
              </w:rPr>
            </w:pPr>
          </w:p>
        </w:tc>
      </w:tr>
      <w:tr w:rsidR="00584FB3" w14:paraId="40CB18A4" w14:textId="77777777">
        <w:trPr>
          <w:hidden/>
        </w:trPr>
        <w:tc>
          <w:tcPr>
            <w:tcW w:w="0" w:type="auto"/>
            <w:gridSpan w:val="3"/>
            <w:shd w:val="clear" w:color="auto" w:fill="auto"/>
          </w:tcPr>
          <w:p w14:paraId="40CB189D" w14:textId="77777777" w:rsidR="00584FB3" w:rsidRDefault="00584FB3">
            <w:pPr>
              <w:rPr>
                <w:rFonts w:ascii="宋体"/>
                <w:vanish/>
              </w:rPr>
            </w:pPr>
          </w:p>
        </w:tc>
        <w:tc>
          <w:tcPr>
            <w:tcW w:w="0" w:type="auto"/>
            <w:gridSpan w:val="3"/>
            <w:shd w:val="clear" w:color="auto" w:fill="auto"/>
          </w:tcPr>
          <w:p w14:paraId="40CB189E" w14:textId="77777777" w:rsidR="00584FB3" w:rsidRDefault="00584FB3">
            <w:pPr>
              <w:rPr>
                <w:rFonts w:ascii="宋体"/>
                <w:vanish/>
              </w:rPr>
            </w:pPr>
          </w:p>
        </w:tc>
        <w:tc>
          <w:tcPr>
            <w:tcW w:w="0" w:type="auto"/>
            <w:gridSpan w:val="3"/>
            <w:shd w:val="clear" w:color="auto" w:fill="auto"/>
          </w:tcPr>
          <w:p w14:paraId="40CB189F" w14:textId="77777777" w:rsidR="00584FB3" w:rsidRDefault="00584FB3">
            <w:pPr>
              <w:rPr>
                <w:rFonts w:ascii="宋体"/>
                <w:vanish/>
              </w:rPr>
            </w:pPr>
          </w:p>
        </w:tc>
        <w:tc>
          <w:tcPr>
            <w:tcW w:w="0" w:type="auto"/>
            <w:gridSpan w:val="3"/>
            <w:shd w:val="clear" w:color="auto" w:fill="auto"/>
          </w:tcPr>
          <w:p w14:paraId="40CB18A0" w14:textId="77777777" w:rsidR="00584FB3" w:rsidRDefault="00584FB3">
            <w:pPr>
              <w:rPr>
                <w:rFonts w:ascii="宋体"/>
                <w:vanish/>
              </w:rPr>
            </w:pPr>
          </w:p>
        </w:tc>
        <w:tc>
          <w:tcPr>
            <w:tcW w:w="0" w:type="auto"/>
            <w:gridSpan w:val="3"/>
            <w:shd w:val="clear" w:color="auto" w:fill="auto"/>
          </w:tcPr>
          <w:p w14:paraId="40CB18A1" w14:textId="77777777" w:rsidR="00584FB3" w:rsidRDefault="00584FB3">
            <w:pPr>
              <w:rPr>
                <w:rFonts w:ascii="宋体"/>
                <w:vanish/>
              </w:rPr>
            </w:pPr>
          </w:p>
        </w:tc>
        <w:tc>
          <w:tcPr>
            <w:tcW w:w="0" w:type="auto"/>
            <w:gridSpan w:val="3"/>
            <w:shd w:val="clear" w:color="auto" w:fill="auto"/>
          </w:tcPr>
          <w:p w14:paraId="40CB18A2" w14:textId="77777777" w:rsidR="00584FB3" w:rsidRDefault="00584FB3">
            <w:pPr>
              <w:rPr>
                <w:rFonts w:ascii="宋体"/>
                <w:vanish/>
              </w:rPr>
            </w:pPr>
          </w:p>
        </w:tc>
        <w:tc>
          <w:tcPr>
            <w:tcW w:w="0" w:type="auto"/>
            <w:gridSpan w:val="3"/>
            <w:shd w:val="clear" w:color="auto" w:fill="auto"/>
          </w:tcPr>
          <w:p w14:paraId="40CB18A3" w14:textId="77777777" w:rsidR="00584FB3" w:rsidRDefault="00584FB3">
            <w:pPr>
              <w:rPr>
                <w:rFonts w:ascii="宋体"/>
                <w:vanish/>
              </w:rPr>
            </w:pPr>
          </w:p>
        </w:tc>
      </w:tr>
      <w:tr w:rsidR="00584FB3" w14:paraId="40CB18AC" w14:textId="77777777">
        <w:trPr>
          <w:hidden/>
        </w:trPr>
        <w:tc>
          <w:tcPr>
            <w:tcW w:w="0" w:type="auto"/>
            <w:gridSpan w:val="3"/>
            <w:shd w:val="clear" w:color="auto" w:fill="auto"/>
          </w:tcPr>
          <w:p w14:paraId="40CB18A5" w14:textId="77777777" w:rsidR="00584FB3" w:rsidRDefault="00584FB3">
            <w:pPr>
              <w:rPr>
                <w:rFonts w:ascii="宋体"/>
                <w:vanish/>
              </w:rPr>
            </w:pPr>
          </w:p>
        </w:tc>
        <w:tc>
          <w:tcPr>
            <w:tcW w:w="0" w:type="auto"/>
            <w:gridSpan w:val="3"/>
            <w:shd w:val="clear" w:color="auto" w:fill="auto"/>
          </w:tcPr>
          <w:p w14:paraId="40CB18A6" w14:textId="77777777" w:rsidR="00584FB3" w:rsidRDefault="00584FB3">
            <w:pPr>
              <w:rPr>
                <w:rFonts w:ascii="宋体"/>
                <w:vanish/>
              </w:rPr>
            </w:pPr>
          </w:p>
        </w:tc>
        <w:tc>
          <w:tcPr>
            <w:tcW w:w="0" w:type="auto"/>
            <w:gridSpan w:val="3"/>
            <w:shd w:val="clear" w:color="auto" w:fill="auto"/>
          </w:tcPr>
          <w:p w14:paraId="40CB18A7" w14:textId="77777777" w:rsidR="00584FB3" w:rsidRDefault="00584FB3">
            <w:pPr>
              <w:rPr>
                <w:rFonts w:ascii="宋体"/>
                <w:vanish/>
              </w:rPr>
            </w:pPr>
          </w:p>
        </w:tc>
        <w:tc>
          <w:tcPr>
            <w:tcW w:w="0" w:type="auto"/>
            <w:gridSpan w:val="3"/>
            <w:shd w:val="clear" w:color="auto" w:fill="auto"/>
          </w:tcPr>
          <w:p w14:paraId="40CB18A8" w14:textId="77777777" w:rsidR="00584FB3" w:rsidRDefault="00584FB3">
            <w:pPr>
              <w:rPr>
                <w:rFonts w:ascii="宋体"/>
                <w:vanish/>
              </w:rPr>
            </w:pPr>
          </w:p>
        </w:tc>
        <w:tc>
          <w:tcPr>
            <w:tcW w:w="0" w:type="auto"/>
            <w:gridSpan w:val="3"/>
            <w:shd w:val="clear" w:color="auto" w:fill="auto"/>
          </w:tcPr>
          <w:p w14:paraId="40CB18A9" w14:textId="77777777" w:rsidR="00584FB3" w:rsidRDefault="00584FB3">
            <w:pPr>
              <w:rPr>
                <w:rFonts w:ascii="宋体"/>
                <w:vanish/>
              </w:rPr>
            </w:pPr>
          </w:p>
        </w:tc>
        <w:tc>
          <w:tcPr>
            <w:tcW w:w="0" w:type="auto"/>
            <w:gridSpan w:val="3"/>
            <w:shd w:val="clear" w:color="auto" w:fill="auto"/>
          </w:tcPr>
          <w:p w14:paraId="40CB18AA" w14:textId="77777777" w:rsidR="00584FB3" w:rsidRDefault="00584FB3">
            <w:pPr>
              <w:rPr>
                <w:rFonts w:ascii="宋体"/>
                <w:vanish/>
              </w:rPr>
            </w:pPr>
          </w:p>
        </w:tc>
        <w:tc>
          <w:tcPr>
            <w:tcW w:w="0" w:type="auto"/>
            <w:gridSpan w:val="3"/>
            <w:shd w:val="clear" w:color="auto" w:fill="auto"/>
          </w:tcPr>
          <w:p w14:paraId="40CB18AB" w14:textId="77777777" w:rsidR="00584FB3" w:rsidRDefault="00584FB3">
            <w:pPr>
              <w:rPr>
                <w:rFonts w:ascii="宋体"/>
                <w:vanish/>
              </w:rPr>
            </w:pPr>
          </w:p>
        </w:tc>
      </w:tr>
      <w:tr w:rsidR="00584FB3" w14:paraId="40CB18B4" w14:textId="77777777">
        <w:trPr>
          <w:hidden/>
        </w:trPr>
        <w:tc>
          <w:tcPr>
            <w:tcW w:w="0" w:type="auto"/>
            <w:gridSpan w:val="3"/>
            <w:shd w:val="clear" w:color="auto" w:fill="auto"/>
          </w:tcPr>
          <w:p w14:paraId="40CB18AD" w14:textId="77777777" w:rsidR="00584FB3" w:rsidRDefault="00584FB3">
            <w:pPr>
              <w:rPr>
                <w:rFonts w:ascii="宋体"/>
                <w:vanish/>
              </w:rPr>
            </w:pPr>
          </w:p>
        </w:tc>
        <w:tc>
          <w:tcPr>
            <w:tcW w:w="0" w:type="auto"/>
            <w:gridSpan w:val="3"/>
            <w:shd w:val="clear" w:color="auto" w:fill="auto"/>
          </w:tcPr>
          <w:p w14:paraId="40CB18AE" w14:textId="77777777" w:rsidR="00584FB3" w:rsidRDefault="00584FB3">
            <w:pPr>
              <w:rPr>
                <w:rFonts w:ascii="宋体"/>
                <w:vanish/>
              </w:rPr>
            </w:pPr>
          </w:p>
        </w:tc>
        <w:tc>
          <w:tcPr>
            <w:tcW w:w="0" w:type="auto"/>
            <w:gridSpan w:val="3"/>
            <w:shd w:val="clear" w:color="auto" w:fill="auto"/>
          </w:tcPr>
          <w:p w14:paraId="40CB18AF" w14:textId="77777777" w:rsidR="00584FB3" w:rsidRDefault="00584FB3">
            <w:pPr>
              <w:rPr>
                <w:rFonts w:ascii="宋体"/>
                <w:vanish/>
              </w:rPr>
            </w:pPr>
          </w:p>
        </w:tc>
        <w:tc>
          <w:tcPr>
            <w:tcW w:w="0" w:type="auto"/>
            <w:gridSpan w:val="3"/>
            <w:shd w:val="clear" w:color="auto" w:fill="auto"/>
          </w:tcPr>
          <w:p w14:paraId="40CB18B0" w14:textId="77777777" w:rsidR="00584FB3" w:rsidRDefault="00584FB3">
            <w:pPr>
              <w:rPr>
                <w:rFonts w:ascii="宋体"/>
                <w:vanish/>
              </w:rPr>
            </w:pPr>
          </w:p>
        </w:tc>
        <w:tc>
          <w:tcPr>
            <w:tcW w:w="0" w:type="auto"/>
            <w:gridSpan w:val="3"/>
            <w:shd w:val="clear" w:color="auto" w:fill="auto"/>
          </w:tcPr>
          <w:p w14:paraId="40CB18B1" w14:textId="77777777" w:rsidR="00584FB3" w:rsidRDefault="00584FB3">
            <w:pPr>
              <w:rPr>
                <w:rFonts w:ascii="宋体"/>
                <w:vanish/>
              </w:rPr>
            </w:pPr>
          </w:p>
        </w:tc>
        <w:tc>
          <w:tcPr>
            <w:tcW w:w="0" w:type="auto"/>
            <w:gridSpan w:val="3"/>
            <w:shd w:val="clear" w:color="auto" w:fill="auto"/>
          </w:tcPr>
          <w:p w14:paraId="40CB18B2" w14:textId="77777777" w:rsidR="00584FB3" w:rsidRDefault="00584FB3">
            <w:pPr>
              <w:rPr>
                <w:rFonts w:ascii="宋体"/>
                <w:vanish/>
              </w:rPr>
            </w:pPr>
          </w:p>
        </w:tc>
        <w:tc>
          <w:tcPr>
            <w:tcW w:w="0" w:type="auto"/>
            <w:gridSpan w:val="3"/>
            <w:shd w:val="clear" w:color="auto" w:fill="auto"/>
          </w:tcPr>
          <w:p w14:paraId="40CB18B3" w14:textId="77777777" w:rsidR="00584FB3" w:rsidRDefault="00584FB3">
            <w:pPr>
              <w:rPr>
                <w:rFonts w:ascii="宋体"/>
                <w:vanish/>
              </w:rPr>
            </w:pPr>
          </w:p>
        </w:tc>
      </w:tr>
      <w:tr w:rsidR="00584FB3" w14:paraId="40CB18BC" w14:textId="77777777">
        <w:trPr>
          <w:hidden/>
        </w:trPr>
        <w:tc>
          <w:tcPr>
            <w:tcW w:w="0" w:type="auto"/>
            <w:gridSpan w:val="3"/>
            <w:shd w:val="clear" w:color="auto" w:fill="auto"/>
          </w:tcPr>
          <w:p w14:paraId="40CB18B5" w14:textId="77777777" w:rsidR="00584FB3" w:rsidRDefault="00584FB3">
            <w:pPr>
              <w:rPr>
                <w:rFonts w:ascii="宋体"/>
                <w:vanish/>
              </w:rPr>
            </w:pPr>
          </w:p>
        </w:tc>
        <w:tc>
          <w:tcPr>
            <w:tcW w:w="0" w:type="auto"/>
            <w:gridSpan w:val="3"/>
            <w:shd w:val="clear" w:color="auto" w:fill="auto"/>
          </w:tcPr>
          <w:p w14:paraId="40CB18B6" w14:textId="77777777" w:rsidR="00584FB3" w:rsidRDefault="00584FB3">
            <w:pPr>
              <w:rPr>
                <w:rFonts w:ascii="宋体"/>
                <w:vanish/>
              </w:rPr>
            </w:pPr>
          </w:p>
        </w:tc>
        <w:tc>
          <w:tcPr>
            <w:tcW w:w="0" w:type="auto"/>
            <w:gridSpan w:val="3"/>
            <w:shd w:val="clear" w:color="auto" w:fill="auto"/>
          </w:tcPr>
          <w:p w14:paraId="40CB18B7" w14:textId="77777777" w:rsidR="00584FB3" w:rsidRDefault="00584FB3">
            <w:pPr>
              <w:rPr>
                <w:rFonts w:ascii="宋体"/>
                <w:vanish/>
              </w:rPr>
            </w:pPr>
          </w:p>
        </w:tc>
        <w:tc>
          <w:tcPr>
            <w:tcW w:w="0" w:type="auto"/>
            <w:gridSpan w:val="3"/>
            <w:shd w:val="clear" w:color="auto" w:fill="auto"/>
          </w:tcPr>
          <w:p w14:paraId="40CB18B8" w14:textId="77777777" w:rsidR="00584FB3" w:rsidRDefault="00584FB3">
            <w:pPr>
              <w:rPr>
                <w:rFonts w:ascii="宋体"/>
                <w:vanish/>
              </w:rPr>
            </w:pPr>
          </w:p>
        </w:tc>
        <w:tc>
          <w:tcPr>
            <w:tcW w:w="0" w:type="auto"/>
            <w:gridSpan w:val="3"/>
            <w:shd w:val="clear" w:color="auto" w:fill="auto"/>
          </w:tcPr>
          <w:p w14:paraId="40CB18B9" w14:textId="77777777" w:rsidR="00584FB3" w:rsidRDefault="00584FB3">
            <w:pPr>
              <w:rPr>
                <w:rFonts w:ascii="宋体"/>
                <w:vanish/>
              </w:rPr>
            </w:pPr>
          </w:p>
        </w:tc>
        <w:tc>
          <w:tcPr>
            <w:tcW w:w="0" w:type="auto"/>
            <w:gridSpan w:val="3"/>
            <w:shd w:val="clear" w:color="auto" w:fill="auto"/>
          </w:tcPr>
          <w:p w14:paraId="40CB18BA" w14:textId="77777777" w:rsidR="00584FB3" w:rsidRDefault="00584FB3">
            <w:pPr>
              <w:rPr>
                <w:rFonts w:ascii="宋体"/>
                <w:vanish/>
              </w:rPr>
            </w:pPr>
          </w:p>
        </w:tc>
        <w:tc>
          <w:tcPr>
            <w:tcW w:w="0" w:type="auto"/>
            <w:gridSpan w:val="3"/>
            <w:shd w:val="clear" w:color="auto" w:fill="auto"/>
          </w:tcPr>
          <w:p w14:paraId="40CB18BB" w14:textId="77777777" w:rsidR="00584FB3" w:rsidRDefault="00584FB3">
            <w:pPr>
              <w:rPr>
                <w:rFonts w:ascii="宋体"/>
                <w:vanish/>
              </w:rPr>
            </w:pPr>
          </w:p>
        </w:tc>
      </w:tr>
      <w:tr w:rsidR="00584FB3" w14:paraId="40CB18C4" w14:textId="77777777">
        <w:trPr>
          <w:hidden/>
        </w:trPr>
        <w:tc>
          <w:tcPr>
            <w:tcW w:w="0" w:type="auto"/>
            <w:gridSpan w:val="3"/>
            <w:shd w:val="clear" w:color="auto" w:fill="auto"/>
          </w:tcPr>
          <w:p w14:paraId="40CB18BD" w14:textId="77777777" w:rsidR="00584FB3" w:rsidRDefault="00584FB3">
            <w:pPr>
              <w:rPr>
                <w:rFonts w:ascii="宋体"/>
                <w:vanish/>
              </w:rPr>
            </w:pPr>
          </w:p>
        </w:tc>
        <w:tc>
          <w:tcPr>
            <w:tcW w:w="0" w:type="auto"/>
            <w:gridSpan w:val="3"/>
            <w:shd w:val="clear" w:color="auto" w:fill="auto"/>
          </w:tcPr>
          <w:p w14:paraId="40CB18BE" w14:textId="77777777" w:rsidR="00584FB3" w:rsidRDefault="00584FB3">
            <w:pPr>
              <w:rPr>
                <w:rFonts w:ascii="宋体"/>
                <w:vanish/>
              </w:rPr>
            </w:pPr>
          </w:p>
        </w:tc>
        <w:tc>
          <w:tcPr>
            <w:tcW w:w="0" w:type="auto"/>
            <w:gridSpan w:val="3"/>
            <w:shd w:val="clear" w:color="auto" w:fill="auto"/>
          </w:tcPr>
          <w:p w14:paraId="40CB18BF" w14:textId="77777777" w:rsidR="00584FB3" w:rsidRDefault="00584FB3">
            <w:pPr>
              <w:rPr>
                <w:rFonts w:ascii="宋体"/>
                <w:vanish/>
              </w:rPr>
            </w:pPr>
          </w:p>
        </w:tc>
        <w:tc>
          <w:tcPr>
            <w:tcW w:w="0" w:type="auto"/>
            <w:gridSpan w:val="3"/>
            <w:shd w:val="clear" w:color="auto" w:fill="auto"/>
          </w:tcPr>
          <w:p w14:paraId="40CB18C0" w14:textId="77777777" w:rsidR="00584FB3" w:rsidRDefault="00584FB3">
            <w:pPr>
              <w:rPr>
                <w:rFonts w:ascii="宋体"/>
                <w:vanish/>
              </w:rPr>
            </w:pPr>
          </w:p>
        </w:tc>
        <w:tc>
          <w:tcPr>
            <w:tcW w:w="0" w:type="auto"/>
            <w:gridSpan w:val="3"/>
            <w:shd w:val="clear" w:color="auto" w:fill="auto"/>
          </w:tcPr>
          <w:p w14:paraId="40CB18C1" w14:textId="77777777" w:rsidR="00584FB3" w:rsidRDefault="00584FB3">
            <w:pPr>
              <w:rPr>
                <w:rFonts w:ascii="宋体"/>
                <w:vanish/>
              </w:rPr>
            </w:pPr>
          </w:p>
        </w:tc>
        <w:tc>
          <w:tcPr>
            <w:tcW w:w="0" w:type="auto"/>
            <w:gridSpan w:val="3"/>
            <w:shd w:val="clear" w:color="auto" w:fill="auto"/>
          </w:tcPr>
          <w:p w14:paraId="40CB18C2" w14:textId="77777777" w:rsidR="00584FB3" w:rsidRDefault="00584FB3">
            <w:pPr>
              <w:rPr>
                <w:rFonts w:ascii="宋体"/>
                <w:vanish/>
              </w:rPr>
            </w:pPr>
          </w:p>
        </w:tc>
        <w:tc>
          <w:tcPr>
            <w:tcW w:w="0" w:type="auto"/>
            <w:gridSpan w:val="3"/>
            <w:shd w:val="clear" w:color="auto" w:fill="auto"/>
          </w:tcPr>
          <w:p w14:paraId="40CB18C3" w14:textId="77777777" w:rsidR="00584FB3" w:rsidRDefault="00584FB3">
            <w:pPr>
              <w:rPr>
                <w:rFonts w:ascii="宋体"/>
                <w:vanish/>
              </w:rPr>
            </w:pPr>
          </w:p>
        </w:tc>
      </w:tr>
      <w:tr w:rsidR="00584FB3" w14:paraId="40CB18CC" w14:textId="77777777">
        <w:trPr>
          <w:hidden/>
        </w:trPr>
        <w:tc>
          <w:tcPr>
            <w:tcW w:w="0" w:type="auto"/>
            <w:gridSpan w:val="3"/>
            <w:shd w:val="clear" w:color="auto" w:fill="auto"/>
          </w:tcPr>
          <w:p w14:paraId="40CB18C5" w14:textId="77777777" w:rsidR="00584FB3" w:rsidRDefault="00584FB3">
            <w:pPr>
              <w:rPr>
                <w:rFonts w:ascii="宋体"/>
                <w:vanish/>
              </w:rPr>
            </w:pPr>
          </w:p>
        </w:tc>
        <w:tc>
          <w:tcPr>
            <w:tcW w:w="0" w:type="auto"/>
            <w:gridSpan w:val="3"/>
            <w:shd w:val="clear" w:color="auto" w:fill="auto"/>
          </w:tcPr>
          <w:p w14:paraId="40CB18C6" w14:textId="77777777" w:rsidR="00584FB3" w:rsidRDefault="00584FB3">
            <w:pPr>
              <w:rPr>
                <w:rFonts w:ascii="宋体"/>
                <w:vanish/>
              </w:rPr>
            </w:pPr>
          </w:p>
        </w:tc>
        <w:tc>
          <w:tcPr>
            <w:tcW w:w="0" w:type="auto"/>
            <w:gridSpan w:val="3"/>
            <w:shd w:val="clear" w:color="auto" w:fill="auto"/>
          </w:tcPr>
          <w:p w14:paraId="40CB18C7" w14:textId="77777777" w:rsidR="00584FB3" w:rsidRDefault="00584FB3">
            <w:pPr>
              <w:rPr>
                <w:rFonts w:ascii="宋体"/>
                <w:vanish/>
              </w:rPr>
            </w:pPr>
          </w:p>
        </w:tc>
        <w:tc>
          <w:tcPr>
            <w:tcW w:w="0" w:type="auto"/>
            <w:gridSpan w:val="3"/>
            <w:shd w:val="clear" w:color="auto" w:fill="auto"/>
          </w:tcPr>
          <w:p w14:paraId="40CB18C8" w14:textId="77777777" w:rsidR="00584FB3" w:rsidRDefault="00584FB3">
            <w:pPr>
              <w:rPr>
                <w:rFonts w:ascii="宋体"/>
                <w:vanish/>
              </w:rPr>
            </w:pPr>
          </w:p>
        </w:tc>
        <w:tc>
          <w:tcPr>
            <w:tcW w:w="0" w:type="auto"/>
            <w:gridSpan w:val="3"/>
            <w:shd w:val="clear" w:color="auto" w:fill="auto"/>
          </w:tcPr>
          <w:p w14:paraId="40CB18C9" w14:textId="77777777" w:rsidR="00584FB3" w:rsidRDefault="00584FB3">
            <w:pPr>
              <w:rPr>
                <w:rFonts w:ascii="宋体"/>
                <w:vanish/>
              </w:rPr>
            </w:pPr>
          </w:p>
        </w:tc>
        <w:tc>
          <w:tcPr>
            <w:tcW w:w="0" w:type="auto"/>
            <w:gridSpan w:val="3"/>
            <w:shd w:val="clear" w:color="auto" w:fill="auto"/>
          </w:tcPr>
          <w:p w14:paraId="40CB18CA" w14:textId="77777777" w:rsidR="00584FB3" w:rsidRDefault="00584FB3">
            <w:pPr>
              <w:rPr>
                <w:rFonts w:ascii="宋体"/>
                <w:vanish/>
              </w:rPr>
            </w:pPr>
          </w:p>
        </w:tc>
        <w:tc>
          <w:tcPr>
            <w:tcW w:w="0" w:type="auto"/>
            <w:gridSpan w:val="3"/>
            <w:shd w:val="clear" w:color="auto" w:fill="auto"/>
          </w:tcPr>
          <w:p w14:paraId="40CB18CB" w14:textId="77777777" w:rsidR="00584FB3" w:rsidRDefault="00584FB3">
            <w:pPr>
              <w:rPr>
                <w:rFonts w:ascii="宋体"/>
                <w:vanish/>
              </w:rPr>
            </w:pPr>
          </w:p>
        </w:tc>
      </w:tr>
      <w:tr w:rsidR="00584FB3" w14:paraId="40CB18D4" w14:textId="77777777">
        <w:trPr>
          <w:hidden/>
        </w:trPr>
        <w:tc>
          <w:tcPr>
            <w:tcW w:w="0" w:type="auto"/>
            <w:gridSpan w:val="3"/>
            <w:shd w:val="clear" w:color="auto" w:fill="auto"/>
          </w:tcPr>
          <w:p w14:paraId="40CB18CD" w14:textId="77777777" w:rsidR="00584FB3" w:rsidRDefault="00584FB3">
            <w:pPr>
              <w:rPr>
                <w:rFonts w:ascii="宋体"/>
                <w:vanish/>
              </w:rPr>
            </w:pPr>
          </w:p>
        </w:tc>
        <w:tc>
          <w:tcPr>
            <w:tcW w:w="0" w:type="auto"/>
            <w:gridSpan w:val="3"/>
            <w:shd w:val="clear" w:color="auto" w:fill="auto"/>
          </w:tcPr>
          <w:p w14:paraId="40CB18CE" w14:textId="77777777" w:rsidR="00584FB3" w:rsidRDefault="00584FB3">
            <w:pPr>
              <w:rPr>
                <w:rFonts w:ascii="宋体"/>
                <w:vanish/>
              </w:rPr>
            </w:pPr>
          </w:p>
        </w:tc>
        <w:tc>
          <w:tcPr>
            <w:tcW w:w="0" w:type="auto"/>
            <w:gridSpan w:val="3"/>
            <w:shd w:val="clear" w:color="auto" w:fill="auto"/>
          </w:tcPr>
          <w:p w14:paraId="40CB18CF" w14:textId="77777777" w:rsidR="00584FB3" w:rsidRDefault="00584FB3">
            <w:pPr>
              <w:rPr>
                <w:rFonts w:ascii="宋体"/>
                <w:vanish/>
              </w:rPr>
            </w:pPr>
          </w:p>
        </w:tc>
        <w:tc>
          <w:tcPr>
            <w:tcW w:w="0" w:type="auto"/>
            <w:gridSpan w:val="3"/>
            <w:shd w:val="clear" w:color="auto" w:fill="auto"/>
          </w:tcPr>
          <w:p w14:paraId="40CB18D0" w14:textId="77777777" w:rsidR="00584FB3" w:rsidRDefault="00584FB3">
            <w:pPr>
              <w:rPr>
                <w:rFonts w:ascii="宋体"/>
                <w:vanish/>
              </w:rPr>
            </w:pPr>
          </w:p>
        </w:tc>
        <w:tc>
          <w:tcPr>
            <w:tcW w:w="0" w:type="auto"/>
            <w:gridSpan w:val="3"/>
            <w:shd w:val="clear" w:color="auto" w:fill="auto"/>
          </w:tcPr>
          <w:p w14:paraId="40CB18D1" w14:textId="77777777" w:rsidR="00584FB3" w:rsidRDefault="00584FB3">
            <w:pPr>
              <w:rPr>
                <w:rFonts w:ascii="宋体"/>
                <w:vanish/>
              </w:rPr>
            </w:pPr>
          </w:p>
        </w:tc>
        <w:tc>
          <w:tcPr>
            <w:tcW w:w="0" w:type="auto"/>
            <w:gridSpan w:val="3"/>
            <w:shd w:val="clear" w:color="auto" w:fill="auto"/>
          </w:tcPr>
          <w:p w14:paraId="40CB18D2" w14:textId="77777777" w:rsidR="00584FB3" w:rsidRDefault="00584FB3">
            <w:pPr>
              <w:rPr>
                <w:rFonts w:ascii="宋体"/>
                <w:vanish/>
              </w:rPr>
            </w:pPr>
          </w:p>
        </w:tc>
        <w:tc>
          <w:tcPr>
            <w:tcW w:w="0" w:type="auto"/>
            <w:gridSpan w:val="3"/>
            <w:shd w:val="clear" w:color="auto" w:fill="auto"/>
          </w:tcPr>
          <w:p w14:paraId="40CB18D3" w14:textId="77777777" w:rsidR="00584FB3" w:rsidRDefault="00584FB3">
            <w:pPr>
              <w:rPr>
                <w:rFonts w:ascii="宋体"/>
                <w:vanish/>
              </w:rPr>
            </w:pPr>
          </w:p>
        </w:tc>
      </w:tr>
      <w:tr w:rsidR="00584FB3" w14:paraId="40CB18DC" w14:textId="77777777">
        <w:trPr>
          <w:hidden/>
        </w:trPr>
        <w:tc>
          <w:tcPr>
            <w:tcW w:w="0" w:type="auto"/>
            <w:gridSpan w:val="3"/>
            <w:shd w:val="clear" w:color="auto" w:fill="auto"/>
          </w:tcPr>
          <w:p w14:paraId="40CB18D5" w14:textId="77777777" w:rsidR="00584FB3" w:rsidRDefault="00584FB3">
            <w:pPr>
              <w:rPr>
                <w:rFonts w:ascii="宋体"/>
                <w:vanish/>
              </w:rPr>
            </w:pPr>
          </w:p>
        </w:tc>
        <w:tc>
          <w:tcPr>
            <w:tcW w:w="0" w:type="auto"/>
            <w:gridSpan w:val="3"/>
            <w:shd w:val="clear" w:color="auto" w:fill="auto"/>
          </w:tcPr>
          <w:p w14:paraId="40CB18D6" w14:textId="77777777" w:rsidR="00584FB3" w:rsidRDefault="00584FB3">
            <w:pPr>
              <w:rPr>
                <w:rFonts w:ascii="宋体"/>
                <w:vanish/>
              </w:rPr>
            </w:pPr>
          </w:p>
        </w:tc>
        <w:tc>
          <w:tcPr>
            <w:tcW w:w="0" w:type="auto"/>
            <w:gridSpan w:val="3"/>
            <w:shd w:val="clear" w:color="auto" w:fill="auto"/>
          </w:tcPr>
          <w:p w14:paraId="40CB18D7" w14:textId="77777777" w:rsidR="00584FB3" w:rsidRDefault="00584FB3">
            <w:pPr>
              <w:rPr>
                <w:rFonts w:ascii="宋体"/>
                <w:vanish/>
              </w:rPr>
            </w:pPr>
          </w:p>
        </w:tc>
        <w:tc>
          <w:tcPr>
            <w:tcW w:w="0" w:type="auto"/>
            <w:gridSpan w:val="3"/>
            <w:shd w:val="clear" w:color="auto" w:fill="auto"/>
          </w:tcPr>
          <w:p w14:paraId="40CB18D8" w14:textId="77777777" w:rsidR="00584FB3" w:rsidRDefault="00584FB3">
            <w:pPr>
              <w:rPr>
                <w:rFonts w:ascii="宋体"/>
                <w:vanish/>
              </w:rPr>
            </w:pPr>
          </w:p>
        </w:tc>
        <w:tc>
          <w:tcPr>
            <w:tcW w:w="0" w:type="auto"/>
            <w:gridSpan w:val="3"/>
            <w:shd w:val="clear" w:color="auto" w:fill="auto"/>
          </w:tcPr>
          <w:p w14:paraId="40CB18D9" w14:textId="77777777" w:rsidR="00584FB3" w:rsidRDefault="00584FB3">
            <w:pPr>
              <w:rPr>
                <w:rFonts w:ascii="宋体"/>
                <w:vanish/>
              </w:rPr>
            </w:pPr>
          </w:p>
        </w:tc>
        <w:tc>
          <w:tcPr>
            <w:tcW w:w="0" w:type="auto"/>
            <w:gridSpan w:val="3"/>
            <w:shd w:val="clear" w:color="auto" w:fill="auto"/>
          </w:tcPr>
          <w:p w14:paraId="40CB18DA" w14:textId="77777777" w:rsidR="00584FB3" w:rsidRDefault="00584FB3">
            <w:pPr>
              <w:rPr>
                <w:rFonts w:ascii="宋体"/>
                <w:vanish/>
              </w:rPr>
            </w:pPr>
          </w:p>
        </w:tc>
        <w:tc>
          <w:tcPr>
            <w:tcW w:w="0" w:type="auto"/>
            <w:gridSpan w:val="3"/>
            <w:shd w:val="clear" w:color="auto" w:fill="auto"/>
          </w:tcPr>
          <w:p w14:paraId="40CB18DB" w14:textId="77777777" w:rsidR="00584FB3" w:rsidRDefault="00584FB3">
            <w:pPr>
              <w:rPr>
                <w:rFonts w:ascii="宋体"/>
                <w:vanish/>
              </w:rPr>
            </w:pPr>
          </w:p>
        </w:tc>
      </w:tr>
      <w:tr w:rsidR="00584FB3" w14:paraId="40CB18F0" w14:textId="77777777">
        <w:trPr>
          <w:hidden/>
        </w:trPr>
        <w:tc>
          <w:tcPr>
            <w:tcW w:w="0" w:type="auto"/>
            <w:gridSpan w:val="3"/>
            <w:shd w:val="clear" w:color="auto" w:fill="auto"/>
          </w:tcPr>
          <w:p w14:paraId="40CB18DD" w14:textId="77777777" w:rsidR="00584FB3" w:rsidRDefault="00584FB3">
            <w:pPr>
              <w:rPr>
                <w:rFonts w:ascii="宋体"/>
                <w:vanish/>
              </w:rPr>
            </w:pPr>
          </w:p>
        </w:tc>
        <w:tc>
          <w:tcPr>
            <w:tcW w:w="0" w:type="auto"/>
            <w:shd w:val="clear" w:color="auto" w:fill="auto"/>
          </w:tcPr>
          <w:p w14:paraId="40CB18DE" w14:textId="77777777" w:rsidR="00584FB3" w:rsidRDefault="00584FB3">
            <w:pPr>
              <w:rPr>
                <w:rFonts w:ascii="宋体"/>
              </w:rPr>
            </w:pPr>
          </w:p>
        </w:tc>
        <w:tc>
          <w:tcPr>
            <w:tcW w:w="0" w:type="auto"/>
            <w:shd w:val="clear" w:color="auto" w:fill="auto"/>
          </w:tcPr>
          <w:p w14:paraId="40CB18DF" w14:textId="77777777" w:rsidR="00584FB3" w:rsidRDefault="00584FB3">
            <w:pPr>
              <w:rPr>
                <w:rFonts w:ascii="宋体"/>
              </w:rPr>
            </w:pPr>
          </w:p>
        </w:tc>
        <w:tc>
          <w:tcPr>
            <w:tcW w:w="0" w:type="auto"/>
            <w:shd w:val="clear" w:color="auto" w:fill="auto"/>
          </w:tcPr>
          <w:p w14:paraId="40CB18E0" w14:textId="77777777" w:rsidR="00584FB3" w:rsidRDefault="00584FB3">
            <w:pPr>
              <w:rPr>
                <w:rFonts w:ascii="宋体"/>
              </w:rPr>
            </w:pPr>
          </w:p>
        </w:tc>
        <w:tc>
          <w:tcPr>
            <w:tcW w:w="0" w:type="auto"/>
            <w:shd w:val="clear" w:color="auto" w:fill="auto"/>
          </w:tcPr>
          <w:p w14:paraId="40CB18E1" w14:textId="77777777" w:rsidR="00584FB3" w:rsidRDefault="00584FB3">
            <w:pPr>
              <w:rPr>
                <w:rFonts w:ascii="宋体"/>
              </w:rPr>
            </w:pPr>
          </w:p>
        </w:tc>
        <w:tc>
          <w:tcPr>
            <w:tcW w:w="0" w:type="auto"/>
            <w:shd w:val="clear" w:color="auto" w:fill="auto"/>
          </w:tcPr>
          <w:p w14:paraId="40CB18E2" w14:textId="77777777" w:rsidR="00584FB3" w:rsidRDefault="00584FB3">
            <w:pPr>
              <w:rPr>
                <w:rFonts w:ascii="宋体"/>
              </w:rPr>
            </w:pPr>
          </w:p>
        </w:tc>
        <w:tc>
          <w:tcPr>
            <w:tcW w:w="0" w:type="auto"/>
            <w:shd w:val="clear" w:color="auto" w:fill="auto"/>
          </w:tcPr>
          <w:p w14:paraId="40CB18E3" w14:textId="77777777" w:rsidR="00584FB3" w:rsidRDefault="00584FB3">
            <w:pPr>
              <w:rPr>
                <w:rFonts w:ascii="宋体"/>
              </w:rPr>
            </w:pPr>
          </w:p>
        </w:tc>
        <w:tc>
          <w:tcPr>
            <w:tcW w:w="0" w:type="auto"/>
            <w:shd w:val="clear" w:color="auto" w:fill="auto"/>
          </w:tcPr>
          <w:p w14:paraId="40CB18E4" w14:textId="77777777" w:rsidR="00584FB3" w:rsidRDefault="00584FB3">
            <w:pPr>
              <w:rPr>
                <w:rFonts w:ascii="宋体"/>
              </w:rPr>
            </w:pPr>
          </w:p>
        </w:tc>
        <w:tc>
          <w:tcPr>
            <w:tcW w:w="0" w:type="auto"/>
            <w:shd w:val="clear" w:color="auto" w:fill="auto"/>
          </w:tcPr>
          <w:p w14:paraId="40CB18E5" w14:textId="77777777" w:rsidR="00584FB3" w:rsidRDefault="00584FB3">
            <w:pPr>
              <w:rPr>
                <w:rFonts w:ascii="宋体"/>
              </w:rPr>
            </w:pPr>
          </w:p>
        </w:tc>
        <w:tc>
          <w:tcPr>
            <w:tcW w:w="0" w:type="auto"/>
            <w:shd w:val="clear" w:color="auto" w:fill="auto"/>
          </w:tcPr>
          <w:p w14:paraId="40CB18E6" w14:textId="77777777" w:rsidR="00584FB3" w:rsidRDefault="00584FB3">
            <w:pPr>
              <w:rPr>
                <w:rFonts w:ascii="宋体"/>
              </w:rPr>
            </w:pPr>
          </w:p>
        </w:tc>
        <w:tc>
          <w:tcPr>
            <w:tcW w:w="0" w:type="auto"/>
            <w:shd w:val="clear" w:color="auto" w:fill="auto"/>
          </w:tcPr>
          <w:p w14:paraId="40CB18E7" w14:textId="77777777" w:rsidR="00584FB3" w:rsidRDefault="00584FB3">
            <w:pPr>
              <w:rPr>
                <w:rFonts w:ascii="宋体"/>
              </w:rPr>
            </w:pPr>
          </w:p>
        </w:tc>
        <w:tc>
          <w:tcPr>
            <w:tcW w:w="0" w:type="auto"/>
            <w:shd w:val="clear" w:color="auto" w:fill="auto"/>
          </w:tcPr>
          <w:p w14:paraId="40CB18E8" w14:textId="77777777" w:rsidR="00584FB3" w:rsidRDefault="00584FB3">
            <w:pPr>
              <w:rPr>
                <w:rFonts w:ascii="宋体"/>
              </w:rPr>
            </w:pPr>
          </w:p>
        </w:tc>
        <w:tc>
          <w:tcPr>
            <w:tcW w:w="0" w:type="auto"/>
            <w:shd w:val="clear" w:color="auto" w:fill="auto"/>
          </w:tcPr>
          <w:p w14:paraId="40CB18E9" w14:textId="77777777" w:rsidR="00584FB3" w:rsidRDefault="00584FB3">
            <w:pPr>
              <w:rPr>
                <w:rFonts w:ascii="宋体"/>
              </w:rPr>
            </w:pPr>
          </w:p>
        </w:tc>
        <w:tc>
          <w:tcPr>
            <w:tcW w:w="0" w:type="auto"/>
            <w:shd w:val="clear" w:color="auto" w:fill="auto"/>
          </w:tcPr>
          <w:p w14:paraId="40CB18EA" w14:textId="77777777" w:rsidR="00584FB3" w:rsidRDefault="00584FB3">
            <w:pPr>
              <w:rPr>
                <w:rFonts w:ascii="宋体"/>
              </w:rPr>
            </w:pPr>
          </w:p>
        </w:tc>
        <w:tc>
          <w:tcPr>
            <w:tcW w:w="0" w:type="auto"/>
            <w:shd w:val="clear" w:color="auto" w:fill="auto"/>
          </w:tcPr>
          <w:p w14:paraId="40CB18EB" w14:textId="77777777" w:rsidR="00584FB3" w:rsidRDefault="00584FB3">
            <w:pPr>
              <w:rPr>
                <w:rFonts w:ascii="宋体"/>
              </w:rPr>
            </w:pPr>
          </w:p>
        </w:tc>
        <w:tc>
          <w:tcPr>
            <w:tcW w:w="0" w:type="auto"/>
            <w:shd w:val="clear" w:color="auto" w:fill="auto"/>
          </w:tcPr>
          <w:p w14:paraId="40CB18EC" w14:textId="77777777" w:rsidR="00584FB3" w:rsidRDefault="00584FB3">
            <w:pPr>
              <w:rPr>
                <w:rFonts w:ascii="宋体"/>
              </w:rPr>
            </w:pPr>
          </w:p>
        </w:tc>
        <w:tc>
          <w:tcPr>
            <w:tcW w:w="0" w:type="auto"/>
            <w:shd w:val="clear" w:color="auto" w:fill="auto"/>
          </w:tcPr>
          <w:p w14:paraId="40CB18ED" w14:textId="77777777" w:rsidR="00584FB3" w:rsidRDefault="00584FB3">
            <w:pPr>
              <w:rPr>
                <w:rFonts w:ascii="宋体"/>
              </w:rPr>
            </w:pPr>
          </w:p>
        </w:tc>
        <w:tc>
          <w:tcPr>
            <w:tcW w:w="0" w:type="auto"/>
            <w:shd w:val="clear" w:color="auto" w:fill="auto"/>
          </w:tcPr>
          <w:p w14:paraId="40CB18EE" w14:textId="77777777" w:rsidR="00584FB3" w:rsidRDefault="00584FB3">
            <w:pPr>
              <w:rPr>
                <w:rFonts w:ascii="宋体"/>
              </w:rPr>
            </w:pPr>
          </w:p>
        </w:tc>
        <w:tc>
          <w:tcPr>
            <w:tcW w:w="0" w:type="auto"/>
            <w:shd w:val="clear" w:color="auto" w:fill="auto"/>
          </w:tcPr>
          <w:p w14:paraId="40CB18EF" w14:textId="77777777" w:rsidR="00584FB3" w:rsidRDefault="00584FB3">
            <w:pPr>
              <w:rPr>
                <w:rFonts w:ascii="宋体"/>
              </w:rPr>
            </w:pPr>
          </w:p>
        </w:tc>
      </w:tr>
    </w:tbl>
    <w:p w14:paraId="40CB18F1" w14:textId="77777777" w:rsidR="00584FB3" w:rsidRDefault="00786180">
      <w:pPr>
        <w:spacing w:before="120"/>
      </w:pPr>
      <w:r>
        <w:rPr>
          <w:rFonts w:ascii="Times New Roman" w:eastAsia="宋体" w:hAnsi="Times New Roman"/>
          <w:color w:val="000000"/>
          <w:sz w:val="20"/>
          <w:szCs w:val="20"/>
        </w:rPr>
        <w:t xml:space="preserve">In addition to 2.4 billion </w:t>
      </w:r>
      <w:r>
        <w:rPr>
          <w:rFonts w:ascii="Times New Roman" w:eastAsia="宋体" w:hAnsi="Times New Roman"/>
          <w:color w:val="000000"/>
          <w:sz w:val="20"/>
          <w:szCs w:val="20"/>
        </w:rPr>
        <w:t>shares of authorized common stock with $0.001 par value per share, the Company has authorized 7.5 million shares of preferred stock, none of which was outstanding as of December 27, 2020.</w:t>
      </w:r>
    </w:p>
    <w:p w14:paraId="40CB18F2" w14:textId="77777777" w:rsidR="00584FB3" w:rsidRDefault="00786180">
      <w:pPr>
        <w:spacing w:before="120"/>
      </w:pPr>
      <w:r>
        <w:rPr>
          <w:rFonts w:ascii="Times New Roman" w:eastAsia="宋体" w:hAnsi="Times New Roman"/>
          <w:color w:val="000000"/>
          <w:sz w:val="20"/>
          <w:szCs w:val="20"/>
        </w:rPr>
        <w:t xml:space="preserve">As of December 27, 2020, 48.9 million shares remained available for </w:t>
      </w:r>
      <w:r>
        <w:rPr>
          <w:rFonts w:ascii="Times New Roman" w:eastAsia="宋体" w:hAnsi="Times New Roman"/>
          <w:color w:val="000000"/>
          <w:sz w:val="20"/>
          <w:szCs w:val="20"/>
        </w:rPr>
        <w:t>repurchase under current authorizations. We have suspended our share repurchase program until we restore certain financial leverage targets, which we currently expect to occur in late fiscal 2021.</w:t>
      </w:r>
    </w:p>
    <w:p w14:paraId="40CB18F3" w14:textId="77777777" w:rsidR="00584FB3" w:rsidRDefault="00786180">
      <w:pPr>
        <w:spacing w:before="120"/>
      </w:pPr>
      <w:r>
        <w:rPr>
          <w:rFonts w:ascii="Times New Roman" w:eastAsia="宋体" w:hAnsi="Times New Roman"/>
          <w:color w:val="000000"/>
          <w:sz w:val="20"/>
          <w:szCs w:val="20"/>
        </w:rPr>
        <w:t>On September 30, 2020, which was early in the first quarter</w:t>
      </w:r>
      <w:r>
        <w:rPr>
          <w:rFonts w:ascii="Times New Roman" w:eastAsia="宋体" w:hAnsi="Times New Roman"/>
          <w:color w:val="000000"/>
          <w:sz w:val="20"/>
          <w:szCs w:val="20"/>
        </w:rPr>
        <w:t xml:space="preserve"> of fiscal 2021, our Board of Directors approved a quarterly cash dividend to shareholders of $0.45 per share to be paid on November 27, 2020 to shareholders of record as of the close of business on November 12, 2020. In November 2020, our Board of Directo</w:t>
      </w:r>
      <w:r>
        <w:rPr>
          <w:rFonts w:ascii="Times New Roman" w:eastAsia="宋体" w:hAnsi="Times New Roman"/>
          <w:color w:val="000000"/>
          <w:sz w:val="20"/>
          <w:szCs w:val="20"/>
        </w:rPr>
        <w:t>rs approved a quarterly cash dividend to shareholders of $0.45 per share to be paid on March 5, 2021 to shareholders of record as of the close of business on February 18, 2021.</w:t>
      </w:r>
    </w:p>
    <w:p w14:paraId="40CB18F4" w14:textId="77777777" w:rsidR="00584FB3" w:rsidRDefault="00786180">
      <w:pPr>
        <w:jc w:val="center"/>
      </w:pPr>
      <w:r>
        <w:rPr>
          <w:rFonts w:ascii="Times New Roman" w:eastAsia="宋体" w:hAnsi="Times New Roman"/>
          <w:color w:val="000000"/>
          <w:sz w:val="20"/>
          <w:szCs w:val="20"/>
        </w:rPr>
        <w:t>22</w:t>
      </w:r>
    </w:p>
    <w:p w14:paraId="40CB18F5" w14:textId="77777777" w:rsidR="00584FB3" w:rsidRDefault="00786180">
      <w:r>
        <w:pict w14:anchorId="40CB2A4B">
          <v:rect id="_x0000_i1046" style="width:415.3pt;height:1.5pt" o:hralign="center" o:hrstd="t" o:hr="t" fillcolor="#a0a0a0" stroked="f"/>
        </w:pict>
      </w:r>
    </w:p>
    <w:p w14:paraId="40CB18F6" w14:textId="77777777" w:rsidR="00584FB3" w:rsidRDefault="00786180">
      <w:hyperlink r:id="rId98" w:anchor="i11706e4b673c41db9f2dcbdb897203bb_7" w:history="1">
        <w:r>
          <w:rPr>
            <w:rStyle w:val="a5"/>
            <w:rFonts w:ascii="Times New Roman" w:eastAsia="宋体" w:hAnsi="Times New Roman"/>
            <w:sz w:val="20"/>
            <w:szCs w:val="20"/>
          </w:rPr>
          <w:t>Table of Contents</w:t>
        </w:r>
      </w:hyperlink>
    </w:p>
    <w:p w14:paraId="40CB18F7" w14:textId="77777777" w:rsidR="00584FB3" w:rsidRDefault="00786180">
      <w:pPr>
        <w:spacing w:before="120"/>
      </w:pPr>
      <w:r>
        <w:rPr>
          <w:rFonts w:ascii="Times New Roman" w:eastAsia="宋体" w:hAnsi="Times New Roman"/>
          <w:b/>
          <w:bCs/>
          <w:color w:val="000000"/>
          <w:sz w:val="20"/>
          <w:szCs w:val="20"/>
        </w:rPr>
        <w:t>Note 11: Employee Stock Plans</w:t>
      </w:r>
    </w:p>
    <w:p w14:paraId="40CB18F8" w14:textId="77777777" w:rsidR="00584FB3" w:rsidRDefault="00786180">
      <w:pPr>
        <w:spacing w:before="120"/>
      </w:pPr>
      <w:r>
        <w:rPr>
          <w:rFonts w:ascii="Times New Roman" w:eastAsia="宋体" w:hAnsi="Times New Roman"/>
          <w:color w:val="000000"/>
          <w:sz w:val="20"/>
          <w:szCs w:val="20"/>
        </w:rPr>
        <w:t>As of December 27, 2020, there were 39.4 million shares of common stock available for issuance pursuant to future equity-based co</w:t>
      </w:r>
      <w:r>
        <w:rPr>
          <w:rFonts w:ascii="Times New Roman" w:eastAsia="宋体" w:hAnsi="Times New Roman"/>
          <w:color w:val="000000"/>
          <w:sz w:val="20"/>
          <w:szCs w:val="20"/>
        </w:rPr>
        <w:t xml:space="preserve">mpensation awards and 11.8 million shares available for issuance under our employee stock purchase plan. </w:t>
      </w:r>
    </w:p>
    <w:p w14:paraId="40CB18F9" w14:textId="77777777" w:rsidR="00584FB3" w:rsidRDefault="00786180">
      <w:pPr>
        <w:spacing w:before="120"/>
      </w:pPr>
      <w:r>
        <w:rPr>
          <w:rFonts w:ascii="Times New Roman" w:eastAsia="宋体" w:hAnsi="Times New Roman"/>
          <w:color w:val="000000"/>
          <w:sz w:val="20"/>
          <w:szCs w:val="20"/>
        </w:rPr>
        <w:t xml:space="preserve">Stock-based compensation expense recognized in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478"/>
        <w:gridCol w:w="37"/>
        <w:gridCol w:w="120"/>
        <w:gridCol w:w="1056"/>
        <w:gridCol w:w="36"/>
        <w:gridCol w:w="36"/>
        <w:gridCol w:w="36"/>
        <w:gridCol w:w="36"/>
        <w:gridCol w:w="120"/>
        <w:gridCol w:w="1018"/>
        <w:gridCol w:w="36"/>
        <w:gridCol w:w="36"/>
        <w:gridCol w:w="36"/>
        <w:gridCol w:w="36"/>
        <w:gridCol w:w="36"/>
        <w:gridCol w:w="36"/>
        <w:gridCol w:w="36"/>
        <w:gridCol w:w="36"/>
        <w:gridCol w:w="36"/>
      </w:tblGrid>
      <w:tr w:rsidR="00584FB3" w14:paraId="40CB190A" w14:textId="77777777">
        <w:trPr>
          <w:jc w:val="center"/>
        </w:trPr>
        <w:tc>
          <w:tcPr>
            <w:tcW w:w="50" w:type="pct"/>
            <w:shd w:val="clear" w:color="auto" w:fill="auto"/>
          </w:tcPr>
          <w:p w14:paraId="40CB18FA" w14:textId="77777777" w:rsidR="00584FB3" w:rsidRDefault="00584FB3">
            <w:pPr>
              <w:rPr>
                <w:rFonts w:ascii="宋体"/>
              </w:rPr>
            </w:pPr>
          </w:p>
        </w:tc>
        <w:tc>
          <w:tcPr>
            <w:tcW w:w="3431" w:type="pct"/>
            <w:shd w:val="clear" w:color="auto" w:fill="auto"/>
          </w:tcPr>
          <w:p w14:paraId="40CB18FB" w14:textId="77777777" w:rsidR="00584FB3" w:rsidRDefault="00584FB3">
            <w:pPr>
              <w:rPr>
                <w:rFonts w:ascii="宋体"/>
              </w:rPr>
            </w:pPr>
          </w:p>
        </w:tc>
        <w:tc>
          <w:tcPr>
            <w:tcW w:w="5" w:type="pct"/>
            <w:shd w:val="clear" w:color="auto" w:fill="auto"/>
          </w:tcPr>
          <w:p w14:paraId="40CB18FC" w14:textId="77777777" w:rsidR="00584FB3" w:rsidRDefault="00584FB3">
            <w:pPr>
              <w:rPr>
                <w:rFonts w:ascii="宋体"/>
              </w:rPr>
            </w:pPr>
          </w:p>
        </w:tc>
        <w:tc>
          <w:tcPr>
            <w:tcW w:w="50" w:type="pct"/>
            <w:shd w:val="clear" w:color="auto" w:fill="auto"/>
          </w:tcPr>
          <w:p w14:paraId="40CB18FD" w14:textId="77777777" w:rsidR="00584FB3" w:rsidRDefault="00584FB3">
            <w:pPr>
              <w:rPr>
                <w:rFonts w:ascii="宋体"/>
              </w:rPr>
            </w:pPr>
          </w:p>
        </w:tc>
        <w:tc>
          <w:tcPr>
            <w:tcW w:w="683" w:type="pct"/>
            <w:shd w:val="clear" w:color="auto" w:fill="auto"/>
          </w:tcPr>
          <w:p w14:paraId="40CB18FE" w14:textId="77777777" w:rsidR="00584FB3" w:rsidRDefault="00584FB3">
            <w:pPr>
              <w:rPr>
                <w:rFonts w:ascii="宋体"/>
              </w:rPr>
            </w:pPr>
          </w:p>
        </w:tc>
        <w:tc>
          <w:tcPr>
            <w:tcW w:w="5" w:type="pct"/>
            <w:shd w:val="clear" w:color="auto" w:fill="auto"/>
          </w:tcPr>
          <w:p w14:paraId="40CB18FF" w14:textId="77777777" w:rsidR="00584FB3" w:rsidRDefault="00584FB3">
            <w:pPr>
              <w:rPr>
                <w:rFonts w:ascii="宋体"/>
              </w:rPr>
            </w:pPr>
          </w:p>
        </w:tc>
        <w:tc>
          <w:tcPr>
            <w:tcW w:w="5" w:type="pct"/>
            <w:shd w:val="clear" w:color="auto" w:fill="auto"/>
          </w:tcPr>
          <w:p w14:paraId="40CB1900" w14:textId="77777777" w:rsidR="00584FB3" w:rsidRDefault="00584FB3">
            <w:pPr>
              <w:rPr>
                <w:rFonts w:ascii="宋体"/>
              </w:rPr>
            </w:pPr>
          </w:p>
        </w:tc>
        <w:tc>
          <w:tcPr>
            <w:tcW w:w="26" w:type="pct"/>
            <w:shd w:val="clear" w:color="auto" w:fill="auto"/>
          </w:tcPr>
          <w:p w14:paraId="40CB1901" w14:textId="77777777" w:rsidR="00584FB3" w:rsidRDefault="00584FB3">
            <w:pPr>
              <w:rPr>
                <w:rFonts w:ascii="宋体"/>
              </w:rPr>
            </w:pPr>
          </w:p>
        </w:tc>
        <w:tc>
          <w:tcPr>
            <w:tcW w:w="5" w:type="pct"/>
            <w:shd w:val="clear" w:color="auto" w:fill="auto"/>
          </w:tcPr>
          <w:p w14:paraId="40CB1902" w14:textId="77777777" w:rsidR="00584FB3" w:rsidRDefault="00584FB3">
            <w:pPr>
              <w:rPr>
                <w:rFonts w:ascii="宋体"/>
              </w:rPr>
            </w:pPr>
          </w:p>
        </w:tc>
        <w:tc>
          <w:tcPr>
            <w:tcW w:w="50" w:type="pct"/>
            <w:shd w:val="clear" w:color="auto" w:fill="auto"/>
          </w:tcPr>
          <w:p w14:paraId="40CB1903" w14:textId="77777777" w:rsidR="00584FB3" w:rsidRDefault="00584FB3">
            <w:pPr>
              <w:rPr>
                <w:rFonts w:ascii="宋体"/>
              </w:rPr>
            </w:pPr>
          </w:p>
        </w:tc>
        <w:tc>
          <w:tcPr>
            <w:tcW w:w="683" w:type="pct"/>
            <w:shd w:val="clear" w:color="auto" w:fill="auto"/>
          </w:tcPr>
          <w:p w14:paraId="40CB1904" w14:textId="77777777" w:rsidR="00584FB3" w:rsidRDefault="00584FB3">
            <w:pPr>
              <w:rPr>
                <w:rFonts w:ascii="宋体"/>
              </w:rPr>
            </w:pPr>
          </w:p>
        </w:tc>
        <w:tc>
          <w:tcPr>
            <w:tcW w:w="5" w:type="pct"/>
            <w:shd w:val="clear" w:color="auto" w:fill="auto"/>
          </w:tcPr>
          <w:p w14:paraId="40CB1905" w14:textId="77777777" w:rsidR="00584FB3" w:rsidRDefault="00584FB3">
            <w:pPr>
              <w:rPr>
                <w:rFonts w:ascii="宋体"/>
              </w:rPr>
            </w:pPr>
          </w:p>
        </w:tc>
        <w:tc>
          <w:tcPr>
            <w:tcW w:w="0" w:type="auto"/>
            <w:shd w:val="clear" w:color="auto" w:fill="auto"/>
          </w:tcPr>
          <w:p w14:paraId="40CB1906" w14:textId="77777777" w:rsidR="00584FB3" w:rsidRDefault="00584FB3">
            <w:pPr>
              <w:rPr>
                <w:rFonts w:ascii="宋体"/>
                <w:vanish/>
              </w:rPr>
            </w:pPr>
          </w:p>
        </w:tc>
        <w:tc>
          <w:tcPr>
            <w:tcW w:w="0" w:type="auto"/>
            <w:shd w:val="clear" w:color="auto" w:fill="auto"/>
          </w:tcPr>
          <w:p w14:paraId="40CB1907" w14:textId="77777777" w:rsidR="00584FB3" w:rsidRDefault="00584FB3">
            <w:pPr>
              <w:rPr>
                <w:rFonts w:ascii="宋体"/>
                <w:vanish/>
              </w:rPr>
            </w:pPr>
          </w:p>
        </w:tc>
        <w:tc>
          <w:tcPr>
            <w:tcW w:w="0" w:type="auto"/>
            <w:gridSpan w:val="3"/>
            <w:shd w:val="clear" w:color="auto" w:fill="auto"/>
          </w:tcPr>
          <w:p w14:paraId="40CB1908" w14:textId="77777777" w:rsidR="00584FB3" w:rsidRDefault="00584FB3">
            <w:pPr>
              <w:rPr>
                <w:rFonts w:ascii="宋体"/>
                <w:vanish/>
              </w:rPr>
            </w:pPr>
          </w:p>
        </w:tc>
        <w:tc>
          <w:tcPr>
            <w:tcW w:w="0" w:type="auto"/>
            <w:gridSpan w:val="3"/>
            <w:shd w:val="clear" w:color="auto" w:fill="auto"/>
          </w:tcPr>
          <w:p w14:paraId="40CB1909" w14:textId="77777777" w:rsidR="00584FB3" w:rsidRDefault="00584FB3">
            <w:pPr>
              <w:rPr>
                <w:rFonts w:ascii="宋体"/>
                <w:vanish/>
              </w:rPr>
            </w:pPr>
          </w:p>
        </w:tc>
      </w:tr>
      <w:tr w:rsidR="00584FB3" w14:paraId="40CB1915" w14:textId="77777777">
        <w:trPr>
          <w:jc w:val="center"/>
        </w:trPr>
        <w:tc>
          <w:tcPr>
            <w:tcW w:w="0" w:type="auto"/>
            <w:gridSpan w:val="3"/>
            <w:shd w:val="clear" w:color="auto" w:fill="auto"/>
            <w:tcMar>
              <w:top w:w="40" w:type="dxa"/>
              <w:left w:w="20" w:type="dxa"/>
              <w:bottom w:w="40" w:type="dxa"/>
              <w:right w:w="20" w:type="dxa"/>
            </w:tcMar>
            <w:vAlign w:val="bottom"/>
          </w:tcPr>
          <w:p w14:paraId="40CB190B" w14:textId="77777777" w:rsidR="00584FB3" w:rsidRDefault="00786180">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40CB190C"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90D" w14:textId="77777777" w:rsidR="00584FB3" w:rsidRDefault="00584FB3">
            <w:pPr>
              <w:rPr>
                <w:rFonts w:ascii="宋体"/>
                <w:vanish/>
              </w:rPr>
            </w:pPr>
          </w:p>
        </w:tc>
        <w:tc>
          <w:tcPr>
            <w:tcW w:w="0" w:type="auto"/>
            <w:shd w:val="clear" w:color="auto" w:fill="auto"/>
          </w:tcPr>
          <w:p w14:paraId="40CB190E" w14:textId="77777777" w:rsidR="00584FB3" w:rsidRDefault="00584FB3">
            <w:pPr>
              <w:rPr>
                <w:rFonts w:ascii="宋体"/>
                <w:vanish/>
              </w:rPr>
            </w:pPr>
          </w:p>
        </w:tc>
        <w:tc>
          <w:tcPr>
            <w:tcW w:w="0" w:type="auto"/>
            <w:shd w:val="clear" w:color="auto" w:fill="auto"/>
          </w:tcPr>
          <w:p w14:paraId="40CB190F" w14:textId="77777777" w:rsidR="00584FB3" w:rsidRDefault="00584FB3">
            <w:pPr>
              <w:rPr>
                <w:rFonts w:ascii="宋体"/>
              </w:rPr>
            </w:pPr>
          </w:p>
        </w:tc>
        <w:tc>
          <w:tcPr>
            <w:tcW w:w="0" w:type="auto"/>
            <w:shd w:val="clear" w:color="auto" w:fill="auto"/>
          </w:tcPr>
          <w:p w14:paraId="40CB1910" w14:textId="77777777" w:rsidR="00584FB3" w:rsidRDefault="00584FB3">
            <w:pPr>
              <w:rPr>
                <w:rFonts w:ascii="宋体"/>
              </w:rPr>
            </w:pPr>
          </w:p>
        </w:tc>
        <w:tc>
          <w:tcPr>
            <w:tcW w:w="0" w:type="auto"/>
            <w:shd w:val="clear" w:color="auto" w:fill="auto"/>
          </w:tcPr>
          <w:p w14:paraId="40CB1911" w14:textId="77777777" w:rsidR="00584FB3" w:rsidRDefault="00584FB3">
            <w:pPr>
              <w:rPr>
                <w:rFonts w:ascii="宋体"/>
              </w:rPr>
            </w:pPr>
          </w:p>
        </w:tc>
        <w:tc>
          <w:tcPr>
            <w:tcW w:w="0" w:type="auto"/>
            <w:shd w:val="clear" w:color="auto" w:fill="auto"/>
          </w:tcPr>
          <w:p w14:paraId="40CB1912" w14:textId="77777777" w:rsidR="00584FB3" w:rsidRDefault="00584FB3">
            <w:pPr>
              <w:rPr>
                <w:rFonts w:ascii="宋体"/>
              </w:rPr>
            </w:pPr>
          </w:p>
        </w:tc>
        <w:tc>
          <w:tcPr>
            <w:tcW w:w="0" w:type="auto"/>
            <w:shd w:val="clear" w:color="auto" w:fill="auto"/>
          </w:tcPr>
          <w:p w14:paraId="40CB1913" w14:textId="77777777" w:rsidR="00584FB3" w:rsidRDefault="00584FB3">
            <w:pPr>
              <w:rPr>
                <w:rFonts w:ascii="宋体"/>
              </w:rPr>
            </w:pPr>
          </w:p>
        </w:tc>
        <w:tc>
          <w:tcPr>
            <w:tcW w:w="0" w:type="auto"/>
            <w:shd w:val="clear" w:color="auto" w:fill="auto"/>
          </w:tcPr>
          <w:p w14:paraId="40CB1914" w14:textId="77777777" w:rsidR="00584FB3" w:rsidRDefault="00584FB3">
            <w:pPr>
              <w:rPr>
                <w:rFonts w:ascii="宋体"/>
              </w:rPr>
            </w:pPr>
          </w:p>
        </w:tc>
      </w:tr>
      <w:tr w:rsidR="00584FB3" w14:paraId="40CB191E" w14:textId="77777777">
        <w:trPr>
          <w:jc w:val="center"/>
        </w:trPr>
        <w:tc>
          <w:tcPr>
            <w:tcW w:w="0" w:type="auto"/>
            <w:gridSpan w:val="3"/>
            <w:shd w:val="clear" w:color="auto" w:fill="auto"/>
            <w:tcMar>
              <w:top w:w="40" w:type="dxa"/>
              <w:left w:w="20" w:type="dxa"/>
              <w:bottom w:w="40" w:type="dxa"/>
              <w:right w:w="20" w:type="dxa"/>
            </w:tcMar>
            <w:vAlign w:val="bottom"/>
          </w:tcPr>
          <w:p w14:paraId="40CB1916"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1917"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918"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919"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shd w:val="clear" w:color="auto" w:fill="auto"/>
          </w:tcPr>
          <w:p w14:paraId="40CB191A" w14:textId="77777777" w:rsidR="00584FB3" w:rsidRDefault="00584FB3">
            <w:pPr>
              <w:rPr>
                <w:rFonts w:ascii="宋体"/>
                <w:vanish/>
              </w:rPr>
            </w:pPr>
          </w:p>
        </w:tc>
        <w:tc>
          <w:tcPr>
            <w:tcW w:w="0" w:type="auto"/>
            <w:shd w:val="clear" w:color="auto" w:fill="auto"/>
          </w:tcPr>
          <w:p w14:paraId="40CB191B" w14:textId="77777777" w:rsidR="00584FB3" w:rsidRDefault="00584FB3">
            <w:pPr>
              <w:rPr>
                <w:rFonts w:ascii="宋体"/>
                <w:vanish/>
              </w:rPr>
            </w:pPr>
          </w:p>
        </w:tc>
        <w:tc>
          <w:tcPr>
            <w:tcW w:w="0" w:type="auto"/>
            <w:gridSpan w:val="3"/>
            <w:shd w:val="clear" w:color="auto" w:fill="auto"/>
          </w:tcPr>
          <w:p w14:paraId="40CB191C" w14:textId="77777777" w:rsidR="00584FB3" w:rsidRDefault="00584FB3">
            <w:pPr>
              <w:rPr>
                <w:rFonts w:ascii="宋体"/>
                <w:vanish/>
              </w:rPr>
            </w:pPr>
          </w:p>
        </w:tc>
        <w:tc>
          <w:tcPr>
            <w:tcW w:w="0" w:type="auto"/>
            <w:gridSpan w:val="3"/>
            <w:shd w:val="clear" w:color="auto" w:fill="auto"/>
          </w:tcPr>
          <w:p w14:paraId="40CB191D" w14:textId="77777777" w:rsidR="00584FB3" w:rsidRDefault="00584FB3">
            <w:pPr>
              <w:rPr>
                <w:rFonts w:ascii="宋体"/>
                <w:vanish/>
              </w:rPr>
            </w:pPr>
          </w:p>
        </w:tc>
      </w:tr>
      <w:tr w:rsidR="00584FB3" w14:paraId="40CB192B" w14:textId="77777777">
        <w:trPr>
          <w:jc w:val="center"/>
        </w:trPr>
        <w:tc>
          <w:tcPr>
            <w:tcW w:w="0" w:type="auto"/>
            <w:gridSpan w:val="3"/>
            <w:shd w:val="clear" w:color="auto" w:fill="D7E4BC"/>
            <w:tcMar>
              <w:top w:w="40" w:type="dxa"/>
              <w:left w:w="20" w:type="dxa"/>
              <w:bottom w:w="40" w:type="dxa"/>
              <w:right w:w="20" w:type="dxa"/>
            </w:tcMar>
          </w:tcPr>
          <w:p w14:paraId="40CB191F" w14:textId="77777777" w:rsidR="00584FB3" w:rsidRDefault="00786180">
            <w:pPr>
              <w:textAlignment w:val="top"/>
            </w:pPr>
            <w:r>
              <w:rPr>
                <w:rFonts w:ascii="Times New Roman" w:eastAsia="宋体" w:hAnsi="Times New Roman"/>
                <w:color w:val="000000"/>
                <w:sz w:val="20"/>
                <w:szCs w:val="20"/>
              </w:rPr>
              <w:t>Options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920"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921" w14:textId="77777777" w:rsidR="00584FB3" w:rsidRDefault="00786180">
            <w:pPr>
              <w:jc w:val="right"/>
              <w:textAlignment w:val="bottom"/>
            </w:pPr>
            <w:r>
              <w:rPr>
                <w:rFonts w:ascii="Times New Roman" w:eastAsia="宋体" w:hAnsi="Times New Roman"/>
                <w:color w:val="000000"/>
                <w:sz w:val="20"/>
                <w:szCs w:val="20"/>
              </w:rPr>
              <w:t>0.9 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2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23"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924"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925" w14:textId="77777777" w:rsidR="00584FB3" w:rsidRDefault="00786180">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26" w14:textId="77777777" w:rsidR="00584FB3" w:rsidRDefault="00584FB3">
            <w:pPr>
              <w:jc w:val="right"/>
              <w:rPr>
                <w:rFonts w:ascii="宋体"/>
              </w:rPr>
            </w:pPr>
          </w:p>
        </w:tc>
        <w:tc>
          <w:tcPr>
            <w:tcW w:w="0" w:type="auto"/>
            <w:shd w:val="clear" w:color="auto" w:fill="auto"/>
          </w:tcPr>
          <w:p w14:paraId="40CB1927" w14:textId="77777777" w:rsidR="00584FB3" w:rsidRDefault="00584FB3">
            <w:pPr>
              <w:rPr>
                <w:rFonts w:ascii="宋体"/>
                <w:vanish/>
              </w:rPr>
            </w:pPr>
          </w:p>
        </w:tc>
        <w:tc>
          <w:tcPr>
            <w:tcW w:w="0" w:type="auto"/>
            <w:shd w:val="clear" w:color="auto" w:fill="auto"/>
          </w:tcPr>
          <w:p w14:paraId="40CB1928" w14:textId="77777777" w:rsidR="00584FB3" w:rsidRDefault="00584FB3">
            <w:pPr>
              <w:rPr>
                <w:rFonts w:ascii="宋体"/>
                <w:vanish/>
              </w:rPr>
            </w:pPr>
          </w:p>
        </w:tc>
        <w:tc>
          <w:tcPr>
            <w:tcW w:w="0" w:type="auto"/>
            <w:gridSpan w:val="3"/>
            <w:shd w:val="clear" w:color="auto" w:fill="auto"/>
          </w:tcPr>
          <w:p w14:paraId="40CB1929" w14:textId="77777777" w:rsidR="00584FB3" w:rsidRDefault="00584FB3">
            <w:pPr>
              <w:rPr>
                <w:rFonts w:ascii="宋体"/>
                <w:vanish/>
              </w:rPr>
            </w:pPr>
          </w:p>
        </w:tc>
        <w:tc>
          <w:tcPr>
            <w:tcW w:w="0" w:type="auto"/>
            <w:gridSpan w:val="3"/>
            <w:shd w:val="clear" w:color="auto" w:fill="auto"/>
          </w:tcPr>
          <w:p w14:paraId="40CB192A" w14:textId="77777777" w:rsidR="00584FB3" w:rsidRDefault="00584FB3">
            <w:pPr>
              <w:rPr>
                <w:rFonts w:ascii="宋体"/>
                <w:vanish/>
              </w:rPr>
            </w:pPr>
          </w:p>
        </w:tc>
      </w:tr>
      <w:tr w:rsidR="00584FB3" w14:paraId="40CB1936" w14:textId="77777777">
        <w:trPr>
          <w:jc w:val="center"/>
        </w:trPr>
        <w:tc>
          <w:tcPr>
            <w:tcW w:w="0" w:type="auto"/>
            <w:gridSpan w:val="3"/>
            <w:shd w:val="clear" w:color="auto" w:fill="FFFFFF"/>
            <w:tcMar>
              <w:top w:w="40" w:type="dxa"/>
              <w:left w:w="20" w:type="dxa"/>
              <w:bottom w:w="40" w:type="dxa"/>
              <w:right w:w="20" w:type="dxa"/>
            </w:tcMar>
          </w:tcPr>
          <w:p w14:paraId="40CB192C" w14:textId="77777777" w:rsidR="00584FB3" w:rsidRDefault="00786180">
            <w:pPr>
              <w:textAlignment w:val="top"/>
            </w:pPr>
            <w:r>
              <w:rPr>
                <w:rFonts w:ascii="Times New Roman" w:eastAsia="宋体" w:hAnsi="Times New Roman"/>
                <w:color w:val="000000"/>
                <w:sz w:val="20"/>
                <w:szCs w:val="20"/>
              </w:rPr>
              <w:t>Restricted Stock Units (“RSUs”)</w:t>
            </w:r>
          </w:p>
        </w:tc>
        <w:tc>
          <w:tcPr>
            <w:tcW w:w="0" w:type="auto"/>
            <w:gridSpan w:val="2"/>
            <w:shd w:val="clear" w:color="auto" w:fill="FFFFFF"/>
            <w:tcMar>
              <w:top w:w="40" w:type="dxa"/>
              <w:left w:w="20" w:type="dxa"/>
              <w:bottom w:w="40" w:type="dxa"/>
              <w:right w:w="0" w:type="dxa"/>
            </w:tcMar>
            <w:vAlign w:val="bottom"/>
          </w:tcPr>
          <w:p w14:paraId="40CB192D" w14:textId="77777777" w:rsidR="00584FB3" w:rsidRDefault="00786180">
            <w:pPr>
              <w:jc w:val="right"/>
              <w:textAlignment w:val="bottom"/>
            </w:pPr>
            <w:r>
              <w:rPr>
                <w:rFonts w:ascii="Times New Roman" w:eastAsia="宋体" w:hAnsi="Times New Roman"/>
                <w:color w:val="000000"/>
                <w:sz w:val="20"/>
                <w:szCs w:val="20"/>
              </w:rPr>
              <w:t>98.4 </w:t>
            </w:r>
          </w:p>
        </w:tc>
        <w:tc>
          <w:tcPr>
            <w:tcW w:w="0" w:type="auto"/>
            <w:shd w:val="clear" w:color="auto" w:fill="FFFFFF"/>
            <w:tcMar>
              <w:top w:w="40" w:type="dxa"/>
              <w:left w:w="0" w:type="dxa"/>
              <w:bottom w:w="40" w:type="dxa"/>
              <w:right w:w="20" w:type="dxa"/>
            </w:tcMar>
            <w:vAlign w:val="bottom"/>
          </w:tcPr>
          <w:p w14:paraId="40CB192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92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930" w14:textId="77777777" w:rsidR="00584FB3" w:rsidRDefault="00786180">
            <w:pPr>
              <w:jc w:val="right"/>
              <w:textAlignment w:val="bottom"/>
            </w:pPr>
            <w:r>
              <w:rPr>
                <w:rFonts w:ascii="Times New Roman" w:eastAsia="宋体" w:hAnsi="Times New Roman"/>
                <w:color w:val="000000"/>
                <w:sz w:val="20"/>
                <w:szCs w:val="20"/>
              </w:rPr>
              <w:t>88.6 </w:t>
            </w:r>
          </w:p>
        </w:tc>
        <w:tc>
          <w:tcPr>
            <w:tcW w:w="0" w:type="auto"/>
            <w:shd w:val="clear" w:color="auto" w:fill="FFFFFF"/>
            <w:tcMar>
              <w:top w:w="40" w:type="dxa"/>
              <w:left w:w="0" w:type="dxa"/>
              <w:bottom w:w="40" w:type="dxa"/>
              <w:right w:w="20" w:type="dxa"/>
            </w:tcMar>
            <w:vAlign w:val="bottom"/>
          </w:tcPr>
          <w:p w14:paraId="40CB1931" w14:textId="77777777" w:rsidR="00584FB3" w:rsidRDefault="00584FB3">
            <w:pPr>
              <w:jc w:val="right"/>
              <w:rPr>
                <w:rFonts w:ascii="宋体"/>
              </w:rPr>
            </w:pPr>
          </w:p>
        </w:tc>
        <w:tc>
          <w:tcPr>
            <w:tcW w:w="0" w:type="auto"/>
            <w:shd w:val="clear" w:color="auto" w:fill="auto"/>
          </w:tcPr>
          <w:p w14:paraId="40CB1932" w14:textId="77777777" w:rsidR="00584FB3" w:rsidRDefault="00584FB3">
            <w:pPr>
              <w:rPr>
                <w:rFonts w:ascii="宋体"/>
                <w:vanish/>
              </w:rPr>
            </w:pPr>
          </w:p>
        </w:tc>
        <w:tc>
          <w:tcPr>
            <w:tcW w:w="0" w:type="auto"/>
            <w:shd w:val="clear" w:color="auto" w:fill="auto"/>
          </w:tcPr>
          <w:p w14:paraId="40CB1933" w14:textId="77777777" w:rsidR="00584FB3" w:rsidRDefault="00584FB3">
            <w:pPr>
              <w:rPr>
                <w:rFonts w:ascii="宋体"/>
                <w:vanish/>
              </w:rPr>
            </w:pPr>
          </w:p>
        </w:tc>
        <w:tc>
          <w:tcPr>
            <w:tcW w:w="0" w:type="auto"/>
            <w:gridSpan w:val="3"/>
            <w:shd w:val="clear" w:color="auto" w:fill="auto"/>
          </w:tcPr>
          <w:p w14:paraId="40CB1934" w14:textId="77777777" w:rsidR="00584FB3" w:rsidRDefault="00584FB3">
            <w:pPr>
              <w:rPr>
                <w:rFonts w:ascii="宋体"/>
                <w:vanish/>
              </w:rPr>
            </w:pPr>
          </w:p>
        </w:tc>
        <w:tc>
          <w:tcPr>
            <w:tcW w:w="0" w:type="auto"/>
            <w:gridSpan w:val="3"/>
            <w:shd w:val="clear" w:color="auto" w:fill="auto"/>
          </w:tcPr>
          <w:p w14:paraId="40CB1935" w14:textId="77777777" w:rsidR="00584FB3" w:rsidRDefault="00584FB3">
            <w:pPr>
              <w:rPr>
                <w:rFonts w:ascii="宋体"/>
                <w:vanish/>
              </w:rPr>
            </w:pPr>
          </w:p>
        </w:tc>
      </w:tr>
      <w:tr w:rsidR="00584FB3" w14:paraId="40CB1943" w14:textId="77777777">
        <w:trPr>
          <w:jc w:val="center"/>
        </w:trPr>
        <w:tc>
          <w:tcPr>
            <w:tcW w:w="0" w:type="auto"/>
            <w:gridSpan w:val="3"/>
            <w:shd w:val="clear" w:color="auto" w:fill="D7E4BC"/>
            <w:tcMar>
              <w:top w:w="40" w:type="dxa"/>
              <w:left w:w="20" w:type="dxa"/>
              <w:bottom w:w="40" w:type="dxa"/>
              <w:right w:w="20" w:type="dxa"/>
            </w:tcMar>
          </w:tcPr>
          <w:p w14:paraId="40CB1937" w14:textId="77777777" w:rsidR="00584FB3" w:rsidRDefault="00786180">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93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939" w14:textId="77777777" w:rsidR="00584FB3" w:rsidRDefault="00786180">
            <w:pPr>
              <w:jc w:val="right"/>
              <w:textAlignment w:val="bottom"/>
            </w:pPr>
            <w:r>
              <w:rPr>
                <w:rFonts w:ascii="Times New Roman" w:eastAsia="宋体" w:hAnsi="Times New Roman"/>
                <w:color w:val="000000"/>
                <w:sz w:val="20"/>
                <w:szCs w:val="20"/>
              </w:rPr>
              <w:t>99.3 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93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3B" w14:textId="77777777" w:rsidR="00584FB3" w:rsidRDefault="00584FB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193C"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40CB193D" w14:textId="77777777" w:rsidR="00584FB3" w:rsidRDefault="00786180">
            <w:pPr>
              <w:jc w:val="right"/>
              <w:textAlignment w:val="bottom"/>
            </w:pPr>
            <w:r>
              <w:rPr>
                <w:rFonts w:ascii="Times New Roman" w:eastAsia="宋体" w:hAnsi="Times New Roman"/>
                <w:color w:val="000000"/>
                <w:sz w:val="20"/>
                <w:szCs w:val="20"/>
              </w:rPr>
              <w:t>90.3 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193E" w14:textId="77777777" w:rsidR="00584FB3" w:rsidRDefault="00584FB3">
            <w:pPr>
              <w:jc w:val="right"/>
              <w:rPr>
                <w:rFonts w:ascii="宋体"/>
              </w:rPr>
            </w:pPr>
          </w:p>
        </w:tc>
        <w:tc>
          <w:tcPr>
            <w:tcW w:w="0" w:type="auto"/>
            <w:shd w:val="clear" w:color="auto" w:fill="auto"/>
          </w:tcPr>
          <w:p w14:paraId="40CB193F" w14:textId="77777777" w:rsidR="00584FB3" w:rsidRDefault="00584FB3">
            <w:pPr>
              <w:rPr>
                <w:rFonts w:ascii="宋体"/>
                <w:vanish/>
              </w:rPr>
            </w:pPr>
          </w:p>
        </w:tc>
        <w:tc>
          <w:tcPr>
            <w:tcW w:w="0" w:type="auto"/>
            <w:shd w:val="clear" w:color="auto" w:fill="auto"/>
          </w:tcPr>
          <w:p w14:paraId="40CB1940" w14:textId="77777777" w:rsidR="00584FB3" w:rsidRDefault="00584FB3">
            <w:pPr>
              <w:rPr>
                <w:rFonts w:ascii="宋体"/>
                <w:vanish/>
              </w:rPr>
            </w:pPr>
          </w:p>
        </w:tc>
        <w:tc>
          <w:tcPr>
            <w:tcW w:w="0" w:type="auto"/>
            <w:gridSpan w:val="3"/>
            <w:shd w:val="clear" w:color="auto" w:fill="auto"/>
          </w:tcPr>
          <w:p w14:paraId="40CB1941" w14:textId="77777777" w:rsidR="00584FB3" w:rsidRDefault="00584FB3">
            <w:pPr>
              <w:rPr>
                <w:rFonts w:ascii="宋体"/>
                <w:vanish/>
              </w:rPr>
            </w:pPr>
          </w:p>
        </w:tc>
        <w:tc>
          <w:tcPr>
            <w:tcW w:w="0" w:type="auto"/>
            <w:gridSpan w:val="3"/>
            <w:shd w:val="clear" w:color="auto" w:fill="auto"/>
          </w:tcPr>
          <w:p w14:paraId="40CB1942" w14:textId="77777777" w:rsidR="00584FB3" w:rsidRDefault="00584FB3">
            <w:pPr>
              <w:rPr>
                <w:rFonts w:ascii="宋体"/>
                <w:vanish/>
              </w:rPr>
            </w:pPr>
          </w:p>
        </w:tc>
      </w:tr>
    </w:tbl>
    <w:p w14:paraId="40CB1944" w14:textId="77777777" w:rsidR="00584FB3" w:rsidRDefault="00584FB3">
      <w:pPr>
        <w:spacing w:before="120"/>
      </w:pPr>
    </w:p>
    <w:p w14:paraId="40CB1945" w14:textId="77777777" w:rsidR="00584FB3" w:rsidRDefault="00786180">
      <w:pPr>
        <w:spacing w:before="120"/>
      </w:pPr>
      <w:r>
        <w:rPr>
          <w:rFonts w:ascii="Times New Roman" w:eastAsia="宋体" w:hAnsi="Times New Roman"/>
          <w:color w:val="000000"/>
          <w:sz w:val="20"/>
          <w:szCs w:val="20"/>
        </w:rPr>
        <w:t>Stock op</w:t>
      </w:r>
      <w:r>
        <w:rPr>
          <w:rFonts w:ascii="Times New Roman" w:eastAsia="宋体" w:hAnsi="Times New Roman"/>
          <w:color w:val="000000"/>
          <w:sz w:val="20"/>
          <w:szCs w:val="20"/>
        </w:rPr>
        <w:t>tion and RSU transactions from September 27, 2020 through December 27, 2020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680"/>
        <w:gridCol w:w="36"/>
        <w:gridCol w:w="121"/>
        <w:gridCol w:w="1097"/>
        <w:gridCol w:w="36"/>
        <w:gridCol w:w="36"/>
        <w:gridCol w:w="36"/>
        <w:gridCol w:w="36"/>
        <w:gridCol w:w="120"/>
        <w:gridCol w:w="1062"/>
        <w:gridCol w:w="36"/>
      </w:tblGrid>
      <w:tr w:rsidR="00584FB3" w14:paraId="40CB1952" w14:textId="77777777">
        <w:tc>
          <w:tcPr>
            <w:tcW w:w="50" w:type="pct"/>
            <w:shd w:val="clear" w:color="auto" w:fill="auto"/>
          </w:tcPr>
          <w:p w14:paraId="40CB1946" w14:textId="77777777" w:rsidR="00584FB3" w:rsidRDefault="00584FB3">
            <w:pPr>
              <w:rPr>
                <w:rFonts w:ascii="宋体"/>
              </w:rPr>
            </w:pPr>
          </w:p>
        </w:tc>
        <w:tc>
          <w:tcPr>
            <w:tcW w:w="3431" w:type="pct"/>
            <w:shd w:val="clear" w:color="auto" w:fill="auto"/>
          </w:tcPr>
          <w:p w14:paraId="40CB1947" w14:textId="77777777" w:rsidR="00584FB3" w:rsidRDefault="00584FB3">
            <w:pPr>
              <w:rPr>
                <w:rFonts w:ascii="宋体"/>
              </w:rPr>
            </w:pPr>
          </w:p>
        </w:tc>
        <w:tc>
          <w:tcPr>
            <w:tcW w:w="5" w:type="pct"/>
            <w:shd w:val="clear" w:color="auto" w:fill="auto"/>
          </w:tcPr>
          <w:p w14:paraId="40CB1948" w14:textId="77777777" w:rsidR="00584FB3" w:rsidRDefault="00584FB3">
            <w:pPr>
              <w:rPr>
                <w:rFonts w:ascii="宋体"/>
              </w:rPr>
            </w:pPr>
          </w:p>
        </w:tc>
        <w:tc>
          <w:tcPr>
            <w:tcW w:w="50" w:type="pct"/>
            <w:shd w:val="clear" w:color="auto" w:fill="auto"/>
          </w:tcPr>
          <w:p w14:paraId="40CB1949" w14:textId="77777777" w:rsidR="00584FB3" w:rsidRDefault="00584FB3">
            <w:pPr>
              <w:rPr>
                <w:rFonts w:ascii="宋体"/>
              </w:rPr>
            </w:pPr>
          </w:p>
        </w:tc>
        <w:tc>
          <w:tcPr>
            <w:tcW w:w="683" w:type="pct"/>
            <w:shd w:val="clear" w:color="auto" w:fill="auto"/>
          </w:tcPr>
          <w:p w14:paraId="40CB194A" w14:textId="77777777" w:rsidR="00584FB3" w:rsidRDefault="00584FB3">
            <w:pPr>
              <w:rPr>
                <w:rFonts w:ascii="宋体"/>
              </w:rPr>
            </w:pPr>
          </w:p>
        </w:tc>
        <w:tc>
          <w:tcPr>
            <w:tcW w:w="5" w:type="pct"/>
            <w:shd w:val="clear" w:color="auto" w:fill="auto"/>
          </w:tcPr>
          <w:p w14:paraId="40CB194B" w14:textId="77777777" w:rsidR="00584FB3" w:rsidRDefault="00584FB3">
            <w:pPr>
              <w:rPr>
                <w:rFonts w:ascii="宋体"/>
              </w:rPr>
            </w:pPr>
          </w:p>
        </w:tc>
        <w:tc>
          <w:tcPr>
            <w:tcW w:w="5" w:type="pct"/>
            <w:shd w:val="clear" w:color="auto" w:fill="auto"/>
          </w:tcPr>
          <w:p w14:paraId="40CB194C" w14:textId="77777777" w:rsidR="00584FB3" w:rsidRDefault="00584FB3">
            <w:pPr>
              <w:rPr>
                <w:rFonts w:ascii="宋体"/>
              </w:rPr>
            </w:pPr>
          </w:p>
        </w:tc>
        <w:tc>
          <w:tcPr>
            <w:tcW w:w="26" w:type="pct"/>
            <w:shd w:val="clear" w:color="auto" w:fill="auto"/>
          </w:tcPr>
          <w:p w14:paraId="40CB194D" w14:textId="77777777" w:rsidR="00584FB3" w:rsidRDefault="00584FB3">
            <w:pPr>
              <w:rPr>
                <w:rFonts w:ascii="宋体"/>
              </w:rPr>
            </w:pPr>
          </w:p>
        </w:tc>
        <w:tc>
          <w:tcPr>
            <w:tcW w:w="5" w:type="pct"/>
            <w:shd w:val="clear" w:color="auto" w:fill="auto"/>
          </w:tcPr>
          <w:p w14:paraId="40CB194E" w14:textId="77777777" w:rsidR="00584FB3" w:rsidRDefault="00584FB3">
            <w:pPr>
              <w:rPr>
                <w:rFonts w:ascii="宋体"/>
              </w:rPr>
            </w:pPr>
          </w:p>
        </w:tc>
        <w:tc>
          <w:tcPr>
            <w:tcW w:w="50" w:type="pct"/>
            <w:shd w:val="clear" w:color="auto" w:fill="auto"/>
          </w:tcPr>
          <w:p w14:paraId="40CB194F" w14:textId="77777777" w:rsidR="00584FB3" w:rsidRDefault="00584FB3">
            <w:pPr>
              <w:rPr>
                <w:rFonts w:ascii="宋体"/>
              </w:rPr>
            </w:pPr>
          </w:p>
        </w:tc>
        <w:tc>
          <w:tcPr>
            <w:tcW w:w="683" w:type="pct"/>
            <w:shd w:val="clear" w:color="auto" w:fill="auto"/>
          </w:tcPr>
          <w:p w14:paraId="40CB1950" w14:textId="77777777" w:rsidR="00584FB3" w:rsidRDefault="00584FB3">
            <w:pPr>
              <w:rPr>
                <w:rFonts w:ascii="宋体"/>
              </w:rPr>
            </w:pPr>
          </w:p>
        </w:tc>
        <w:tc>
          <w:tcPr>
            <w:tcW w:w="5" w:type="pct"/>
            <w:shd w:val="clear" w:color="auto" w:fill="auto"/>
          </w:tcPr>
          <w:p w14:paraId="40CB1951" w14:textId="77777777" w:rsidR="00584FB3" w:rsidRDefault="00584FB3">
            <w:pPr>
              <w:rPr>
                <w:rFonts w:ascii="宋体"/>
              </w:rPr>
            </w:pPr>
          </w:p>
        </w:tc>
      </w:tr>
      <w:tr w:rsidR="00584FB3" w14:paraId="40CB1957" w14:textId="77777777">
        <w:tc>
          <w:tcPr>
            <w:tcW w:w="0" w:type="auto"/>
            <w:gridSpan w:val="3"/>
            <w:shd w:val="clear" w:color="auto" w:fill="auto"/>
            <w:tcMar>
              <w:top w:w="0" w:type="dxa"/>
              <w:left w:w="20" w:type="dxa"/>
              <w:bottom w:w="0" w:type="dxa"/>
              <w:right w:w="20" w:type="dxa"/>
            </w:tcMar>
          </w:tcPr>
          <w:p w14:paraId="40CB195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954" w14:textId="77777777" w:rsidR="00584FB3" w:rsidRDefault="00786180">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top w:w="0" w:type="dxa"/>
              <w:left w:w="20" w:type="dxa"/>
              <w:bottom w:w="0" w:type="dxa"/>
              <w:right w:w="20" w:type="dxa"/>
            </w:tcMar>
          </w:tcPr>
          <w:p w14:paraId="40CB1955"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956" w14:textId="77777777" w:rsidR="00584FB3" w:rsidRDefault="00786180">
            <w:pPr>
              <w:jc w:val="center"/>
              <w:textAlignment w:val="bottom"/>
            </w:pPr>
            <w:r>
              <w:rPr>
                <w:rFonts w:ascii="Times New Roman" w:eastAsia="宋体" w:hAnsi="Times New Roman"/>
                <w:b/>
                <w:bCs/>
                <w:color w:val="FFFFFF"/>
                <w:sz w:val="16"/>
                <w:szCs w:val="16"/>
              </w:rPr>
              <w:t>RSUs</w:t>
            </w:r>
          </w:p>
        </w:tc>
      </w:tr>
      <w:tr w:rsidR="00584FB3" w14:paraId="40CB195E" w14:textId="77777777">
        <w:tc>
          <w:tcPr>
            <w:tcW w:w="0" w:type="auto"/>
            <w:gridSpan w:val="3"/>
            <w:shd w:val="clear" w:color="auto" w:fill="D7E4BC"/>
            <w:tcMar>
              <w:top w:w="40" w:type="dxa"/>
              <w:left w:w="20" w:type="dxa"/>
              <w:bottom w:w="40" w:type="dxa"/>
              <w:right w:w="20" w:type="dxa"/>
            </w:tcMar>
          </w:tcPr>
          <w:p w14:paraId="40CB1958" w14:textId="77777777" w:rsidR="00584FB3" w:rsidRDefault="00786180">
            <w:pPr>
              <w:textAlignment w:val="top"/>
            </w:pPr>
            <w:r>
              <w:rPr>
                <w:rFonts w:ascii="Times New Roman" w:eastAsia="宋体" w:hAnsi="Times New Roman"/>
                <w:color w:val="000000"/>
                <w:sz w:val="20"/>
                <w:szCs w:val="20"/>
              </w:rPr>
              <w:t>Options outstanding/Nonvested RSUs,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959" w14:textId="77777777" w:rsidR="00584FB3" w:rsidRDefault="00786180">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5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5B"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95C" w14:textId="77777777" w:rsidR="00584FB3" w:rsidRDefault="00786180">
            <w:pPr>
              <w:jc w:val="right"/>
              <w:textAlignment w:val="bottom"/>
            </w:pPr>
            <w:r>
              <w:rPr>
                <w:rFonts w:ascii="Times New Roman" w:eastAsia="宋体" w:hAnsi="Times New Roman"/>
                <w:color w:val="000000"/>
                <w:sz w:val="20"/>
                <w:szCs w:val="20"/>
              </w:rPr>
              <w:t>8.3 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5D" w14:textId="77777777" w:rsidR="00584FB3" w:rsidRDefault="00584FB3">
            <w:pPr>
              <w:jc w:val="right"/>
              <w:rPr>
                <w:rFonts w:ascii="宋体"/>
              </w:rPr>
            </w:pPr>
          </w:p>
        </w:tc>
      </w:tr>
      <w:tr w:rsidR="00584FB3" w14:paraId="40CB1965" w14:textId="77777777">
        <w:tc>
          <w:tcPr>
            <w:tcW w:w="0" w:type="auto"/>
            <w:gridSpan w:val="3"/>
            <w:shd w:val="clear" w:color="auto" w:fill="FFFFFF"/>
            <w:tcMar>
              <w:top w:w="40" w:type="dxa"/>
              <w:left w:w="380" w:type="dxa"/>
              <w:bottom w:w="40" w:type="dxa"/>
              <w:right w:w="20" w:type="dxa"/>
            </w:tcMar>
          </w:tcPr>
          <w:p w14:paraId="40CB195F" w14:textId="77777777" w:rsidR="00584FB3" w:rsidRDefault="00786180">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40CB1960"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96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96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963" w14:textId="77777777" w:rsidR="00584FB3" w:rsidRDefault="00786180">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40CB1964" w14:textId="77777777" w:rsidR="00584FB3" w:rsidRDefault="00584FB3">
            <w:pPr>
              <w:jc w:val="right"/>
              <w:rPr>
                <w:rFonts w:ascii="宋体"/>
              </w:rPr>
            </w:pPr>
          </w:p>
        </w:tc>
      </w:tr>
      <w:tr w:rsidR="00584FB3" w14:paraId="40CB196C" w14:textId="77777777">
        <w:tc>
          <w:tcPr>
            <w:tcW w:w="0" w:type="auto"/>
            <w:gridSpan w:val="3"/>
            <w:shd w:val="clear" w:color="auto" w:fill="D7E4BC"/>
            <w:tcMar>
              <w:top w:w="40" w:type="dxa"/>
              <w:left w:w="380" w:type="dxa"/>
              <w:bottom w:w="40" w:type="dxa"/>
              <w:right w:w="20" w:type="dxa"/>
            </w:tcMar>
          </w:tcPr>
          <w:p w14:paraId="40CB1966" w14:textId="77777777" w:rsidR="00584FB3" w:rsidRDefault="00786180">
            <w:pPr>
              <w:textAlignment w:val="top"/>
            </w:pPr>
            <w:r>
              <w:rPr>
                <w:rFonts w:ascii="Times New Roman" w:eastAsia="宋体" w:hAnsi="Times New Roman"/>
                <w:color w:val="000000"/>
                <w:sz w:val="20"/>
                <w:szCs w:val="20"/>
              </w:rPr>
              <w:t>Options exercised/RSUs vested</w:t>
            </w:r>
          </w:p>
        </w:tc>
        <w:tc>
          <w:tcPr>
            <w:tcW w:w="0" w:type="auto"/>
            <w:gridSpan w:val="2"/>
            <w:shd w:val="clear" w:color="auto" w:fill="D7E4BC"/>
            <w:tcMar>
              <w:top w:w="40" w:type="dxa"/>
              <w:left w:w="20" w:type="dxa"/>
              <w:bottom w:w="40" w:type="dxa"/>
              <w:right w:w="0" w:type="dxa"/>
            </w:tcMar>
            <w:vAlign w:val="center"/>
          </w:tcPr>
          <w:p w14:paraId="40CB1967" w14:textId="77777777" w:rsidR="00584FB3" w:rsidRDefault="00786180">
            <w:pPr>
              <w:jc w:val="right"/>
              <w:textAlignment w:val="center"/>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center"/>
          </w:tcPr>
          <w:p w14:paraId="40CB196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6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center"/>
          </w:tcPr>
          <w:p w14:paraId="40CB196A" w14:textId="77777777" w:rsidR="00584FB3" w:rsidRDefault="00786180">
            <w:pPr>
              <w:jc w:val="right"/>
              <w:textAlignment w:val="center"/>
            </w:pPr>
            <w:r>
              <w:rPr>
                <w:rFonts w:ascii="Times New Roman" w:eastAsia="宋体" w:hAnsi="Times New Roman"/>
                <w:color w:val="000000"/>
                <w:sz w:val="20"/>
                <w:szCs w:val="20"/>
              </w:rPr>
              <w:t>(2.9)</w:t>
            </w:r>
          </w:p>
        </w:tc>
        <w:tc>
          <w:tcPr>
            <w:tcW w:w="0" w:type="auto"/>
            <w:shd w:val="clear" w:color="auto" w:fill="D7E4BC"/>
            <w:tcMar>
              <w:top w:w="40" w:type="dxa"/>
              <w:left w:w="0" w:type="dxa"/>
              <w:bottom w:w="40" w:type="dxa"/>
              <w:right w:w="20" w:type="dxa"/>
            </w:tcMar>
            <w:vAlign w:val="center"/>
          </w:tcPr>
          <w:p w14:paraId="40CB196B" w14:textId="77777777" w:rsidR="00584FB3" w:rsidRDefault="00584FB3">
            <w:pPr>
              <w:jc w:val="right"/>
              <w:rPr>
                <w:rFonts w:ascii="宋体"/>
              </w:rPr>
            </w:pPr>
          </w:p>
        </w:tc>
      </w:tr>
      <w:tr w:rsidR="00584FB3" w14:paraId="40CB1973" w14:textId="77777777">
        <w:tc>
          <w:tcPr>
            <w:tcW w:w="0" w:type="auto"/>
            <w:gridSpan w:val="3"/>
            <w:shd w:val="clear" w:color="auto" w:fill="FFFFFF"/>
            <w:tcMar>
              <w:top w:w="40" w:type="dxa"/>
              <w:left w:w="380" w:type="dxa"/>
              <w:bottom w:w="40" w:type="dxa"/>
              <w:right w:w="20" w:type="dxa"/>
            </w:tcMar>
          </w:tcPr>
          <w:p w14:paraId="40CB196D" w14:textId="77777777" w:rsidR="00584FB3" w:rsidRDefault="00786180">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40CB196E" w14:textId="77777777" w:rsidR="00584FB3" w:rsidRDefault="00786180">
            <w:pPr>
              <w:jc w:val="right"/>
              <w:textAlignment w:val="center"/>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center"/>
          </w:tcPr>
          <w:p w14:paraId="40CB196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97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center"/>
          </w:tcPr>
          <w:p w14:paraId="40CB1971" w14:textId="77777777" w:rsidR="00584FB3" w:rsidRDefault="00786180">
            <w:pPr>
              <w:jc w:val="right"/>
              <w:textAlignment w:val="center"/>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center"/>
          </w:tcPr>
          <w:p w14:paraId="40CB1972" w14:textId="77777777" w:rsidR="00584FB3" w:rsidRDefault="00584FB3">
            <w:pPr>
              <w:jc w:val="right"/>
              <w:rPr>
                <w:rFonts w:ascii="宋体"/>
              </w:rPr>
            </w:pPr>
          </w:p>
        </w:tc>
      </w:tr>
      <w:tr w:rsidR="00584FB3" w14:paraId="40CB197A" w14:textId="77777777">
        <w:tc>
          <w:tcPr>
            <w:tcW w:w="0" w:type="auto"/>
            <w:gridSpan w:val="3"/>
            <w:shd w:val="clear" w:color="auto" w:fill="D7E4BC"/>
            <w:tcMar>
              <w:top w:w="40" w:type="dxa"/>
              <w:left w:w="20" w:type="dxa"/>
              <w:bottom w:w="40" w:type="dxa"/>
              <w:right w:w="20" w:type="dxa"/>
            </w:tcMar>
          </w:tcPr>
          <w:p w14:paraId="40CB1974" w14:textId="77777777" w:rsidR="00584FB3" w:rsidRDefault="00786180">
            <w:pPr>
              <w:textAlignment w:val="top"/>
            </w:pPr>
            <w:r>
              <w:rPr>
                <w:rFonts w:ascii="Times New Roman" w:eastAsia="宋体" w:hAnsi="Times New Roman"/>
                <w:color w:val="000000"/>
                <w:sz w:val="20"/>
                <w:szCs w:val="20"/>
              </w:rPr>
              <w:t>Options outstanding/Nonvested RSUs, December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975" w14:textId="77777777" w:rsidR="00584FB3" w:rsidRDefault="00786180">
            <w:pPr>
              <w:jc w:val="right"/>
              <w:textAlignment w:val="bottom"/>
            </w:pPr>
            <w:r>
              <w:rPr>
                <w:rFonts w:ascii="Times New Roman" w:eastAsia="宋体" w:hAnsi="Times New Roman"/>
                <w:color w:val="000000"/>
                <w:sz w:val="20"/>
                <w:szCs w:val="20"/>
              </w:rPr>
              <w:t>7.3 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7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77"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978" w14:textId="77777777" w:rsidR="00584FB3" w:rsidRDefault="00786180">
            <w:pPr>
              <w:jc w:val="right"/>
              <w:textAlignment w:val="bottom"/>
            </w:pPr>
            <w:r>
              <w:rPr>
                <w:rFonts w:ascii="Times New Roman" w:eastAsia="宋体" w:hAnsi="Times New Roman"/>
                <w:color w:val="000000"/>
                <w:sz w:val="20"/>
                <w:szCs w:val="20"/>
              </w:rPr>
              <w:t>8.8 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79" w14:textId="77777777" w:rsidR="00584FB3" w:rsidRDefault="00584FB3">
            <w:pPr>
              <w:jc w:val="right"/>
              <w:rPr>
                <w:rFonts w:ascii="宋体"/>
              </w:rPr>
            </w:pPr>
          </w:p>
        </w:tc>
      </w:tr>
      <w:tr w:rsidR="00584FB3" w14:paraId="40CB1983" w14:textId="77777777">
        <w:tc>
          <w:tcPr>
            <w:tcW w:w="0" w:type="auto"/>
            <w:gridSpan w:val="3"/>
            <w:shd w:val="clear" w:color="auto" w:fill="FFFFFF"/>
            <w:tcMar>
              <w:top w:w="40" w:type="dxa"/>
              <w:left w:w="20" w:type="dxa"/>
              <w:bottom w:w="40" w:type="dxa"/>
              <w:right w:w="20" w:type="dxa"/>
            </w:tcMar>
            <w:vAlign w:val="bottom"/>
          </w:tcPr>
          <w:p w14:paraId="40CB197B" w14:textId="77777777" w:rsidR="00584FB3" w:rsidRDefault="00786180">
            <w:pPr>
              <w:textAlignment w:val="bottom"/>
            </w:pPr>
            <w:r>
              <w:rPr>
                <w:rFonts w:ascii="Times New Roman" w:eastAsia="宋体" w:hAnsi="Times New Roman"/>
                <w:color w:val="000000"/>
                <w:sz w:val="20"/>
                <w:szCs w:val="20"/>
              </w:rPr>
              <w:t>Total unrecognized stock-based compensation expense, net of estimated forfeitures, as of December 27, 2020</w:t>
            </w:r>
          </w:p>
        </w:tc>
        <w:tc>
          <w:tcPr>
            <w:tcW w:w="0" w:type="auto"/>
            <w:tcBorders>
              <w:top w:val="double" w:sz="6" w:space="0" w:color="000000"/>
            </w:tcBorders>
            <w:shd w:val="clear" w:color="auto" w:fill="FFFFFF"/>
            <w:tcMar>
              <w:top w:w="40" w:type="dxa"/>
              <w:left w:w="20" w:type="dxa"/>
              <w:bottom w:w="40" w:type="dxa"/>
              <w:right w:w="0" w:type="dxa"/>
            </w:tcMar>
            <w:vAlign w:val="center"/>
          </w:tcPr>
          <w:p w14:paraId="40CB197C" w14:textId="77777777" w:rsidR="00584FB3" w:rsidRDefault="0078618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40CB197D" w14:textId="77777777" w:rsidR="00584FB3" w:rsidRDefault="00786180">
            <w:pPr>
              <w:jc w:val="right"/>
              <w:textAlignment w:val="center"/>
            </w:pPr>
            <w:r>
              <w:rPr>
                <w:rFonts w:ascii="Times New Roman" w:eastAsia="宋体" w:hAnsi="Times New Roman"/>
                <w:color w:val="000000"/>
                <w:sz w:val="20"/>
                <w:szCs w:val="20"/>
              </w:rPr>
              <w:t>0.4 </w:t>
            </w:r>
          </w:p>
        </w:tc>
        <w:tc>
          <w:tcPr>
            <w:tcW w:w="0" w:type="auto"/>
            <w:tcBorders>
              <w:top w:val="double" w:sz="6" w:space="0" w:color="000000"/>
            </w:tcBorders>
            <w:shd w:val="clear" w:color="auto" w:fill="FFFFFF"/>
            <w:tcMar>
              <w:top w:w="40" w:type="dxa"/>
              <w:left w:w="0" w:type="dxa"/>
              <w:bottom w:w="40" w:type="dxa"/>
              <w:right w:w="20" w:type="dxa"/>
            </w:tcMar>
            <w:vAlign w:val="center"/>
          </w:tcPr>
          <w:p w14:paraId="40CB197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97F" w14:textId="77777777" w:rsidR="00584FB3" w:rsidRDefault="00584FB3">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center"/>
          </w:tcPr>
          <w:p w14:paraId="40CB1980" w14:textId="77777777" w:rsidR="00584FB3" w:rsidRDefault="0078618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40CB1981" w14:textId="77777777" w:rsidR="00584FB3" w:rsidRDefault="00786180">
            <w:pPr>
              <w:jc w:val="right"/>
              <w:textAlignment w:val="center"/>
            </w:pPr>
            <w:r>
              <w:rPr>
                <w:rFonts w:ascii="Times New Roman" w:eastAsia="宋体" w:hAnsi="Times New Roman"/>
                <w:color w:val="000000"/>
                <w:sz w:val="20"/>
                <w:szCs w:val="20"/>
              </w:rPr>
              <w:t>309.7 </w:t>
            </w:r>
          </w:p>
        </w:tc>
        <w:tc>
          <w:tcPr>
            <w:tcW w:w="0" w:type="auto"/>
            <w:tcBorders>
              <w:top w:val="double" w:sz="6" w:space="0" w:color="000000"/>
            </w:tcBorders>
            <w:shd w:val="clear" w:color="auto" w:fill="FFFFFF"/>
            <w:tcMar>
              <w:top w:w="40" w:type="dxa"/>
              <w:left w:w="0" w:type="dxa"/>
              <w:bottom w:w="40" w:type="dxa"/>
              <w:right w:w="20" w:type="dxa"/>
            </w:tcMar>
            <w:vAlign w:val="center"/>
          </w:tcPr>
          <w:p w14:paraId="40CB1982" w14:textId="77777777" w:rsidR="00584FB3" w:rsidRDefault="00584FB3">
            <w:pPr>
              <w:jc w:val="right"/>
              <w:rPr>
                <w:rFonts w:ascii="宋体"/>
              </w:rPr>
            </w:pPr>
          </w:p>
        </w:tc>
      </w:tr>
    </w:tbl>
    <w:p w14:paraId="40CB1984" w14:textId="77777777" w:rsidR="00584FB3" w:rsidRDefault="00584FB3">
      <w:pPr>
        <w:spacing w:before="120"/>
      </w:pPr>
    </w:p>
    <w:p w14:paraId="40CB1985" w14:textId="77777777" w:rsidR="00584FB3" w:rsidRDefault="00786180">
      <w:pPr>
        <w:spacing w:before="120"/>
      </w:pPr>
      <w:r>
        <w:rPr>
          <w:rFonts w:ascii="Times New Roman" w:eastAsia="宋体" w:hAnsi="Times New Roman"/>
          <w:b/>
          <w:bCs/>
          <w:color w:val="000000"/>
          <w:sz w:val="20"/>
          <w:szCs w:val="20"/>
        </w:rPr>
        <w:t xml:space="preserve">Note 12: </w:t>
      </w:r>
      <w:r>
        <w:rPr>
          <w:rFonts w:ascii="Times New Roman" w:eastAsia="宋体" w:hAnsi="Times New Roman"/>
          <w:b/>
          <w:bCs/>
          <w:color w:val="000000"/>
          <w:sz w:val="20"/>
          <w:szCs w:val="20"/>
        </w:rPr>
        <w:t>Earnings per Share</w:t>
      </w:r>
    </w:p>
    <w:p w14:paraId="40CB1986" w14:textId="77777777" w:rsidR="00584FB3" w:rsidRDefault="00786180">
      <w:pPr>
        <w:spacing w:before="120"/>
      </w:pPr>
      <w:r>
        <w:rPr>
          <w:rFonts w:ascii="Times New Roman" w:eastAsia="宋体" w:hAnsi="Times New Roman"/>
          <w:color w:val="000000"/>
          <w:sz w:val="20"/>
          <w:szCs w:val="20"/>
        </w:rPr>
        <w:t>Calculation of net earnings per common share (“EPS”) — basic and diluted (</w:t>
      </w:r>
      <w:r>
        <w:rPr>
          <w:rFonts w:ascii="Times New Roman" w:eastAsia="宋体" w:hAnsi="Times New Roman"/>
          <w:i/>
          <w:iCs/>
          <w:color w:val="000000"/>
          <w:sz w:val="20"/>
          <w:szCs w:val="20"/>
        </w:rPr>
        <w:t>in millions, except EPS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79"/>
        <w:gridCol w:w="36"/>
        <w:gridCol w:w="121"/>
        <w:gridCol w:w="1056"/>
        <w:gridCol w:w="36"/>
        <w:gridCol w:w="36"/>
        <w:gridCol w:w="36"/>
        <w:gridCol w:w="36"/>
        <w:gridCol w:w="121"/>
        <w:gridCol w:w="1018"/>
        <w:gridCol w:w="36"/>
        <w:gridCol w:w="36"/>
        <w:gridCol w:w="36"/>
        <w:gridCol w:w="36"/>
        <w:gridCol w:w="36"/>
        <w:gridCol w:w="36"/>
        <w:gridCol w:w="36"/>
        <w:gridCol w:w="36"/>
        <w:gridCol w:w="36"/>
      </w:tblGrid>
      <w:tr w:rsidR="00584FB3" w14:paraId="40CB1997" w14:textId="77777777">
        <w:trPr>
          <w:jc w:val="center"/>
        </w:trPr>
        <w:tc>
          <w:tcPr>
            <w:tcW w:w="50" w:type="pct"/>
            <w:shd w:val="clear" w:color="auto" w:fill="auto"/>
          </w:tcPr>
          <w:p w14:paraId="40CB1987" w14:textId="77777777" w:rsidR="00584FB3" w:rsidRDefault="00584FB3">
            <w:pPr>
              <w:rPr>
                <w:rFonts w:ascii="宋体"/>
              </w:rPr>
            </w:pPr>
          </w:p>
        </w:tc>
        <w:tc>
          <w:tcPr>
            <w:tcW w:w="3431" w:type="pct"/>
            <w:shd w:val="clear" w:color="auto" w:fill="auto"/>
          </w:tcPr>
          <w:p w14:paraId="40CB1988" w14:textId="77777777" w:rsidR="00584FB3" w:rsidRDefault="00584FB3">
            <w:pPr>
              <w:rPr>
                <w:rFonts w:ascii="宋体"/>
              </w:rPr>
            </w:pPr>
          </w:p>
        </w:tc>
        <w:tc>
          <w:tcPr>
            <w:tcW w:w="5" w:type="pct"/>
            <w:shd w:val="clear" w:color="auto" w:fill="auto"/>
          </w:tcPr>
          <w:p w14:paraId="40CB1989" w14:textId="77777777" w:rsidR="00584FB3" w:rsidRDefault="00584FB3">
            <w:pPr>
              <w:rPr>
                <w:rFonts w:ascii="宋体"/>
              </w:rPr>
            </w:pPr>
          </w:p>
        </w:tc>
        <w:tc>
          <w:tcPr>
            <w:tcW w:w="50" w:type="pct"/>
            <w:shd w:val="clear" w:color="auto" w:fill="auto"/>
          </w:tcPr>
          <w:p w14:paraId="40CB198A" w14:textId="77777777" w:rsidR="00584FB3" w:rsidRDefault="00584FB3">
            <w:pPr>
              <w:rPr>
                <w:rFonts w:ascii="宋体"/>
              </w:rPr>
            </w:pPr>
          </w:p>
        </w:tc>
        <w:tc>
          <w:tcPr>
            <w:tcW w:w="683" w:type="pct"/>
            <w:shd w:val="clear" w:color="auto" w:fill="auto"/>
          </w:tcPr>
          <w:p w14:paraId="40CB198B" w14:textId="77777777" w:rsidR="00584FB3" w:rsidRDefault="00584FB3">
            <w:pPr>
              <w:rPr>
                <w:rFonts w:ascii="宋体"/>
              </w:rPr>
            </w:pPr>
          </w:p>
        </w:tc>
        <w:tc>
          <w:tcPr>
            <w:tcW w:w="5" w:type="pct"/>
            <w:shd w:val="clear" w:color="auto" w:fill="auto"/>
          </w:tcPr>
          <w:p w14:paraId="40CB198C" w14:textId="77777777" w:rsidR="00584FB3" w:rsidRDefault="00584FB3">
            <w:pPr>
              <w:rPr>
                <w:rFonts w:ascii="宋体"/>
              </w:rPr>
            </w:pPr>
          </w:p>
        </w:tc>
        <w:tc>
          <w:tcPr>
            <w:tcW w:w="5" w:type="pct"/>
            <w:shd w:val="clear" w:color="auto" w:fill="auto"/>
          </w:tcPr>
          <w:p w14:paraId="40CB198D" w14:textId="77777777" w:rsidR="00584FB3" w:rsidRDefault="00584FB3">
            <w:pPr>
              <w:rPr>
                <w:rFonts w:ascii="宋体"/>
              </w:rPr>
            </w:pPr>
          </w:p>
        </w:tc>
        <w:tc>
          <w:tcPr>
            <w:tcW w:w="26" w:type="pct"/>
            <w:shd w:val="clear" w:color="auto" w:fill="auto"/>
          </w:tcPr>
          <w:p w14:paraId="40CB198E" w14:textId="77777777" w:rsidR="00584FB3" w:rsidRDefault="00584FB3">
            <w:pPr>
              <w:rPr>
                <w:rFonts w:ascii="宋体"/>
              </w:rPr>
            </w:pPr>
          </w:p>
        </w:tc>
        <w:tc>
          <w:tcPr>
            <w:tcW w:w="5" w:type="pct"/>
            <w:shd w:val="clear" w:color="auto" w:fill="auto"/>
          </w:tcPr>
          <w:p w14:paraId="40CB198F" w14:textId="77777777" w:rsidR="00584FB3" w:rsidRDefault="00584FB3">
            <w:pPr>
              <w:rPr>
                <w:rFonts w:ascii="宋体"/>
              </w:rPr>
            </w:pPr>
          </w:p>
        </w:tc>
        <w:tc>
          <w:tcPr>
            <w:tcW w:w="50" w:type="pct"/>
            <w:shd w:val="clear" w:color="auto" w:fill="auto"/>
          </w:tcPr>
          <w:p w14:paraId="40CB1990" w14:textId="77777777" w:rsidR="00584FB3" w:rsidRDefault="00584FB3">
            <w:pPr>
              <w:rPr>
                <w:rFonts w:ascii="宋体"/>
              </w:rPr>
            </w:pPr>
          </w:p>
        </w:tc>
        <w:tc>
          <w:tcPr>
            <w:tcW w:w="683" w:type="pct"/>
            <w:shd w:val="clear" w:color="auto" w:fill="auto"/>
          </w:tcPr>
          <w:p w14:paraId="40CB1991" w14:textId="77777777" w:rsidR="00584FB3" w:rsidRDefault="00584FB3">
            <w:pPr>
              <w:rPr>
                <w:rFonts w:ascii="宋体"/>
              </w:rPr>
            </w:pPr>
          </w:p>
        </w:tc>
        <w:tc>
          <w:tcPr>
            <w:tcW w:w="5" w:type="pct"/>
            <w:shd w:val="clear" w:color="auto" w:fill="auto"/>
          </w:tcPr>
          <w:p w14:paraId="40CB1992" w14:textId="77777777" w:rsidR="00584FB3" w:rsidRDefault="00584FB3">
            <w:pPr>
              <w:rPr>
                <w:rFonts w:ascii="宋体"/>
              </w:rPr>
            </w:pPr>
          </w:p>
        </w:tc>
        <w:tc>
          <w:tcPr>
            <w:tcW w:w="0" w:type="auto"/>
            <w:shd w:val="clear" w:color="auto" w:fill="auto"/>
          </w:tcPr>
          <w:p w14:paraId="40CB1993" w14:textId="77777777" w:rsidR="00584FB3" w:rsidRDefault="00584FB3">
            <w:pPr>
              <w:rPr>
                <w:rFonts w:ascii="宋体"/>
                <w:vanish/>
              </w:rPr>
            </w:pPr>
          </w:p>
        </w:tc>
        <w:tc>
          <w:tcPr>
            <w:tcW w:w="0" w:type="auto"/>
            <w:shd w:val="clear" w:color="auto" w:fill="auto"/>
          </w:tcPr>
          <w:p w14:paraId="40CB1994" w14:textId="77777777" w:rsidR="00584FB3" w:rsidRDefault="00584FB3">
            <w:pPr>
              <w:rPr>
                <w:rFonts w:ascii="宋体"/>
                <w:vanish/>
              </w:rPr>
            </w:pPr>
          </w:p>
        </w:tc>
        <w:tc>
          <w:tcPr>
            <w:tcW w:w="0" w:type="auto"/>
            <w:gridSpan w:val="3"/>
            <w:shd w:val="clear" w:color="auto" w:fill="auto"/>
          </w:tcPr>
          <w:p w14:paraId="40CB1995" w14:textId="77777777" w:rsidR="00584FB3" w:rsidRDefault="00584FB3">
            <w:pPr>
              <w:rPr>
                <w:rFonts w:ascii="宋体"/>
                <w:vanish/>
              </w:rPr>
            </w:pPr>
          </w:p>
        </w:tc>
        <w:tc>
          <w:tcPr>
            <w:tcW w:w="0" w:type="auto"/>
            <w:gridSpan w:val="3"/>
            <w:shd w:val="clear" w:color="auto" w:fill="auto"/>
          </w:tcPr>
          <w:p w14:paraId="40CB1996" w14:textId="77777777" w:rsidR="00584FB3" w:rsidRDefault="00584FB3">
            <w:pPr>
              <w:rPr>
                <w:rFonts w:ascii="宋体"/>
                <w:vanish/>
              </w:rPr>
            </w:pPr>
          </w:p>
        </w:tc>
      </w:tr>
      <w:tr w:rsidR="00584FB3" w14:paraId="40CB19A2" w14:textId="77777777">
        <w:trPr>
          <w:jc w:val="center"/>
        </w:trPr>
        <w:tc>
          <w:tcPr>
            <w:tcW w:w="0" w:type="auto"/>
            <w:gridSpan w:val="3"/>
            <w:shd w:val="clear" w:color="auto" w:fill="auto"/>
            <w:tcMar>
              <w:top w:w="40" w:type="dxa"/>
              <w:left w:w="20" w:type="dxa"/>
              <w:bottom w:w="40" w:type="dxa"/>
              <w:right w:w="20" w:type="dxa"/>
            </w:tcMar>
            <w:vAlign w:val="bottom"/>
          </w:tcPr>
          <w:p w14:paraId="40CB1998" w14:textId="77777777" w:rsidR="00584FB3" w:rsidRDefault="00786180">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40CB1999"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99A" w14:textId="77777777" w:rsidR="00584FB3" w:rsidRDefault="00584FB3">
            <w:pPr>
              <w:rPr>
                <w:rFonts w:ascii="宋体"/>
                <w:vanish/>
              </w:rPr>
            </w:pPr>
          </w:p>
        </w:tc>
        <w:tc>
          <w:tcPr>
            <w:tcW w:w="0" w:type="auto"/>
            <w:shd w:val="clear" w:color="auto" w:fill="auto"/>
          </w:tcPr>
          <w:p w14:paraId="40CB199B" w14:textId="77777777" w:rsidR="00584FB3" w:rsidRDefault="00584FB3">
            <w:pPr>
              <w:rPr>
                <w:rFonts w:ascii="宋体"/>
                <w:vanish/>
              </w:rPr>
            </w:pPr>
          </w:p>
        </w:tc>
        <w:tc>
          <w:tcPr>
            <w:tcW w:w="0" w:type="auto"/>
            <w:shd w:val="clear" w:color="auto" w:fill="auto"/>
          </w:tcPr>
          <w:p w14:paraId="40CB199C" w14:textId="77777777" w:rsidR="00584FB3" w:rsidRDefault="00584FB3">
            <w:pPr>
              <w:rPr>
                <w:rFonts w:ascii="宋体"/>
              </w:rPr>
            </w:pPr>
          </w:p>
        </w:tc>
        <w:tc>
          <w:tcPr>
            <w:tcW w:w="0" w:type="auto"/>
            <w:shd w:val="clear" w:color="auto" w:fill="auto"/>
          </w:tcPr>
          <w:p w14:paraId="40CB199D" w14:textId="77777777" w:rsidR="00584FB3" w:rsidRDefault="00584FB3">
            <w:pPr>
              <w:rPr>
                <w:rFonts w:ascii="宋体"/>
              </w:rPr>
            </w:pPr>
          </w:p>
        </w:tc>
        <w:tc>
          <w:tcPr>
            <w:tcW w:w="0" w:type="auto"/>
            <w:shd w:val="clear" w:color="auto" w:fill="auto"/>
          </w:tcPr>
          <w:p w14:paraId="40CB199E" w14:textId="77777777" w:rsidR="00584FB3" w:rsidRDefault="00584FB3">
            <w:pPr>
              <w:rPr>
                <w:rFonts w:ascii="宋体"/>
              </w:rPr>
            </w:pPr>
          </w:p>
        </w:tc>
        <w:tc>
          <w:tcPr>
            <w:tcW w:w="0" w:type="auto"/>
            <w:shd w:val="clear" w:color="auto" w:fill="auto"/>
          </w:tcPr>
          <w:p w14:paraId="40CB199F" w14:textId="77777777" w:rsidR="00584FB3" w:rsidRDefault="00584FB3">
            <w:pPr>
              <w:rPr>
                <w:rFonts w:ascii="宋体"/>
              </w:rPr>
            </w:pPr>
          </w:p>
        </w:tc>
        <w:tc>
          <w:tcPr>
            <w:tcW w:w="0" w:type="auto"/>
            <w:shd w:val="clear" w:color="auto" w:fill="auto"/>
          </w:tcPr>
          <w:p w14:paraId="40CB19A0" w14:textId="77777777" w:rsidR="00584FB3" w:rsidRDefault="00584FB3">
            <w:pPr>
              <w:rPr>
                <w:rFonts w:ascii="宋体"/>
              </w:rPr>
            </w:pPr>
          </w:p>
        </w:tc>
        <w:tc>
          <w:tcPr>
            <w:tcW w:w="0" w:type="auto"/>
            <w:shd w:val="clear" w:color="auto" w:fill="auto"/>
          </w:tcPr>
          <w:p w14:paraId="40CB19A1" w14:textId="77777777" w:rsidR="00584FB3" w:rsidRDefault="00584FB3">
            <w:pPr>
              <w:rPr>
                <w:rFonts w:ascii="宋体"/>
              </w:rPr>
            </w:pPr>
          </w:p>
        </w:tc>
      </w:tr>
      <w:tr w:rsidR="00584FB3" w14:paraId="40CB19AB" w14:textId="77777777">
        <w:trPr>
          <w:jc w:val="center"/>
        </w:trPr>
        <w:tc>
          <w:tcPr>
            <w:tcW w:w="0" w:type="auto"/>
            <w:gridSpan w:val="3"/>
            <w:shd w:val="clear" w:color="auto" w:fill="auto"/>
            <w:tcMar>
              <w:top w:w="40" w:type="dxa"/>
              <w:left w:w="20" w:type="dxa"/>
              <w:bottom w:w="40" w:type="dxa"/>
              <w:right w:w="20" w:type="dxa"/>
            </w:tcMar>
            <w:vAlign w:val="bottom"/>
          </w:tcPr>
          <w:p w14:paraId="40CB19A3"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19A4"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9A5"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9A6"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shd w:val="clear" w:color="auto" w:fill="auto"/>
          </w:tcPr>
          <w:p w14:paraId="40CB19A7" w14:textId="77777777" w:rsidR="00584FB3" w:rsidRDefault="00584FB3">
            <w:pPr>
              <w:rPr>
                <w:rFonts w:ascii="宋体"/>
                <w:vanish/>
              </w:rPr>
            </w:pPr>
          </w:p>
        </w:tc>
        <w:tc>
          <w:tcPr>
            <w:tcW w:w="0" w:type="auto"/>
            <w:shd w:val="clear" w:color="auto" w:fill="auto"/>
          </w:tcPr>
          <w:p w14:paraId="40CB19A8" w14:textId="77777777" w:rsidR="00584FB3" w:rsidRDefault="00584FB3">
            <w:pPr>
              <w:rPr>
                <w:rFonts w:ascii="宋体"/>
                <w:vanish/>
              </w:rPr>
            </w:pPr>
          </w:p>
        </w:tc>
        <w:tc>
          <w:tcPr>
            <w:tcW w:w="0" w:type="auto"/>
            <w:gridSpan w:val="3"/>
            <w:shd w:val="clear" w:color="auto" w:fill="auto"/>
          </w:tcPr>
          <w:p w14:paraId="40CB19A9" w14:textId="77777777" w:rsidR="00584FB3" w:rsidRDefault="00584FB3">
            <w:pPr>
              <w:rPr>
                <w:rFonts w:ascii="宋体"/>
                <w:vanish/>
              </w:rPr>
            </w:pPr>
          </w:p>
        </w:tc>
        <w:tc>
          <w:tcPr>
            <w:tcW w:w="0" w:type="auto"/>
            <w:gridSpan w:val="3"/>
            <w:shd w:val="clear" w:color="auto" w:fill="auto"/>
          </w:tcPr>
          <w:p w14:paraId="40CB19AA" w14:textId="77777777" w:rsidR="00584FB3" w:rsidRDefault="00584FB3">
            <w:pPr>
              <w:rPr>
                <w:rFonts w:ascii="宋体"/>
                <w:vanish/>
              </w:rPr>
            </w:pPr>
          </w:p>
        </w:tc>
      </w:tr>
      <w:tr w:rsidR="00584FB3" w14:paraId="40CB19B8" w14:textId="77777777">
        <w:trPr>
          <w:jc w:val="center"/>
        </w:trPr>
        <w:tc>
          <w:tcPr>
            <w:tcW w:w="0" w:type="auto"/>
            <w:gridSpan w:val="3"/>
            <w:shd w:val="clear" w:color="auto" w:fill="D7E4BC"/>
            <w:tcMar>
              <w:top w:w="40" w:type="dxa"/>
              <w:left w:w="20" w:type="dxa"/>
              <w:bottom w:w="40" w:type="dxa"/>
              <w:right w:w="20" w:type="dxa"/>
            </w:tcMar>
            <w:vAlign w:val="bottom"/>
          </w:tcPr>
          <w:p w14:paraId="40CB19AC" w14:textId="77777777" w:rsidR="00584FB3" w:rsidRDefault="00786180">
            <w:pPr>
              <w:textAlignment w:val="bottom"/>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9AD"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9AE" w14:textId="77777777" w:rsidR="00584FB3" w:rsidRDefault="00786180">
            <w:pPr>
              <w:jc w:val="right"/>
              <w:textAlignment w:val="bottom"/>
            </w:pPr>
            <w:r>
              <w:rPr>
                <w:rFonts w:ascii="Times New Roman" w:eastAsia="宋体" w:hAnsi="Times New Roman"/>
                <w:color w:val="000000"/>
                <w:sz w:val="20"/>
                <w:szCs w:val="20"/>
              </w:rPr>
              <w:t>622.2 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A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B0"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9B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9B2" w14:textId="77777777" w:rsidR="00584FB3" w:rsidRDefault="00786180">
            <w:pPr>
              <w:jc w:val="right"/>
              <w:textAlignment w:val="bottom"/>
            </w:pPr>
            <w:r>
              <w:rPr>
                <w:rFonts w:ascii="Times New Roman" w:eastAsia="宋体" w:hAnsi="Times New Roman"/>
                <w:color w:val="000000"/>
                <w:sz w:val="20"/>
                <w:szCs w:val="20"/>
              </w:rPr>
              <w:t>885.7 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9B3" w14:textId="77777777" w:rsidR="00584FB3" w:rsidRDefault="00584FB3">
            <w:pPr>
              <w:jc w:val="right"/>
              <w:rPr>
                <w:rFonts w:ascii="宋体"/>
              </w:rPr>
            </w:pPr>
          </w:p>
        </w:tc>
        <w:tc>
          <w:tcPr>
            <w:tcW w:w="0" w:type="auto"/>
            <w:shd w:val="clear" w:color="auto" w:fill="auto"/>
          </w:tcPr>
          <w:p w14:paraId="40CB19B4" w14:textId="77777777" w:rsidR="00584FB3" w:rsidRDefault="00584FB3">
            <w:pPr>
              <w:rPr>
                <w:rFonts w:ascii="宋体"/>
                <w:vanish/>
              </w:rPr>
            </w:pPr>
          </w:p>
        </w:tc>
        <w:tc>
          <w:tcPr>
            <w:tcW w:w="0" w:type="auto"/>
            <w:shd w:val="clear" w:color="auto" w:fill="auto"/>
          </w:tcPr>
          <w:p w14:paraId="40CB19B5" w14:textId="77777777" w:rsidR="00584FB3" w:rsidRDefault="00584FB3">
            <w:pPr>
              <w:rPr>
                <w:rFonts w:ascii="宋体"/>
                <w:vanish/>
              </w:rPr>
            </w:pPr>
          </w:p>
        </w:tc>
        <w:tc>
          <w:tcPr>
            <w:tcW w:w="0" w:type="auto"/>
            <w:gridSpan w:val="3"/>
            <w:shd w:val="clear" w:color="auto" w:fill="auto"/>
          </w:tcPr>
          <w:p w14:paraId="40CB19B6" w14:textId="77777777" w:rsidR="00584FB3" w:rsidRDefault="00584FB3">
            <w:pPr>
              <w:rPr>
                <w:rFonts w:ascii="宋体"/>
                <w:vanish/>
              </w:rPr>
            </w:pPr>
          </w:p>
        </w:tc>
        <w:tc>
          <w:tcPr>
            <w:tcW w:w="0" w:type="auto"/>
            <w:gridSpan w:val="3"/>
            <w:shd w:val="clear" w:color="auto" w:fill="auto"/>
          </w:tcPr>
          <w:p w14:paraId="40CB19B7" w14:textId="77777777" w:rsidR="00584FB3" w:rsidRDefault="00584FB3">
            <w:pPr>
              <w:rPr>
                <w:rFonts w:ascii="宋体"/>
                <w:vanish/>
              </w:rPr>
            </w:pPr>
          </w:p>
        </w:tc>
      </w:tr>
      <w:tr w:rsidR="00584FB3" w14:paraId="40CB19C3" w14:textId="77777777">
        <w:trPr>
          <w:jc w:val="center"/>
        </w:trPr>
        <w:tc>
          <w:tcPr>
            <w:tcW w:w="0" w:type="auto"/>
            <w:gridSpan w:val="3"/>
            <w:shd w:val="clear" w:color="auto" w:fill="FFFFFF"/>
            <w:tcMar>
              <w:top w:w="40" w:type="dxa"/>
              <w:left w:w="20" w:type="dxa"/>
              <w:bottom w:w="40" w:type="dxa"/>
              <w:right w:w="20" w:type="dxa"/>
            </w:tcMar>
            <w:vAlign w:val="bottom"/>
          </w:tcPr>
          <w:p w14:paraId="40CB19B9" w14:textId="77777777" w:rsidR="00584FB3" w:rsidRDefault="00786180">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40CB19BA" w14:textId="77777777" w:rsidR="00584FB3" w:rsidRDefault="00786180">
            <w:pPr>
              <w:jc w:val="right"/>
              <w:textAlignment w:val="bottom"/>
            </w:pPr>
            <w:r>
              <w:rPr>
                <w:rFonts w:ascii="Times New Roman" w:eastAsia="宋体" w:hAnsi="Times New Roman"/>
                <w:color w:val="000000"/>
                <w:sz w:val="20"/>
                <w:szCs w:val="20"/>
              </w:rPr>
              <w:t>1,175.0 </w:t>
            </w:r>
          </w:p>
        </w:tc>
        <w:tc>
          <w:tcPr>
            <w:tcW w:w="0" w:type="auto"/>
            <w:shd w:val="clear" w:color="auto" w:fill="FFFFFF"/>
            <w:tcMar>
              <w:top w:w="40" w:type="dxa"/>
              <w:left w:w="0" w:type="dxa"/>
              <w:bottom w:w="40" w:type="dxa"/>
              <w:right w:w="20" w:type="dxa"/>
            </w:tcMar>
            <w:vAlign w:val="bottom"/>
          </w:tcPr>
          <w:p w14:paraId="40CB19B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9B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9BD" w14:textId="77777777" w:rsidR="00584FB3" w:rsidRDefault="00786180">
            <w:pPr>
              <w:jc w:val="right"/>
              <w:textAlignment w:val="bottom"/>
            </w:pPr>
            <w:r>
              <w:rPr>
                <w:rFonts w:ascii="Times New Roman" w:eastAsia="宋体" w:hAnsi="Times New Roman"/>
                <w:color w:val="000000"/>
                <w:sz w:val="20"/>
                <w:szCs w:val="20"/>
              </w:rPr>
              <w:t>1,180.4 </w:t>
            </w:r>
          </w:p>
        </w:tc>
        <w:tc>
          <w:tcPr>
            <w:tcW w:w="0" w:type="auto"/>
            <w:shd w:val="clear" w:color="auto" w:fill="FFFFFF"/>
            <w:tcMar>
              <w:top w:w="40" w:type="dxa"/>
              <w:left w:w="0" w:type="dxa"/>
              <w:bottom w:w="40" w:type="dxa"/>
              <w:right w:w="20" w:type="dxa"/>
            </w:tcMar>
            <w:vAlign w:val="bottom"/>
          </w:tcPr>
          <w:p w14:paraId="40CB19BE" w14:textId="77777777" w:rsidR="00584FB3" w:rsidRDefault="00584FB3">
            <w:pPr>
              <w:jc w:val="right"/>
              <w:rPr>
                <w:rFonts w:ascii="宋体"/>
              </w:rPr>
            </w:pPr>
          </w:p>
        </w:tc>
        <w:tc>
          <w:tcPr>
            <w:tcW w:w="0" w:type="auto"/>
            <w:shd w:val="clear" w:color="auto" w:fill="auto"/>
          </w:tcPr>
          <w:p w14:paraId="40CB19BF" w14:textId="77777777" w:rsidR="00584FB3" w:rsidRDefault="00584FB3">
            <w:pPr>
              <w:rPr>
                <w:rFonts w:ascii="宋体"/>
                <w:vanish/>
              </w:rPr>
            </w:pPr>
          </w:p>
        </w:tc>
        <w:tc>
          <w:tcPr>
            <w:tcW w:w="0" w:type="auto"/>
            <w:shd w:val="clear" w:color="auto" w:fill="auto"/>
          </w:tcPr>
          <w:p w14:paraId="40CB19C0" w14:textId="77777777" w:rsidR="00584FB3" w:rsidRDefault="00584FB3">
            <w:pPr>
              <w:rPr>
                <w:rFonts w:ascii="宋体"/>
                <w:vanish/>
              </w:rPr>
            </w:pPr>
          </w:p>
        </w:tc>
        <w:tc>
          <w:tcPr>
            <w:tcW w:w="0" w:type="auto"/>
            <w:gridSpan w:val="3"/>
            <w:shd w:val="clear" w:color="auto" w:fill="auto"/>
          </w:tcPr>
          <w:p w14:paraId="40CB19C1" w14:textId="77777777" w:rsidR="00584FB3" w:rsidRDefault="00584FB3">
            <w:pPr>
              <w:rPr>
                <w:rFonts w:ascii="宋体"/>
                <w:vanish/>
              </w:rPr>
            </w:pPr>
          </w:p>
        </w:tc>
        <w:tc>
          <w:tcPr>
            <w:tcW w:w="0" w:type="auto"/>
            <w:gridSpan w:val="3"/>
            <w:shd w:val="clear" w:color="auto" w:fill="auto"/>
          </w:tcPr>
          <w:p w14:paraId="40CB19C2" w14:textId="77777777" w:rsidR="00584FB3" w:rsidRDefault="00584FB3">
            <w:pPr>
              <w:rPr>
                <w:rFonts w:ascii="宋体"/>
                <w:vanish/>
              </w:rPr>
            </w:pPr>
          </w:p>
        </w:tc>
      </w:tr>
      <w:tr w:rsidR="00584FB3" w14:paraId="40CB19CE" w14:textId="77777777">
        <w:trPr>
          <w:jc w:val="center"/>
        </w:trPr>
        <w:tc>
          <w:tcPr>
            <w:tcW w:w="0" w:type="auto"/>
            <w:gridSpan w:val="3"/>
            <w:shd w:val="clear" w:color="auto" w:fill="D7E4BC"/>
            <w:tcMar>
              <w:top w:w="40" w:type="dxa"/>
              <w:left w:w="20" w:type="dxa"/>
              <w:bottom w:w="40" w:type="dxa"/>
              <w:right w:w="20" w:type="dxa"/>
            </w:tcMar>
            <w:vAlign w:val="bottom"/>
          </w:tcPr>
          <w:p w14:paraId="40CB19C4" w14:textId="77777777" w:rsidR="00584FB3" w:rsidRDefault="00786180">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40CB19C5" w14:textId="77777777" w:rsidR="00584FB3" w:rsidRDefault="00786180">
            <w:pPr>
              <w:jc w:val="right"/>
              <w:textAlignment w:val="bottom"/>
            </w:pPr>
            <w:r>
              <w:rPr>
                <w:rFonts w:ascii="Times New Roman" w:eastAsia="宋体" w:hAnsi="Times New Roman"/>
                <w:color w:val="000000"/>
                <w:sz w:val="20"/>
                <w:szCs w:val="20"/>
              </w:rPr>
              <w:t>8.0 </w:t>
            </w:r>
          </w:p>
        </w:tc>
        <w:tc>
          <w:tcPr>
            <w:tcW w:w="0" w:type="auto"/>
            <w:shd w:val="clear" w:color="auto" w:fill="D7E4BC"/>
            <w:tcMar>
              <w:top w:w="40" w:type="dxa"/>
              <w:left w:w="0" w:type="dxa"/>
              <w:bottom w:w="40" w:type="dxa"/>
              <w:right w:w="20" w:type="dxa"/>
            </w:tcMar>
            <w:vAlign w:val="bottom"/>
          </w:tcPr>
          <w:p w14:paraId="40CB19C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C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9C8" w14:textId="77777777" w:rsidR="00584FB3" w:rsidRDefault="00786180">
            <w:pPr>
              <w:jc w:val="right"/>
              <w:textAlignment w:val="bottom"/>
            </w:pPr>
            <w:r>
              <w:rPr>
                <w:rFonts w:ascii="Times New Roman" w:eastAsia="宋体" w:hAnsi="Times New Roman"/>
                <w:color w:val="000000"/>
                <w:sz w:val="20"/>
                <w:szCs w:val="20"/>
              </w:rPr>
              <w:t>10.6 </w:t>
            </w:r>
          </w:p>
        </w:tc>
        <w:tc>
          <w:tcPr>
            <w:tcW w:w="0" w:type="auto"/>
            <w:shd w:val="clear" w:color="auto" w:fill="D7E4BC"/>
            <w:tcMar>
              <w:top w:w="40" w:type="dxa"/>
              <w:left w:w="0" w:type="dxa"/>
              <w:bottom w:w="40" w:type="dxa"/>
              <w:right w:w="20" w:type="dxa"/>
            </w:tcMar>
            <w:vAlign w:val="bottom"/>
          </w:tcPr>
          <w:p w14:paraId="40CB19C9" w14:textId="77777777" w:rsidR="00584FB3" w:rsidRDefault="00584FB3">
            <w:pPr>
              <w:jc w:val="right"/>
              <w:rPr>
                <w:rFonts w:ascii="宋体"/>
              </w:rPr>
            </w:pPr>
          </w:p>
        </w:tc>
        <w:tc>
          <w:tcPr>
            <w:tcW w:w="0" w:type="auto"/>
            <w:shd w:val="clear" w:color="auto" w:fill="auto"/>
          </w:tcPr>
          <w:p w14:paraId="40CB19CA" w14:textId="77777777" w:rsidR="00584FB3" w:rsidRDefault="00584FB3">
            <w:pPr>
              <w:rPr>
                <w:rFonts w:ascii="宋体"/>
                <w:vanish/>
              </w:rPr>
            </w:pPr>
          </w:p>
        </w:tc>
        <w:tc>
          <w:tcPr>
            <w:tcW w:w="0" w:type="auto"/>
            <w:shd w:val="clear" w:color="auto" w:fill="auto"/>
          </w:tcPr>
          <w:p w14:paraId="40CB19CB" w14:textId="77777777" w:rsidR="00584FB3" w:rsidRDefault="00584FB3">
            <w:pPr>
              <w:rPr>
                <w:rFonts w:ascii="宋体"/>
                <w:vanish/>
              </w:rPr>
            </w:pPr>
          </w:p>
        </w:tc>
        <w:tc>
          <w:tcPr>
            <w:tcW w:w="0" w:type="auto"/>
            <w:gridSpan w:val="3"/>
            <w:shd w:val="clear" w:color="auto" w:fill="auto"/>
          </w:tcPr>
          <w:p w14:paraId="40CB19CC" w14:textId="77777777" w:rsidR="00584FB3" w:rsidRDefault="00584FB3">
            <w:pPr>
              <w:rPr>
                <w:rFonts w:ascii="宋体"/>
                <w:vanish/>
              </w:rPr>
            </w:pPr>
          </w:p>
        </w:tc>
        <w:tc>
          <w:tcPr>
            <w:tcW w:w="0" w:type="auto"/>
            <w:gridSpan w:val="3"/>
            <w:shd w:val="clear" w:color="auto" w:fill="auto"/>
          </w:tcPr>
          <w:p w14:paraId="40CB19CD" w14:textId="77777777" w:rsidR="00584FB3" w:rsidRDefault="00584FB3">
            <w:pPr>
              <w:rPr>
                <w:rFonts w:ascii="宋体"/>
                <w:vanish/>
              </w:rPr>
            </w:pPr>
          </w:p>
        </w:tc>
      </w:tr>
      <w:tr w:rsidR="00584FB3" w14:paraId="40CB19D9" w14:textId="77777777">
        <w:trPr>
          <w:jc w:val="center"/>
        </w:trPr>
        <w:tc>
          <w:tcPr>
            <w:tcW w:w="0" w:type="auto"/>
            <w:gridSpan w:val="3"/>
            <w:shd w:val="clear" w:color="auto" w:fill="FFFFFF"/>
            <w:tcMar>
              <w:top w:w="40" w:type="dxa"/>
              <w:left w:w="20" w:type="dxa"/>
              <w:bottom w:w="40" w:type="dxa"/>
              <w:right w:w="20" w:type="dxa"/>
            </w:tcMar>
            <w:vAlign w:val="bottom"/>
          </w:tcPr>
          <w:p w14:paraId="40CB19CF" w14:textId="77777777" w:rsidR="00584FB3" w:rsidRDefault="00786180">
            <w:pPr>
              <w:textAlignment w:val="bottom"/>
            </w:pPr>
            <w:r>
              <w:rPr>
                <w:rFonts w:ascii="Times New Roman" w:eastAsia="宋体" w:hAnsi="Times New Roman"/>
                <w:color w:val="000000"/>
                <w:sz w:val="20"/>
                <w:szCs w:val="20"/>
              </w:rPr>
              <w:t xml:space="preserve">Weighted average common and common equivalent shares </w:t>
            </w:r>
            <w:r>
              <w:rPr>
                <w:rFonts w:ascii="Times New Roman" w:eastAsia="宋体" w:hAnsi="Times New Roman"/>
                <w:color w:val="000000"/>
                <w:sz w:val="20"/>
                <w:szCs w:val="20"/>
              </w:rPr>
              <w:t>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9D0" w14:textId="77777777" w:rsidR="00584FB3" w:rsidRDefault="00786180">
            <w:pPr>
              <w:jc w:val="right"/>
              <w:textAlignment w:val="bottom"/>
            </w:pPr>
            <w:r>
              <w:rPr>
                <w:rFonts w:ascii="Times New Roman" w:eastAsia="宋体" w:hAnsi="Times New Roman"/>
                <w:color w:val="000000"/>
                <w:sz w:val="20"/>
                <w:szCs w:val="20"/>
              </w:rPr>
              <w:t>1,183.0 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9D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9D2"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9D3" w14:textId="77777777" w:rsidR="00584FB3" w:rsidRDefault="00786180">
            <w:pPr>
              <w:jc w:val="right"/>
              <w:textAlignment w:val="bottom"/>
            </w:pPr>
            <w:r>
              <w:rPr>
                <w:rFonts w:ascii="Times New Roman" w:eastAsia="宋体" w:hAnsi="Times New Roman"/>
                <w:color w:val="000000"/>
                <w:sz w:val="20"/>
                <w:szCs w:val="20"/>
              </w:rPr>
              <w:t>1,191.0 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9D4" w14:textId="77777777" w:rsidR="00584FB3" w:rsidRDefault="00584FB3">
            <w:pPr>
              <w:jc w:val="right"/>
              <w:rPr>
                <w:rFonts w:ascii="宋体"/>
              </w:rPr>
            </w:pPr>
          </w:p>
        </w:tc>
        <w:tc>
          <w:tcPr>
            <w:tcW w:w="0" w:type="auto"/>
            <w:shd w:val="clear" w:color="auto" w:fill="auto"/>
          </w:tcPr>
          <w:p w14:paraId="40CB19D5" w14:textId="77777777" w:rsidR="00584FB3" w:rsidRDefault="00584FB3">
            <w:pPr>
              <w:rPr>
                <w:rFonts w:ascii="宋体"/>
                <w:vanish/>
              </w:rPr>
            </w:pPr>
          </w:p>
        </w:tc>
        <w:tc>
          <w:tcPr>
            <w:tcW w:w="0" w:type="auto"/>
            <w:shd w:val="clear" w:color="auto" w:fill="auto"/>
          </w:tcPr>
          <w:p w14:paraId="40CB19D6" w14:textId="77777777" w:rsidR="00584FB3" w:rsidRDefault="00584FB3">
            <w:pPr>
              <w:rPr>
                <w:rFonts w:ascii="宋体"/>
                <w:vanish/>
              </w:rPr>
            </w:pPr>
          </w:p>
        </w:tc>
        <w:tc>
          <w:tcPr>
            <w:tcW w:w="0" w:type="auto"/>
            <w:gridSpan w:val="3"/>
            <w:shd w:val="clear" w:color="auto" w:fill="auto"/>
          </w:tcPr>
          <w:p w14:paraId="40CB19D7" w14:textId="77777777" w:rsidR="00584FB3" w:rsidRDefault="00584FB3">
            <w:pPr>
              <w:rPr>
                <w:rFonts w:ascii="宋体"/>
                <w:vanish/>
              </w:rPr>
            </w:pPr>
          </w:p>
        </w:tc>
        <w:tc>
          <w:tcPr>
            <w:tcW w:w="0" w:type="auto"/>
            <w:gridSpan w:val="3"/>
            <w:shd w:val="clear" w:color="auto" w:fill="auto"/>
          </w:tcPr>
          <w:p w14:paraId="40CB19D8" w14:textId="77777777" w:rsidR="00584FB3" w:rsidRDefault="00584FB3">
            <w:pPr>
              <w:rPr>
                <w:rFonts w:ascii="宋体"/>
                <w:vanish/>
              </w:rPr>
            </w:pPr>
          </w:p>
        </w:tc>
      </w:tr>
      <w:tr w:rsidR="00584FB3" w14:paraId="40CB19E6" w14:textId="77777777">
        <w:trPr>
          <w:jc w:val="center"/>
        </w:trPr>
        <w:tc>
          <w:tcPr>
            <w:tcW w:w="0" w:type="auto"/>
            <w:gridSpan w:val="3"/>
            <w:shd w:val="clear" w:color="auto" w:fill="D7E4BC"/>
            <w:tcMar>
              <w:top w:w="40" w:type="dxa"/>
              <w:left w:w="20" w:type="dxa"/>
              <w:bottom w:w="40" w:type="dxa"/>
              <w:right w:w="20" w:type="dxa"/>
            </w:tcMar>
            <w:vAlign w:val="bottom"/>
          </w:tcPr>
          <w:p w14:paraId="40CB19DA" w14:textId="77777777" w:rsidR="00584FB3" w:rsidRDefault="00786180">
            <w:pPr>
              <w:textAlignment w:val="bottom"/>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40CB19DB" w14:textId="77777777" w:rsidR="00584FB3" w:rsidRDefault="0078618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40CB19DC" w14:textId="77777777" w:rsidR="00584FB3" w:rsidRDefault="00786180">
            <w:pPr>
              <w:jc w:val="right"/>
              <w:textAlignment w:val="bottom"/>
            </w:pPr>
            <w:r>
              <w:rPr>
                <w:rFonts w:ascii="Times New Roman" w:eastAsia="宋体" w:hAnsi="Times New Roman"/>
                <w:color w:val="000000"/>
                <w:sz w:val="20"/>
                <w:szCs w:val="20"/>
              </w:rPr>
              <w:t>0.53 </w:t>
            </w:r>
          </w:p>
        </w:tc>
        <w:tc>
          <w:tcPr>
            <w:tcW w:w="0" w:type="auto"/>
            <w:tcBorders>
              <w:top w:val="double" w:sz="6" w:space="0" w:color="000000"/>
            </w:tcBorders>
            <w:shd w:val="clear" w:color="auto" w:fill="D7E4BC"/>
            <w:tcMar>
              <w:top w:w="40" w:type="dxa"/>
              <w:left w:w="0" w:type="dxa"/>
              <w:bottom w:w="40" w:type="dxa"/>
              <w:right w:w="20" w:type="dxa"/>
            </w:tcMar>
            <w:vAlign w:val="bottom"/>
          </w:tcPr>
          <w:p w14:paraId="40CB19D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9DE" w14:textId="77777777" w:rsidR="00584FB3" w:rsidRDefault="00584FB3">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40CB19DF" w14:textId="77777777" w:rsidR="00584FB3" w:rsidRDefault="0078618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40CB19E0" w14:textId="77777777" w:rsidR="00584FB3" w:rsidRDefault="00786180">
            <w:pPr>
              <w:jc w:val="right"/>
              <w:textAlignment w:val="bottom"/>
            </w:pPr>
            <w:r>
              <w:rPr>
                <w:rFonts w:ascii="Times New Roman" w:eastAsia="宋体" w:hAnsi="Times New Roman"/>
                <w:color w:val="000000"/>
                <w:sz w:val="20"/>
                <w:szCs w:val="20"/>
              </w:rPr>
              <w:t>0.75 </w:t>
            </w:r>
          </w:p>
        </w:tc>
        <w:tc>
          <w:tcPr>
            <w:tcW w:w="0" w:type="auto"/>
            <w:tcBorders>
              <w:top w:val="double" w:sz="6" w:space="0" w:color="000000"/>
            </w:tcBorders>
            <w:shd w:val="clear" w:color="auto" w:fill="D7E4BC"/>
            <w:tcMar>
              <w:top w:w="40" w:type="dxa"/>
              <w:left w:w="0" w:type="dxa"/>
              <w:bottom w:w="40" w:type="dxa"/>
              <w:right w:w="20" w:type="dxa"/>
            </w:tcMar>
            <w:vAlign w:val="bottom"/>
          </w:tcPr>
          <w:p w14:paraId="40CB19E1" w14:textId="77777777" w:rsidR="00584FB3" w:rsidRDefault="00584FB3">
            <w:pPr>
              <w:jc w:val="right"/>
              <w:rPr>
                <w:rFonts w:ascii="宋体"/>
              </w:rPr>
            </w:pPr>
          </w:p>
        </w:tc>
        <w:tc>
          <w:tcPr>
            <w:tcW w:w="0" w:type="auto"/>
            <w:shd w:val="clear" w:color="auto" w:fill="auto"/>
          </w:tcPr>
          <w:p w14:paraId="40CB19E2" w14:textId="77777777" w:rsidR="00584FB3" w:rsidRDefault="00584FB3">
            <w:pPr>
              <w:rPr>
                <w:rFonts w:ascii="宋体"/>
                <w:vanish/>
              </w:rPr>
            </w:pPr>
          </w:p>
        </w:tc>
        <w:tc>
          <w:tcPr>
            <w:tcW w:w="0" w:type="auto"/>
            <w:shd w:val="clear" w:color="auto" w:fill="auto"/>
          </w:tcPr>
          <w:p w14:paraId="40CB19E3" w14:textId="77777777" w:rsidR="00584FB3" w:rsidRDefault="00584FB3">
            <w:pPr>
              <w:rPr>
                <w:rFonts w:ascii="宋体"/>
                <w:vanish/>
              </w:rPr>
            </w:pPr>
          </w:p>
        </w:tc>
        <w:tc>
          <w:tcPr>
            <w:tcW w:w="0" w:type="auto"/>
            <w:gridSpan w:val="3"/>
            <w:shd w:val="clear" w:color="auto" w:fill="auto"/>
          </w:tcPr>
          <w:p w14:paraId="40CB19E4" w14:textId="77777777" w:rsidR="00584FB3" w:rsidRDefault="00584FB3">
            <w:pPr>
              <w:rPr>
                <w:rFonts w:ascii="宋体"/>
                <w:vanish/>
              </w:rPr>
            </w:pPr>
          </w:p>
        </w:tc>
        <w:tc>
          <w:tcPr>
            <w:tcW w:w="0" w:type="auto"/>
            <w:gridSpan w:val="3"/>
            <w:shd w:val="clear" w:color="auto" w:fill="auto"/>
          </w:tcPr>
          <w:p w14:paraId="40CB19E5" w14:textId="77777777" w:rsidR="00584FB3" w:rsidRDefault="00584FB3">
            <w:pPr>
              <w:rPr>
                <w:rFonts w:ascii="宋体"/>
                <w:vanish/>
              </w:rPr>
            </w:pPr>
          </w:p>
        </w:tc>
      </w:tr>
      <w:tr w:rsidR="00584FB3" w14:paraId="40CB19F3" w14:textId="77777777">
        <w:trPr>
          <w:jc w:val="center"/>
        </w:trPr>
        <w:tc>
          <w:tcPr>
            <w:tcW w:w="0" w:type="auto"/>
            <w:gridSpan w:val="3"/>
            <w:shd w:val="clear" w:color="auto" w:fill="FFFFFF"/>
            <w:tcMar>
              <w:top w:w="40" w:type="dxa"/>
              <w:left w:w="20" w:type="dxa"/>
              <w:bottom w:w="40" w:type="dxa"/>
              <w:right w:w="20" w:type="dxa"/>
            </w:tcMar>
            <w:vAlign w:val="bottom"/>
          </w:tcPr>
          <w:p w14:paraId="40CB19E7" w14:textId="77777777" w:rsidR="00584FB3" w:rsidRDefault="00786180">
            <w:pPr>
              <w:textAlignment w:val="bottom"/>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right w:w="0" w:type="dxa"/>
            </w:tcMar>
            <w:vAlign w:val="bottom"/>
          </w:tcPr>
          <w:p w14:paraId="40CB19E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9E9" w14:textId="77777777" w:rsidR="00584FB3" w:rsidRDefault="00786180">
            <w:pPr>
              <w:jc w:val="right"/>
              <w:textAlignment w:val="bottom"/>
            </w:pPr>
            <w:r>
              <w:rPr>
                <w:rFonts w:ascii="Times New Roman" w:eastAsia="宋体" w:hAnsi="Times New Roman"/>
                <w:color w:val="000000"/>
                <w:sz w:val="20"/>
                <w:szCs w:val="20"/>
              </w:rPr>
              <w:t>0.53 </w:t>
            </w:r>
          </w:p>
        </w:tc>
        <w:tc>
          <w:tcPr>
            <w:tcW w:w="0" w:type="auto"/>
            <w:shd w:val="clear" w:color="auto" w:fill="FFFFFF"/>
            <w:tcMar>
              <w:top w:w="40" w:type="dxa"/>
              <w:left w:w="0" w:type="dxa"/>
              <w:bottom w:w="40" w:type="dxa"/>
              <w:right w:w="20" w:type="dxa"/>
            </w:tcMar>
            <w:vAlign w:val="bottom"/>
          </w:tcPr>
          <w:p w14:paraId="40CB19E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9EB"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9EC"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9ED" w14:textId="77777777" w:rsidR="00584FB3" w:rsidRDefault="00786180">
            <w:pPr>
              <w:jc w:val="right"/>
              <w:textAlignment w:val="bottom"/>
            </w:pPr>
            <w:r>
              <w:rPr>
                <w:rFonts w:ascii="Times New Roman" w:eastAsia="宋体" w:hAnsi="Times New Roman"/>
                <w:color w:val="000000"/>
                <w:sz w:val="20"/>
                <w:szCs w:val="20"/>
              </w:rPr>
              <w:t>0.74 </w:t>
            </w:r>
          </w:p>
        </w:tc>
        <w:tc>
          <w:tcPr>
            <w:tcW w:w="0" w:type="auto"/>
            <w:shd w:val="clear" w:color="auto" w:fill="FFFFFF"/>
            <w:tcMar>
              <w:top w:w="40" w:type="dxa"/>
              <w:left w:w="0" w:type="dxa"/>
              <w:bottom w:w="40" w:type="dxa"/>
              <w:right w:w="20" w:type="dxa"/>
            </w:tcMar>
            <w:vAlign w:val="bottom"/>
          </w:tcPr>
          <w:p w14:paraId="40CB19EE" w14:textId="77777777" w:rsidR="00584FB3" w:rsidRDefault="00584FB3">
            <w:pPr>
              <w:jc w:val="right"/>
              <w:rPr>
                <w:rFonts w:ascii="宋体"/>
              </w:rPr>
            </w:pPr>
          </w:p>
        </w:tc>
        <w:tc>
          <w:tcPr>
            <w:tcW w:w="0" w:type="auto"/>
            <w:shd w:val="clear" w:color="auto" w:fill="auto"/>
          </w:tcPr>
          <w:p w14:paraId="40CB19EF" w14:textId="77777777" w:rsidR="00584FB3" w:rsidRDefault="00584FB3">
            <w:pPr>
              <w:rPr>
                <w:rFonts w:ascii="宋体"/>
                <w:vanish/>
              </w:rPr>
            </w:pPr>
          </w:p>
        </w:tc>
        <w:tc>
          <w:tcPr>
            <w:tcW w:w="0" w:type="auto"/>
            <w:shd w:val="clear" w:color="auto" w:fill="auto"/>
          </w:tcPr>
          <w:p w14:paraId="40CB19F0" w14:textId="77777777" w:rsidR="00584FB3" w:rsidRDefault="00584FB3">
            <w:pPr>
              <w:rPr>
                <w:rFonts w:ascii="宋体"/>
                <w:vanish/>
              </w:rPr>
            </w:pPr>
          </w:p>
        </w:tc>
        <w:tc>
          <w:tcPr>
            <w:tcW w:w="0" w:type="auto"/>
            <w:gridSpan w:val="3"/>
            <w:shd w:val="clear" w:color="auto" w:fill="auto"/>
          </w:tcPr>
          <w:p w14:paraId="40CB19F1" w14:textId="77777777" w:rsidR="00584FB3" w:rsidRDefault="00584FB3">
            <w:pPr>
              <w:rPr>
                <w:rFonts w:ascii="宋体"/>
                <w:vanish/>
              </w:rPr>
            </w:pPr>
          </w:p>
        </w:tc>
        <w:tc>
          <w:tcPr>
            <w:tcW w:w="0" w:type="auto"/>
            <w:gridSpan w:val="3"/>
            <w:shd w:val="clear" w:color="auto" w:fill="auto"/>
          </w:tcPr>
          <w:p w14:paraId="40CB19F2" w14:textId="77777777" w:rsidR="00584FB3" w:rsidRDefault="00584FB3">
            <w:pPr>
              <w:rPr>
                <w:rFonts w:ascii="宋体"/>
                <w:vanish/>
              </w:rPr>
            </w:pPr>
          </w:p>
        </w:tc>
      </w:tr>
    </w:tbl>
    <w:p w14:paraId="40CB19F4" w14:textId="77777777" w:rsidR="00584FB3" w:rsidRDefault="00786180">
      <w:pPr>
        <w:spacing w:before="120"/>
      </w:pPr>
      <w:r>
        <w:rPr>
          <w:rFonts w:ascii="Times New Roman" w:eastAsia="宋体" w:hAnsi="Times New Roman"/>
          <w:color w:val="000000"/>
          <w:sz w:val="20"/>
          <w:szCs w:val="20"/>
        </w:rPr>
        <w:t xml:space="preserve">Potential dilutive shares consist of the incremental common shares issuable upon the exercise of </w:t>
      </w:r>
      <w:r>
        <w:rPr>
          <w:rFonts w:ascii="Times New Roman" w:eastAsia="宋体" w:hAnsi="Times New Roman"/>
          <w:color w:val="000000"/>
          <w:sz w:val="20"/>
          <w:szCs w:val="20"/>
        </w:rPr>
        <w:t>outstanding stock options (both vested and non-vested) and unvested RSUs, calculated using the treasury stock method. The calculation of dilutive shares outstanding would exclude out-of-the-money stock options (i.e., such options’ exercise prices were grea</w:t>
      </w:r>
      <w:r>
        <w:rPr>
          <w:rFonts w:ascii="Times New Roman" w:eastAsia="宋体" w:hAnsi="Times New Roman"/>
          <w:color w:val="000000"/>
          <w:sz w:val="20"/>
          <w:szCs w:val="20"/>
        </w:rPr>
        <w:t>ter than the average market price of our common shares for the period) because their inclusion would be antidilutive. As of December 27, 2020 and December 29, 2019, we had no out-of-the-money stock options.</w:t>
      </w:r>
    </w:p>
    <w:p w14:paraId="40CB19F5" w14:textId="77777777" w:rsidR="00584FB3" w:rsidRDefault="00786180">
      <w:pPr>
        <w:spacing w:before="120"/>
      </w:pPr>
      <w:r>
        <w:rPr>
          <w:rFonts w:ascii="Times New Roman" w:eastAsia="宋体" w:hAnsi="Times New Roman"/>
          <w:b/>
          <w:bCs/>
          <w:color w:val="000000"/>
          <w:sz w:val="20"/>
          <w:szCs w:val="20"/>
        </w:rPr>
        <w:t>Note 13: Commitments and Contingencies</w:t>
      </w:r>
      <w:r>
        <w:rPr>
          <w:rFonts w:ascii="Times New Roman" w:eastAsia="宋体" w:hAnsi="Times New Roman"/>
          <w:color w:val="000000"/>
          <w:sz w:val="20"/>
          <w:szCs w:val="20"/>
        </w:rPr>
        <w:t xml:space="preserve"> </w:t>
      </w:r>
    </w:p>
    <w:p w14:paraId="40CB19F6" w14:textId="77777777" w:rsidR="00584FB3" w:rsidRDefault="00786180">
      <w:pPr>
        <w:spacing w:before="120"/>
        <w:jc w:val="both"/>
      </w:pPr>
      <w:r>
        <w:rPr>
          <w:rFonts w:ascii="Times New Roman" w:eastAsia="宋体" w:hAnsi="Times New Roman"/>
          <w:b/>
          <w:bCs/>
          <w:i/>
          <w:iCs/>
          <w:color w:val="000000"/>
          <w:sz w:val="20"/>
          <w:szCs w:val="20"/>
        </w:rPr>
        <w:t>Legal Proceedings</w:t>
      </w:r>
    </w:p>
    <w:p w14:paraId="40CB19F7" w14:textId="77777777" w:rsidR="00584FB3" w:rsidRDefault="00786180">
      <w:pPr>
        <w:spacing w:before="120"/>
      </w:pPr>
      <w:r>
        <w:rPr>
          <w:rFonts w:ascii="Times New Roman" w:eastAsia="宋体" w:hAnsi="Times New Roman"/>
          <w:color w:val="000000"/>
          <w:sz w:val="20"/>
          <w:szCs w:val="20"/>
        </w:rPr>
        <w:t xml:space="preserve">On April 13, 2010, an organization named Council for Education and Research on Toxics (“Plaintiff”) filed a lawsuit in the Superior Court of the State of California, County of Los Angeles, against the Company and certain other defendants </w:t>
      </w:r>
      <w:r>
        <w:rPr>
          <w:rFonts w:ascii="Times New Roman" w:eastAsia="宋体" w:hAnsi="Times New Roman"/>
          <w:color w:val="000000"/>
          <w:sz w:val="20"/>
          <w:szCs w:val="20"/>
        </w:rPr>
        <w:t xml:space="preserve">who manufacture, package, distribute or sell brewed coffee. The lawsuit is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w:t>
      </w:r>
      <w:r>
        <w:rPr>
          <w:rFonts w:ascii="Times New Roman" w:eastAsia="宋体" w:hAnsi="Times New Roman"/>
          <w:color w:val="000000"/>
          <w:sz w:val="20"/>
          <w:szCs w:val="20"/>
        </w:rPr>
        <w:t xml:space="preserve">nia, County of Los Angeles, against the Company and additional defendants who manufacture, package,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w:t>
      </w:r>
      <w:r>
        <w:rPr>
          <w:rFonts w:ascii="Times New Roman" w:eastAsia="宋体" w:hAnsi="Times New Roman"/>
          <w:color w:val="000000"/>
          <w:sz w:val="20"/>
          <w:szCs w:val="20"/>
        </w:rPr>
        <w:t>idated and now include nearly eighty defendants, which constitute the great majority of the coffee industry in California. Plaintiff alleges that the Company and the other defendants failed to provide warnings for their coffee products of exposure to the c</w:t>
      </w:r>
      <w:r>
        <w:rPr>
          <w:rFonts w:ascii="Times New Roman" w:eastAsia="宋体" w:hAnsi="Times New Roman"/>
          <w:color w:val="000000"/>
          <w:sz w:val="20"/>
          <w:szCs w:val="20"/>
        </w:rPr>
        <w:t xml:space="preserve">hemical acrylamide as required under California Health and Safety Code section 25249.5, the California Safe Drinking Water and Toxic Enforcement Act of 1986, better known as Proposition 65. Plaintiff seeks equitable relief, including </w:t>
      </w:r>
    </w:p>
    <w:p w14:paraId="40CB19F8" w14:textId="77777777" w:rsidR="00584FB3" w:rsidRDefault="00786180">
      <w:pPr>
        <w:jc w:val="center"/>
      </w:pPr>
      <w:r>
        <w:rPr>
          <w:rFonts w:ascii="Times New Roman" w:eastAsia="宋体" w:hAnsi="Times New Roman"/>
          <w:color w:val="000000"/>
          <w:sz w:val="20"/>
          <w:szCs w:val="20"/>
        </w:rPr>
        <w:t>23</w:t>
      </w:r>
    </w:p>
    <w:p w14:paraId="40CB19F9" w14:textId="77777777" w:rsidR="00584FB3" w:rsidRDefault="00786180">
      <w:r>
        <w:pict w14:anchorId="40CB2A4C">
          <v:rect id="_x0000_i1047" style="width:415.3pt;height:1.5pt" o:hralign="center" o:hrstd="t" o:hr="t" fillcolor="#a0a0a0" stroked="f"/>
        </w:pict>
      </w:r>
    </w:p>
    <w:p w14:paraId="40CB19FA" w14:textId="77777777" w:rsidR="00584FB3" w:rsidRDefault="00786180">
      <w:hyperlink r:id="rId99" w:anchor="i11706e4b673c41db9f2dcbdb897203bb_7" w:history="1">
        <w:r>
          <w:rPr>
            <w:rStyle w:val="a5"/>
            <w:rFonts w:ascii="Times New Roman" w:eastAsia="宋体" w:hAnsi="Times New Roman"/>
            <w:sz w:val="20"/>
            <w:szCs w:val="20"/>
          </w:rPr>
          <w:t>Table of Contents</w:t>
        </w:r>
      </w:hyperlink>
    </w:p>
    <w:p w14:paraId="40CB19FB" w14:textId="77777777" w:rsidR="00584FB3" w:rsidRDefault="00786180">
      <w:pPr>
        <w:spacing w:before="120"/>
      </w:pPr>
      <w:r>
        <w:rPr>
          <w:rFonts w:ascii="Times New Roman" w:eastAsia="宋体" w:hAnsi="Times New Roman"/>
          <w:color w:val="000000"/>
          <w:sz w:val="20"/>
          <w:szCs w:val="20"/>
        </w:rPr>
        <w:t xml:space="preserve">providing warnings to consumers of coffee products, as well as civil penalties in the amount of </w:t>
      </w:r>
      <w:r>
        <w:rPr>
          <w:rFonts w:ascii="Times New Roman" w:eastAsia="宋体" w:hAnsi="Times New Roman"/>
          <w:color w:val="000000"/>
          <w:sz w:val="20"/>
          <w:szCs w:val="20"/>
        </w:rPr>
        <w:t>the statutory maximum of two thousand five hundred dollars per day per violation of Proposition 65. The Plaintiff asserts that every consumed cup of coffee, absent a compliant warning, is equivalent to a violation under Proposition 65.</w:t>
      </w:r>
    </w:p>
    <w:p w14:paraId="40CB19FC" w14:textId="77777777" w:rsidR="00584FB3" w:rsidRDefault="00786180">
      <w:pPr>
        <w:spacing w:before="120"/>
      </w:pPr>
      <w:r>
        <w:rPr>
          <w:rFonts w:ascii="Times New Roman" w:eastAsia="宋体" w:hAnsi="Times New Roman"/>
          <w:color w:val="000000"/>
          <w:sz w:val="20"/>
          <w:szCs w:val="20"/>
        </w:rPr>
        <w:t>The Company, as part</w:t>
      </w:r>
      <w:r>
        <w:rPr>
          <w:rFonts w:ascii="Times New Roman" w:eastAsia="宋体" w:hAnsi="Times New Roman"/>
          <w:color w:val="000000"/>
          <w:sz w:val="20"/>
          <w:szCs w:val="20"/>
        </w:rPr>
        <w:t xml:space="preserve"> of a joint defense group organized to defend against the lawsuit, disputes the claims of the Plaintiff. Acrylamide is not added to coffee but is present in all coffee in small amounts (parts per billion) as a byproduct of the coffee bean roasting process.</w:t>
      </w:r>
      <w:r>
        <w:rPr>
          <w:rFonts w:ascii="Times New Roman" w:eastAsia="宋体" w:hAnsi="Times New Roman"/>
          <w:color w:val="000000"/>
          <w:sz w:val="20"/>
          <w:szCs w:val="20"/>
        </w:rPr>
        <w:t xml:space="preserve"> The Company has asserted multiple affirmative defenses. Trial of the first phase of the case commenced on September 8, 2014, and was limited to three affirmative defenses shared by all defendants. On September 1, 2015, the trial court issued a final rulin</w:t>
      </w:r>
      <w:r>
        <w:rPr>
          <w:rFonts w:ascii="Times New Roman" w:eastAsia="宋体" w:hAnsi="Times New Roman"/>
          <w:color w:val="000000"/>
          <w:sz w:val="20"/>
          <w:szCs w:val="20"/>
        </w:rPr>
        <w:t>g adverse to defendants on all Phase 1 defenses. Trial of the second phase of the case commenced in the fall of 2017. On May 7, 2018, the trial court issued a ruling adverse to defendants on the Phase 2 defense, the Company's last remaining defense to liab</w:t>
      </w:r>
      <w:r>
        <w:rPr>
          <w:rFonts w:ascii="Times New Roman" w:eastAsia="宋体" w:hAnsi="Times New Roman"/>
          <w:color w:val="000000"/>
          <w:sz w:val="20"/>
          <w:szCs w:val="20"/>
        </w:rPr>
        <w:t xml:space="preserve">ility. On June 22, 2018, the California Office of Environmental Health Hazard Assessment (OEHHA) proposed a new regulation clarifying that cancer warnings are not required for coffee under Proposition 65. The case was set to proceed to a third phase trial </w:t>
      </w:r>
      <w:r>
        <w:rPr>
          <w:rFonts w:ascii="Times New Roman" w:eastAsia="宋体" w:hAnsi="Times New Roman"/>
          <w:color w:val="000000"/>
          <w:sz w:val="20"/>
          <w:szCs w:val="20"/>
        </w:rPr>
        <w:t xml:space="preserve">on damages, remedies and attorneys' fees on October 15, 2018. However, on October 12, 2018, the California Court of Appeal granted the defendants request for a stay of the Phase 3 trial. </w:t>
      </w:r>
    </w:p>
    <w:p w14:paraId="40CB19FD" w14:textId="77777777" w:rsidR="00584FB3" w:rsidRDefault="00786180">
      <w:pPr>
        <w:spacing w:before="120"/>
      </w:pPr>
      <w:r>
        <w:rPr>
          <w:rFonts w:ascii="Times New Roman" w:eastAsia="宋体" w:hAnsi="Times New Roman"/>
          <w:color w:val="000000"/>
          <w:sz w:val="20"/>
          <w:szCs w:val="20"/>
        </w:rPr>
        <w:t>On June 3, 2019, the Office of Administrative Law (OAL) approved the</w:t>
      </w:r>
      <w:r>
        <w:rPr>
          <w:rFonts w:ascii="Times New Roman" w:eastAsia="宋体" w:hAnsi="Times New Roman"/>
          <w:color w:val="000000"/>
          <w:sz w:val="20"/>
          <w:szCs w:val="20"/>
        </w:rPr>
        <w:t xml:space="preserve"> coffee exemption regulation. The regulation became effective on October 1, 2019. On June 24, 2019, the Court of Appeal lifted the stay of the litigation. </w:t>
      </w:r>
      <w:r>
        <w:rPr>
          <w:rFonts w:ascii="Times New Roman" w:eastAsia="宋体" w:hAnsi="Times New Roman"/>
          <w:color w:val="000000"/>
          <w:sz w:val="20"/>
          <w:szCs w:val="20"/>
          <w:shd w:val="clear" w:color="auto" w:fill="FFFFFF"/>
        </w:rPr>
        <w:t>At the status conference on August 25, 2020, the trial judge granted the defendants’ motion for summa</w:t>
      </w:r>
      <w:r>
        <w:rPr>
          <w:rFonts w:ascii="Times New Roman" w:eastAsia="宋体" w:hAnsi="Times New Roman"/>
          <w:color w:val="000000"/>
          <w:sz w:val="20"/>
          <w:szCs w:val="20"/>
          <w:shd w:val="clear" w:color="auto" w:fill="FFFFFF"/>
        </w:rPr>
        <w:t>ry judgment, ruling that the coffee exemption regulation is a complete defense to the Plaintiff’s complaint. The Notice of Entry of Judgment from the court was served on October 6, 2020 and the Plaintiff filed a Notice of Appeal on November 20, 2020. Starb</w:t>
      </w:r>
      <w:r>
        <w:rPr>
          <w:rFonts w:ascii="Times New Roman" w:eastAsia="宋体" w:hAnsi="Times New Roman"/>
          <w:color w:val="000000"/>
          <w:sz w:val="20"/>
          <w:szCs w:val="20"/>
          <w:shd w:val="clear" w:color="auto" w:fill="FFFFFF"/>
        </w:rPr>
        <w:t>ucks believes that the likelihood that the Company will ultimately incur a material loss in connection with this litigation is less than reasonably possible. Accordingly, no loss contingency was recorded for this matter.</w:t>
      </w:r>
    </w:p>
    <w:p w14:paraId="40CB19FE" w14:textId="77777777" w:rsidR="00584FB3" w:rsidRDefault="00786180">
      <w:pPr>
        <w:spacing w:before="120"/>
      </w:pPr>
      <w:r>
        <w:rPr>
          <w:rFonts w:ascii="Times New Roman" w:eastAsia="宋体" w:hAnsi="Times New Roman"/>
          <w:color w:val="000000"/>
          <w:sz w:val="20"/>
          <w:szCs w:val="20"/>
        </w:rPr>
        <w:t>Starbucks is party to various other</w:t>
      </w:r>
      <w:r>
        <w:rPr>
          <w:rFonts w:ascii="Times New Roman" w:eastAsia="宋体" w:hAnsi="Times New Roman"/>
          <w:color w:val="000000"/>
          <w:sz w:val="20"/>
          <w:szCs w:val="20"/>
        </w:rPr>
        <w:t xml:space="preserve"> legal proceedings arising in the ordinary course of business, including certain employment litigation cases that have been certified as class or collective actions, but, except as noted above, is not currently a party to any legal proceeding that manageme</w:t>
      </w:r>
      <w:r>
        <w:rPr>
          <w:rFonts w:ascii="Times New Roman" w:eastAsia="宋体" w:hAnsi="Times New Roman"/>
          <w:color w:val="000000"/>
          <w:sz w:val="20"/>
          <w:szCs w:val="20"/>
        </w:rPr>
        <w:t>nt believes could have a material adverse effect on our consolidated financial position, results of operations or cash flows.</w:t>
      </w:r>
    </w:p>
    <w:p w14:paraId="40CB19FF" w14:textId="77777777" w:rsidR="00584FB3" w:rsidRDefault="00786180">
      <w:pPr>
        <w:spacing w:before="120"/>
      </w:pPr>
      <w:r>
        <w:rPr>
          <w:rFonts w:ascii="Times New Roman" w:eastAsia="宋体" w:hAnsi="Times New Roman"/>
          <w:b/>
          <w:bCs/>
          <w:color w:val="000000"/>
          <w:sz w:val="20"/>
          <w:szCs w:val="20"/>
        </w:rPr>
        <w:t>Note 14: Segment Reporting</w:t>
      </w:r>
    </w:p>
    <w:p w14:paraId="40CB1A00" w14:textId="77777777" w:rsidR="00584FB3" w:rsidRDefault="00786180">
      <w:pPr>
        <w:spacing w:before="120"/>
      </w:pPr>
      <w:r>
        <w:rPr>
          <w:rFonts w:ascii="Times New Roman" w:eastAsia="宋体" w:hAnsi="Times New Roman"/>
          <w:color w:val="000000"/>
          <w:sz w:val="20"/>
          <w:szCs w:val="20"/>
        </w:rPr>
        <w:t>Segment information is prepared on the same basis that our ceo, who is our Chief Operating Decision Mak</w:t>
      </w:r>
      <w:r>
        <w:rPr>
          <w:rFonts w:ascii="Times New Roman" w:eastAsia="宋体" w:hAnsi="Times New Roman"/>
          <w:color w:val="000000"/>
          <w:sz w:val="20"/>
          <w:szCs w:val="20"/>
        </w:rPr>
        <w:t xml:space="preserve">er, manages the segments, evaluates financial results and makes key operating decisions. </w:t>
      </w:r>
    </w:p>
    <w:p w14:paraId="40CB1A01" w14:textId="77777777" w:rsidR="00584FB3" w:rsidRDefault="00786180">
      <w:pPr>
        <w:spacing w:before="120"/>
      </w:pPr>
      <w:r>
        <w:rPr>
          <w:rFonts w:ascii="Times New Roman" w:eastAsia="宋体" w:hAnsi="Times New Roman"/>
          <w:color w:val="000000"/>
          <w:sz w:val="20"/>
          <w:szCs w:val="20"/>
        </w:rPr>
        <w:t>Consolidated revenue mix by product type</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2489"/>
        <w:gridCol w:w="36"/>
        <w:gridCol w:w="120"/>
        <w:gridCol w:w="1043"/>
        <w:gridCol w:w="36"/>
        <w:gridCol w:w="36"/>
        <w:gridCol w:w="36"/>
        <w:gridCol w:w="36"/>
        <w:gridCol w:w="38"/>
        <w:gridCol w:w="957"/>
        <w:gridCol w:w="187"/>
        <w:gridCol w:w="36"/>
        <w:gridCol w:w="36"/>
        <w:gridCol w:w="36"/>
        <w:gridCol w:w="120"/>
        <w:gridCol w:w="983"/>
        <w:gridCol w:w="36"/>
        <w:gridCol w:w="36"/>
        <w:gridCol w:w="36"/>
        <w:gridCol w:w="36"/>
        <w:gridCol w:w="38"/>
        <w:gridCol w:w="960"/>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1A22" w14:textId="77777777">
        <w:trPr>
          <w:jc w:val="center"/>
        </w:trPr>
        <w:tc>
          <w:tcPr>
            <w:tcW w:w="50" w:type="pct"/>
            <w:shd w:val="clear" w:color="auto" w:fill="auto"/>
          </w:tcPr>
          <w:p w14:paraId="40CB1A02" w14:textId="77777777" w:rsidR="00584FB3" w:rsidRDefault="00584FB3">
            <w:pPr>
              <w:rPr>
                <w:rFonts w:ascii="宋体"/>
              </w:rPr>
            </w:pPr>
          </w:p>
        </w:tc>
        <w:tc>
          <w:tcPr>
            <w:tcW w:w="1697" w:type="pct"/>
            <w:shd w:val="clear" w:color="auto" w:fill="auto"/>
          </w:tcPr>
          <w:p w14:paraId="40CB1A03" w14:textId="77777777" w:rsidR="00584FB3" w:rsidRDefault="00584FB3">
            <w:pPr>
              <w:rPr>
                <w:rFonts w:ascii="宋体"/>
              </w:rPr>
            </w:pPr>
          </w:p>
        </w:tc>
        <w:tc>
          <w:tcPr>
            <w:tcW w:w="5" w:type="pct"/>
            <w:shd w:val="clear" w:color="auto" w:fill="auto"/>
          </w:tcPr>
          <w:p w14:paraId="40CB1A04" w14:textId="77777777" w:rsidR="00584FB3" w:rsidRDefault="00584FB3">
            <w:pPr>
              <w:rPr>
                <w:rFonts w:ascii="宋体"/>
              </w:rPr>
            </w:pPr>
          </w:p>
        </w:tc>
        <w:tc>
          <w:tcPr>
            <w:tcW w:w="50" w:type="pct"/>
            <w:shd w:val="clear" w:color="auto" w:fill="auto"/>
          </w:tcPr>
          <w:p w14:paraId="40CB1A05" w14:textId="77777777" w:rsidR="00584FB3" w:rsidRDefault="00584FB3">
            <w:pPr>
              <w:rPr>
                <w:rFonts w:ascii="宋体"/>
              </w:rPr>
            </w:pPr>
          </w:p>
        </w:tc>
        <w:tc>
          <w:tcPr>
            <w:tcW w:w="729" w:type="pct"/>
            <w:shd w:val="clear" w:color="auto" w:fill="auto"/>
          </w:tcPr>
          <w:p w14:paraId="40CB1A06" w14:textId="77777777" w:rsidR="00584FB3" w:rsidRDefault="00584FB3">
            <w:pPr>
              <w:rPr>
                <w:rFonts w:ascii="宋体"/>
              </w:rPr>
            </w:pPr>
          </w:p>
        </w:tc>
        <w:tc>
          <w:tcPr>
            <w:tcW w:w="5" w:type="pct"/>
            <w:shd w:val="clear" w:color="auto" w:fill="auto"/>
          </w:tcPr>
          <w:p w14:paraId="40CB1A07" w14:textId="77777777" w:rsidR="00584FB3" w:rsidRDefault="00584FB3">
            <w:pPr>
              <w:rPr>
                <w:rFonts w:ascii="宋体"/>
              </w:rPr>
            </w:pPr>
          </w:p>
        </w:tc>
        <w:tc>
          <w:tcPr>
            <w:tcW w:w="5" w:type="pct"/>
            <w:shd w:val="clear" w:color="auto" w:fill="auto"/>
          </w:tcPr>
          <w:p w14:paraId="40CB1A08" w14:textId="77777777" w:rsidR="00584FB3" w:rsidRDefault="00584FB3">
            <w:pPr>
              <w:rPr>
                <w:rFonts w:ascii="宋体"/>
              </w:rPr>
            </w:pPr>
          </w:p>
        </w:tc>
        <w:tc>
          <w:tcPr>
            <w:tcW w:w="26" w:type="pct"/>
            <w:shd w:val="clear" w:color="auto" w:fill="auto"/>
          </w:tcPr>
          <w:p w14:paraId="40CB1A09" w14:textId="77777777" w:rsidR="00584FB3" w:rsidRDefault="00584FB3">
            <w:pPr>
              <w:rPr>
                <w:rFonts w:ascii="宋体"/>
              </w:rPr>
            </w:pPr>
          </w:p>
        </w:tc>
        <w:tc>
          <w:tcPr>
            <w:tcW w:w="5" w:type="pct"/>
            <w:shd w:val="clear" w:color="auto" w:fill="auto"/>
          </w:tcPr>
          <w:p w14:paraId="40CB1A0A" w14:textId="77777777" w:rsidR="00584FB3" w:rsidRDefault="00584FB3">
            <w:pPr>
              <w:rPr>
                <w:rFonts w:ascii="宋体"/>
              </w:rPr>
            </w:pPr>
          </w:p>
        </w:tc>
        <w:tc>
          <w:tcPr>
            <w:tcW w:w="50" w:type="pct"/>
            <w:shd w:val="clear" w:color="auto" w:fill="auto"/>
          </w:tcPr>
          <w:p w14:paraId="40CB1A0B" w14:textId="77777777" w:rsidR="00584FB3" w:rsidRDefault="00584FB3">
            <w:pPr>
              <w:rPr>
                <w:rFonts w:ascii="宋体"/>
              </w:rPr>
            </w:pPr>
          </w:p>
        </w:tc>
        <w:tc>
          <w:tcPr>
            <w:tcW w:w="729" w:type="pct"/>
            <w:shd w:val="clear" w:color="auto" w:fill="auto"/>
          </w:tcPr>
          <w:p w14:paraId="40CB1A0C" w14:textId="77777777" w:rsidR="00584FB3" w:rsidRDefault="00584FB3">
            <w:pPr>
              <w:rPr>
                <w:rFonts w:ascii="宋体"/>
              </w:rPr>
            </w:pPr>
          </w:p>
        </w:tc>
        <w:tc>
          <w:tcPr>
            <w:tcW w:w="5" w:type="pct"/>
            <w:shd w:val="clear" w:color="auto" w:fill="auto"/>
          </w:tcPr>
          <w:p w14:paraId="40CB1A0D" w14:textId="77777777" w:rsidR="00584FB3" w:rsidRDefault="00584FB3">
            <w:pPr>
              <w:rPr>
                <w:rFonts w:ascii="宋体"/>
              </w:rPr>
            </w:pPr>
          </w:p>
        </w:tc>
        <w:tc>
          <w:tcPr>
            <w:tcW w:w="5" w:type="pct"/>
            <w:shd w:val="clear" w:color="auto" w:fill="auto"/>
          </w:tcPr>
          <w:p w14:paraId="40CB1A0E" w14:textId="77777777" w:rsidR="00584FB3" w:rsidRDefault="00584FB3">
            <w:pPr>
              <w:rPr>
                <w:rFonts w:ascii="宋体"/>
              </w:rPr>
            </w:pPr>
          </w:p>
        </w:tc>
        <w:tc>
          <w:tcPr>
            <w:tcW w:w="26" w:type="pct"/>
            <w:shd w:val="clear" w:color="auto" w:fill="auto"/>
          </w:tcPr>
          <w:p w14:paraId="40CB1A0F" w14:textId="77777777" w:rsidR="00584FB3" w:rsidRDefault="00584FB3">
            <w:pPr>
              <w:rPr>
                <w:rFonts w:ascii="宋体"/>
              </w:rPr>
            </w:pPr>
          </w:p>
        </w:tc>
        <w:tc>
          <w:tcPr>
            <w:tcW w:w="5" w:type="pct"/>
            <w:shd w:val="clear" w:color="auto" w:fill="auto"/>
          </w:tcPr>
          <w:p w14:paraId="40CB1A10" w14:textId="77777777" w:rsidR="00584FB3" w:rsidRDefault="00584FB3">
            <w:pPr>
              <w:rPr>
                <w:rFonts w:ascii="宋体"/>
              </w:rPr>
            </w:pPr>
          </w:p>
        </w:tc>
        <w:tc>
          <w:tcPr>
            <w:tcW w:w="50" w:type="pct"/>
            <w:shd w:val="clear" w:color="auto" w:fill="auto"/>
          </w:tcPr>
          <w:p w14:paraId="40CB1A11" w14:textId="77777777" w:rsidR="00584FB3" w:rsidRDefault="00584FB3">
            <w:pPr>
              <w:rPr>
                <w:rFonts w:ascii="宋体"/>
              </w:rPr>
            </w:pPr>
          </w:p>
        </w:tc>
        <w:tc>
          <w:tcPr>
            <w:tcW w:w="729" w:type="pct"/>
            <w:shd w:val="clear" w:color="auto" w:fill="auto"/>
          </w:tcPr>
          <w:p w14:paraId="40CB1A12" w14:textId="77777777" w:rsidR="00584FB3" w:rsidRDefault="00584FB3">
            <w:pPr>
              <w:rPr>
                <w:rFonts w:ascii="宋体"/>
              </w:rPr>
            </w:pPr>
          </w:p>
        </w:tc>
        <w:tc>
          <w:tcPr>
            <w:tcW w:w="5" w:type="pct"/>
            <w:shd w:val="clear" w:color="auto" w:fill="auto"/>
          </w:tcPr>
          <w:p w14:paraId="40CB1A13" w14:textId="77777777" w:rsidR="00584FB3" w:rsidRDefault="00584FB3">
            <w:pPr>
              <w:rPr>
                <w:rFonts w:ascii="宋体"/>
              </w:rPr>
            </w:pPr>
          </w:p>
        </w:tc>
        <w:tc>
          <w:tcPr>
            <w:tcW w:w="5" w:type="pct"/>
            <w:shd w:val="clear" w:color="auto" w:fill="auto"/>
          </w:tcPr>
          <w:p w14:paraId="40CB1A14" w14:textId="77777777" w:rsidR="00584FB3" w:rsidRDefault="00584FB3">
            <w:pPr>
              <w:rPr>
                <w:rFonts w:ascii="宋体"/>
              </w:rPr>
            </w:pPr>
          </w:p>
        </w:tc>
        <w:tc>
          <w:tcPr>
            <w:tcW w:w="26" w:type="pct"/>
            <w:shd w:val="clear" w:color="auto" w:fill="auto"/>
          </w:tcPr>
          <w:p w14:paraId="40CB1A15" w14:textId="77777777" w:rsidR="00584FB3" w:rsidRDefault="00584FB3">
            <w:pPr>
              <w:rPr>
                <w:rFonts w:ascii="宋体"/>
              </w:rPr>
            </w:pPr>
          </w:p>
        </w:tc>
        <w:tc>
          <w:tcPr>
            <w:tcW w:w="5" w:type="pct"/>
            <w:shd w:val="clear" w:color="auto" w:fill="auto"/>
          </w:tcPr>
          <w:p w14:paraId="40CB1A16" w14:textId="77777777" w:rsidR="00584FB3" w:rsidRDefault="00584FB3">
            <w:pPr>
              <w:rPr>
                <w:rFonts w:ascii="宋体"/>
              </w:rPr>
            </w:pPr>
          </w:p>
        </w:tc>
        <w:tc>
          <w:tcPr>
            <w:tcW w:w="50" w:type="pct"/>
            <w:shd w:val="clear" w:color="auto" w:fill="auto"/>
          </w:tcPr>
          <w:p w14:paraId="40CB1A17" w14:textId="77777777" w:rsidR="00584FB3" w:rsidRDefault="00584FB3">
            <w:pPr>
              <w:rPr>
                <w:rFonts w:ascii="宋体"/>
              </w:rPr>
            </w:pPr>
          </w:p>
        </w:tc>
        <w:tc>
          <w:tcPr>
            <w:tcW w:w="729" w:type="pct"/>
            <w:shd w:val="clear" w:color="auto" w:fill="auto"/>
          </w:tcPr>
          <w:p w14:paraId="40CB1A18" w14:textId="77777777" w:rsidR="00584FB3" w:rsidRDefault="00584FB3">
            <w:pPr>
              <w:rPr>
                <w:rFonts w:ascii="宋体"/>
              </w:rPr>
            </w:pPr>
          </w:p>
        </w:tc>
        <w:tc>
          <w:tcPr>
            <w:tcW w:w="5" w:type="pct"/>
            <w:shd w:val="clear" w:color="auto" w:fill="auto"/>
          </w:tcPr>
          <w:p w14:paraId="40CB1A19" w14:textId="77777777" w:rsidR="00584FB3" w:rsidRDefault="00584FB3">
            <w:pPr>
              <w:rPr>
                <w:rFonts w:ascii="宋体"/>
              </w:rPr>
            </w:pPr>
          </w:p>
        </w:tc>
        <w:tc>
          <w:tcPr>
            <w:tcW w:w="0" w:type="auto"/>
            <w:shd w:val="clear" w:color="auto" w:fill="auto"/>
          </w:tcPr>
          <w:p w14:paraId="40CB1A1A" w14:textId="77777777" w:rsidR="00584FB3" w:rsidRDefault="00584FB3">
            <w:pPr>
              <w:rPr>
                <w:rFonts w:ascii="宋体"/>
                <w:vanish/>
              </w:rPr>
            </w:pPr>
          </w:p>
        </w:tc>
        <w:tc>
          <w:tcPr>
            <w:tcW w:w="0" w:type="auto"/>
            <w:shd w:val="clear" w:color="auto" w:fill="auto"/>
          </w:tcPr>
          <w:p w14:paraId="40CB1A1B" w14:textId="77777777" w:rsidR="00584FB3" w:rsidRDefault="00584FB3">
            <w:pPr>
              <w:rPr>
                <w:rFonts w:ascii="宋体"/>
                <w:vanish/>
              </w:rPr>
            </w:pPr>
          </w:p>
        </w:tc>
        <w:tc>
          <w:tcPr>
            <w:tcW w:w="0" w:type="auto"/>
            <w:gridSpan w:val="3"/>
            <w:shd w:val="clear" w:color="auto" w:fill="auto"/>
          </w:tcPr>
          <w:p w14:paraId="40CB1A1C" w14:textId="77777777" w:rsidR="00584FB3" w:rsidRDefault="00584FB3">
            <w:pPr>
              <w:rPr>
                <w:rFonts w:ascii="宋体"/>
                <w:vanish/>
              </w:rPr>
            </w:pPr>
          </w:p>
        </w:tc>
        <w:tc>
          <w:tcPr>
            <w:tcW w:w="0" w:type="auto"/>
            <w:gridSpan w:val="3"/>
            <w:shd w:val="clear" w:color="auto" w:fill="auto"/>
          </w:tcPr>
          <w:p w14:paraId="40CB1A1D" w14:textId="77777777" w:rsidR="00584FB3" w:rsidRDefault="00584FB3">
            <w:pPr>
              <w:rPr>
                <w:rFonts w:ascii="宋体"/>
                <w:vanish/>
              </w:rPr>
            </w:pPr>
          </w:p>
        </w:tc>
        <w:tc>
          <w:tcPr>
            <w:tcW w:w="0" w:type="auto"/>
            <w:gridSpan w:val="3"/>
            <w:shd w:val="clear" w:color="auto" w:fill="auto"/>
          </w:tcPr>
          <w:p w14:paraId="40CB1A1E" w14:textId="77777777" w:rsidR="00584FB3" w:rsidRDefault="00584FB3">
            <w:pPr>
              <w:rPr>
                <w:rFonts w:ascii="宋体"/>
                <w:vanish/>
              </w:rPr>
            </w:pPr>
          </w:p>
        </w:tc>
        <w:tc>
          <w:tcPr>
            <w:tcW w:w="0" w:type="auto"/>
            <w:gridSpan w:val="3"/>
            <w:shd w:val="clear" w:color="auto" w:fill="auto"/>
          </w:tcPr>
          <w:p w14:paraId="40CB1A1F" w14:textId="77777777" w:rsidR="00584FB3" w:rsidRDefault="00584FB3">
            <w:pPr>
              <w:rPr>
                <w:rFonts w:ascii="宋体"/>
                <w:vanish/>
              </w:rPr>
            </w:pPr>
          </w:p>
        </w:tc>
        <w:tc>
          <w:tcPr>
            <w:tcW w:w="0" w:type="auto"/>
            <w:gridSpan w:val="3"/>
            <w:shd w:val="clear" w:color="auto" w:fill="auto"/>
          </w:tcPr>
          <w:p w14:paraId="40CB1A20" w14:textId="77777777" w:rsidR="00584FB3" w:rsidRDefault="00584FB3">
            <w:pPr>
              <w:rPr>
                <w:rFonts w:ascii="宋体"/>
                <w:vanish/>
              </w:rPr>
            </w:pPr>
          </w:p>
        </w:tc>
        <w:tc>
          <w:tcPr>
            <w:tcW w:w="0" w:type="auto"/>
            <w:gridSpan w:val="3"/>
            <w:shd w:val="clear" w:color="auto" w:fill="auto"/>
          </w:tcPr>
          <w:p w14:paraId="40CB1A21" w14:textId="77777777" w:rsidR="00584FB3" w:rsidRDefault="00584FB3">
            <w:pPr>
              <w:rPr>
                <w:rFonts w:ascii="宋体"/>
                <w:vanish/>
              </w:rPr>
            </w:pPr>
          </w:p>
        </w:tc>
      </w:tr>
      <w:tr w:rsidR="00584FB3" w14:paraId="40CB1A39" w14:textId="77777777">
        <w:trPr>
          <w:jc w:val="center"/>
        </w:trPr>
        <w:tc>
          <w:tcPr>
            <w:tcW w:w="0" w:type="auto"/>
            <w:gridSpan w:val="3"/>
            <w:shd w:val="clear" w:color="auto" w:fill="auto"/>
            <w:tcMar>
              <w:top w:w="0" w:type="dxa"/>
              <w:left w:w="20" w:type="dxa"/>
              <w:bottom w:w="0" w:type="dxa"/>
              <w:right w:w="20" w:type="dxa"/>
            </w:tcMar>
          </w:tcPr>
          <w:p w14:paraId="40CB1A23" w14:textId="77777777" w:rsidR="00584FB3" w:rsidRDefault="00584FB3">
            <w:pPr>
              <w:rPr>
                <w:rFonts w:ascii="宋体"/>
              </w:rPr>
            </w:pPr>
          </w:p>
        </w:tc>
        <w:tc>
          <w:tcPr>
            <w:tcW w:w="0" w:type="auto"/>
            <w:gridSpan w:val="21"/>
            <w:shd w:val="clear" w:color="auto" w:fill="00704A"/>
            <w:tcMar>
              <w:top w:w="40" w:type="dxa"/>
              <w:left w:w="20" w:type="dxa"/>
              <w:bottom w:w="40" w:type="dxa"/>
              <w:right w:w="20" w:type="dxa"/>
            </w:tcMar>
            <w:vAlign w:val="bottom"/>
          </w:tcPr>
          <w:p w14:paraId="40CB1A24"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A25" w14:textId="77777777" w:rsidR="00584FB3" w:rsidRDefault="00584FB3">
            <w:pPr>
              <w:rPr>
                <w:rFonts w:ascii="宋体"/>
                <w:vanish/>
              </w:rPr>
            </w:pPr>
          </w:p>
        </w:tc>
        <w:tc>
          <w:tcPr>
            <w:tcW w:w="0" w:type="auto"/>
            <w:shd w:val="clear" w:color="auto" w:fill="auto"/>
          </w:tcPr>
          <w:p w14:paraId="40CB1A26" w14:textId="77777777" w:rsidR="00584FB3" w:rsidRDefault="00584FB3">
            <w:pPr>
              <w:rPr>
                <w:rFonts w:ascii="宋体"/>
                <w:vanish/>
              </w:rPr>
            </w:pPr>
          </w:p>
        </w:tc>
        <w:tc>
          <w:tcPr>
            <w:tcW w:w="0" w:type="auto"/>
            <w:shd w:val="clear" w:color="auto" w:fill="auto"/>
          </w:tcPr>
          <w:p w14:paraId="40CB1A27" w14:textId="77777777" w:rsidR="00584FB3" w:rsidRDefault="00584FB3">
            <w:pPr>
              <w:rPr>
                <w:rFonts w:ascii="宋体"/>
              </w:rPr>
            </w:pPr>
          </w:p>
        </w:tc>
        <w:tc>
          <w:tcPr>
            <w:tcW w:w="0" w:type="auto"/>
            <w:shd w:val="clear" w:color="auto" w:fill="auto"/>
          </w:tcPr>
          <w:p w14:paraId="40CB1A28" w14:textId="77777777" w:rsidR="00584FB3" w:rsidRDefault="00584FB3">
            <w:pPr>
              <w:rPr>
                <w:rFonts w:ascii="宋体"/>
              </w:rPr>
            </w:pPr>
          </w:p>
        </w:tc>
        <w:tc>
          <w:tcPr>
            <w:tcW w:w="0" w:type="auto"/>
            <w:shd w:val="clear" w:color="auto" w:fill="auto"/>
          </w:tcPr>
          <w:p w14:paraId="40CB1A29" w14:textId="77777777" w:rsidR="00584FB3" w:rsidRDefault="00584FB3">
            <w:pPr>
              <w:rPr>
                <w:rFonts w:ascii="宋体"/>
              </w:rPr>
            </w:pPr>
          </w:p>
        </w:tc>
        <w:tc>
          <w:tcPr>
            <w:tcW w:w="0" w:type="auto"/>
            <w:shd w:val="clear" w:color="auto" w:fill="auto"/>
          </w:tcPr>
          <w:p w14:paraId="40CB1A2A" w14:textId="77777777" w:rsidR="00584FB3" w:rsidRDefault="00584FB3">
            <w:pPr>
              <w:rPr>
                <w:rFonts w:ascii="宋体"/>
              </w:rPr>
            </w:pPr>
          </w:p>
        </w:tc>
        <w:tc>
          <w:tcPr>
            <w:tcW w:w="0" w:type="auto"/>
            <w:shd w:val="clear" w:color="auto" w:fill="auto"/>
          </w:tcPr>
          <w:p w14:paraId="40CB1A2B" w14:textId="77777777" w:rsidR="00584FB3" w:rsidRDefault="00584FB3">
            <w:pPr>
              <w:rPr>
                <w:rFonts w:ascii="宋体"/>
              </w:rPr>
            </w:pPr>
          </w:p>
        </w:tc>
        <w:tc>
          <w:tcPr>
            <w:tcW w:w="0" w:type="auto"/>
            <w:shd w:val="clear" w:color="auto" w:fill="auto"/>
          </w:tcPr>
          <w:p w14:paraId="40CB1A2C" w14:textId="77777777" w:rsidR="00584FB3" w:rsidRDefault="00584FB3">
            <w:pPr>
              <w:rPr>
                <w:rFonts w:ascii="宋体"/>
              </w:rPr>
            </w:pPr>
          </w:p>
        </w:tc>
        <w:tc>
          <w:tcPr>
            <w:tcW w:w="0" w:type="auto"/>
            <w:shd w:val="clear" w:color="auto" w:fill="auto"/>
          </w:tcPr>
          <w:p w14:paraId="40CB1A2D" w14:textId="77777777" w:rsidR="00584FB3" w:rsidRDefault="00584FB3">
            <w:pPr>
              <w:rPr>
                <w:rFonts w:ascii="宋体"/>
              </w:rPr>
            </w:pPr>
          </w:p>
        </w:tc>
        <w:tc>
          <w:tcPr>
            <w:tcW w:w="0" w:type="auto"/>
            <w:shd w:val="clear" w:color="auto" w:fill="auto"/>
          </w:tcPr>
          <w:p w14:paraId="40CB1A2E" w14:textId="77777777" w:rsidR="00584FB3" w:rsidRDefault="00584FB3">
            <w:pPr>
              <w:rPr>
                <w:rFonts w:ascii="宋体"/>
              </w:rPr>
            </w:pPr>
          </w:p>
        </w:tc>
        <w:tc>
          <w:tcPr>
            <w:tcW w:w="0" w:type="auto"/>
            <w:shd w:val="clear" w:color="auto" w:fill="auto"/>
          </w:tcPr>
          <w:p w14:paraId="40CB1A2F" w14:textId="77777777" w:rsidR="00584FB3" w:rsidRDefault="00584FB3">
            <w:pPr>
              <w:rPr>
                <w:rFonts w:ascii="宋体"/>
              </w:rPr>
            </w:pPr>
          </w:p>
        </w:tc>
        <w:tc>
          <w:tcPr>
            <w:tcW w:w="0" w:type="auto"/>
            <w:shd w:val="clear" w:color="auto" w:fill="auto"/>
          </w:tcPr>
          <w:p w14:paraId="40CB1A30" w14:textId="77777777" w:rsidR="00584FB3" w:rsidRDefault="00584FB3">
            <w:pPr>
              <w:rPr>
                <w:rFonts w:ascii="宋体"/>
              </w:rPr>
            </w:pPr>
          </w:p>
        </w:tc>
        <w:tc>
          <w:tcPr>
            <w:tcW w:w="0" w:type="auto"/>
            <w:shd w:val="clear" w:color="auto" w:fill="auto"/>
          </w:tcPr>
          <w:p w14:paraId="40CB1A31" w14:textId="77777777" w:rsidR="00584FB3" w:rsidRDefault="00584FB3">
            <w:pPr>
              <w:rPr>
                <w:rFonts w:ascii="宋体"/>
              </w:rPr>
            </w:pPr>
          </w:p>
        </w:tc>
        <w:tc>
          <w:tcPr>
            <w:tcW w:w="0" w:type="auto"/>
            <w:shd w:val="clear" w:color="auto" w:fill="auto"/>
          </w:tcPr>
          <w:p w14:paraId="40CB1A32" w14:textId="77777777" w:rsidR="00584FB3" w:rsidRDefault="00584FB3">
            <w:pPr>
              <w:rPr>
                <w:rFonts w:ascii="宋体"/>
              </w:rPr>
            </w:pPr>
          </w:p>
        </w:tc>
        <w:tc>
          <w:tcPr>
            <w:tcW w:w="0" w:type="auto"/>
            <w:shd w:val="clear" w:color="auto" w:fill="auto"/>
          </w:tcPr>
          <w:p w14:paraId="40CB1A33" w14:textId="77777777" w:rsidR="00584FB3" w:rsidRDefault="00584FB3">
            <w:pPr>
              <w:rPr>
                <w:rFonts w:ascii="宋体"/>
              </w:rPr>
            </w:pPr>
          </w:p>
        </w:tc>
        <w:tc>
          <w:tcPr>
            <w:tcW w:w="0" w:type="auto"/>
            <w:shd w:val="clear" w:color="auto" w:fill="auto"/>
          </w:tcPr>
          <w:p w14:paraId="40CB1A34" w14:textId="77777777" w:rsidR="00584FB3" w:rsidRDefault="00584FB3">
            <w:pPr>
              <w:rPr>
                <w:rFonts w:ascii="宋体"/>
              </w:rPr>
            </w:pPr>
          </w:p>
        </w:tc>
        <w:tc>
          <w:tcPr>
            <w:tcW w:w="0" w:type="auto"/>
            <w:shd w:val="clear" w:color="auto" w:fill="auto"/>
          </w:tcPr>
          <w:p w14:paraId="40CB1A35" w14:textId="77777777" w:rsidR="00584FB3" w:rsidRDefault="00584FB3">
            <w:pPr>
              <w:rPr>
                <w:rFonts w:ascii="宋体"/>
              </w:rPr>
            </w:pPr>
          </w:p>
        </w:tc>
        <w:tc>
          <w:tcPr>
            <w:tcW w:w="0" w:type="auto"/>
            <w:shd w:val="clear" w:color="auto" w:fill="auto"/>
          </w:tcPr>
          <w:p w14:paraId="40CB1A36" w14:textId="77777777" w:rsidR="00584FB3" w:rsidRDefault="00584FB3">
            <w:pPr>
              <w:rPr>
                <w:rFonts w:ascii="宋体"/>
              </w:rPr>
            </w:pPr>
          </w:p>
        </w:tc>
        <w:tc>
          <w:tcPr>
            <w:tcW w:w="0" w:type="auto"/>
            <w:shd w:val="clear" w:color="auto" w:fill="auto"/>
          </w:tcPr>
          <w:p w14:paraId="40CB1A37" w14:textId="77777777" w:rsidR="00584FB3" w:rsidRDefault="00584FB3">
            <w:pPr>
              <w:rPr>
                <w:rFonts w:ascii="宋体"/>
              </w:rPr>
            </w:pPr>
          </w:p>
        </w:tc>
        <w:tc>
          <w:tcPr>
            <w:tcW w:w="0" w:type="auto"/>
            <w:shd w:val="clear" w:color="auto" w:fill="auto"/>
          </w:tcPr>
          <w:p w14:paraId="40CB1A38" w14:textId="77777777" w:rsidR="00584FB3" w:rsidRDefault="00584FB3">
            <w:pPr>
              <w:rPr>
                <w:rFonts w:ascii="宋体"/>
              </w:rPr>
            </w:pPr>
          </w:p>
        </w:tc>
      </w:tr>
      <w:tr w:rsidR="00584FB3" w14:paraId="40CB1A4E" w14:textId="77777777">
        <w:trPr>
          <w:jc w:val="center"/>
        </w:trPr>
        <w:tc>
          <w:tcPr>
            <w:tcW w:w="0" w:type="auto"/>
            <w:gridSpan w:val="3"/>
            <w:shd w:val="clear" w:color="auto" w:fill="auto"/>
            <w:tcMar>
              <w:top w:w="0" w:type="dxa"/>
              <w:left w:w="20" w:type="dxa"/>
              <w:bottom w:w="0" w:type="dxa"/>
              <w:right w:w="20" w:type="dxa"/>
            </w:tcMar>
          </w:tcPr>
          <w:p w14:paraId="40CB1A3A"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1A3B" w14:textId="77777777" w:rsidR="00584FB3" w:rsidRDefault="00786180">
            <w:pPr>
              <w:jc w:val="center"/>
              <w:textAlignment w:val="bottom"/>
            </w:pPr>
            <w:r>
              <w:rPr>
                <w:rFonts w:ascii="Times New Roman" w:eastAsia="宋体" w:hAnsi="Times New Roman"/>
                <w:b/>
                <w:bCs/>
                <w:color w:val="FFFFFF"/>
                <w:sz w:val="16"/>
                <w:szCs w:val="16"/>
              </w:rPr>
              <w:t>Dec 27, 2020</w:t>
            </w:r>
          </w:p>
        </w:tc>
        <w:tc>
          <w:tcPr>
            <w:tcW w:w="0" w:type="auto"/>
            <w:gridSpan w:val="3"/>
            <w:shd w:val="clear" w:color="auto" w:fill="auto"/>
            <w:tcMar>
              <w:top w:w="0" w:type="dxa"/>
              <w:left w:w="20" w:type="dxa"/>
              <w:bottom w:w="0" w:type="dxa"/>
              <w:right w:w="20" w:type="dxa"/>
            </w:tcMar>
          </w:tcPr>
          <w:p w14:paraId="40CB1A3C" w14:textId="77777777" w:rsidR="00584FB3" w:rsidRDefault="00584FB3">
            <w:pPr>
              <w:rPr>
                <w:rFonts w:ascii="宋体"/>
              </w:rPr>
            </w:pPr>
          </w:p>
        </w:tc>
        <w:tc>
          <w:tcPr>
            <w:tcW w:w="0" w:type="auto"/>
            <w:gridSpan w:val="9"/>
            <w:shd w:val="clear" w:color="auto" w:fill="00704A"/>
            <w:tcMar>
              <w:top w:w="40" w:type="dxa"/>
              <w:left w:w="20" w:type="dxa"/>
              <w:bottom w:w="40" w:type="dxa"/>
              <w:right w:w="20" w:type="dxa"/>
            </w:tcMar>
            <w:vAlign w:val="bottom"/>
          </w:tcPr>
          <w:p w14:paraId="40CB1A3D" w14:textId="77777777" w:rsidR="00584FB3" w:rsidRDefault="00786180">
            <w:pPr>
              <w:jc w:val="center"/>
              <w:textAlignment w:val="bottom"/>
            </w:pPr>
            <w:r>
              <w:rPr>
                <w:rFonts w:ascii="Times New Roman" w:eastAsia="宋体" w:hAnsi="Times New Roman"/>
                <w:b/>
                <w:bCs/>
                <w:color w:val="FFFFFF"/>
                <w:sz w:val="16"/>
                <w:szCs w:val="16"/>
              </w:rPr>
              <w:t>Dec 29, 2019</w:t>
            </w:r>
          </w:p>
        </w:tc>
        <w:tc>
          <w:tcPr>
            <w:tcW w:w="0" w:type="auto"/>
            <w:shd w:val="clear" w:color="auto" w:fill="auto"/>
          </w:tcPr>
          <w:p w14:paraId="40CB1A3E" w14:textId="77777777" w:rsidR="00584FB3" w:rsidRDefault="00584FB3">
            <w:pPr>
              <w:rPr>
                <w:rFonts w:ascii="宋体"/>
                <w:vanish/>
              </w:rPr>
            </w:pPr>
          </w:p>
        </w:tc>
        <w:tc>
          <w:tcPr>
            <w:tcW w:w="0" w:type="auto"/>
            <w:shd w:val="clear" w:color="auto" w:fill="auto"/>
          </w:tcPr>
          <w:p w14:paraId="40CB1A3F" w14:textId="77777777" w:rsidR="00584FB3" w:rsidRDefault="00584FB3">
            <w:pPr>
              <w:rPr>
                <w:rFonts w:ascii="宋体"/>
                <w:vanish/>
              </w:rPr>
            </w:pPr>
          </w:p>
        </w:tc>
        <w:tc>
          <w:tcPr>
            <w:tcW w:w="0" w:type="auto"/>
            <w:gridSpan w:val="3"/>
            <w:shd w:val="clear" w:color="auto" w:fill="auto"/>
          </w:tcPr>
          <w:p w14:paraId="40CB1A40" w14:textId="77777777" w:rsidR="00584FB3" w:rsidRDefault="00584FB3">
            <w:pPr>
              <w:rPr>
                <w:rFonts w:ascii="宋体"/>
                <w:vanish/>
              </w:rPr>
            </w:pPr>
          </w:p>
        </w:tc>
        <w:tc>
          <w:tcPr>
            <w:tcW w:w="0" w:type="auto"/>
            <w:gridSpan w:val="3"/>
            <w:shd w:val="clear" w:color="auto" w:fill="auto"/>
          </w:tcPr>
          <w:p w14:paraId="40CB1A41" w14:textId="77777777" w:rsidR="00584FB3" w:rsidRDefault="00584FB3">
            <w:pPr>
              <w:rPr>
                <w:rFonts w:ascii="宋体"/>
                <w:vanish/>
              </w:rPr>
            </w:pPr>
          </w:p>
        </w:tc>
        <w:tc>
          <w:tcPr>
            <w:tcW w:w="0" w:type="auto"/>
            <w:shd w:val="clear" w:color="auto" w:fill="auto"/>
          </w:tcPr>
          <w:p w14:paraId="40CB1A42" w14:textId="77777777" w:rsidR="00584FB3" w:rsidRDefault="00584FB3">
            <w:pPr>
              <w:rPr>
                <w:rFonts w:ascii="宋体"/>
              </w:rPr>
            </w:pPr>
          </w:p>
        </w:tc>
        <w:tc>
          <w:tcPr>
            <w:tcW w:w="0" w:type="auto"/>
            <w:shd w:val="clear" w:color="auto" w:fill="auto"/>
          </w:tcPr>
          <w:p w14:paraId="40CB1A43" w14:textId="77777777" w:rsidR="00584FB3" w:rsidRDefault="00584FB3">
            <w:pPr>
              <w:rPr>
                <w:rFonts w:ascii="宋体"/>
              </w:rPr>
            </w:pPr>
          </w:p>
        </w:tc>
        <w:tc>
          <w:tcPr>
            <w:tcW w:w="0" w:type="auto"/>
            <w:shd w:val="clear" w:color="auto" w:fill="auto"/>
          </w:tcPr>
          <w:p w14:paraId="40CB1A44" w14:textId="77777777" w:rsidR="00584FB3" w:rsidRDefault="00584FB3">
            <w:pPr>
              <w:rPr>
                <w:rFonts w:ascii="宋体"/>
              </w:rPr>
            </w:pPr>
          </w:p>
        </w:tc>
        <w:tc>
          <w:tcPr>
            <w:tcW w:w="0" w:type="auto"/>
            <w:shd w:val="clear" w:color="auto" w:fill="auto"/>
          </w:tcPr>
          <w:p w14:paraId="40CB1A45" w14:textId="77777777" w:rsidR="00584FB3" w:rsidRDefault="00584FB3">
            <w:pPr>
              <w:rPr>
                <w:rFonts w:ascii="宋体"/>
              </w:rPr>
            </w:pPr>
          </w:p>
        </w:tc>
        <w:tc>
          <w:tcPr>
            <w:tcW w:w="0" w:type="auto"/>
            <w:shd w:val="clear" w:color="auto" w:fill="auto"/>
          </w:tcPr>
          <w:p w14:paraId="40CB1A46" w14:textId="77777777" w:rsidR="00584FB3" w:rsidRDefault="00584FB3">
            <w:pPr>
              <w:rPr>
                <w:rFonts w:ascii="宋体"/>
              </w:rPr>
            </w:pPr>
          </w:p>
        </w:tc>
        <w:tc>
          <w:tcPr>
            <w:tcW w:w="0" w:type="auto"/>
            <w:shd w:val="clear" w:color="auto" w:fill="auto"/>
          </w:tcPr>
          <w:p w14:paraId="40CB1A47" w14:textId="77777777" w:rsidR="00584FB3" w:rsidRDefault="00584FB3">
            <w:pPr>
              <w:rPr>
                <w:rFonts w:ascii="宋体"/>
              </w:rPr>
            </w:pPr>
          </w:p>
        </w:tc>
        <w:tc>
          <w:tcPr>
            <w:tcW w:w="0" w:type="auto"/>
            <w:shd w:val="clear" w:color="auto" w:fill="auto"/>
          </w:tcPr>
          <w:p w14:paraId="40CB1A48" w14:textId="77777777" w:rsidR="00584FB3" w:rsidRDefault="00584FB3">
            <w:pPr>
              <w:rPr>
                <w:rFonts w:ascii="宋体"/>
              </w:rPr>
            </w:pPr>
          </w:p>
        </w:tc>
        <w:tc>
          <w:tcPr>
            <w:tcW w:w="0" w:type="auto"/>
            <w:shd w:val="clear" w:color="auto" w:fill="auto"/>
          </w:tcPr>
          <w:p w14:paraId="40CB1A49" w14:textId="77777777" w:rsidR="00584FB3" w:rsidRDefault="00584FB3">
            <w:pPr>
              <w:rPr>
                <w:rFonts w:ascii="宋体"/>
              </w:rPr>
            </w:pPr>
          </w:p>
        </w:tc>
        <w:tc>
          <w:tcPr>
            <w:tcW w:w="0" w:type="auto"/>
            <w:shd w:val="clear" w:color="auto" w:fill="auto"/>
          </w:tcPr>
          <w:p w14:paraId="40CB1A4A" w14:textId="77777777" w:rsidR="00584FB3" w:rsidRDefault="00584FB3">
            <w:pPr>
              <w:rPr>
                <w:rFonts w:ascii="宋体"/>
              </w:rPr>
            </w:pPr>
          </w:p>
        </w:tc>
        <w:tc>
          <w:tcPr>
            <w:tcW w:w="0" w:type="auto"/>
            <w:shd w:val="clear" w:color="auto" w:fill="auto"/>
          </w:tcPr>
          <w:p w14:paraId="40CB1A4B" w14:textId="77777777" w:rsidR="00584FB3" w:rsidRDefault="00584FB3">
            <w:pPr>
              <w:rPr>
                <w:rFonts w:ascii="宋体"/>
              </w:rPr>
            </w:pPr>
          </w:p>
        </w:tc>
        <w:tc>
          <w:tcPr>
            <w:tcW w:w="0" w:type="auto"/>
            <w:shd w:val="clear" w:color="auto" w:fill="auto"/>
          </w:tcPr>
          <w:p w14:paraId="40CB1A4C" w14:textId="77777777" w:rsidR="00584FB3" w:rsidRDefault="00584FB3">
            <w:pPr>
              <w:rPr>
                <w:rFonts w:ascii="宋体"/>
              </w:rPr>
            </w:pPr>
          </w:p>
        </w:tc>
        <w:tc>
          <w:tcPr>
            <w:tcW w:w="0" w:type="auto"/>
            <w:shd w:val="clear" w:color="auto" w:fill="auto"/>
          </w:tcPr>
          <w:p w14:paraId="40CB1A4D" w14:textId="77777777" w:rsidR="00584FB3" w:rsidRDefault="00584FB3">
            <w:pPr>
              <w:rPr>
                <w:rFonts w:ascii="宋体"/>
              </w:rPr>
            </w:pPr>
          </w:p>
        </w:tc>
      </w:tr>
      <w:tr w:rsidR="00584FB3" w14:paraId="40CB1A65" w14:textId="77777777">
        <w:trPr>
          <w:jc w:val="center"/>
        </w:trPr>
        <w:tc>
          <w:tcPr>
            <w:tcW w:w="0" w:type="auto"/>
            <w:gridSpan w:val="3"/>
            <w:shd w:val="clear" w:color="auto" w:fill="D7E4BC"/>
            <w:tcMar>
              <w:top w:w="40" w:type="dxa"/>
              <w:left w:w="20" w:type="dxa"/>
              <w:bottom w:w="40" w:type="dxa"/>
              <w:right w:w="20" w:type="dxa"/>
            </w:tcMar>
            <w:vAlign w:val="bottom"/>
          </w:tcPr>
          <w:p w14:paraId="40CB1A4F" w14:textId="77777777" w:rsidR="00584FB3" w:rsidRDefault="00786180">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A50"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A51" w14:textId="77777777" w:rsidR="00584FB3" w:rsidRDefault="00786180">
            <w:pPr>
              <w:jc w:val="right"/>
              <w:textAlignment w:val="bottom"/>
            </w:pPr>
            <w:r>
              <w:rPr>
                <w:rFonts w:ascii="Times New Roman" w:eastAsia="宋体" w:hAnsi="Times New Roman"/>
                <w:color w:val="000000"/>
                <w:sz w:val="20"/>
                <w:szCs w:val="20"/>
              </w:rPr>
              <w:t>4,251.9 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A52" w14:textId="77777777" w:rsidR="00584FB3" w:rsidRDefault="00584FB3">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A53"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A54" w14:textId="77777777" w:rsidR="00584FB3" w:rsidRDefault="00786180">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A55"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1A56"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A57"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A58" w14:textId="77777777" w:rsidR="00584FB3" w:rsidRDefault="00786180">
            <w:pPr>
              <w:jc w:val="right"/>
              <w:textAlignment w:val="bottom"/>
            </w:pPr>
            <w:r>
              <w:rPr>
                <w:rFonts w:ascii="Times New Roman" w:eastAsia="宋体" w:hAnsi="Times New Roman"/>
                <w:color w:val="000000"/>
                <w:sz w:val="20"/>
                <w:szCs w:val="20"/>
              </w:rPr>
              <w:t>4,260.9 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A59" w14:textId="77777777" w:rsidR="00584FB3" w:rsidRDefault="00584FB3">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A5A"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A5B" w14:textId="77777777" w:rsidR="00584FB3" w:rsidRDefault="00786180">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A5C"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1A5D" w14:textId="77777777" w:rsidR="00584FB3" w:rsidRDefault="00584FB3">
            <w:pPr>
              <w:rPr>
                <w:rFonts w:ascii="宋体"/>
                <w:vanish/>
              </w:rPr>
            </w:pPr>
          </w:p>
        </w:tc>
        <w:tc>
          <w:tcPr>
            <w:tcW w:w="0" w:type="auto"/>
            <w:shd w:val="clear" w:color="auto" w:fill="auto"/>
          </w:tcPr>
          <w:p w14:paraId="40CB1A5E" w14:textId="77777777" w:rsidR="00584FB3" w:rsidRDefault="00584FB3">
            <w:pPr>
              <w:rPr>
                <w:rFonts w:ascii="宋体"/>
                <w:vanish/>
              </w:rPr>
            </w:pPr>
          </w:p>
        </w:tc>
        <w:tc>
          <w:tcPr>
            <w:tcW w:w="0" w:type="auto"/>
            <w:gridSpan w:val="3"/>
            <w:shd w:val="clear" w:color="auto" w:fill="auto"/>
          </w:tcPr>
          <w:p w14:paraId="40CB1A5F" w14:textId="77777777" w:rsidR="00584FB3" w:rsidRDefault="00584FB3">
            <w:pPr>
              <w:rPr>
                <w:rFonts w:ascii="宋体"/>
                <w:vanish/>
              </w:rPr>
            </w:pPr>
          </w:p>
        </w:tc>
        <w:tc>
          <w:tcPr>
            <w:tcW w:w="0" w:type="auto"/>
            <w:gridSpan w:val="3"/>
            <w:shd w:val="clear" w:color="auto" w:fill="auto"/>
          </w:tcPr>
          <w:p w14:paraId="40CB1A60" w14:textId="77777777" w:rsidR="00584FB3" w:rsidRDefault="00584FB3">
            <w:pPr>
              <w:rPr>
                <w:rFonts w:ascii="宋体"/>
                <w:vanish/>
              </w:rPr>
            </w:pPr>
          </w:p>
        </w:tc>
        <w:tc>
          <w:tcPr>
            <w:tcW w:w="0" w:type="auto"/>
            <w:gridSpan w:val="3"/>
            <w:shd w:val="clear" w:color="auto" w:fill="auto"/>
          </w:tcPr>
          <w:p w14:paraId="40CB1A61" w14:textId="77777777" w:rsidR="00584FB3" w:rsidRDefault="00584FB3">
            <w:pPr>
              <w:rPr>
                <w:rFonts w:ascii="宋体"/>
                <w:vanish/>
              </w:rPr>
            </w:pPr>
          </w:p>
        </w:tc>
        <w:tc>
          <w:tcPr>
            <w:tcW w:w="0" w:type="auto"/>
            <w:gridSpan w:val="3"/>
            <w:shd w:val="clear" w:color="auto" w:fill="auto"/>
          </w:tcPr>
          <w:p w14:paraId="40CB1A62" w14:textId="77777777" w:rsidR="00584FB3" w:rsidRDefault="00584FB3">
            <w:pPr>
              <w:rPr>
                <w:rFonts w:ascii="宋体"/>
                <w:vanish/>
              </w:rPr>
            </w:pPr>
          </w:p>
        </w:tc>
        <w:tc>
          <w:tcPr>
            <w:tcW w:w="0" w:type="auto"/>
            <w:gridSpan w:val="3"/>
            <w:shd w:val="clear" w:color="auto" w:fill="auto"/>
          </w:tcPr>
          <w:p w14:paraId="40CB1A63" w14:textId="77777777" w:rsidR="00584FB3" w:rsidRDefault="00584FB3">
            <w:pPr>
              <w:rPr>
                <w:rFonts w:ascii="宋体"/>
                <w:vanish/>
              </w:rPr>
            </w:pPr>
          </w:p>
        </w:tc>
        <w:tc>
          <w:tcPr>
            <w:tcW w:w="0" w:type="auto"/>
            <w:gridSpan w:val="3"/>
            <w:shd w:val="clear" w:color="auto" w:fill="auto"/>
          </w:tcPr>
          <w:p w14:paraId="40CB1A64" w14:textId="77777777" w:rsidR="00584FB3" w:rsidRDefault="00584FB3">
            <w:pPr>
              <w:rPr>
                <w:rFonts w:ascii="宋体"/>
                <w:vanish/>
              </w:rPr>
            </w:pPr>
          </w:p>
        </w:tc>
      </w:tr>
      <w:tr w:rsidR="00584FB3" w14:paraId="40CB1A7A" w14:textId="77777777">
        <w:trPr>
          <w:jc w:val="center"/>
        </w:trPr>
        <w:tc>
          <w:tcPr>
            <w:tcW w:w="0" w:type="auto"/>
            <w:gridSpan w:val="3"/>
            <w:shd w:val="clear" w:color="auto" w:fill="FFFFFF"/>
            <w:tcMar>
              <w:top w:w="40" w:type="dxa"/>
              <w:left w:w="20" w:type="dxa"/>
              <w:bottom w:w="40" w:type="dxa"/>
              <w:right w:w="20" w:type="dxa"/>
            </w:tcMar>
            <w:vAlign w:val="bottom"/>
          </w:tcPr>
          <w:p w14:paraId="40CB1A66" w14:textId="77777777" w:rsidR="00584FB3" w:rsidRDefault="00786180">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40CB1A67" w14:textId="77777777" w:rsidR="00584FB3" w:rsidRDefault="00786180">
            <w:pPr>
              <w:jc w:val="right"/>
              <w:textAlignment w:val="bottom"/>
            </w:pPr>
            <w:r>
              <w:rPr>
                <w:rFonts w:ascii="Times New Roman" w:eastAsia="宋体" w:hAnsi="Times New Roman"/>
                <w:color w:val="000000"/>
                <w:sz w:val="20"/>
                <w:szCs w:val="20"/>
              </w:rPr>
              <w:t>1,140.8 </w:t>
            </w:r>
          </w:p>
        </w:tc>
        <w:tc>
          <w:tcPr>
            <w:tcW w:w="0" w:type="auto"/>
            <w:shd w:val="clear" w:color="auto" w:fill="FFFFFF"/>
            <w:tcMar>
              <w:top w:w="40" w:type="dxa"/>
              <w:left w:w="0" w:type="dxa"/>
              <w:bottom w:w="40" w:type="dxa"/>
              <w:right w:w="20" w:type="dxa"/>
            </w:tcMar>
            <w:vAlign w:val="bottom"/>
          </w:tcPr>
          <w:p w14:paraId="40CB1A6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6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A6A" w14:textId="77777777" w:rsidR="00584FB3" w:rsidRDefault="00786180">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40CB1A6B"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1A6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A6D" w14:textId="77777777" w:rsidR="00584FB3" w:rsidRDefault="00786180">
            <w:pPr>
              <w:jc w:val="right"/>
              <w:textAlignment w:val="bottom"/>
            </w:pPr>
            <w:r>
              <w:rPr>
                <w:rFonts w:ascii="Times New Roman" w:eastAsia="宋体" w:hAnsi="Times New Roman"/>
                <w:color w:val="000000"/>
                <w:sz w:val="20"/>
                <w:szCs w:val="20"/>
              </w:rPr>
              <w:t>1,162.1 </w:t>
            </w:r>
          </w:p>
        </w:tc>
        <w:tc>
          <w:tcPr>
            <w:tcW w:w="0" w:type="auto"/>
            <w:shd w:val="clear" w:color="auto" w:fill="FFFFFF"/>
            <w:tcMar>
              <w:top w:w="40" w:type="dxa"/>
              <w:left w:w="0" w:type="dxa"/>
              <w:bottom w:w="40" w:type="dxa"/>
              <w:right w:w="20" w:type="dxa"/>
            </w:tcMar>
            <w:vAlign w:val="bottom"/>
          </w:tcPr>
          <w:p w14:paraId="40CB1A6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6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A70"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40CB1A71"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1A72" w14:textId="77777777" w:rsidR="00584FB3" w:rsidRDefault="00584FB3">
            <w:pPr>
              <w:rPr>
                <w:rFonts w:ascii="宋体"/>
                <w:vanish/>
              </w:rPr>
            </w:pPr>
          </w:p>
        </w:tc>
        <w:tc>
          <w:tcPr>
            <w:tcW w:w="0" w:type="auto"/>
            <w:shd w:val="clear" w:color="auto" w:fill="auto"/>
          </w:tcPr>
          <w:p w14:paraId="40CB1A73" w14:textId="77777777" w:rsidR="00584FB3" w:rsidRDefault="00584FB3">
            <w:pPr>
              <w:rPr>
                <w:rFonts w:ascii="宋体"/>
                <w:vanish/>
              </w:rPr>
            </w:pPr>
          </w:p>
        </w:tc>
        <w:tc>
          <w:tcPr>
            <w:tcW w:w="0" w:type="auto"/>
            <w:gridSpan w:val="3"/>
            <w:shd w:val="clear" w:color="auto" w:fill="auto"/>
          </w:tcPr>
          <w:p w14:paraId="40CB1A74" w14:textId="77777777" w:rsidR="00584FB3" w:rsidRDefault="00584FB3">
            <w:pPr>
              <w:rPr>
                <w:rFonts w:ascii="宋体"/>
                <w:vanish/>
              </w:rPr>
            </w:pPr>
          </w:p>
        </w:tc>
        <w:tc>
          <w:tcPr>
            <w:tcW w:w="0" w:type="auto"/>
            <w:gridSpan w:val="3"/>
            <w:shd w:val="clear" w:color="auto" w:fill="auto"/>
          </w:tcPr>
          <w:p w14:paraId="40CB1A75" w14:textId="77777777" w:rsidR="00584FB3" w:rsidRDefault="00584FB3">
            <w:pPr>
              <w:rPr>
                <w:rFonts w:ascii="宋体"/>
                <w:vanish/>
              </w:rPr>
            </w:pPr>
          </w:p>
        </w:tc>
        <w:tc>
          <w:tcPr>
            <w:tcW w:w="0" w:type="auto"/>
            <w:gridSpan w:val="3"/>
            <w:shd w:val="clear" w:color="auto" w:fill="auto"/>
          </w:tcPr>
          <w:p w14:paraId="40CB1A76" w14:textId="77777777" w:rsidR="00584FB3" w:rsidRDefault="00584FB3">
            <w:pPr>
              <w:rPr>
                <w:rFonts w:ascii="宋体"/>
                <w:vanish/>
              </w:rPr>
            </w:pPr>
          </w:p>
        </w:tc>
        <w:tc>
          <w:tcPr>
            <w:tcW w:w="0" w:type="auto"/>
            <w:gridSpan w:val="3"/>
            <w:shd w:val="clear" w:color="auto" w:fill="auto"/>
          </w:tcPr>
          <w:p w14:paraId="40CB1A77" w14:textId="77777777" w:rsidR="00584FB3" w:rsidRDefault="00584FB3">
            <w:pPr>
              <w:rPr>
                <w:rFonts w:ascii="宋体"/>
                <w:vanish/>
              </w:rPr>
            </w:pPr>
          </w:p>
        </w:tc>
        <w:tc>
          <w:tcPr>
            <w:tcW w:w="0" w:type="auto"/>
            <w:gridSpan w:val="3"/>
            <w:shd w:val="clear" w:color="auto" w:fill="auto"/>
          </w:tcPr>
          <w:p w14:paraId="40CB1A78" w14:textId="77777777" w:rsidR="00584FB3" w:rsidRDefault="00584FB3">
            <w:pPr>
              <w:rPr>
                <w:rFonts w:ascii="宋体"/>
                <w:vanish/>
              </w:rPr>
            </w:pPr>
          </w:p>
        </w:tc>
        <w:tc>
          <w:tcPr>
            <w:tcW w:w="0" w:type="auto"/>
            <w:gridSpan w:val="3"/>
            <w:shd w:val="clear" w:color="auto" w:fill="auto"/>
          </w:tcPr>
          <w:p w14:paraId="40CB1A79" w14:textId="77777777" w:rsidR="00584FB3" w:rsidRDefault="00584FB3">
            <w:pPr>
              <w:rPr>
                <w:rFonts w:ascii="宋体"/>
                <w:vanish/>
              </w:rPr>
            </w:pPr>
          </w:p>
        </w:tc>
      </w:tr>
      <w:tr w:rsidR="00584FB3" w14:paraId="40CB1A8F" w14:textId="77777777">
        <w:trPr>
          <w:jc w:val="center"/>
        </w:trPr>
        <w:tc>
          <w:tcPr>
            <w:tcW w:w="0" w:type="auto"/>
            <w:gridSpan w:val="3"/>
            <w:shd w:val="clear" w:color="auto" w:fill="D7E4BC"/>
            <w:tcMar>
              <w:top w:w="40" w:type="dxa"/>
              <w:left w:w="20" w:type="dxa"/>
              <w:bottom w:w="40" w:type="dxa"/>
              <w:right w:w="20" w:type="dxa"/>
            </w:tcMar>
            <w:vAlign w:val="bottom"/>
          </w:tcPr>
          <w:p w14:paraId="40CB1A7B" w14:textId="77777777" w:rsidR="00584FB3" w:rsidRDefault="00786180">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40CB1A7C" w14:textId="77777777" w:rsidR="00584FB3" w:rsidRDefault="00786180">
            <w:pPr>
              <w:jc w:val="right"/>
              <w:textAlignment w:val="bottom"/>
            </w:pPr>
            <w:r>
              <w:rPr>
                <w:rFonts w:ascii="Times New Roman" w:eastAsia="宋体" w:hAnsi="Times New Roman"/>
                <w:color w:val="000000"/>
                <w:sz w:val="20"/>
                <w:szCs w:val="20"/>
              </w:rPr>
              <w:t>1,356.7 </w:t>
            </w:r>
          </w:p>
        </w:tc>
        <w:tc>
          <w:tcPr>
            <w:tcW w:w="0" w:type="auto"/>
            <w:shd w:val="clear" w:color="auto" w:fill="D7E4BC"/>
            <w:tcMar>
              <w:top w:w="40" w:type="dxa"/>
              <w:left w:w="0" w:type="dxa"/>
              <w:bottom w:w="40" w:type="dxa"/>
              <w:right w:w="20" w:type="dxa"/>
            </w:tcMar>
            <w:vAlign w:val="bottom"/>
          </w:tcPr>
          <w:p w14:paraId="40CB1A7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A7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A7F" w14:textId="77777777" w:rsidR="00584FB3" w:rsidRDefault="00786180">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40CB1A80"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1A8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A82" w14:textId="77777777" w:rsidR="00584FB3" w:rsidRDefault="00786180">
            <w:pPr>
              <w:jc w:val="right"/>
              <w:textAlignment w:val="bottom"/>
            </w:pPr>
            <w:r>
              <w:rPr>
                <w:rFonts w:ascii="Times New Roman" w:eastAsia="宋体" w:hAnsi="Times New Roman"/>
                <w:color w:val="000000"/>
                <w:sz w:val="20"/>
                <w:szCs w:val="20"/>
              </w:rPr>
              <w:t>1,674.1 </w:t>
            </w:r>
          </w:p>
        </w:tc>
        <w:tc>
          <w:tcPr>
            <w:tcW w:w="0" w:type="auto"/>
            <w:shd w:val="clear" w:color="auto" w:fill="D7E4BC"/>
            <w:tcMar>
              <w:top w:w="40" w:type="dxa"/>
              <w:left w:w="0" w:type="dxa"/>
              <w:bottom w:w="40" w:type="dxa"/>
              <w:right w:w="20" w:type="dxa"/>
            </w:tcMar>
            <w:vAlign w:val="bottom"/>
          </w:tcPr>
          <w:p w14:paraId="40CB1A8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A8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A85" w14:textId="77777777" w:rsidR="00584FB3" w:rsidRDefault="00786180">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bottom"/>
          </w:tcPr>
          <w:p w14:paraId="40CB1A86"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1A87" w14:textId="77777777" w:rsidR="00584FB3" w:rsidRDefault="00584FB3">
            <w:pPr>
              <w:rPr>
                <w:rFonts w:ascii="宋体"/>
                <w:vanish/>
              </w:rPr>
            </w:pPr>
          </w:p>
        </w:tc>
        <w:tc>
          <w:tcPr>
            <w:tcW w:w="0" w:type="auto"/>
            <w:shd w:val="clear" w:color="auto" w:fill="auto"/>
          </w:tcPr>
          <w:p w14:paraId="40CB1A88" w14:textId="77777777" w:rsidR="00584FB3" w:rsidRDefault="00584FB3">
            <w:pPr>
              <w:rPr>
                <w:rFonts w:ascii="宋体"/>
                <w:vanish/>
              </w:rPr>
            </w:pPr>
          </w:p>
        </w:tc>
        <w:tc>
          <w:tcPr>
            <w:tcW w:w="0" w:type="auto"/>
            <w:gridSpan w:val="3"/>
            <w:shd w:val="clear" w:color="auto" w:fill="auto"/>
          </w:tcPr>
          <w:p w14:paraId="40CB1A89" w14:textId="77777777" w:rsidR="00584FB3" w:rsidRDefault="00584FB3">
            <w:pPr>
              <w:rPr>
                <w:rFonts w:ascii="宋体"/>
                <w:vanish/>
              </w:rPr>
            </w:pPr>
          </w:p>
        </w:tc>
        <w:tc>
          <w:tcPr>
            <w:tcW w:w="0" w:type="auto"/>
            <w:gridSpan w:val="3"/>
            <w:shd w:val="clear" w:color="auto" w:fill="auto"/>
          </w:tcPr>
          <w:p w14:paraId="40CB1A8A" w14:textId="77777777" w:rsidR="00584FB3" w:rsidRDefault="00584FB3">
            <w:pPr>
              <w:rPr>
                <w:rFonts w:ascii="宋体"/>
                <w:vanish/>
              </w:rPr>
            </w:pPr>
          </w:p>
        </w:tc>
        <w:tc>
          <w:tcPr>
            <w:tcW w:w="0" w:type="auto"/>
            <w:gridSpan w:val="3"/>
            <w:shd w:val="clear" w:color="auto" w:fill="auto"/>
          </w:tcPr>
          <w:p w14:paraId="40CB1A8B" w14:textId="77777777" w:rsidR="00584FB3" w:rsidRDefault="00584FB3">
            <w:pPr>
              <w:rPr>
                <w:rFonts w:ascii="宋体"/>
                <w:vanish/>
              </w:rPr>
            </w:pPr>
          </w:p>
        </w:tc>
        <w:tc>
          <w:tcPr>
            <w:tcW w:w="0" w:type="auto"/>
            <w:gridSpan w:val="3"/>
            <w:shd w:val="clear" w:color="auto" w:fill="auto"/>
          </w:tcPr>
          <w:p w14:paraId="40CB1A8C" w14:textId="77777777" w:rsidR="00584FB3" w:rsidRDefault="00584FB3">
            <w:pPr>
              <w:rPr>
                <w:rFonts w:ascii="宋体"/>
                <w:vanish/>
              </w:rPr>
            </w:pPr>
          </w:p>
        </w:tc>
        <w:tc>
          <w:tcPr>
            <w:tcW w:w="0" w:type="auto"/>
            <w:gridSpan w:val="3"/>
            <w:shd w:val="clear" w:color="auto" w:fill="auto"/>
          </w:tcPr>
          <w:p w14:paraId="40CB1A8D" w14:textId="77777777" w:rsidR="00584FB3" w:rsidRDefault="00584FB3">
            <w:pPr>
              <w:rPr>
                <w:rFonts w:ascii="宋体"/>
                <w:vanish/>
              </w:rPr>
            </w:pPr>
          </w:p>
        </w:tc>
        <w:tc>
          <w:tcPr>
            <w:tcW w:w="0" w:type="auto"/>
            <w:gridSpan w:val="3"/>
            <w:shd w:val="clear" w:color="auto" w:fill="auto"/>
          </w:tcPr>
          <w:p w14:paraId="40CB1A8E" w14:textId="77777777" w:rsidR="00584FB3" w:rsidRDefault="00584FB3">
            <w:pPr>
              <w:rPr>
                <w:rFonts w:ascii="宋体"/>
                <w:vanish/>
              </w:rPr>
            </w:pPr>
          </w:p>
        </w:tc>
      </w:tr>
      <w:tr w:rsidR="00584FB3" w14:paraId="40CB1AA6" w14:textId="77777777">
        <w:trPr>
          <w:jc w:val="center"/>
        </w:trPr>
        <w:tc>
          <w:tcPr>
            <w:tcW w:w="0" w:type="auto"/>
            <w:gridSpan w:val="3"/>
            <w:shd w:val="clear" w:color="auto" w:fill="FFFFFF"/>
            <w:tcMar>
              <w:top w:w="40" w:type="dxa"/>
              <w:left w:w="20" w:type="dxa"/>
              <w:bottom w:w="40" w:type="dxa"/>
              <w:right w:w="20" w:type="dxa"/>
            </w:tcMar>
          </w:tcPr>
          <w:p w14:paraId="40CB1A90" w14:textId="77777777" w:rsidR="00584FB3" w:rsidRDefault="00786180">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A91"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A92" w14:textId="77777777" w:rsidR="00584FB3" w:rsidRDefault="00786180">
            <w:pPr>
              <w:jc w:val="right"/>
              <w:textAlignment w:val="bottom"/>
            </w:pPr>
            <w:r>
              <w:rPr>
                <w:rFonts w:ascii="Times New Roman" w:eastAsia="宋体" w:hAnsi="Times New Roman"/>
                <w:color w:val="000000"/>
                <w:sz w:val="20"/>
                <w:szCs w:val="20"/>
              </w:rPr>
              <w:t>6,749.4 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A9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94"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A95" w14:textId="77777777" w:rsidR="00584FB3" w:rsidRDefault="00786180">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A96"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1A97" w14:textId="77777777" w:rsidR="00584FB3" w:rsidRDefault="00584FB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CB1A98"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0CB1A99" w14:textId="77777777" w:rsidR="00584FB3" w:rsidRDefault="00786180">
            <w:pPr>
              <w:jc w:val="right"/>
              <w:textAlignment w:val="bottom"/>
            </w:pPr>
            <w:r>
              <w:rPr>
                <w:rFonts w:ascii="Times New Roman" w:eastAsia="宋体" w:hAnsi="Times New Roman"/>
                <w:color w:val="000000"/>
                <w:sz w:val="20"/>
                <w:szCs w:val="20"/>
              </w:rPr>
              <w:t>7,097.1 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CB1A9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9B"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A9C" w14:textId="77777777" w:rsidR="00584FB3" w:rsidRDefault="00786180">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A9D"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1A9E" w14:textId="77777777" w:rsidR="00584FB3" w:rsidRDefault="00584FB3">
            <w:pPr>
              <w:rPr>
                <w:rFonts w:ascii="宋体"/>
                <w:vanish/>
              </w:rPr>
            </w:pPr>
          </w:p>
        </w:tc>
        <w:tc>
          <w:tcPr>
            <w:tcW w:w="0" w:type="auto"/>
            <w:shd w:val="clear" w:color="auto" w:fill="auto"/>
          </w:tcPr>
          <w:p w14:paraId="40CB1A9F" w14:textId="77777777" w:rsidR="00584FB3" w:rsidRDefault="00584FB3">
            <w:pPr>
              <w:rPr>
                <w:rFonts w:ascii="宋体"/>
                <w:vanish/>
              </w:rPr>
            </w:pPr>
          </w:p>
        </w:tc>
        <w:tc>
          <w:tcPr>
            <w:tcW w:w="0" w:type="auto"/>
            <w:gridSpan w:val="3"/>
            <w:shd w:val="clear" w:color="auto" w:fill="auto"/>
          </w:tcPr>
          <w:p w14:paraId="40CB1AA0" w14:textId="77777777" w:rsidR="00584FB3" w:rsidRDefault="00584FB3">
            <w:pPr>
              <w:rPr>
                <w:rFonts w:ascii="宋体"/>
                <w:vanish/>
              </w:rPr>
            </w:pPr>
          </w:p>
        </w:tc>
        <w:tc>
          <w:tcPr>
            <w:tcW w:w="0" w:type="auto"/>
            <w:gridSpan w:val="3"/>
            <w:shd w:val="clear" w:color="auto" w:fill="auto"/>
          </w:tcPr>
          <w:p w14:paraId="40CB1AA1" w14:textId="77777777" w:rsidR="00584FB3" w:rsidRDefault="00584FB3">
            <w:pPr>
              <w:rPr>
                <w:rFonts w:ascii="宋体"/>
                <w:vanish/>
              </w:rPr>
            </w:pPr>
          </w:p>
        </w:tc>
        <w:tc>
          <w:tcPr>
            <w:tcW w:w="0" w:type="auto"/>
            <w:gridSpan w:val="3"/>
            <w:shd w:val="clear" w:color="auto" w:fill="auto"/>
          </w:tcPr>
          <w:p w14:paraId="40CB1AA2" w14:textId="77777777" w:rsidR="00584FB3" w:rsidRDefault="00584FB3">
            <w:pPr>
              <w:rPr>
                <w:rFonts w:ascii="宋体"/>
                <w:vanish/>
              </w:rPr>
            </w:pPr>
          </w:p>
        </w:tc>
        <w:tc>
          <w:tcPr>
            <w:tcW w:w="0" w:type="auto"/>
            <w:gridSpan w:val="3"/>
            <w:shd w:val="clear" w:color="auto" w:fill="auto"/>
          </w:tcPr>
          <w:p w14:paraId="40CB1AA3" w14:textId="77777777" w:rsidR="00584FB3" w:rsidRDefault="00584FB3">
            <w:pPr>
              <w:rPr>
                <w:rFonts w:ascii="宋体"/>
                <w:vanish/>
              </w:rPr>
            </w:pPr>
          </w:p>
        </w:tc>
        <w:tc>
          <w:tcPr>
            <w:tcW w:w="0" w:type="auto"/>
            <w:gridSpan w:val="3"/>
            <w:shd w:val="clear" w:color="auto" w:fill="auto"/>
          </w:tcPr>
          <w:p w14:paraId="40CB1AA4" w14:textId="77777777" w:rsidR="00584FB3" w:rsidRDefault="00584FB3">
            <w:pPr>
              <w:rPr>
                <w:rFonts w:ascii="宋体"/>
                <w:vanish/>
              </w:rPr>
            </w:pPr>
          </w:p>
        </w:tc>
        <w:tc>
          <w:tcPr>
            <w:tcW w:w="0" w:type="auto"/>
            <w:gridSpan w:val="3"/>
            <w:shd w:val="clear" w:color="auto" w:fill="auto"/>
          </w:tcPr>
          <w:p w14:paraId="40CB1AA5" w14:textId="77777777" w:rsidR="00584FB3" w:rsidRDefault="00584FB3">
            <w:pPr>
              <w:rPr>
                <w:rFonts w:ascii="宋体"/>
                <w:vanish/>
              </w:rPr>
            </w:pPr>
          </w:p>
        </w:tc>
      </w:tr>
    </w:tbl>
    <w:p w14:paraId="40CB1AA7" w14:textId="77777777" w:rsidR="00584FB3" w:rsidRDefault="00786180">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Certain prior period amounts have been reclassified to conform to current period </w:t>
      </w:r>
      <w:r>
        <w:rPr>
          <w:rFonts w:ascii="Times New Roman" w:eastAsia="宋体" w:hAnsi="Times New Roman"/>
          <w:color w:val="000000"/>
          <w:sz w:val="20"/>
          <w:szCs w:val="20"/>
        </w:rPr>
        <w:t>presentation.</w:t>
      </w:r>
    </w:p>
    <w:p w14:paraId="40CB1AA8" w14:textId="77777777" w:rsidR="00584FB3" w:rsidRDefault="00786180">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Beverage represents sales within our company-operated stores.</w:t>
      </w:r>
    </w:p>
    <w:p w14:paraId="40CB1AA9" w14:textId="77777777" w:rsidR="00584FB3" w:rsidRDefault="00786180">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Food includes sales within our company-operated stores.</w:t>
      </w:r>
    </w:p>
    <w:p w14:paraId="40CB1AAA" w14:textId="77777777" w:rsidR="00584FB3" w:rsidRDefault="00786180">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“Other” primarily consists of packaged and single-serve coffees and teas, serveware, royalty and licensing revenues</w:t>
      </w:r>
      <w:r>
        <w:rPr>
          <w:rFonts w:ascii="Times New Roman" w:eastAsia="宋体" w:hAnsi="Times New Roman"/>
          <w:color w:val="000000"/>
          <w:sz w:val="20"/>
          <w:szCs w:val="20"/>
        </w:rPr>
        <w:t>, beverage-related ingredients and ready-to-drink beverages, among other items.</w:t>
      </w:r>
    </w:p>
    <w:p w14:paraId="40CB1AAB" w14:textId="77777777" w:rsidR="00584FB3" w:rsidRDefault="00786180">
      <w:pPr>
        <w:jc w:val="center"/>
      </w:pPr>
      <w:r>
        <w:rPr>
          <w:rFonts w:ascii="Times New Roman" w:eastAsia="宋体" w:hAnsi="Times New Roman"/>
          <w:color w:val="000000"/>
          <w:sz w:val="20"/>
          <w:szCs w:val="20"/>
        </w:rPr>
        <w:t>24</w:t>
      </w:r>
    </w:p>
    <w:p w14:paraId="40CB1AAC" w14:textId="77777777" w:rsidR="00584FB3" w:rsidRDefault="00786180">
      <w:r>
        <w:pict w14:anchorId="40CB2A4D">
          <v:rect id="_x0000_i1048" style="width:415.3pt;height:1.5pt" o:hralign="center" o:hrstd="t" o:hr="t" fillcolor="#a0a0a0" stroked="f"/>
        </w:pict>
      </w:r>
    </w:p>
    <w:p w14:paraId="40CB1AAD" w14:textId="77777777" w:rsidR="00584FB3" w:rsidRDefault="00786180">
      <w:hyperlink r:id="rId100" w:anchor="i11706e4b673c41db9f2dcbdb897203bb_7" w:history="1">
        <w:r>
          <w:rPr>
            <w:rStyle w:val="a5"/>
            <w:rFonts w:ascii="Times New Roman" w:eastAsia="宋体" w:hAnsi="Times New Roman"/>
            <w:sz w:val="20"/>
            <w:szCs w:val="20"/>
          </w:rPr>
          <w:t>Table of Contents</w:t>
        </w:r>
      </w:hyperlink>
    </w:p>
    <w:p w14:paraId="40CB1AAE" w14:textId="77777777" w:rsidR="00584FB3" w:rsidRDefault="00786180">
      <w:pPr>
        <w:spacing w:before="120"/>
      </w:pPr>
      <w:r>
        <w:rPr>
          <w:rFonts w:ascii="Times New Roman" w:eastAsia="宋体" w:hAnsi="Times New Roman"/>
          <w:color w:val="000000"/>
          <w:sz w:val="20"/>
          <w:szCs w:val="20"/>
        </w:rPr>
        <w:t xml:space="preserve">The table below presents financial information for our reportable operating segments and Corporate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40CB1AAF" w14:textId="77777777" w:rsidR="00584FB3" w:rsidRDefault="00786180">
      <w:pPr>
        <w:spacing w:before="120"/>
      </w:pPr>
      <w:r>
        <w:rPr>
          <w:rFonts w:ascii="Times New Roman" w:eastAsia="宋体" w:hAnsi="Times New Roman"/>
          <w:b/>
          <w:bCs/>
          <w:color w:val="000000"/>
          <w:sz w:val="20"/>
          <w:szCs w:val="20"/>
        </w:rPr>
        <w:t>Quarter Ended</w:t>
      </w:r>
      <w:r>
        <w:rPr>
          <w:rFonts w:ascii="Times New Roman" w:eastAsia="宋体" w:hAnsi="Times New Roman"/>
          <w:color w:val="000000"/>
          <w:sz w:val="20"/>
          <w:szCs w:val="20"/>
        </w:rPr>
        <w:t xml:space="preserve"> </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2761"/>
        <w:gridCol w:w="38"/>
        <w:gridCol w:w="120"/>
        <w:gridCol w:w="880"/>
        <w:gridCol w:w="36"/>
        <w:gridCol w:w="36"/>
        <w:gridCol w:w="36"/>
        <w:gridCol w:w="36"/>
        <w:gridCol w:w="121"/>
        <w:gridCol w:w="863"/>
        <w:gridCol w:w="36"/>
        <w:gridCol w:w="36"/>
        <w:gridCol w:w="36"/>
        <w:gridCol w:w="36"/>
        <w:gridCol w:w="121"/>
        <w:gridCol w:w="855"/>
        <w:gridCol w:w="36"/>
        <w:gridCol w:w="36"/>
        <w:gridCol w:w="36"/>
        <w:gridCol w:w="36"/>
        <w:gridCol w:w="121"/>
        <w:gridCol w:w="787"/>
        <w:gridCol w:w="36"/>
        <w:gridCol w:w="36"/>
        <w:gridCol w:w="36"/>
        <w:gridCol w:w="36"/>
        <w:gridCol w:w="120"/>
        <w:gridCol w:w="836"/>
        <w:gridCol w:w="36"/>
      </w:tblGrid>
      <w:tr w:rsidR="00584FB3" w14:paraId="40CB1ACE" w14:textId="77777777">
        <w:trPr>
          <w:jc w:val="center"/>
        </w:trPr>
        <w:tc>
          <w:tcPr>
            <w:tcW w:w="50" w:type="pct"/>
            <w:shd w:val="clear" w:color="auto" w:fill="auto"/>
          </w:tcPr>
          <w:p w14:paraId="40CB1AB0" w14:textId="77777777" w:rsidR="00584FB3" w:rsidRDefault="00584FB3">
            <w:pPr>
              <w:rPr>
                <w:rFonts w:ascii="宋体"/>
              </w:rPr>
            </w:pPr>
          </w:p>
        </w:tc>
        <w:tc>
          <w:tcPr>
            <w:tcW w:w="1704" w:type="pct"/>
            <w:shd w:val="clear" w:color="auto" w:fill="auto"/>
          </w:tcPr>
          <w:p w14:paraId="40CB1AB1" w14:textId="77777777" w:rsidR="00584FB3" w:rsidRDefault="00584FB3">
            <w:pPr>
              <w:rPr>
                <w:rFonts w:ascii="宋体"/>
              </w:rPr>
            </w:pPr>
          </w:p>
        </w:tc>
        <w:tc>
          <w:tcPr>
            <w:tcW w:w="5" w:type="pct"/>
            <w:shd w:val="clear" w:color="auto" w:fill="auto"/>
          </w:tcPr>
          <w:p w14:paraId="40CB1AB2" w14:textId="77777777" w:rsidR="00584FB3" w:rsidRDefault="00584FB3">
            <w:pPr>
              <w:rPr>
                <w:rFonts w:ascii="宋体"/>
              </w:rPr>
            </w:pPr>
          </w:p>
        </w:tc>
        <w:tc>
          <w:tcPr>
            <w:tcW w:w="50" w:type="pct"/>
            <w:shd w:val="clear" w:color="auto" w:fill="auto"/>
          </w:tcPr>
          <w:p w14:paraId="40CB1AB3" w14:textId="77777777" w:rsidR="00584FB3" w:rsidRDefault="00584FB3">
            <w:pPr>
              <w:rPr>
                <w:rFonts w:ascii="宋体"/>
              </w:rPr>
            </w:pPr>
          </w:p>
        </w:tc>
        <w:tc>
          <w:tcPr>
            <w:tcW w:w="563" w:type="pct"/>
            <w:shd w:val="clear" w:color="auto" w:fill="auto"/>
          </w:tcPr>
          <w:p w14:paraId="40CB1AB4" w14:textId="77777777" w:rsidR="00584FB3" w:rsidRDefault="00584FB3">
            <w:pPr>
              <w:rPr>
                <w:rFonts w:ascii="宋体"/>
              </w:rPr>
            </w:pPr>
          </w:p>
        </w:tc>
        <w:tc>
          <w:tcPr>
            <w:tcW w:w="5" w:type="pct"/>
            <w:shd w:val="clear" w:color="auto" w:fill="auto"/>
          </w:tcPr>
          <w:p w14:paraId="40CB1AB5" w14:textId="77777777" w:rsidR="00584FB3" w:rsidRDefault="00584FB3">
            <w:pPr>
              <w:rPr>
                <w:rFonts w:ascii="宋体"/>
              </w:rPr>
            </w:pPr>
          </w:p>
        </w:tc>
        <w:tc>
          <w:tcPr>
            <w:tcW w:w="5" w:type="pct"/>
            <w:shd w:val="clear" w:color="auto" w:fill="auto"/>
          </w:tcPr>
          <w:p w14:paraId="40CB1AB6" w14:textId="77777777" w:rsidR="00584FB3" w:rsidRDefault="00584FB3">
            <w:pPr>
              <w:rPr>
                <w:rFonts w:ascii="宋体"/>
              </w:rPr>
            </w:pPr>
          </w:p>
        </w:tc>
        <w:tc>
          <w:tcPr>
            <w:tcW w:w="26" w:type="pct"/>
            <w:shd w:val="clear" w:color="auto" w:fill="auto"/>
          </w:tcPr>
          <w:p w14:paraId="40CB1AB7" w14:textId="77777777" w:rsidR="00584FB3" w:rsidRDefault="00584FB3">
            <w:pPr>
              <w:rPr>
                <w:rFonts w:ascii="宋体"/>
              </w:rPr>
            </w:pPr>
          </w:p>
        </w:tc>
        <w:tc>
          <w:tcPr>
            <w:tcW w:w="5" w:type="pct"/>
            <w:shd w:val="clear" w:color="auto" w:fill="auto"/>
          </w:tcPr>
          <w:p w14:paraId="40CB1AB8" w14:textId="77777777" w:rsidR="00584FB3" w:rsidRDefault="00584FB3">
            <w:pPr>
              <w:rPr>
                <w:rFonts w:ascii="宋体"/>
              </w:rPr>
            </w:pPr>
          </w:p>
        </w:tc>
        <w:tc>
          <w:tcPr>
            <w:tcW w:w="50" w:type="pct"/>
            <w:shd w:val="clear" w:color="auto" w:fill="auto"/>
          </w:tcPr>
          <w:p w14:paraId="40CB1AB9" w14:textId="77777777" w:rsidR="00584FB3" w:rsidRDefault="00584FB3">
            <w:pPr>
              <w:rPr>
                <w:rFonts w:ascii="宋体"/>
              </w:rPr>
            </w:pPr>
          </w:p>
        </w:tc>
        <w:tc>
          <w:tcPr>
            <w:tcW w:w="563" w:type="pct"/>
            <w:shd w:val="clear" w:color="auto" w:fill="auto"/>
          </w:tcPr>
          <w:p w14:paraId="40CB1ABA" w14:textId="77777777" w:rsidR="00584FB3" w:rsidRDefault="00584FB3">
            <w:pPr>
              <w:rPr>
                <w:rFonts w:ascii="宋体"/>
              </w:rPr>
            </w:pPr>
          </w:p>
        </w:tc>
        <w:tc>
          <w:tcPr>
            <w:tcW w:w="5" w:type="pct"/>
            <w:shd w:val="clear" w:color="auto" w:fill="auto"/>
          </w:tcPr>
          <w:p w14:paraId="40CB1ABB" w14:textId="77777777" w:rsidR="00584FB3" w:rsidRDefault="00584FB3">
            <w:pPr>
              <w:rPr>
                <w:rFonts w:ascii="宋体"/>
              </w:rPr>
            </w:pPr>
          </w:p>
        </w:tc>
        <w:tc>
          <w:tcPr>
            <w:tcW w:w="5" w:type="pct"/>
            <w:shd w:val="clear" w:color="auto" w:fill="auto"/>
          </w:tcPr>
          <w:p w14:paraId="40CB1ABC" w14:textId="77777777" w:rsidR="00584FB3" w:rsidRDefault="00584FB3">
            <w:pPr>
              <w:rPr>
                <w:rFonts w:ascii="宋体"/>
              </w:rPr>
            </w:pPr>
          </w:p>
        </w:tc>
        <w:tc>
          <w:tcPr>
            <w:tcW w:w="26" w:type="pct"/>
            <w:shd w:val="clear" w:color="auto" w:fill="auto"/>
          </w:tcPr>
          <w:p w14:paraId="40CB1ABD" w14:textId="77777777" w:rsidR="00584FB3" w:rsidRDefault="00584FB3">
            <w:pPr>
              <w:rPr>
                <w:rFonts w:ascii="宋体"/>
              </w:rPr>
            </w:pPr>
          </w:p>
        </w:tc>
        <w:tc>
          <w:tcPr>
            <w:tcW w:w="5" w:type="pct"/>
            <w:shd w:val="clear" w:color="auto" w:fill="auto"/>
          </w:tcPr>
          <w:p w14:paraId="40CB1ABE" w14:textId="77777777" w:rsidR="00584FB3" w:rsidRDefault="00584FB3">
            <w:pPr>
              <w:rPr>
                <w:rFonts w:ascii="宋体"/>
              </w:rPr>
            </w:pPr>
          </w:p>
        </w:tc>
        <w:tc>
          <w:tcPr>
            <w:tcW w:w="50" w:type="pct"/>
            <w:shd w:val="clear" w:color="auto" w:fill="auto"/>
          </w:tcPr>
          <w:p w14:paraId="40CB1ABF" w14:textId="77777777" w:rsidR="00584FB3" w:rsidRDefault="00584FB3">
            <w:pPr>
              <w:rPr>
                <w:rFonts w:ascii="宋体"/>
              </w:rPr>
            </w:pPr>
          </w:p>
        </w:tc>
        <w:tc>
          <w:tcPr>
            <w:tcW w:w="563" w:type="pct"/>
            <w:shd w:val="clear" w:color="auto" w:fill="auto"/>
          </w:tcPr>
          <w:p w14:paraId="40CB1AC0" w14:textId="77777777" w:rsidR="00584FB3" w:rsidRDefault="00584FB3">
            <w:pPr>
              <w:rPr>
                <w:rFonts w:ascii="宋体"/>
              </w:rPr>
            </w:pPr>
          </w:p>
        </w:tc>
        <w:tc>
          <w:tcPr>
            <w:tcW w:w="5" w:type="pct"/>
            <w:shd w:val="clear" w:color="auto" w:fill="auto"/>
          </w:tcPr>
          <w:p w14:paraId="40CB1AC1" w14:textId="77777777" w:rsidR="00584FB3" w:rsidRDefault="00584FB3">
            <w:pPr>
              <w:rPr>
                <w:rFonts w:ascii="宋体"/>
              </w:rPr>
            </w:pPr>
          </w:p>
        </w:tc>
        <w:tc>
          <w:tcPr>
            <w:tcW w:w="5" w:type="pct"/>
            <w:shd w:val="clear" w:color="auto" w:fill="auto"/>
          </w:tcPr>
          <w:p w14:paraId="40CB1AC2" w14:textId="77777777" w:rsidR="00584FB3" w:rsidRDefault="00584FB3">
            <w:pPr>
              <w:rPr>
                <w:rFonts w:ascii="宋体"/>
              </w:rPr>
            </w:pPr>
          </w:p>
        </w:tc>
        <w:tc>
          <w:tcPr>
            <w:tcW w:w="26" w:type="pct"/>
            <w:shd w:val="clear" w:color="auto" w:fill="auto"/>
          </w:tcPr>
          <w:p w14:paraId="40CB1AC3" w14:textId="77777777" w:rsidR="00584FB3" w:rsidRDefault="00584FB3">
            <w:pPr>
              <w:rPr>
                <w:rFonts w:ascii="宋体"/>
              </w:rPr>
            </w:pPr>
          </w:p>
        </w:tc>
        <w:tc>
          <w:tcPr>
            <w:tcW w:w="5" w:type="pct"/>
            <w:shd w:val="clear" w:color="auto" w:fill="auto"/>
          </w:tcPr>
          <w:p w14:paraId="40CB1AC4" w14:textId="77777777" w:rsidR="00584FB3" w:rsidRDefault="00584FB3">
            <w:pPr>
              <w:rPr>
                <w:rFonts w:ascii="宋体"/>
              </w:rPr>
            </w:pPr>
          </w:p>
        </w:tc>
        <w:tc>
          <w:tcPr>
            <w:tcW w:w="50" w:type="pct"/>
            <w:shd w:val="clear" w:color="auto" w:fill="auto"/>
          </w:tcPr>
          <w:p w14:paraId="40CB1AC5" w14:textId="77777777" w:rsidR="00584FB3" w:rsidRDefault="00584FB3">
            <w:pPr>
              <w:rPr>
                <w:rFonts w:ascii="宋体"/>
              </w:rPr>
            </w:pPr>
          </w:p>
        </w:tc>
        <w:tc>
          <w:tcPr>
            <w:tcW w:w="563" w:type="pct"/>
            <w:shd w:val="clear" w:color="auto" w:fill="auto"/>
          </w:tcPr>
          <w:p w14:paraId="40CB1AC6" w14:textId="77777777" w:rsidR="00584FB3" w:rsidRDefault="00584FB3">
            <w:pPr>
              <w:rPr>
                <w:rFonts w:ascii="宋体"/>
              </w:rPr>
            </w:pPr>
          </w:p>
        </w:tc>
        <w:tc>
          <w:tcPr>
            <w:tcW w:w="5" w:type="pct"/>
            <w:shd w:val="clear" w:color="auto" w:fill="auto"/>
          </w:tcPr>
          <w:p w14:paraId="40CB1AC7" w14:textId="77777777" w:rsidR="00584FB3" w:rsidRDefault="00584FB3">
            <w:pPr>
              <w:rPr>
                <w:rFonts w:ascii="宋体"/>
              </w:rPr>
            </w:pPr>
          </w:p>
        </w:tc>
        <w:tc>
          <w:tcPr>
            <w:tcW w:w="5" w:type="pct"/>
            <w:shd w:val="clear" w:color="auto" w:fill="auto"/>
          </w:tcPr>
          <w:p w14:paraId="40CB1AC8" w14:textId="77777777" w:rsidR="00584FB3" w:rsidRDefault="00584FB3">
            <w:pPr>
              <w:rPr>
                <w:rFonts w:ascii="宋体"/>
              </w:rPr>
            </w:pPr>
          </w:p>
        </w:tc>
        <w:tc>
          <w:tcPr>
            <w:tcW w:w="26" w:type="pct"/>
            <w:shd w:val="clear" w:color="auto" w:fill="auto"/>
          </w:tcPr>
          <w:p w14:paraId="40CB1AC9" w14:textId="77777777" w:rsidR="00584FB3" w:rsidRDefault="00584FB3">
            <w:pPr>
              <w:rPr>
                <w:rFonts w:ascii="宋体"/>
              </w:rPr>
            </w:pPr>
          </w:p>
        </w:tc>
        <w:tc>
          <w:tcPr>
            <w:tcW w:w="5" w:type="pct"/>
            <w:shd w:val="clear" w:color="auto" w:fill="auto"/>
          </w:tcPr>
          <w:p w14:paraId="40CB1ACA" w14:textId="77777777" w:rsidR="00584FB3" w:rsidRDefault="00584FB3">
            <w:pPr>
              <w:rPr>
                <w:rFonts w:ascii="宋体"/>
              </w:rPr>
            </w:pPr>
          </w:p>
        </w:tc>
        <w:tc>
          <w:tcPr>
            <w:tcW w:w="50" w:type="pct"/>
            <w:shd w:val="clear" w:color="auto" w:fill="auto"/>
          </w:tcPr>
          <w:p w14:paraId="40CB1ACB" w14:textId="77777777" w:rsidR="00584FB3" w:rsidRDefault="00584FB3">
            <w:pPr>
              <w:rPr>
                <w:rFonts w:ascii="宋体"/>
              </w:rPr>
            </w:pPr>
          </w:p>
        </w:tc>
        <w:tc>
          <w:tcPr>
            <w:tcW w:w="563" w:type="pct"/>
            <w:shd w:val="clear" w:color="auto" w:fill="auto"/>
          </w:tcPr>
          <w:p w14:paraId="40CB1ACC" w14:textId="77777777" w:rsidR="00584FB3" w:rsidRDefault="00584FB3">
            <w:pPr>
              <w:rPr>
                <w:rFonts w:ascii="宋体"/>
              </w:rPr>
            </w:pPr>
          </w:p>
        </w:tc>
        <w:tc>
          <w:tcPr>
            <w:tcW w:w="5" w:type="pct"/>
            <w:shd w:val="clear" w:color="auto" w:fill="auto"/>
          </w:tcPr>
          <w:p w14:paraId="40CB1ACD" w14:textId="77777777" w:rsidR="00584FB3" w:rsidRDefault="00584FB3">
            <w:pPr>
              <w:rPr>
                <w:rFonts w:ascii="宋体"/>
              </w:rPr>
            </w:pPr>
          </w:p>
        </w:tc>
      </w:tr>
      <w:tr w:rsidR="00584FB3" w14:paraId="40CB1AD9" w14:textId="77777777">
        <w:trPr>
          <w:jc w:val="center"/>
        </w:trPr>
        <w:tc>
          <w:tcPr>
            <w:tcW w:w="0" w:type="auto"/>
            <w:gridSpan w:val="3"/>
            <w:shd w:val="clear" w:color="auto" w:fill="auto"/>
            <w:tcMar>
              <w:top w:w="0" w:type="dxa"/>
              <w:left w:w="20" w:type="dxa"/>
              <w:bottom w:w="0" w:type="dxa"/>
              <w:right w:w="20" w:type="dxa"/>
            </w:tcMar>
          </w:tcPr>
          <w:p w14:paraId="40CB1ACF"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AD0" w14:textId="77777777" w:rsidR="00584FB3" w:rsidRDefault="00786180">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tcPr>
          <w:p w14:paraId="40CB1AD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AD2" w14:textId="77777777" w:rsidR="00584FB3" w:rsidRDefault="00786180">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tcPr>
          <w:p w14:paraId="40CB1AD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AD4" w14:textId="77777777" w:rsidR="00584FB3" w:rsidRDefault="00786180">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tcPr>
          <w:p w14:paraId="40CB1AD5"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AD6" w14:textId="77777777" w:rsidR="00584FB3" w:rsidRDefault="00786180">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tcPr>
          <w:p w14:paraId="40CB1AD7"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AD8" w14:textId="77777777" w:rsidR="00584FB3" w:rsidRDefault="00786180">
            <w:pPr>
              <w:jc w:val="center"/>
              <w:textAlignment w:val="bottom"/>
            </w:pPr>
            <w:r>
              <w:rPr>
                <w:rFonts w:ascii="Times New Roman" w:eastAsia="宋体" w:hAnsi="Times New Roman"/>
                <w:b/>
                <w:bCs/>
                <w:color w:val="FFFFFF"/>
                <w:sz w:val="16"/>
                <w:szCs w:val="16"/>
              </w:rPr>
              <w:t>Total</w:t>
            </w:r>
          </w:p>
        </w:tc>
      </w:tr>
      <w:tr w:rsidR="00584FB3" w14:paraId="40CB1AE4" w14:textId="77777777">
        <w:trPr>
          <w:jc w:val="center"/>
        </w:trPr>
        <w:tc>
          <w:tcPr>
            <w:tcW w:w="0" w:type="auto"/>
            <w:gridSpan w:val="3"/>
            <w:shd w:val="clear" w:color="auto" w:fill="D7E4BC"/>
            <w:tcMar>
              <w:top w:w="40" w:type="dxa"/>
              <w:left w:w="20" w:type="dxa"/>
              <w:bottom w:w="40" w:type="dxa"/>
              <w:right w:w="20" w:type="dxa"/>
            </w:tcMar>
          </w:tcPr>
          <w:p w14:paraId="40CB1ADA" w14:textId="77777777" w:rsidR="00584FB3" w:rsidRDefault="00786180">
            <w:pPr>
              <w:textAlignment w:val="top"/>
            </w:pPr>
            <w:r>
              <w:rPr>
                <w:rFonts w:ascii="Times New Roman" w:eastAsia="宋体" w:hAnsi="Times New Roman"/>
                <w:i/>
                <w:iCs/>
                <w:color w:val="000000"/>
                <w:sz w:val="20"/>
                <w:szCs w:val="20"/>
              </w:rPr>
              <w:t>December 27, 2020</w:t>
            </w:r>
          </w:p>
        </w:tc>
        <w:tc>
          <w:tcPr>
            <w:tcW w:w="0" w:type="auto"/>
            <w:gridSpan w:val="3"/>
            <w:tcBorders>
              <w:top w:val="single" w:sz="8" w:space="0" w:color="000000"/>
            </w:tcBorders>
            <w:shd w:val="clear" w:color="auto" w:fill="D7E4BC"/>
            <w:tcMar>
              <w:top w:w="0" w:type="dxa"/>
              <w:left w:w="20" w:type="dxa"/>
              <w:bottom w:w="0" w:type="dxa"/>
              <w:right w:w="20" w:type="dxa"/>
            </w:tcMar>
          </w:tcPr>
          <w:p w14:paraId="40CB1AD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ADC"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AD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ADE"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AD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AE0"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AE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AE2"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1AE3" w14:textId="77777777" w:rsidR="00584FB3" w:rsidRDefault="00584FB3">
            <w:pPr>
              <w:rPr>
                <w:rFonts w:ascii="宋体"/>
              </w:rPr>
            </w:pPr>
          </w:p>
        </w:tc>
      </w:tr>
      <w:tr w:rsidR="00584FB3" w14:paraId="40CB1AF9" w14:textId="77777777">
        <w:trPr>
          <w:jc w:val="center"/>
        </w:trPr>
        <w:tc>
          <w:tcPr>
            <w:tcW w:w="0" w:type="auto"/>
            <w:gridSpan w:val="3"/>
            <w:shd w:val="clear" w:color="auto" w:fill="FFFFFF"/>
            <w:tcMar>
              <w:top w:w="40" w:type="dxa"/>
              <w:left w:w="20" w:type="dxa"/>
              <w:bottom w:w="40" w:type="dxa"/>
              <w:right w:w="20" w:type="dxa"/>
            </w:tcMar>
          </w:tcPr>
          <w:p w14:paraId="40CB1AE5" w14:textId="77777777" w:rsidR="00584FB3" w:rsidRDefault="00786180">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40CB1AE6"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AE7" w14:textId="77777777" w:rsidR="00584FB3" w:rsidRDefault="00786180">
            <w:pPr>
              <w:jc w:val="right"/>
              <w:textAlignment w:val="bottom"/>
            </w:pPr>
            <w:r>
              <w:rPr>
                <w:rFonts w:ascii="Times New Roman" w:eastAsia="宋体" w:hAnsi="Times New Roman"/>
                <w:color w:val="000000"/>
                <w:sz w:val="20"/>
                <w:szCs w:val="20"/>
              </w:rPr>
              <w:t>4,703.2 </w:t>
            </w:r>
          </w:p>
        </w:tc>
        <w:tc>
          <w:tcPr>
            <w:tcW w:w="0" w:type="auto"/>
            <w:shd w:val="clear" w:color="auto" w:fill="FFFFFF"/>
            <w:tcMar>
              <w:top w:w="40" w:type="dxa"/>
              <w:left w:w="0" w:type="dxa"/>
              <w:bottom w:w="40" w:type="dxa"/>
              <w:right w:w="20" w:type="dxa"/>
            </w:tcMar>
            <w:vAlign w:val="bottom"/>
          </w:tcPr>
          <w:p w14:paraId="40CB1AE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E9"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AEA"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AEB" w14:textId="77777777" w:rsidR="00584FB3" w:rsidRDefault="00786180">
            <w:pPr>
              <w:jc w:val="right"/>
              <w:textAlignment w:val="bottom"/>
            </w:pPr>
            <w:r>
              <w:rPr>
                <w:rFonts w:ascii="Times New Roman" w:eastAsia="宋体" w:hAnsi="Times New Roman"/>
                <w:color w:val="000000"/>
                <w:sz w:val="20"/>
                <w:szCs w:val="20"/>
              </w:rPr>
              <w:t>1,654.3 </w:t>
            </w:r>
          </w:p>
        </w:tc>
        <w:tc>
          <w:tcPr>
            <w:tcW w:w="0" w:type="auto"/>
            <w:shd w:val="clear" w:color="auto" w:fill="FFFFFF"/>
            <w:tcMar>
              <w:top w:w="40" w:type="dxa"/>
              <w:left w:w="0" w:type="dxa"/>
              <w:bottom w:w="40" w:type="dxa"/>
              <w:right w:w="20" w:type="dxa"/>
            </w:tcMar>
            <w:vAlign w:val="bottom"/>
          </w:tcPr>
          <w:p w14:paraId="40CB1AE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ED"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AEE"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AEF" w14:textId="77777777" w:rsidR="00584FB3" w:rsidRDefault="00786180">
            <w:pPr>
              <w:jc w:val="right"/>
              <w:textAlignment w:val="bottom"/>
            </w:pPr>
            <w:r>
              <w:rPr>
                <w:rFonts w:ascii="Times New Roman" w:eastAsia="宋体" w:hAnsi="Times New Roman"/>
                <w:color w:val="000000"/>
                <w:sz w:val="20"/>
                <w:szCs w:val="20"/>
              </w:rPr>
              <w:t>371.4 </w:t>
            </w:r>
          </w:p>
        </w:tc>
        <w:tc>
          <w:tcPr>
            <w:tcW w:w="0" w:type="auto"/>
            <w:shd w:val="clear" w:color="auto" w:fill="FFFFFF"/>
            <w:tcMar>
              <w:top w:w="40" w:type="dxa"/>
              <w:left w:w="0" w:type="dxa"/>
              <w:bottom w:w="40" w:type="dxa"/>
              <w:right w:w="20" w:type="dxa"/>
            </w:tcMar>
            <w:vAlign w:val="bottom"/>
          </w:tcPr>
          <w:p w14:paraId="40CB1AF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F1"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AF2"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AF3" w14:textId="77777777" w:rsidR="00584FB3" w:rsidRDefault="00786180">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40CB1AF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AF5"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AF6"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AF7" w14:textId="77777777" w:rsidR="00584FB3" w:rsidRDefault="00786180">
            <w:pPr>
              <w:jc w:val="right"/>
              <w:textAlignment w:val="bottom"/>
            </w:pPr>
            <w:r>
              <w:rPr>
                <w:rFonts w:ascii="Times New Roman" w:eastAsia="宋体" w:hAnsi="Times New Roman"/>
                <w:color w:val="000000"/>
                <w:sz w:val="20"/>
                <w:szCs w:val="20"/>
              </w:rPr>
              <w:t>6,749.4 </w:t>
            </w:r>
          </w:p>
        </w:tc>
        <w:tc>
          <w:tcPr>
            <w:tcW w:w="0" w:type="auto"/>
            <w:shd w:val="clear" w:color="auto" w:fill="FFFFFF"/>
            <w:tcMar>
              <w:top w:w="40" w:type="dxa"/>
              <w:left w:w="0" w:type="dxa"/>
              <w:bottom w:w="40" w:type="dxa"/>
              <w:right w:w="20" w:type="dxa"/>
            </w:tcMar>
            <w:vAlign w:val="bottom"/>
          </w:tcPr>
          <w:p w14:paraId="40CB1AF8" w14:textId="77777777" w:rsidR="00584FB3" w:rsidRDefault="00584FB3">
            <w:pPr>
              <w:jc w:val="right"/>
              <w:rPr>
                <w:rFonts w:ascii="宋体"/>
              </w:rPr>
            </w:pPr>
          </w:p>
        </w:tc>
      </w:tr>
      <w:tr w:rsidR="00584FB3" w14:paraId="40CB1B09" w14:textId="77777777">
        <w:trPr>
          <w:jc w:val="center"/>
        </w:trPr>
        <w:tc>
          <w:tcPr>
            <w:tcW w:w="0" w:type="auto"/>
            <w:gridSpan w:val="3"/>
            <w:shd w:val="clear" w:color="auto" w:fill="D7E4BC"/>
            <w:tcMar>
              <w:top w:w="40" w:type="dxa"/>
              <w:left w:w="20" w:type="dxa"/>
              <w:bottom w:w="40" w:type="dxa"/>
              <w:right w:w="20" w:type="dxa"/>
            </w:tcMar>
          </w:tcPr>
          <w:p w14:paraId="40CB1AFA"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0CB1AFB" w14:textId="77777777" w:rsidR="00584FB3" w:rsidRDefault="00786180">
            <w:pPr>
              <w:jc w:val="right"/>
              <w:textAlignment w:val="bottom"/>
            </w:pPr>
            <w:r>
              <w:rPr>
                <w:rFonts w:ascii="Times New Roman" w:eastAsia="宋体" w:hAnsi="Times New Roman"/>
                <w:color w:val="000000"/>
                <w:sz w:val="20"/>
                <w:szCs w:val="20"/>
              </w:rPr>
              <w:t>188.9 </w:t>
            </w:r>
          </w:p>
        </w:tc>
        <w:tc>
          <w:tcPr>
            <w:tcW w:w="0" w:type="auto"/>
            <w:shd w:val="clear" w:color="auto" w:fill="D7E4BC"/>
            <w:tcMar>
              <w:top w:w="40" w:type="dxa"/>
              <w:left w:w="0" w:type="dxa"/>
              <w:bottom w:w="40" w:type="dxa"/>
              <w:right w:w="20" w:type="dxa"/>
            </w:tcMar>
            <w:vAlign w:val="bottom"/>
          </w:tcPr>
          <w:p w14:paraId="40CB1AF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AF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AFE" w14:textId="77777777" w:rsidR="00584FB3" w:rsidRDefault="00786180">
            <w:pPr>
              <w:jc w:val="right"/>
              <w:textAlignment w:val="bottom"/>
            </w:pPr>
            <w:r>
              <w:rPr>
                <w:rFonts w:ascii="Times New Roman" w:eastAsia="宋体" w:hAnsi="Times New Roman"/>
                <w:color w:val="000000"/>
                <w:sz w:val="20"/>
                <w:szCs w:val="20"/>
              </w:rPr>
              <w:t>140.0 </w:t>
            </w:r>
          </w:p>
        </w:tc>
        <w:tc>
          <w:tcPr>
            <w:tcW w:w="0" w:type="auto"/>
            <w:shd w:val="clear" w:color="auto" w:fill="D7E4BC"/>
            <w:tcMar>
              <w:top w:w="40" w:type="dxa"/>
              <w:left w:w="0" w:type="dxa"/>
              <w:bottom w:w="40" w:type="dxa"/>
              <w:right w:w="20" w:type="dxa"/>
            </w:tcMar>
            <w:vAlign w:val="bottom"/>
          </w:tcPr>
          <w:p w14:paraId="40CB1AF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0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01" w14:textId="77777777" w:rsidR="00584FB3" w:rsidRDefault="00786180">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40CB1B0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0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04" w14:textId="77777777" w:rsidR="00584FB3" w:rsidRDefault="00786180">
            <w:pPr>
              <w:jc w:val="right"/>
              <w:textAlignment w:val="bottom"/>
            </w:pPr>
            <w:r>
              <w:rPr>
                <w:rFonts w:ascii="Times New Roman" w:eastAsia="宋体" w:hAnsi="Times New Roman"/>
                <w:color w:val="000000"/>
                <w:sz w:val="20"/>
                <w:szCs w:val="20"/>
              </w:rPr>
              <w:t>37.0 </w:t>
            </w:r>
          </w:p>
        </w:tc>
        <w:tc>
          <w:tcPr>
            <w:tcW w:w="0" w:type="auto"/>
            <w:shd w:val="clear" w:color="auto" w:fill="D7E4BC"/>
            <w:tcMar>
              <w:top w:w="40" w:type="dxa"/>
              <w:left w:w="0" w:type="dxa"/>
              <w:bottom w:w="40" w:type="dxa"/>
              <w:right w:w="20" w:type="dxa"/>
            </w:tcMar>
            <w:vAlign w:val="bottom"/>
          </w:tcPr>
          <w:p w14:paraId="40CB1B0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0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07" w14:textId="77777777" w:rsidR="00584FB3" w:rsidRDefault="00786180">
            <w:pPr>
              <w:jc w:val="right"/>
              <w:textAlignment w:val="bottom"/>
            </w:pPr>
            <w:r>
              <w:rPr>
                <w:rFonts w:ascii="Times New Roman" w:eastAsia="宋体" w:hAnsi="Times New Roman"/>
                <w:color w:val="000000"/>
                <w:sz w:val="20"/>
                <w:szCs w:val="20"/>
              </w:rPr>
              <w:t>366.1 </w:t>
            </w:r>
          </w:p>
        </w:tc>
        <w:tc>
          <w:tcPr>
            <w:tcW w:w="0" w:type="auto"/>
            <w:shd w:val="clear" w:color="auto" w:fill="D7E4BC"/>
            <w:tcMar>
              <w:top w:w="40" w:type="dxa"/>
              <w:left w:w="0" w:type="dxa"/>
              <w:bottom w:w="40" w:type="dxa"/>
              <w:right w:w="20" w:type="dxa"/>
            </w:tcMar>
            <w:vAlign w:val="bottom"/>
          </w:tcPr>
          <w:p w14:paraId="40CB1B08" w14:textId="77777777" w:rsidR="00584FB3" w:rsidRDefault="00584FB3">
            <w:pPr>
              <w:jc w:val="right"/>
              <w:rPr>
                <w:rFonts w:ascii="宋体"/>
              </w:rPr>
            </w:pPr>
          </w:p>
        </w:tc>
      </w:tr>
      <w:tr w:rsidR="00584FB3" w14:paraId="40CB1B19" w14:textId="77777777">
        <w:trPr>
          <w:jc w:val="center"/>
        </w:trPr>
        <w:tc>
          <w:tcPr>
            <w:tcW w:w="0" w:type="auto"/>
            <w:gridSpan w:val="3"/>
            <w:shd w:val="clear" w:color="auto" w:fill="FFFFFF"/>
            <w:tcMar>
              <w:top w:w="40" w:type="dxa"/>
              <w:left w:w="20" w:type="dxa"/>
              <w:bottom w:w="40" w:type="dxa"/>
              <w:right w:w="20" w:type="dxa"/>
            </w:tcMar>
          </w:tcPr>
          <w:p w14:paraId="40CB1B0A" w14:textId="77777777" w:rsidR="00584FB3" w:rsidRDefault="00786180">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40CB1B0B"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B0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0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0E" w14:textId="77777777" w:rsidR="00584FB3" w:rsidRDefault="00786180">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left w:w="0" w:type="dxa"/>
              <w:bottom w:w="40" w:type="dxa"/>
              <w:right w:w="20" w:type="dxa"/>
            </w:tcMar>
            <w:vAlign w:val="bottom"/>
          </w:tcPr>
          <w:p w14:paraId="40CB1B0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1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11" w14:textId="77777777" w:rsidR="00584FB3" w:rsidRDefault="00786180">
            <w:pPr>
              <w:jc w:val="right"/>
              <w:textAlignment w:val="bottom"/>
            </w:pPr>
            <w:r>
              <w:rPr>
                <w:rFonts w:ascii="Times New Roman" w:eastAsia="宋体" w:hAnsi="Times New Roman"/>
                <w:color w:val="000000"/>
                <w:sz w:val="20"/>
                <w:szCs w:val="20"/>
              </w:rPr>
              <w:t>56.4 </w:t>
            </w:r>
          </w:p>
        </w:tc>
        <w:tc>
          <w:tcPr>
            <w:tcW w:w="0" w:type="auto"/>
            <w:shd w:val="clear" w:color="auto" w:fill="FFFFFF"/>
            <w:tcMar>
              <w:top w:w="40" w:type="dxa"/>
              <w:left w:w="0" w:type="dxa"/>
              <w:bottom w:w="40" w:type="dxa"/>
              <w:right w:w="20" w:type="dxa"/>
            </w:tcMar>
            <w:vAlign w:val="bottom"/>
          </w:tcPr>
          <w:p w14:paraId="40CB1B1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1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14"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B1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1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17" w14:textId="77777777" w:rsidR="00584FB3" w:rsidRDefault="00786180">
            <w:pPr>
              <w:jc w:val="right"/>
              <w:textAlignment w:val="bottom"/>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bottom"/>
          </w:tcPr>
          <w:p w14:paraId="40CB1B18" w14:textId="77777777" w:rsidR="00584FB3" w:rsidRDefault="00584FB3">
            <w:pPr>
              <w:jc w:val="right"/>
              <w:rPr>
                <w:rFonts w:ascii="宋体"/>
              </w:rPr>
            </w:pPr>
          </w:p>
        </w:tc>
      </w:tr>
      <w:tr w:rsidR="00584FB3" w14:paraId="40CB1B29" w14:textId="77777777">
        <w:trPr>
          <w:jc w:val="center"/>
        </w:trPr>
        <w:tc>
          <w:tcPr>
            <w:tcW w:w="0" w:type="auto"/>
            <w:gridSpan w:val="3"/>
            <w:shd w:val="clear" w:color="auto" w:fill="D7E4BC"/>
            <w:tcMar>
              <w:top w:w="40" w:type="dxa"/>
              <w:left w:w="20" w:type="dxa"/>
              <w:bottom w:w="40" w:type="dxa"/>
              <w:right w:w="20" w:type="dxa"/>
            </w:tcMar>
          </w:tcPr>
          <w:p w14:paraId="40CB1B1A" w14:textId="77777777" w:rsidR="00584FB3" w:rsidRDefault="00786180">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40CB1B1B" w14:textId="77777777" w:rsidR="00584FB3" w:rsidRDefault="00786180">
            <w:pPr>
              <w:jc w:val="right"/>
              <w:textAlignment w:val="bottom"/>
            </w:pPr>
            <w:r>
              <w:rPr>
                <w:rFonts w:ascii="Times New Roman" w:eastAsia="宋体" w:hAnsi="Times New Roman"/>
                <w:color w:val="000000"/>
                <w:sz w:val="20"/>
                <w:szCs w:val="20"/>
              </w:rPr>
              <w:t>813.5 </w:t>
            </w:r>
          </w:p>
        </w:tc>
        <w:tc>
          <w:tcPr>
            <w:tcW w:w="0" w:type="auto"/>
            <w:shd w:val="clear" w:color="auto" w:fill="D7E4BC"/>
            <w:tcMar>
              <w:top w:w="40" w:type="dxa"/>
              <w:left w:w="0" w:type="dxa"/>
              <w:bottom w:w="40" w:type="dxa"/>
              <w:right w:w="20" w:type="dxa"/>
            </w:tcMar>
            <w:vAlign w:val="bottom"/>
          </w:tcPr>
          <w:p w14:paraId="40CB1B1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1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1E" w14:textId="77777777" w:rsidR="00584FB3" w:rsidRDefault="00786180">
            <w:pPr>
              <w:jc w:val="right"/>
              <w:textAlignment w:val="bottom"/>
            </w:pPr>
            <w:r>
              <w:rPr>
                <w:rFonts w:ascii="Times New Roman" w:eastAsia="宋体" w:hAnsi="Times New Roman"/>
                <w:color w:val="000000"/>
                <w:sz w:val="20"/>
                <w:szCs w:val="20"/>
              </w:rPr>
              <w:t>274.8 </w:t>
            </w:r>
          </w:p>
        </w:tc>
        <w:tc>
          <w:tcPr>
            <w:tcW w:w="0" w:type="auto"/>
            <w:shd w:val="clear" w:color="auto" w:fill="D7E4BC"/>
            <w:tcMar>
              <w:top w:w="40" w:type="dxa"/>
              <w:left w:w="0" w:type="dxa"/>
              <w:bottom w:w="40" w:type="dxa"/>
              <w:right w:w="20" w:type="dxa"/>
            </w:tcMar>
            <w:vAlign w:val="bottom"/>
          </w:tcPr>
          <w:p w14:paraId="40CB1B1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2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21" w14:textId="77777777" w:rsidR="00584FB3" w:rsidRDefault="00786180">
            <w:pPr>
              <w:jc w:val="right"/>
              <w:textAlignment w:val="bottom"/>
            </w:pPr>
            <w:r>
              <w:rPr>
                <w:rFonts w:ascii="Times New Roman" w:eastAsia="宋体" w:hAnsi="Times New Roman"/>
                <w:color w:val="000000"/>
                <w:sz w:val="20"/>
                <w:szCs w:val="20"/>
              </w:rPr>
              <w:t>180.8 </w:t>
            </w:r>
          </w:p>
        </w:tc>
        <w:tc>
          <w:tcPr>
            <w:tcW w:w="0" w:type="auto"/>
            <w:shd w:val="clear" w:color="auto" w:fill="D7E4BC"/>
            <w:tcMar>
              <w:top w:w="40" w:type="dxa"/>
              <w:left w:w="0" w:type="dxa"/>
              <w:bottom w:w="40" w:type="dxa"/>
              <w:right w:w="20" w:type="dxa"/>
            </w:tcMar>
            <w:vAlign w:val="bottom"/>
          </w:tcPr>
          <w:p w14:paraId="40CB1B2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2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24" w14:textId="77777777" w:rsidR="00584FB3" w:rsidRDefault="00786180">
            <w:pPr>
              <w:jc w:val="right"/>
              <w:textAlignment w:val="bottom"/>
            </w:pPr>
            <w:r>
              <w:rPr>
                <w:rFonts w:ascii="Times New Roman" w:eastAsia="宋体" w:hAnsi="Times New Roman"/>
                <w:color w:val="000000"/>
                <w:sz w:val="20"/>
                <w:szCs w:val="20"/>
              </w:rPr>
              <w:t>(355.6)</w:t>
            </w:r>
          </w:p>
        </w:tc>
        <w:tc>
          <w:tcPr>
            <w:tcW w:w="0" w:type="auto"/>
            <w:shd w:val="clear" w:color="auto" w:fill="D7E4BC"/>
            <w:tcMar>
              <w:top w:w="40" w:type="dxa"/>
              <w:left w:w="0" w:type="dxa"/>
              <w:bottom w:w="40" w:type="dxa"/>
              <w:right w:w="20" w:type="dxa"/>
            </w:tcMar>
            <w:vAlign w:val="bottom"/>
          </w:tcPr>
          <w:p w14:paraId="40CB1B2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2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27" w14:textId="77777777" w:rsidR="00584FB3" w:rsidRDefault="00786180">
            <w:pPr>
              <w:jc w:val="right"/>
              <w:textAlignment w:val="bottom"/>
            </w:pPr>
            <w:r>
              <w:rPr>
                <w:rFonts w:ascii="Times New Roman" w:eastAsia="宋体" w:hAnsi="Times New Roman"/>
                <w:color w:val="000000"/>
                <w:sz w:val="20"/>
                <w:szCs w:val="20"/>
              </w:rPr>
              <w:t>913.5 </w:t>
            </w:r>
          </w:p>
        </w:tc>
        <w:tc>
          <w:tcPr>
            <w:tcW w:w="0" w:type="auto"/>
            <w:shd w:val="clear" w:color="auto" w:fill="D7E4BC"/>
            <w:tcMar>
              <w:top w:w="40" w:type="dxa"/>
              <w:left w:w="0" w:type="dxa"/>
              <w:bottom w:w="40" w:type="dxa"/>
              <w:right w:w="20" w:type="dxa"/>
            </w:tcMar>
            <w:vAlign w:val="bottom"/>
          </w:tcPr>
          <w:p w14:paraId="40CB1B28" w14:textId="77777777" w:rsidR="00584FB3" w:rsidRDefault="00584FB3">
            <w:pPr>
              <w:jc w:val="right"/>
              <w:rPr>
                <w:rFonts w:ascii="宋体"/>
              </w:rPr>
            </w:pPr>
          </w:p>
        </w:tc>
      </w:tr>
      <w:tr w:rsidR="00584FB3" w14:paraId="40CB1B34" w14:textId="77777777">
        <w:trPr>
          <w:trHeight w:val="280"/>
          <w:jc w:val="center"/>
        </w:trPr>
        <w:tc>
          <w:tcPr>
            <w:tcW w:w="0" w:type="auto"/>
            <w:gridSpan w:val="3"/>
            <w:shd w:val="clear" w:color="auto" w:fill="FFFFFF"/>
            <w:tcMar>
              <w:top w:w="0" w:type="dxa"/>
              <w:left w:w="20" w:type="dxa"/>
              <w:bottom w:w="0" w:type="dxa"/>
              <w:right w:w="20" w:type="dxa"/>
            </w:tcMar>
          </w:tcPr>
          <w:p w14:paraId="40CB1B2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2B"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2C"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2D"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2E"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2F"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30"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31"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32"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B33" w14:textId="77777777" w:rsidR="00584FB3" w:rsidRDefault="00584FB3">
            <w:pPr>
              <w:rPr>
                <w:rFonts w:ascii="宋体"/>
              </w:rPr>
            </w:pPr>
          </w:p>
        </w:tc>
      </w:tr>
      <w:tr w:rsidR="00584FB3" w14:paraId="40CB1B3F" w14:textId="77777777">
        <w:trPr>
          <w:jc w:val="center"/>
        </w:trPr>
        <w:tc>
          <w:tcPr>
            <w:tcW w:w="0" w:type="auto"/>
            <w:gridSpan w:val="3"/>
            <w:shd w:val="clear" w:color="auto" w:fill="D7E4BC"/>
            <w:tcMar>
              <w:top w:w="40" w:type="dxa"/>
              <w:left w:w="20" w:type="dxa"/>
              <w:bottom w:w="40" w:type="dxa"/>
              <w:right w:w="20" w:type="dxa"/>
            </w:tcMar>
          </w:tcPr>
          <w:p w14:paraId="40CB1B35" w14:textId="77777777" w:rsidR="00584FB3" w:rsidRDefault="00786180">
            <w:pPr>
              <w:textAlignment w:val="top"/>
            </w:pPr>
            <w:r>
              <w:rPr>
                <w:rFonts w:ascii="Times New Roman" w:eastAsia="宋体" w:hAnsi="Times New Roman"/>
                <w:i/>
                <w:iCs/>
                <w:color w:val="000000"/>
                <w:sz w:val="20"/>
                <w:szCs w:val="20"/>
              </w:rPr>
              <w:t>December 29, 2019</w:t>
            </w:r>
          </w:p>
        </w:tc>
        <w:tc>
          <w:tcPr>
            <w:tcW w:w="0" w:type="auto"/>
            <w:gridSpan w:val="3"/>
            <w:shd w:val="clear" w:color="auto" w:fill="D7E4BC"/>
            <w:tcMar>
              <w:top w:w="0" w:type="dxa"/>
              <w:left w:w="20" w:type="dxa"/>
              <w:bottom w:w="0" w:type="dxa"/>
              <w:right w:w="20" w:type="dxa"/>
            </w:tcMar>
          </w:tcPr>
          <w:p w14:paraId="40CB1B36"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7"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9"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A"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1B3E" w14:textId="77777777" w:rsidR="00584FB3" w:rsidRDefault="00584FB3">
            <w:pPr>
              <w:rPr>
                <w:rFonts w:ascii="宋体"/>
              </w:rPr>
            </w:pPr>
          </w:p>
        </w:tc>
      </w:tr>
      <w:tr w:rsidR="00584FB3" w14:paraId="40CB1B54" w14:textId="77777777">
        <w:trPr>
          <w:jc w:val="center"/>
        </w:trPr>
        <w:tc>
          <w:tcPr>
            <w:tcW w:w="0" w:type="auto"/>
            <w:gridSpan w:val="3"/>
            <w:shd w:val="clear" w:color="auto" w:fill="FFFFFF"/>
            <w:tcMar>
              <w:top w:w="40" w:type="dxa"/>
              <w:left w:w="20" w:type="dxa"/>
              <w:bottom w:w="40" w:type="dxa"/>
              <w:right w:w="20" w:type="dxa"/>
            </w:tcMar>
          </w:tcPr>
          <w:p w14:paraId="40CB1B40" w14:textId="77777777" w:rsidR="00584FB3" w:rsidRDefault="00786180">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40CB1B41"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B42" w14:textId="77777777" w:rsidR="00584FB3" w:rsidRDefault="00786180">
            <w:pPr>
              <w:jc w:val="right"/>
              <w:textAlignment w:val="bottom"/>
            </w:pPr>
            <w:r>
              <w:rPr>
                <w:rFonts w:ascii="Times New Roman" w:eastAsia="宋体" w:hAnsi="Times New Roman"/>
                <w:color w:val="000000"/>
                <w:sz w:val="20"/>
                <w:szCs w:val="20"/>
              </w:rPr>
              <w:t>5,010.9 </w:t>
            </w:r>
          </w:p>
        </w:tc>
        <w:tc>
          <w:tcPr>
            <w:tcW w:w="0" w:type="auto"/>
            <w:shd w:val="clear" w:color="auto" w:fill="FFFFFF"/>
            <w:tcMar>
              <w:top w:w="40" w:type="dxa"/>
              <w:left w:w="0" w:type="dxa"/>
              <w:bottom w:w="40" w:type="dxa"/>
              <w:right w:w="20" w:type="dxa"/>
            </w:tcMar>
            <w:vAlign w:val="bottom"/>
          </w:tcPr>
          <w:p w14:paraId="40CB1B4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44"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B45"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B46" w14:textId="77777777" w:rsidR="00584FB3" w:rsidRDefault="00786180">
            <w:pPr>
              <w:jc w:val="right"/>
              <w:textAlignment w:val="bottom"/>
            </w:pPr>
            <w:r>
              <w:rPr>
                <w:rFonts w:ascii="Times New Roman" w:eastAsia="宋体" w:hAnsi="Times New Roman"/>
                <w:color w:val="000000"/>
                <w:sz w:val="20"/>
                <w:szCs w:val="20"/>
              </w:rPr>
              <w:t>1,571.1 </w:t>
            </w:r>
          </w:p>
        </w:tc>
        <w:tc>
          <w:tcPr>
            <w:tcW w:w="0" w:type="auto"/>
            <w:shd w:val="clear" w:color="auto" w:fill="FFFFFF"/>
            <w:tcMar>
              <w:top w:w="40" w:type="dxa"/>
              <w:left w:w="0" w:type="dxa"/>
              <w:bottom w:w="40" w:type="dxa"/>
              <w:right w:w="20" w:type="dxa"/>
            </w:tcMar>
            <w:vAlign w:val="bottom"/>
          </w:tcPr>
          <w:p w14:paraId="40CB1B4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48"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B49"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B4A" w14:textId="77777777" w:rsidR="00584FB3" w:rsidRDefault="00786180">
            <w:pPr>
              <w:jc w:val="right"/>
              <w:textAlignment w:val="bottom"/>
            </w:pPr>
            <w:r>
              <w:rPr>
                <w:rFonts w:ascii="Times New Roman" w:eastAsia="宋体" w:hAnsi="Times New Roman"/>
                <w:color w:val="000000"/>
                <w:sz w:val="20"/>
                <w:szCs w:val="20"/>
              </w:rPr>
              <w:t>494.6 </w:t>
            </w:r>
          </w:p>
        </w:tc>
        <w:tc>
          <w:tcPr>
            <w:tcW w:w="0" w:type="auto"/>
            <w:shd w:val="clear" w:color="auto" w:fill="FFFFFF"/>
            <w:tcMar>
              <w:top w:w="40" w:type="dxa"/>
              <w:left w:w="0" w:type="dxa"/>
              <w:bottom w:w="40" w:type="dxa"/>
              <w:right w:w="20" w:type="dxa"/>
            </w:tcMar>
            <w:vAlign w:val="bottom"/>
          </w:tcPr>
          <w:p w14:paraId="40CB1B4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4C"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B4D"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B4E" w14:textId="77777777" w:rsidR="00584FB3" w:rsidRDefault="00786180">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40CB1B4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50"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1B51"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1B52" w14:textId="77777777" w:rsidR="00584FB3" w:rsidRDefault="00786180">
            <w:pPr>
              <w:jc w:val="right"/>
              <w:textAlignment w:val="bottom"/>
            </w:pPr>
            <w:r>
              <w:rPr>
                <w:rFonts w:ascii="Times New Roman" w:eastAsia="宋体" w:hAnsi="Times New Roman"/>
                <w:color w:val="000000"/>
                <w:sz w:val="20"/>
                <w:szCs w:val="20"/>
              </w:rPr>
              <w:t>7,097.1 </w:t>
            </w:r>
          </w:p>
        </w:tc>
        <w:tc>
          <w:tcPr>
            <w:tcW w:w="0" w:type="auto"/>
            <w:shd w:val="clear" w:color="auto" w:fill="FFFFFF"/>
            <w:tcMar>
              <w:top w:w="40" w:type="dxa"/>
              <w:left w:w="0" w:type="dxa"/>
              <w:bottom w:w="40" w:type="dxa"/>
              <w:right w:w="20" w:type="dxa"/>
            </w:tcMar>
            <w:vAlign w:val="bottom"/>
          </w:tcPr>
          <w:p w14:paraId="40CB1B53" w14:textId="77777777" w:rsidR="00584FB3" w:rsidRDefault="00584FB3">
            <w:pPr>
              <w:jc w:val="right"/>
              <w:rPr>
                <w:rFonts w:ascii="宋体"/>
              </w:rPr>
            </w:pPr>
          </w:p>
        </w:tc>
      </w:tr>
      <w:tr w:rsidR="00584FB3" w14:paraId="40CB1B64" w14:textId="77777777">
        <w:trPr>
          <w:jc w:val="center"/>
        </w:trPr>
        <w:tc>
          <w:tcPr>
            <w:tcW w:w="0" w:type="auto"/>
            <w:gridSpan w:val="3"/>
            <w:shd w:val="clear" w:color="auto" w:fill="D7E4BC"/>
            <w:tcMar>
              <w:top w:w="40" w:type="dxa"/>
              <w:left w:w="20" w:type="dxa"/>
              <w:bottom w:w="40" w:type="dxa"/>
              <w:right w:w="20" w:type="dxa"/>
            </w:tcMar>
          </w:tcPr>
          <w:p w14:paraId="40CB1B55"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0CB1B56" w14:textId="77777777" w:rsidR="00584FB3" w:rsidRDefault="00786180">
            <w:pPr>
              <w:jc w:val="right"/>
              <w:textAlignment w:val="bottom"/>
            </w:pPr>
            <w:r>
              <w:rPr>
                <w:rFonts w:ascii="Times New Roman" w:eastAsia="宋体" w:hAnsi="Times New Roman"/>
                <w:color w:val="000000"/>
                <w:sz w:val="20"/>
                <w:szCs w:val="20"/>
              </w:rPr>
              <w:t>189.2 </w:t>
            </w:r>
          </w:p>
        </w:tc>
        <w:tc>
          <w:tcPr>
            <w:tcW w:w="0" w:type="auto"/>
            <w:shd w:val="clear" w:color="auto" w:fill="D7E4BC"/>
            <w:tcMar>
              <w:top w:w="40" w:type="dxa"/>
              <w:left w:w="0" w:type="dxa"/>
              <w:bottom w:w="40" w:type="dxa"/>
              <w:right w:w="20" w:type="dxa"/>
            </w:tcMar>
            <w:vAlign w:val="bottom"/>
          </w:tcPr>
          <w:p w14:paraId="40CB1B5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5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59" w14:textId="77777777" w:rsidR="00584FB3" w:rsidRDefault="00786180">
            <w:pPr>
              <w:jc w:val="right"/>
              <w:textAlignment w:val="bottom"/>
            </w:pPr>
            <w:r>
              <w:rPr>
                <w:rFonts w:ascii="Times New Roman" w:eastAsia="宋体" w:hAnsi="Times New Roman"/>
                <w:color w:val="000000"/>
                <w:sz w:val="20"/>
                <w:szCs w:val="20"/>
              </w:rPr>
              <w:t>126.6 </w:t>
            </w:r>
          </w:p>
        </w:tc>
        <w:tc>
          <w:tcPr>
            <w:tcW w:w="0" w:type="auto"/>
            <w:shd w:val="clear" w:color="auto" w:fill="D7E4BC"/>
            <w:tcMar>
              <w:top w:w="40" w:type="dxa"/>
              <w:left w:w="0" w:type="dxa"/>
              <w:bottom w:w="40" w:type="dxa"/>
              <w:right w:w="20" w:type="dxa"/>
            </w:tcMar>
            <w:vAlign w:val="bottom"/>
          </w:tcPr>
          <w:p w14:paraId="40CB1B5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5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5C" w14:textId="77777777" w:rsidR="00584FB3" w:rsidRDefault="00786180">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40CB1B5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5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5F" w14:textId="77777777" w:rsidR="00584FB3" w:rsidRDefault="00786180">
            <w:pPr>
              <w:jc w:val="right"/>
              <w:textAlignment w:val="bottom"/>
            </w:pPr>
            <w:r>
              <w:rPr>
                <w:rFonts w:ascii="Times New Roman" w:eastAsia="宋体" w:hAnsi="Times New Roman"/>
                <w:color w:val="000000"/>
                <w:sz w:val="20"/>
                <w:szCs w:val="20"/>
              </w:rPr>
              <w:t>34.9 </w:t>
            </w:r>
          </w:p>
        </w:tc>
        <w:tc>
          <w:tcPr>
            <w:tcW w:w="0" w:type="auto"/>
            <w:shd w:val="clear" w:color="auto" w:fill="D7E4BC"/>
            <w:tcMar>
              <w:top w:w="40" w:type="dxa"/>
              <w:left w:w="0" w:type="dxa"/>
              <w:bottom w:w="40" w:type="dxa"/>
              <w:right w:w="20" w:type="dxa"/>
            </w:tcMar>
            <w:vAlign w:val="bottom"/>
          </w:tcPr>
          <w:p w14:paraId="40CB1B6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6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62" w14:textId="77777777" w:rsidR="00584FB3" w:rsidRDefault="00786180">
            <w:pPr>
              <w:jc w:val="right"/>
              <w:textAlignment w:val="bottom"/>
            </w:pPr>
            <w:r>
              <w:rPr>
                <w:rFonts w:ascii="Times New Roman" w:eastAsia="宋体" w:hAnsi="Times New Roman"/>
                <w:color w:val="000000"/>
                <w:sz w:val="20"/>
                <w:szCs w:val="20"/>
              </w:rPr>
              <w:t>351.0 </w:t>
            </w:r>
          </w:p>
        </w:tc>
        <w:tc>
          <w:tcPr>
            <w:tcW w:w="0" w:type="auto"/>
            <w:shd w:val="clear" w:color="auto" w:fill="D7E4BC"/>
            <w:tcMar>
              <w:top w:w="40" w:type="dxa"/>
              <w:left w:w="0" w:type="dxa"/>
              <w:bottom w:w="40" w:type="dxa"/>
              <w:right w:w="20" w:type="dxa"/>
            </w:tcMar>
            <w:vAlign w:val="bottom"/>
          </w:tcPr>
          <w:p w14:paraId="40CB1B63" w14:textId="77777777" w:rsidR="00584FB3" w:rsidRDefault="00584FB3">
            <w:pPr>
              <w:jc w:val="right"/>
              <w:rPr>
                <w:rFonts w:ascii="宋体"/>
              </w:rPr>
            </w:pPr>
          </w:p>
        </w:tc>
      </w:tr>
      <w:tr w:rsidR="00584FB3" w14:paraId="40CB1B74" w14:textId="77777777">
        <w:trPr>
          <w:jc w:val="center"/>
        </w:trPr>
        <w:tc>
          <w:tcPr>
            <w:tcW w:w="0" w:type="auto"/>
            <w:gridSpan w:val="3"/>
            <w:shd w:val="clear" w:color="auto" w:fill="FFFFFF"/>
            <w:tcMar>
              <w:top w:w="40" w:type="dxa"/>
              <w:left w:w="20" w:type="dxa"/>
              <w:bottom w:w="40" w:type="dxa"/>
              <w:right w:w="20" w:type="dxa"/>
            </w:tcMar>
          </w:tcPr>
          <w:p w14:paraId="40CB1B65" w14:textId="77777777" w:rsidR="00584FB3" w:rsidRDefault="00786180">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40CB1B66"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1B6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6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69" w14:textId="77777777" w:rsidR="00584FB3" w:rsidRDefault="00786180">
            <w:pPr>
              <w:jc w:val="right"/>
              <w:textAlignment w:val="bottom"/>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vAlign w:val="bottom"/>
          </w:tcPr>
          <w:p w14:paraId="40CB1B6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6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6C" w14:textId="77777777" w:rsidR="00584FB3" w:rsidRDefault="00786180">
            <w:pPr>
              <w:jc w:val="right"/>
              <w:textAlignment w:val="bottom"/>
            </w:pPr>
            <w:r>
              <w:rPr>
                <w:rFonts w:ascii="Times New Roman" w:eastAsia="宋体" w:hAnsi="Times New Roman"/>
                <w:color w:val="000000"/>
                <w:sz w:val="20"/>
                <w:szCs w:val="20"/>
              </w:rPr>
              <w:t>43.0 </w:t>
            </w:r>
          </w:p>
        </w:tc>
        <w:tc>
          <w:tcPr>
            <w:tcW w:w="0" w:type="auto"/>
            <w:shd w:val="clear" w:color="auto" w:fill="FFFFFF"/>
            <w:tcMar>
              <w:top w:w="40" w:type="dxa"/>
              <w:left w:w="0" w:type="dxa"/>
              <w:bottom w:w="40" w:type="dxa"/>
              <w:right w:w="20" w:type="dxa"/>
            </w:tcMar>
            <w:vAlign w:val="bottom"/>
          </w:tcPr>
          <w:p w14:paraId="40CB1B6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6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6F" w14:textId="77777777" w:rsidR="00584FB3" w:rsidRDefault="00786180">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left w:w="0" w:type="dxa"/>
              <w:bottom w:w="40" w:type="dxa"/>
              <w:right w:w="20" w:type="dxa"/>
            </w:tcMar>
            <w:vAlign w:val="bottom"/>
          </w:tcPr>
          <w:p w14:paraId="40CB1B7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B7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B72" w14:textId="77777777" w:rsidR="00584FB3" w:rsidRDefault="00786180">
            <w:pPr>
              <w:jc w:val="right"/>
              <w:textAlignment w:val="bottom"/>
            </w:pPr>
            <w:r>
              <w:rPr>
                <w:rFonts w:ascii="Times New Roman" w:eastAsia="宋体" w:hAnsi="Times New Roman"/>
                <w:color w:val="000000"/>
                <w:sz w:val="20"/>
                <w:szCs w:val="20"/>
              </w:rPr>
              <w:t>73.9 </w:t>
            </w:r>
          </w:p>
        </w:tc>
        <w:tc>
          <w:tcPr>
            <w:tcW w:w="0" w:type="auto"/>
            <w:shd w:val="clear" w:color="auto" w:fill="FFFFFF"/>
            <w:tcMar>
              <w:top w:w="40" w:type="dxa"/>
              <w:left w:w="0" w:type="dxa"/>
              <w:bottom w:w="40" w:type="dxa"/>
              <w:right w:w="20" w:type="dxa"/>
            </w:tcMar>
            <w:vAlign w:val="bottom"/>
          </w:tcPr>
          <w:p w14:paraId="40CB1B73" w14:textId="77777777" w:rsidR="00584FB3" w:rsidRDefault="00584FB3">
            <w:pPr>
              <w:jc w:val="right"/>
              <w:rPr>
                <w:rFonts w:ascii="宋体"/>
              </w:rPr>
            </w:pPr>
          </w:p>
        </w:tc>
      </w:tr>
      <w:tr w:rsidR="00584FB3" w14:paraId="40CB1B84" w14:textId="77777777">
        <w:trPr>
          <w:jc w:val="center"/>
        </w:trPr>
        <w:tc>
          <w:tcPr>
            <w:tcW w:w="0" w:type="auto"/>
            <w:gridSpan w:val="3"/>
            <w:shd w:val="clear" w:color="auto" w:fill="D7E4BC"/>
            <w:tcMar>
              <w:top w:w="40" w:type="dxa"/>
              <w:left w:w="20" w:type="dxa"/>
              <w:bottom w:w="40" w:type="dxa"/>
              <w:right w:w="20" w:type="dxa"/>
            </w:tcMar>
          </w:tcPr>
          <w:p w14:paraId="40CB1B75" w14:textId="77777777" w:rsidR="00584FB3" w:rsidRDefault="00786180">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40CB1B76" w14:textId="77777777" w:rsidR="00584FB3" w:rsidRDefault="00786180">
            <w:pPr>
              <w:jc w:val="right"/>
              <w:textAlignment w:val="bottom"/>
            </w:pPr>
            <w:r>
              <w:rPr>
                <w:rFonts w:ascii="Times New Roman" w:eastAsia="宋体" w:hAnsi="Times New Roman"/>
                <w:color w:val="000000"/>
                <w:sz w:val="20"/>
                <w:szCs w:val="20"/>
              </w:rPr>
              <w:t>1,098.8 </w:t>
            </w:r>
          </w:p>
        </w:tc>
        <w:tc>
          <w:tcPr>
            <w:tcW w:w="0" w:type="auto"/>
            <w:shd w:val="clear" w:color="auto" w:fill="D7E4BC"/>
            <w:tcMar>
              <w:top w:w="40" w:type="dxa"/>
              <w:left w:w="0" w:type="dxa"/>
              <w:bottom w:w="40" w:type="dxa"/>
              <w:right w:w="20" w:type="dxa"/>
            </w:tcMar>
            <w:vAlign w:val="bottom"/>
          </w:tcPr>
          <w:p w14:paraId="40CB1B7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7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79" w14:textId="77777777" w:rsidR="00584FB3" w:rsidRDefault="00786180">
            <w:pPr>
              <w:jc w:val="right"/>
              <w:textAlignment w:val="bottom"/>
            </w:pPr>
            <w:r>
              <w:rPr>
                <w:rFonts w:ascii="Times New Roman" w:eastAsia="宋体" w:hAnsi="Times New Roman"/>
                <w:color w:val="000000"/>
                <w:sz w:val="20"/>
                <w:szCs w:val="20"/>
              </w:rPr>
              <w:t>275.9 </w:t>
            </w:r>
          </w:p>
        </w:tc>
        <w:tc>
          <w:tcPr>
            <w:tcW w:w="0" w:type="auto"/>
            <w:shd w:val="clear" w:color="auto" w:fill="D7E4BC"/>
            <w:tcMar>
              <w:top w:w="40" w:type="dxa"/>
              <w:left w:w="0" w:type="dxa"/>
              <w:bottom w:w="40" w:type="dxa"/>
              <w:right w:w="20" w:type="dxa"/>
            </w:tcMar>
            <w:vAlign w:val="bottom"/>
          </w:tcPr>
          <w:p w14:paraId="40CB1B7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7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7C" w14:textId="77777777" w:rsidR="00584FB3" w:rsidRDefault="00786180">
            <w:pPr>
              <w:jc w:val="right"/>
              <w:textAlignment w:val="bottom"/>
            </w:pPr>
            <w:r>
              <w:rPr>
                <w:rFonts w:ascii="Times New Roman" w:eastAsia="宋体" w:hAnsi="Times New Roman"/>
                <w:color w:val="000000"/>
                <w:sz w:val="20"/>
                <w:szCs w:val="20"/>
              </w:rPr>
              <w:t>175.5 </w:t>
            </w:r>
          </w:p>
        </w:tc>
        <w:tc>
          <w:tcPr>
            <w:tcW w:w="0" w:type="auto"/>
            <w:shd w:val="clear" w:color="auto" w:fill="D7E4BC"/>
            <w:tcMar>
              <w:top w:w="40" w:type="dxa"/>
              <w:left w:w="0" w:type="dxa"/>
              <w:bottom w:w="40" w:type="dxa"/>
              <w:right w:w="20" w:type="dxa"/>
            </w:tcMar>
            <w:vAlign w:val="bottom"/>
          </w:tcPr>
          <w:p w14:paraId="40CB1B7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7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7F" w14:textId="77777777" w:rsidR="00584FB3" w:rsidRDefault="00786180">
            <w:pPr>
              <w:jc w:val="right"/>
              <w:textAlignment w:val="bottom"/>
            </w:pPr>
            <w:r>
              <w:rPr>
                <w:rFonts w:ascii="Times New Roman" w:eastAsia="宋体" w:hAnsi="Times New Roman"/>
                <w:color w:val="000000"/>
                <w:sz w:val="20"/>
                <w:szCs w:val="20"/>
              </w:rPr>
              <w:t>(330.4)</w:t>
            </w:r>
          </w:p>
        </w:tc>
        <w:tc>
          <w:tcPr>
            <w:tcW w:w="0" w:type="auto"/>
            <w:shd w:val="clear" w:color="auto" w:fill="D7E4BC"/>
            <w:tcMar>
              <w:top w:w="40" w:type="dxa"/>
              <w:left w:w="0" w:type="dxa"/>
              <w:bottom w:w="40" w:type="dxa"/>
              <w:right w:w="20" w:type="dxa"/>
            </w:tcMar>
            <w:vAlign w:val="bottom"/>
          </w:tcPr>
          <w:p w14:paraId="40CB1B8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B8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B82" w14:textId="77777777" w:rsidR="00584FB3" w:rsidRDefault="00786180">
            <w:pPr>
              <w:jc w:val="right"/>
              <w:textAlignment w:val="bottom"/>
            </w:pPr>
            <w:r>
              <w:rPr>
                <w:rFonts w:ascii="Times New Roman" w:eastAsia="宋体" w:hAnsi="Times New Roman"/>
                <w:color w:val="000000"/>
                <w:sz w:val="20"/>
                <w:szCs w:val="20"/>
              </w:rPr>
              <w:t>1,219.8 </w:t>
            </w:r>
          </w:p>
        </w:tc>
        <w:tc>
          <w:tcPr>
            <w:tcW w:w="0" w:type="auto"/>
            <w:shd w:val="clear" w:color="auto" w:fill="D7E4BC"/>
            <w:tcMar>
              <w:top w:w="40" w:type="dxa"/>
              <w:left w:w="0" w:type="dxa"/>
              <w:bottom w:w="40" w:type="dxa"/>
              <w:right w:w="20" w:type="dxa"/>
            </w:tcMar>
            <w:vAlign w:val="bottom"/>
          </w:tcPr>
          <w:p w14:paraId="40CB1B83" w14:textId="77777777" w:rsidR="00584FB3" w:rsidRDefault="00584FB3">
            <w:pPr>
              <w:jc w:val="right"/>
              <w:rPr>
                <w:rFonts w:ascii="宋体"/>
              </w:rPr>
            </w:pPr>
          </w:p>
        </w:tc>
      </w:tr>
      <w:tr w:rsidR="00584FB3" w14:paraId="40CB1B8F" w14:textId="77777777">
        <w:trPr>
          <w:jc w:val="center"/>
          <w:hidden/>
        </w:trPr>
        <w:tc>
          <w:tcPr>
            <w:tcW w:w="0" w:type="auto"/>
            <w:gridSpan w:val="3"/>
            <w:shd w:val="clear" w:color="auto" w:fill="auto"/>
          </w:tcPr>
          <w:p w14:paraId="40CB1B85" w14:textId="77777777" w:rsidR="00584FB3" w:rsidRDefault="00584FB3">
            <w:pPr>
              <w:rPr>
                <w:rFonts w:ascii="宋体"/>
                <w:vanish/>
              </w:rPr>
            </w:pPr>
          </w:p>
        </w:tc>
        <w:tc>
          <w:tcPr>
            <w:tcW w:w="0" w:type="auto"/>
            <w:gridSpan w:val="3"/>
            <w:shd w:val="clear" w:color="auto" w:fill="auto"/>
          </w:tcPr>
          <w:p w14:paraId="40CB1B86" w14:textId="77777777" w:rsidR="00584FB3" w:rsidRDefault="00584FB3">
            <w:pPr>
              <w:rPr>
                <w:rFonts w:ascii="宋体"/>
                <w:vanish/>
              </w:rPr>
            </w:pPr>
          </w:p>
        </w:tc>
        <w:tc>
          <w:tcPr>
            <w:tcW w:w="0" w:type="auto"/>
            <w:gridSpan w:val="3"/>
            <w:shd w:val="clear" w:color="auto" w:fill="auto"/>
          </w:tcPr>
          <w:p w14:paraId="40CB1B87" w14:textId="77777777" w:rsidR="00584FB3" w:rsidRDefault="00584FB3">
            <w:pPr>
              <w:rPr>
                <w:rFonts w:ascii="宋体"/>
                <w:vanish/>
              </w:rPr>
            </w:pPr>
          </w:p>
        </w:tc>
        <w:tc>
          <w:tcPr>
            <w:tcW w:w="0" w:type="auto"/>
            <w:gridSpan w:val="3"/>
            <w:shd w:val="clear" w:color="auto" w:fill="auto"/>
          </w:tcPr>
          <w:p w14:paraId="40CB1B88" w14:textId="77777777" w:rsidR="00584FB3" w:rsidRDefault="00584FB3">
            <w:pPr>
              <w:rPr>
                <w:rFonts w:ascii="宋体"/>
                <w:vanish/>
              </w:rPr>
            </w:pPr>
          </w:p>
        </w:tc>
        <w:tc>
          <w:tcPr>
            <w:tcW w:w="0" w:type="auto"/>
            <w:gridSpan w:val="3"/>
            <w:shd w:val="clear" w:color="auto" w:fill="auto"/>
          </w:tcPr>
          <w:p w14:paraId="40CB1B89" w14:textId="77777777" w:rsidR="00584FB3" w:rsidRDefault="00584FB3">
            <w:pPr>
              <w:rPr>
                <w:rFonts w:ascii="宋体"/>
                <w:vanish/>
              </w:rPr>
            </w:pPr>
          </w:p>
        </w:tc>
        <w:tc>
          <w:tcPr>
            <w:tcW w:w="0" w:type="auto"/>
            <w:gridSpan w:val="3"/>
            <w:shd w:val="clear" w:color="auto" w:fill="auto"/>
          </w:tcPr>
          <w:p w14:paraId="40CB1B8A" w14:textId="77777777" w:rsidR="00584FB3" w:rsidRDefault="00584FB3">
            <w:pPr>
              <w:rPr>
                <w:rFonts w:ascii="宋体"/>
                <w:vanish/>
              </w:rPr>
            </w:pPr>
          </w:p>
        </w:tc>
        <w:tc>
          <w:tcPr>
            <w:tcW w:w="0" w:type="auto"/>
            <w:gridSpan w:val="3"/>
            <w:shd w:val="clear" w:color="auto" w:fill="auto"/>
          </w:tcPr>
          <w:p w14:paraId="40CB1B8B" w14:textId="77777777" w:rsidR="00584FB3" w:rsidRDefault="00584FB3">
            <w:pPr>
              <w:rPr>
                <w:rFonts w:ascii="宋体"/>
                <w:vanish/>
              </w:rPr>
            </w:pPr>
          </w:p>
        </w:tc>
        <w:tc>
          <w:tcPr>
            <w:tcW w:w="0" w:type="auto"/>
            <w:gridSpan w:val="3"/>
            <w:shd w:val="clear" w:color="auto" w:fill="auto"/>
          </w:tcPr>
          <w:p w14:paraId="40CB1B8C" w14:textId="77777777" w:rsidR="00584FB3" w:rsidRDefault="00584FB3">
            <w:pPr>
              <w:rPr>
                <w:rFonts w:ascii="宋体"/>
                <w:vanish/>
              </w:rPr>
            </w:pPr>
          </w:p>
        </w:tc>
        <w:tc>
          <w:tcPr>
            <w:tcW w:w="0" w:type="auto"/>
            <w:gridSpan w:val="3"/>
            <w:shd w:val="clear" w:color="auto" w:fill="auto"/>
          </w:tcPr>
          <w:p w14:paraId="40CB1B8D" w14:textId="77777777" w:rsidR="00584FB3" w:rsidRDefault="00584FB3">
            <w:pPr>
              <w:rPr>
                <w:rFonts w:ascii="宋体"/>
                <w:vanish/>
              </w:rPr>
            </w:pPr>
          </w:p>
        </w:tc>
        <w:tc>
          <w:tcPr>
            <w:tcW w:w="0" w:type="auto"/>
            <w:gridSpan w:val="3"/>
            <w:shd w:val="clear" w:color="auto" w:fill="auto"/>
          </w:tcPr>
          <w:p w14:paraId="40CB1B8E" w14:textId="77777777" w:rsidR="00584FB3" w:rsidRDefault="00584FB3">
            <w:pPr>
              <w:rPr>
                <w:rFonts w:ascii="宋体"/>
                <w:vanish/>
              </w:rPr>
            </w:pPr>
          </w:p>
        </w:tc>
      </w:tr>
      <w:tr w:rsidR="00584FB3" w14:paraId="40CB1B9A" w14:textId="77777777">
        <w:trPr>
          <w:jc w:val="center"/>
          <w:hidden/>
        </w:trPr>
        <w:tc>
          <w:tcPr>
            <w:tcW w:w="0" w:type="auto"/>
            <w:gridSpan w:val="3"/>
            <w:shd w:val="clear" w:color="auto" w:fill="auto"/>
          </w:tcPr>
          <w:p w14:paraId="40CB1B90" w14:textId="77777777" w:rsidR="00584FB3" w:rsidRDefault="00584FB3">
            <w:pPr>
              <w:rPr>
                <w:rFonts w:ascii="宋体"/>
                <w:vanish/>
              </w:rPr>
            </w:pPr>
          </w:p>
        </w:tc>
        <w:tc>
          <w:tcPr>
            <w:tcW w:w="0" w:type="auto"/>
            <w:gridSpan w:val="3"/>
            <w:shd w:val="clear" w:color="auto" w:fill="auto"/>
          </w:tcPr>
          <w:p w14:paraId="40CB1B91" w14:textId="77777777" w:rsidR="00584FB3" w:rsidRDefault="00584FB3">
            <w:pPr>
              <w:rPr>
                <w:rFonts w:ascii="宋体"/>
                <w:vanish/>
              </w:rPr>
            </w:pPr>
          </w:p>
        </w:tc>
        <w:tc>
          <w:tcPr>
            <w:tcW w:w="0" w:type="auto"/>
            <w:gridSpan w:val="3"/>
            <w:shd w:val="clear" w:color="auto" w:fill="auto"/>
          </w:tcPr>
          <w:p w14:paraId="40CB1B92" w14:textId="77777777" w:rsidR="00584FB3" w:rsidRDefault="00584FB3">
            <w:pPr>
              <w:rPr>
                <w:rFonts w:ascii="宋体"/>
                <w:vanish/>
              </w:rPr>
            </w:pPr>
          </w:p>
        </w:tc>
        <w:tc>
          <w:tcPr>
            <w:tcW w:w="0" w:type="auto"/>
            <w:gridSpan w:val="3"/>
            <w:shd w:val="clear" w:color="auto" w:fill="auto"/>
          </w:tcPr>
          <w:p w14:paraId="40CB1B93" w14:textId="77777777" w:rsidR="00584FB3" w:rsidRDefault="00584FB3">
            <w:pPr>
              <w:rPr>
                <w:rFonts w:ascii="宋体"/>
                <w:vanish/>
              </w:rPr>
            </w:pPr>
          </w:p>
        </w:tc>
        <w:tc>
          <w:tcPr>
            <w:tcW w:w="0" w:type="auto"/>
            <w:gridSpan w:val="3"/>
            <w:shd w:val="clear" w:color="auto" w:fill="auto"/>
          </w:tcPr>
          <w:p w14:paraId="40CB1B94" w14:textId="77777777" w:rsidR="00584FB3" w:rsidRDefault="00584FB3">
            <w:pPr>
              <w:rPr>
                <w:rFonts w:ascii="宋体"/>
                <w:vanish/>
              </w:rPr>
            </w:pPr>
          </w:p>
        </w:tc>
        <w:tc>
          <w:tcPr>
            <w:tcW w:w="0" w:type="auto"/>
            <w:gridSpan w:val="3"/>
            <w:shd w:val="clear" w:color="auto" w:fill="auto"/>
          </w:tcPr>
          <w:p w14:paraId="40CB1B95" w14:textId="77777777" w:rsidR="00584FB3" w:rsidRDefault="00584FB3">
            <w:pPr>
              <w:rPr>
                <w:rFonts w:ascii="宋体"/>
                <w:vanish/>
              </w:rPr>
            </w:pPr>
          </w:p>
        </w:tc>
        <w:tc>
          <w:tcPr>
            <w:tcW w:w="0" w:type="auto"/>
            <w:gridSpan w:val="3"/>
            <w:shd w:val="clear" w:color="auto" w:fill="auto"/>
          </w:tcPr>
          <w:p w14:paraId="40CB1B96" w14:textId="77777777" w:rsidR="00584FB3" w:rsidRDefault="00584FB3">
            <w:pPr>
              <w:rPr>
                <w:rFonts w:ascii="宋体"/>
                <w:vanish/>
              </w:rPr>
            </w:pPr>
          </w:p>
        </w:tc>
        <w:tc>
          <w:tcPr>
            <w:tcW w:w="0" w:type="auto"/>
            <w:gridSpan w:val="3"/>
            <w:shd w:val="clear" w:color="auto" w:fill="auto"/>
          </w:tcPr>
          <w:p w14:paraId="40CB1B97" w14:textId="77777777" w:rsidR="00584FB3" w:rsidRDefault="00584FB3">
            <w:pPr>
              <w:rPr>
                <w:rFonts w:ascii="宋体"/>
                <w:vanish/>
              </w:rPr>
            </w:pPr>
          </w:p>
        </w:tc>
        <w:tc>
          <w:tcPr>
            <w:tcW w:w="0" w:type="auto"/>
            <w:gridSpan w:val="3"/>
            <w:shd w:val="clear" w:color="auto" w:fill="auto"/>
          </w:tcPr>
          <w:p w14:paraId="40CB1B98" w14:textId="77777777" w:rsidR="00584FB3" w:rsidRDefault="00584FB3">
            <w:pPr>
              <w:rPr>
                <w:rFonts w:ascii="宋体"/>
                <w:vanish/>
              </w:rPr>
            </w:pPr>
          </w:p>
        </w:tc>
        <w:tc>
          <w:tcPr>
            <w:tcW w:w="0" w:type="auto"/>
            <w:gridSpan w:val="3"/>
            <w:shd w:val="clear" w:color="auto" w:fill="auto"/>
          </w:tcPr>
          <w:p w14:paraId="40CB1B99" w14:textId="77777777" w:rsidR="00584FB3" w:rsidRDefault="00584FB3">
            <w:pPr>
              <w:rPr>
                <w:rFonts w:ascii="宋体"/>
                <w:vanish/>
              </w:rPr>
            </w:pPr>
          </w:p>
        </w:tc>
      </w:tr>
      <w:tr w:rsidR="00584FB3" w14:paraId="40CB1BA5" w14:textId="77777777">
        <w:trPr>
          <w:jc w:val="center"/>
          <w:hidden/>
        </w:trPr>
        <w:tc>
          <w:tcPr>
            <w:tcW w:w="0" w:type="auto"/>
            <w:gridSpan w:val="3"/>
            <w:shd w:val="clear" w:color="auto" w:fill="auto"/>
          </w:tcPr>
          <w:p w14:paraId="40CB1B9B" w14:textId="77777777" w:rsidR="00584FB3" w:rsidRDefault="00584FB3">
            <w:pPr>
              <w:rPr>
                <w:rFonts w:ascii="宋体"/>
                <w:vanish/>
              </w:rPr>
            </w:pPr>
          </w:p>
        </w:tc>
        <w:tc>
          <w:tcPr>
            <w:tcW w:w="0" w:type="auto"/>
            <w:gridSpan w:val="3"/>
            <w:shd w:val="clear" w:color="auto" w:fill="auto"/>
          </w:tcPr>
          <w:p w14:paraId="40CB1B9C" w14:textId="77777777" w:rsidR="00584FB3" w:rsidRDefault="00584FB3">
            <w:pPr>
              <w:rPr>
                <w:rFonts w:ascii="宋体"/>
                <w:vanish/>
              </w:rPr>
            </w:pPr>
          </w:p>
        </w:tc>
        <w:tc>
          <w:tcPr>
            <w:tcW w:w="0" w:type="auto"/>
            <w:gridSpan w:val="3"/>
            <w:shd w:val="clear" w:color="auto" w:fill="auto"/>
          </w:tcPr>
          <w:p w14:paraId="40CB1B9D" w14:textId="77777777" w:rsidR="00584FB3" w:rsidRDefault="00584FB3">
            <w:pPr>
              <w:rPr>
                <w:rFonts w:ascii="宋体"/>
                <w:vanish/>
              </w:rPr>
            </w:pPr>
          </w:p>
        </w:tc>
        <w:tc>
          <w:tcPr>
            <w:tcW w:w="0" w:type="auto"/>
            <w:gridSpan w:val="3"/>
            <w:shd w:val="clear" w:color="auto" w:fill="auto"/>
          </w:tcPr>
          <w:p w14:paraId="40CB1B9E" w14:textId="77777777" w:rsidR="00584FB3" w:rsidRDefault="00584FB3">
            <w:pPr>
              <w:rPr>
                <w:rFonts w:ascii="宋体"/>
                <w:vanish/>
              </w:rPr>
            </w:pPr>
          </w:p>
        </w:tc>
        <w:tc>
          <w:tcPr>
            <w:tcW w:w="0" w:type="auto"/>
            <w:gridSpan w:val="3"/>
            <w:shd w:val="clear" w:color="auto" w:fill="auto"/>
          </w:tcPr>
          <w:p w14:paraId="40CB1B9F" w14:textId="77777777" w:rsidR="00584FB3" w:rsidRDefault="00584FB3">
            <w:pPr>
              <w:rPr>
                <w:rFonts w:ascii="宋体"/>
                <w:vanish/>
              </w:rPr>
            </w:pPr>
          </w:p>
        </w:tc>
        <w:tc>
          <w:tcPr>
            <w:tcW w:w="0" w:type="auto"/>
            <w:gridSpan w:val="3"/>
            <w:shd w:val="clear" w:color="auto" w:fill="auto"/>
          </w:tcPr>
          <w:p w14:paraId="40CB1BA0" w14:textId="77777777" w:rsidR="00584FB3" w:rsidRDefault="00584FB3">
            <w:pPr>
              <w:rPr>
                <w:rFonts w:ascii="宋体"/>
                <w:vanish/>
              </w:rPr>
            </w:pPr>
          </w:p>
        </w:tc>
        <w:tc>
          <w:tcPr>
            <w:tcW w:w="0" w:type="auto"/>
            <w:gridSpan w:val="3"/>
            <w:shd w:val="clear" w:color="auto" w:fill="auto"/>
          </w:tcPr>
          <w:p w14:paraId="40CB1BA1" w14:textId="77777777" w:rsidR="00584FB3" w:rsidRDefault="00584FB3">
            <w:pPr>
              <w:rPr>
                <w:rFonts w:ascii="宋体"/>
                <w:vanish/>
              </w:rPr>
            </w:pPr>
          </w:p>
        </w:tc>
        <w:tc>
          <w:tcPr>
            <w:tcW w:w="0" w:type="auto"/>
            <w:gridSpan w:val="3"/>
            <w:shd w:val="clear" w:color="auto" w:fill="auto"/>
          </w:tcPr>
          <w:p w14:paraId="40CB1BA2" w14:textId="77777777" w:rsidR="00584FB3" w:rsidRDefault="00584FB3">
            <w:pPr>
              <w:rPr>
                <w:rFonts w:ascii="宋体"/>
                <w:vanish/>
              </w:rPr>
            </w:pPr>
          </w:p>
        </w:tc>
        <w:tc>
          <w:tcPr>
            <w:tcW w:w="0" w:type="auto"/>
            <w:gridSpan w:val="3"/>
            <w:shd w:val="clear" w:color="auto" w:fill="auto"/>
          </w:tcPr>
          <w:p w14:paraId="40CB1BA3" w14:textId="77777777" w:rsidR="00584FB3" w:rsidRDefault="00584FB3">
            <w:pPr>
              <w:rPr>
                <w:rFonts w:ascii="宋体"/>
                <w:vanish/>
              </w:rPr>
            </w:pPr>
          </w:p>
        </w:tc>
        <w:tc>
          <w:tcPr>
            <w:tcW w:w="0" w:type="auto"/>
            <w:gridSpan w:val="3"/>
            <w:shd w:val="clear" w:color="auto" w:fill="auto"/>
          </w:tcPr>
          <w:p w14:paraId="40CB1BA4" w14:textId="77777777" w:rsidR="00584FB3" w:rsidRDefault="00584FB3">
            <w:pPr>
              <w:rPr>
                <w:rFonts w:ascii="宋体"/>
                <w:vanish/>
              </w:rPr>
            </w:pPr>
          </w:p>
        </w:tc>
      </w:tr>
      <w:tr w:rsidR="00584FB3" w14:paraId="40CB1BB0" w14:textId="77777777">
        <w:trPr>
          <w:jc w:val="center"/>
          <w:hidden/>
        </w:trPr>
        <w:tc>
          <w:tcPr>
            <w:tcW w:w="0" w:type="auto"/>
            <w:gridSpan w:val="3"/>
            <w:shd w:val="clear" w:color="auto" w:fill="auto"/>
          </w:tcPr>
          <w:p w14:paraId="40CB1BA6" w14:textId="77777777" w:rsidR="00584FB3" w:rsidRDefault="00584FB3">
            <w:pPr>
              <w:rPr>
                <w:rFonts w:ascii="宋体"/>
                <w:vanish/>
              </w:rPr>
            </w:pPr>
          </w:p>
        </w:tc>
        <w:tc>
          <w:tcPr>
            <w:tcW w:w="0" w:type="auto"/>
            <w:gridSpan w:val="3"/>
            <w:shd w:val="clear" w:color="auto" w:fill="auto"/>
          </w:tcPr>
          <w:p w14:paraId="40CB1BA7" w14:textId="77777777" w:rsidR="00584FB3" w:rsidRDefault="00584FB3">
            <w:pPr>
              <w:rPr>
                <w:rFonts w:ascii="宋体"/>
                <w:vanish/>
              </w:rPr>
            </w:pPr>
          </w:p>
        </w:tc>
        <w:tc>
          <w:tcPr>
            <w:tcW w:w="0" w:type="auto"/>
            <w:gridSpan w:val="3"/>
            <w:shd w:val="clear" w:color="auto" w:fill="auto"/>
          </w:tcPr>
          <w:p w14:paraId="40CB1BA8" w14:textId="77777777" w:rsidR="00584FB3" w:rsidRDefault="00584FB3">
            <w:pPr>
              <w:rPr>
                <w:rFonts w:ascii="宋体"/>
                <w:vanish/>
              </w:rPr>
            </w:pPr>
          </w:p>
        </w:tc>
        <w:tc>
          <w:tcPr>
            <w:tcW w:w="0" w:type="auto"/>
            <w:gridSpan w:val="3"/>
            <w:shd w:val="clear" w:color="auto" w:fill="auto"/>
          </w:tcPr>
          <w:p w14:paraId="40CB1BA9" w14:textId="77777777" w:rsidR="00584FB3" w:rsidRDefault="00584FB3">
            <w:pPr>
              <w:rPr>
                <w:rFonts w:ascii="宋体"/>
                <w:vanish/>
              </w:rPr>
            </w:pPr>
          </w:p>
        </w:tc>
        <w:tc>
          <w:tcPr>
            <w:tcW w:w="0" w:type="auto"/>
            <w:gridSpan w:val="3"/>
            <w:shd w:val="clear" w:color="auto" w:fill="auto"/>
          </w:tcPr>
          <w:p w14:paraId="40CB1BAA" w14:textId="77777777" w:rsidR="00584FB3" w:rsidRDefault="00584FB3">
            <w:pPr>
              <w:rPr>
                <w:rFonts w:ascii="宋体"/>
                <w:vanish/>
              </w:rPr>
            </w:pPr>
          </w:p>
        </w:tc>
        <w:tc>
          <w:tcPr>
            <w:tcW w:w="0" w:type="auto"/>
            <w:gridSpan w:val="3"/>
            <w:shd w:val="clear" w:color="auto" w:fill="auto"/>
          </w:tcPr>
          <w:p w14:paraId="40CB1BAB" w14:textId="77777777" w:rsidR="00584FB3" w:rsidRDefault="00584FB3">
            <w:pPr>
              <w:rPr>
                <w:rFonts w:ascii="宋体"/>
                <w:vanish/>
              </w:rPr>
            </w:pPr>
          </w:p>
        </w:tc>
        <w:tc>
          <w:tcPr>
            <w:tcW w:w="0" w:type="auto"/>
            <w:gridSpan w:val="3"/>
            <w:shd w:val="clear" w:color="auto" w:fill="auto"/>
          </w:tcPr>
          <w:p w14:paraId="40CB1BAC" w14:textId="77777777" w:rsidR="00584FB3" w:rsidRDefault="00584FB3">
            <w:pPr>
              <w:rPr>
                <w:rFonts w:ascii="宋体"/>
                <w:vanish/>
              </w:rPr>
            </w:pPr>
          </w:p>
        </w:tc>
        <w:tc>
          <w:tcPr>
            <w:tcW w:w="0" w:type="auto"/>
            <w:gridSpan w:val="3"/>
            <w:shd w:val="clear" w:color="auto" w:fill="auto"/>
          </w:tcPr>
          <w:p w14:paraId="40CB1BAD" w14:textId="77777777" w:rsidR="00584FB3" w:rsidRDefault="00584FB3">
            <w:pPr>
              <w:rPr>
                <w:rFonts w:ascii="宋体"/>
                <w:vanish/>
              </w:rPr>
            </w:pPr>
          </w:p>
        </w:tc>
        <w:tc>
          <w:tcPr>
            <w:tcW w:w="0" w:type="auto"/>
            <w:gridSpan w:val="3"/>
            <w:shd w:val="clear" w:color="auto" w:fill="auto"/>
          </w:tcPr>
          <w:p w14:paraId="40CB1BAE" w14:textId="77777777" w:rsidR="00584FB3" w:rsidRDefault="00584FB3">
            <w:pPr>
              <w:rPr>
                <w:rFonts w:ascii="宋体"/>
                <w:vanish/>
              </w:rPr>
            </w:pPr>
          </w:p>
        </w:tc>
        <w:tc>
          <w:tcPr>
            <w:tcW w:w="0" w:type="auto"/>
            <w:gridSpan w:val="3"/>
            <w:shd w:val="clear" w:color="auto" w:fill="auto"/>
          </w:tcPr>
          <w:p w14:paraId="40CB1BAF" w14:textId="77777777" w:rsidR="00584FB3" w:rsidRDefault="00584FB3">
            <w:pPr>
              <w:rPr>
                <w:rFonts w:ascii="宋体"/>
                <w:vanish/>
              </w:rPr>
            </w:pPr>
          </w:p>
        </w:tc>
      </w:tr>
      <w:tr w:rsidR="00584FB3" w14:paraId="40CB1BBB" w14:textId="77777777">
        <w:trPr>
          <w:jc w:val="center"/>
          <w:hidden/>
        </w:trPr>
        <w:tc>
          <w:tcPr>
            <w:tcW w:w="0" w:type="auto"/>
            <w:gridSpan w:val="3"/>
            <w:shd w:val="clear" w:color="auto" w:fill="auto"/>
          </w:tcPr>
          <w:p w14:paraId="40CB1BB1" w14:textId="77777777" w:rsidR="00584FB3" w:rsidRDefault="00584FB3">
            <w:pPr>
              <w:rPr>
                <w:rFonts w:ascii="宋体"/>
                <w:vanish/>
              </w:rPr>
            </w:pPr>
          </w:p>
        </w:tc>
        <w:tc>
          <w:tcPr>
            <w:tcW w:w="0" w:type="auto"/>
            <w:gridSpan w:val="3"/>
            <w:shd w:val="clear" w:color="auto" w:fill="auto"/>
          </w:tcPr>
          <w:p w14:paraId="40CB1BB2" w14:textId="77777777" w:rsidR="00584FB3" w:rsidRDefault="00584FB3">
            <w:pPr>
              <w:rPr>
                <w:rFonts w:ascii="宋体"/>
                <w:vanish/>
              </w:rPr>
            </w:pPr>
          </w:p>
        </w:tc>
        <w:tc>
          <w:tcPr>
            <w:tcW w:w="0" w:type="auto"/>
            <w:gridSpan w:val="3"/>
            <w:shd w:val="clear" w:color="auto" w:fill="auto"/>
          </w:tcPr>
          <w:p w14:paraId="40CB1BB3" w14:textId="77777777" w:rsidR="00584FB3" w:rsidRDefault="00584FB3">
            <w:pPr>
              <w:rPr>
                <w:rFonts w:ascii="宋体"/>
                <w:vanish/>
              </w:rPr>
            </w:pPr>
          </w:p>
        </w:tc>
        <w:tc>
          <w:tcPr>
            <w:tcW w:w="0" w:type="auto"/>
            <w:gridSpan w:val="3"/>
            <w:shd w:val="clear" w:color="auto" w:fill="auto"/>
          </w:tcPr>
          <w:p w14:paraId="40CB1BB4" w14:textId="77777777" w:rsidR="00584FB3" w:rsidRDefault="00584FB3">
            <w:pPr>
              <w:rPr>
                <w:rFonts w:ascii="宋体"/>
                <w:vanish/>
              </w:rPr>
            </w:pPr>
          </w:p>
        </w:tc>
        <w:tc>
          <w:tcPr>
            <w:tcW w:w="0" w:type="auto"/>
            <w:gridSpan w:val="3"/>
            <w:shd w:val="clear" w:color="auto" w:fill="auto"/>
          </w:tcPr>
          <w:p w14:paraId="40CB1BB5" w14:textId="77777777" w:rsidR="00584FB3" w:rsidRDefault="00584FB3">
            <w:pPr>
              <w:rPr>
                <w:rFonts w:ascii="宋体"/>
                <w:vanish/>
              </w:rPr>
            </w:pPr>
          </w:p>
        </w:tc>
        <w:tc>
          <w:tcPr>
            <w:tcW w:w="0" w:type="auto"/>
            <w:gridSpan w:val="3"/>
            <w:shd w:val="clear" w:color="auto" w:fill="auto"/>
          </w:tcPr>
          <w:p w14:paraId="40CB1BB6" w14:textId="77777777" w:rsidR="00584FB3" w:rsidRDefault="00584FB3">
            <w:pPr>
              <w:rPr>
                <w:rFonts w:ascii="宋体"/>
                <w:vanish/>
              </w:rPr>
            </w:pPr>
          </w:p>
        </w:tc>
        <w:tc>
          <w:tcPr>
            <w:tcW w:w="0" w:type="auto"/>
            <w:gridSpan w:val="3"/>
            <w:shd w:val="clear" w:color="auto" w:fill="auto"/>
          </w:tcPr>
          <w:p w14:paraId="40CB1BB7" w14:textId="77777777" w:rsidR="00584FB3" w:rsidRDefault="00584FB3">
            <w:pPr>
              <w:rPr>
                <w:rFonts w:ascii="宋体"/>
                <w:vanish/>
              </w:rPr>
            </w:pPr>
          </w:p>
        </w:tc>
        <w:tc>
          <w:tcPr>
            <w:tcW w:w="0" w:type="auto"/>
            <w:gridSpan w:val="3"/>
            <w:shd w:val="clear" w:color="auto" w:fill="auto"/>
          </w:tcPr>
          <w:p w14:paraId="40CB1BB8" w14:textId="77777777" w:rsidR="00584FB3" w:rsidRDefault="00584FB3">
            <w:pPr>
              <w:rPr>
                <w:rFonts w:ascii="宋体"/>
                <w:vanish/>
              </w:rPr>
            </w:pPr>
          </w:p>
        </w:tc>
        <w:tc>
          <w:tcPr>
            <w:tcW w:w="0" w:type="auto"/>
            <w:gridSpan w:val="3"/>
            <w:shd w:val="clear" w:color="auto" w:fill="auto"/>
          </w:tcPr>
          <w:p w14:paraId="40CB1BB9" w14:textId="77777777" w:rsidR="00584FB3" w:rsidRDefault="00584FB3">
            <w:pPr>
              <w:rPr>
                <w:rFonts w:ascii="宋体"/>
                <w:vanish/>
              </w:rPr>
            </w:pPr>
          </w:p>
        </w:tc>
        <w:tc>
          <w:tcPr>
            <w:tcW w:w="0" w:type="auto"/>
            <w:gridSpan w:val="3"/>
            <w:shd w:val="clear" w:color="auto" w:fill="auto"/>
          </w:tcPr>
          <w:p w14:paraId="40CB1BBA" w14:textId="77777777" w:rsidR="00584FB3" w:rsidRDefault="00584FB3">
            <w:pPr>
              <w:rPr>
                <w:rFonts w:ascii="宋体"/>
                <w:vanish/>
              </w:rPr>
            </w:pPr>
          </w:p>
        </w:tc>
      </w:tr>
      <w:tr w:rsidR="00584FB3" w14:paraId="40CB1BC6" w14:textId="77777777">
        <w:trPr>
          <w:jc w:val="center"/>
          <w:hidden/>
        </w:trPr>
        <w:tc>
          <w:tcPr>
            <w:tcW w:w="0" w:type="auto"/>
            <w:gridSpan w:val="3"/>
            <w:shd w:val="clear" w:color="auto" w:fill="auto"/>
          </w:tcPr>
          <w:p w14:paraId="40CB1BBC" w14:textId="77777777" w:rsidR="00584FB3" w:rsidRDefault="00584FB3">
            <w:pPr>
              <w:rPr>
                <w:rFonts w:ascii="宋体"/>
                <w:vanish/>
              </w:rPr>
            </w:pPr>
          </w:p>
        </w:tc>
        <w:tc>
          <w:tcPr>
            <w:tcW w:w="0" w:type="auto"/>
            <w:gridSpan w:val="3"/>
            <w:shd w:val="clear" w:color="auto" w:fill="auto"/>
          </w:tcPr>
          <w:p w14:paraId="40CB1BBD" w14:textId="77777777" w:rsidR="00584FB3" w:rsidRDefault="00584FB3">
            <w:pPr>
              <w:rPr>
                <w:rFonts w:ascii="宋体"/>
                <w:vanish/>
              </w:rPr>
            </w:pPr>
          </w:p>
        </w:tc>
        <w:tc>
          <w:tcPr>
            <w:tcW w:w="0" w:type="auto"/>
            <w:gridSpan w:val="3"/>
            <w:shd w:val="clear" w:color="auto" w:fill="auto"/>
          </w:tcPr>
          <w:p w14:paraId="40CB1BBE" w14:textId="77777777" w:rsidR="00584FB3" w:rsidRDefault="00584FB3">
            <w:pPr>
              <w:rPr>
                <w:rFonts w:ascii="宋体"/>
                <w:vanish/>
              </w:rPr>
            </w:pPr>
          </w:p>
        </w:tc>
        <w:tc>
          <w:tcPr>
            <w:tcW w:w="0" w:type="auto"/>
            <w:gridSpan w:val="3"/>
            <w:shd w:val="clear" w:color="auto" w:fill="auto"/>
          </w:tcPr>
          <w:p w14:paraId="40CB1BBF" w14:textId="77777777" w:rsidR="00584FB3" w:rsidRDefault="00584FB3">
            <w:pPr>
              <w:rPr>
                <w:rFonts w:ascii="宋体"/>
                <w:vanish/>
              </w:rPr>
            </w:pPr>
          </w:p>
        </w:tc>
        <w:tc>
          <w:tcPr>
            <w:tcW w:w="0" w:type="auto"/>
            <w:gridSpan w:val="3"/>
            <w:shd w:val="clear" w:color="auto" w:fill="auto"/>
          </w:tcPr>
          <w:p w14:paraId="40CB1BC0" w14:textId="77777777" w:rsidR="00584FB3" w:rsidRDefault="00584FB3">
            <w:pPr>
              <w:rPr>
                <w:rFonts w:ascii="宋体"/>
                <w:vanish/>
              </w:rPr>
            </w:pPr>
          </w:p>
        </w:tc>
        <w:tc>
          <w:tcPr>
            <w:tcW w:w="0" w:type="auto"/>
            <w:gridSpan w:val="3"/>
            <w:shd w:val="clear" w:color="auto" w:fill="auto"/>
          </w:tcPr>
          <w:p w14:paraId="40CB1BC1" w14:textId="77777777" w:rsidR="00584FB3" w:rsidRDefault="00584FB3">
            <w:pPr>
              <w:rPr>
                <w:rFonts w:ascii="宋体"/>
                <w:vanish/>
              </w:rPr>
            </w:pPr>
          </w:p>
        </w:tc>
        <w:tc>
          <w:tcPr>
            <w:tcW w:w="0" w:type="auto"/>
            <w:gridSpan w:val="3"/>
            <w:shd w:val="clear" w:color="auto" w:fill="auto"/>
          </w:tcPr>
          <w:p w14:paraId="40CB1BC2" w14:textId="77777777" w:rsidR="00584FB3" w:rsidRDefault="00584FB3">
            <w:pPr>
              <w:rPr>
                <w:rFonts w:ascii="宋体"/>
                <w:vanish/>
              </w:rPr>
            </w:pPr>
          </w:p>
        </w:tc>
        <w:tc>
          <w:tcPr>
            <w:tcW w:w="0" w:type="auto"/>
            <w:gridSpan w:val="3"/>
            <w:shd w:val="clear" w:color="auto" w:fill="auto"/>
          </w:tcPr>
          <w:p w14:paraId="40CB1BC3" w14:textId="77777777" w:rsidR="00584FB3" w:rsidRDefault="00584FB3">
            <w:pPr>
              <w:rPr>
                <w:rFonts w:ascii="宋体"/>
                <w:vanish/>
              </w:rPr>
            </w:pPr>
          </w:p>
        </w:tc>
        <w:tc>
          <w:tcPr>
            <w:tcW w:w="0" w:type="auto"/>
            <w:gridSpan w:val="3"/>
            <w:shd w:val="clear" w:color="auto" w:fill="auto"/>
          </w:tcPr>
          <w:p w14:paraId="40CB1BC4" w14:textId="77777777" w:rsidR="00584FB3" w:rsidRDefault="00584FB3">
            <w:pPr>
              <w:rPr>
                <w:rFonts w:ascii="宋体"/>
                <w:vanish/>
              </w:rPr>
            </w:pPr>
          </w:p>
        </w:tc>
        <w:tc>
          <w:tcPr>
            <w:tcW w:w="0" w:type="auto"/>
            <w:gridSpan w:val="3"/>
            <w:shd w:val="clear" w:color="auto" w:fill="auto"/>
          </w:tcPr>
          <w:p w14:paraId="40CB1BC5" w14:textId="77777777" w:rsidR="00584FB3" w:rsidRDefault="00584FB3">
            <w:pPr>
              <w:rPr>
                <w:rFonts w:ascii="宋体"/>
                <w:vanish/>
              </w:rPr>
            </w:pPr>
          </w:p>
        </w:tc>
      </w:tr>
      <w:tr w:rsidR="00584FB3" w14:paraId="40CB1BD1" w14:textId="77777777">
        <w:trPr>
          <w:jc w:val="center"/>
          <w:hidden/>
        </w:trPr>
        <w:tc>
          <w:tcPr>
            <w:tcW w:w="0" w:type="auto"/>
            <w:gridSpan w:val="3"/>
            <w:shd w:val="clear" w:color="auto" w:fill="auto"/>
          </w:tcPr>
          <w:p w14:paraId="40CB1BC7" w14:textId="77777777" w:rsidR="00584FB3" w:rsidRDefault="00584FB3">
            <w:pPr>
              <w:rPr>
                <w:rFonts w:ascii="宋体"/>
                <w:vanish/>
              </w:rPr>
            </w:pPr>
          </w:p>
        </w:tc>
        <w:tc>
          <w:tcPr>
            <w:tcW w:w="0" w:type="auto"/>
            <w:gridSpan w:val="3"/>
            <w:shd w:val="clear" w:color="auto" w:fill="auto"/>
          </w:tcPr>
          <w:p w14:paraId="40CB1BC8" w14:textId="77777777" w:rsidR="00584FB3" w:rsidRDefault="00584FB3">
            <w:pPr>
              <w:rPr>
                <w:rFonts w:ascii="宋体"/>
                <w:vanish/>
              </w:rPr>
            </w:pPr>
          </w:p>
        </w:tc>
        <w:tc>
          <w:tcPr>
            <w:tcW w:w="0" w:type="auto"/>
            <w:gridSpan w:val="3"/>
            <w:shd w:val="clear" w:color="auto" w:fill="auto"/>
          </w:tcPr>
          <w:p w14:paraId="40CB1BC9" w14:textId="77777777" w:rsidR="00584FB3" w:rsidRDefault="00584FB3">
            <w:pPr>
              <w:rPr>
                <w:rFonts w:ascii="宋体"/>
                <w:vanish/>
              </w:rPr>
            </w:pPr>
          </w:p>
        </w:tc>
        <w:tc>
          <w:tcPr>
            <w:tcW w:w="0" w:type="auto"/>
            <w:gridSpan w:val="3"/>
            <w:shd w:val="clear" w:color="auto" w:fill="auto"/>
          </w:tcPr>
          <w:p w14:paraId="40CB1BCA" w14:textId="77777777" w:rsidR="00584FB3" w:rsidRDefault="00584FB3">
            <w:pPr>
              <w:rPr>
                <w:rFonts w:ascii="宋体"/>
                <w:vanish/>
              </w:rPr>
            </w:pPr>
          </w:p>
        </w:tc>
        <w:tc>
          <w:tcPr>
            <w:tcW w:w="0" w:type="auto"/>
            <w:gridSpan w:val="3"/>
            <w:shd w:val="clear" w:color="auto" w:fill="auto"/>
          </w:tcPr>
          <w:p w14:paraId="40CB1BCB" w14:textId="77777777" w:rsidR="00584FB3" w:rsidRDefault="00584FB3">
            <w:pPr>
              <w:rPr>
                <w:rFonts w:ascii="宋体"/>
                <w:vanish/>
              </w:rPr>
            </w:pPr>
          </w:p>
        </w:tc>
        <w:tc>
          <w:tcPr>
            <w:tcW w:w="0" w:type="auto"/>
            <w:gridSpan w:val="3"/>
            <w:shd w:val="clear" w:color="auto" w:fill="auto"/>
          </w:tcPr>
          <w:p w14:paraId="40CB1BCC" w14:textId="77777777" w:rsidR="00584FB3" w:rsidRDefault="00584FB3">
            <w:pPr>
              <w:rPr>
                <w:rFonts w:ascii="宋体"/>
                <w:vanish/>
              </w:rPr>
            </w:pPr>
          </w:p>
        </w:tc>
        <w:tc>
          <w:tcPr>
            <w:tcW w:w="0" w:type="auto"/>
            <w:gridSpan w:val="3"/>
            <w:shd w:val="clear" w:color="auto" w:fill="auto"/>
          </w:tcPr>
          <w:p w14:paraId="40CB1BCD" w14:textId="77777777" w:rsidR="00584FB3" w:rsidRDefault="00584FB3">
            <w:pPr>
              <w:rPr>
                <w:rFonts w:ascii="宋体"/>
                <w:vanish/>
              </w:rPr>
            </w:pPr>
          </w:p>
        </w:tc>
        <w:tc>
          <w:tcPr>
            <w:tcW w:w="0" w:type="auto"/>
            <w:gridSpan w:val="3"/>
            <w:shd w:val="clear" w:color="auto" w:fill="auto"/>
          </w:tcPr>
          <w:p w14:paraId="40CB1BCE" w14:textId="77777777" w:rsidR="00584FB3" w:rsidRDefault="00584FB3">
            <w:pPr>
              <w:rPr>
                <w:rFonts w:ascii="宋体"/>
                <w:vanish/>
              </w:rPr>
            </w:pPr>
          </w:p>
        </w:tc>
        <w:tc>
          <w:tcPr>
            <w:tcW w:w="0" w:type="auto"/>
            <w:gridSpan w:val="3"/>
            <w:shd w:val="clear" w:color="auto" w:fill="auto"/>
          </w:tcPr>
          <w:p w14:paraId="40CB1BCF" w14:textId="77777777" w:rsidR="00584FB3" w:rsidRDefault="00584FB3">
            <w:pPr>
              <w:rPr>
                <w:rFonts w:ascii="宋体"/>
                <w:vanish/>
              </w:rPr>
            </w:pPr>
          </w:p>
        </w:tc>
        <w:tc>
          <w:tcPr>
            <w:tcW w:w="0" w:type="auto"/>
            <w:gridSpan w:val="3"/>
            <w:shd w:val="clear" w:color="auto" w:fill="auto"/>
          </w:tcPr>
          <w:p w14:paraId="40CB1BD0" w14:textId="77777777" w:rsidR="00584FB3" w:rsidRDefault="00584FB3">
            <w:pPr>
              <w:rPr>
                <w:rFonts w:ascii="宋体"/>
                <w:vanish/>
              </w:rPr>
            </w:pPr>
          </w:p>
        </w:tc>
      </w:tr>
      <w:tr w:rsidR="00584FB3" w14:paraId="40CB1BDC" w14:textId="77777777">
        <w:trPr>
          <w:jc w:val="center"/>
          <w:hidden/>
        </w:trPr>
        <w:tc>
          <w:tcPr>
            <w:tcW w:w="0" w:type="auto"/>
            <w:gridSpan w:val="3"/>
            <w:shd w:val="clear" w:color="auto" w:fill="auto"/>
          </w:tcPr>
          <w:p w14:paraId="40CB1BD2" w14:textId="77777777" w:rsidR="00584FB3" w:rsidRDefault="00584FB3">
            <w:pPr>
              <w:rPr>
                <w:rFonts w:ascii="宋体"/>
                <w:vanish/>
              </w:rPr>
            </w:pPr>
          </w:p>
        </w:tc>
        <w:tc>
          <w:tcPr>
            <w:tcW w:w="0" w:type="auto"/>
            <w:gridSpan w:val="3"/>
            <w:shd w:val="clear" w:color="auto" w:fill="auto"/>
          </w:tcPr>
          <w:p w14:paraId="40CB1BD3" w14:textId="77777777" w:rsidR="00584FB3" w:rsidRDefault="00584FB3">
            <w:pPr>
              <w:rPr>
                <w:rFonts w:ascii="宋体"/>
                <w:vanish/>
              </w:rPr>
            </w:pPr>
          </w:p>
        </w:tc>
        <w:tc>
          <w:tcPr>
            <w:tcW w:w="0" w:type="auto"/>
            <w:gridSpan w:val="3"/>
            <w:shd w:val="clear" w:color="auto" w:fill="auto"/>
          </w:tcPr>
          <w:p w14:paraId="40CB1BD4" w14:textId="77777777" w:rsidR="00584FB3" w:rsidRDefault="00584FB3">
            <w:pPr>
              <w:rPr>
                <w:rFonts w:ascii="宋体"/>
                <w:vanish/>
              </w:rPr>
            </w:pPr>
          </w:p>
        </w:tc>
        <w:tc>
          <w:tcPr>
            <w:tcW w:w="0" w:type="auto"/>
            <w:gridSpan w:val="3"/>
            <w:shd w:val="clear" w:color="auto" w:fill="auto"/>
          </w:tcPr>
          <w:p w14:paraId="40CB1BD5" w14:textId="77777777" w:rsidR="00584FB3" w:rsidRDefault="00584FB3">
            <w:pPr>
              <w:rPr>
                <w:rFonts w:ascii="宋体"/>
                <w:vanish/>
              </w:rPr>
            </w:pPr>
          </w:p>
        </w:tc>
        <w:tc>
          <w:tcPr>
            <w:tcW w:w="0" w:type="auto"/>
            <w:gridSpan w:val="3"/>
            <w:shd w:val="clear" w:color="auto" w:fill="auto"/>
          </w:tcPr>
          <w:p w14:paraId="40CB1BD6" w14:textId="77777777" w:rsidR="00584FB3" w:rsidRDefault="00584FB3">
            <w:pPr>
              <w:rPr>
                <w:rFonts w:ascii="宋体"/>
                <w:vanish/>
              </w:rPr>
            </w:pPr>
          </w:p>
        </w:tc>
        <w:tc>
          <w:tcPr>
            <w:tcW w:w="0" w:type="auto"/>
            <w:gridSpan w:val="3"/>
            <w:shd w:val="clear" w:color="auto" w:fill="auto"/>
          </w:tcPr>
          <w:p w14:paraId="40CB1BD7" w14:textId="77777777" w:rsidR="00584FB3" w:rsidRDefault="00584FB3">
            <w:pPr>
              <w:rPr>
                <w:rFonts w:ascii="宋体"/>
                <w:vanish/>
              </w:rPr>
            </w:pPr>
          </w:p>
        </w:tc>
        <w:tc>
          <w:tcPr>
            <w:tcW w:w="0" w:type="auto"/>
            <w:gridSpan w:val="3"/>
            <w:shd w:val="clear" w:color="auto" w:fill="auto"/>
          </w:tcPr>
          <w:p w14:paraId="40CB1BD8" w14:textId="77777777" w:rsidR="00584FB3" w:rsidRDefault="00584FB3">
            <w:pPr>
              <w:rPr>
                <w:rFonts w:ascii="宋体"/>
                <w:vanish/>
              </w:rPr>
            </w:pPr>
          </w:p>
        </w:tc>
        <w:tc>
          <w:tcPr>
            <w:tcW w:w="0" w:type="auto"/>
            <w:gridSpan w:val="3"/>
            <w:shd w:val="clear" w:color="auto" w:fill="auto"/>
          </w:tcPr>
          <w:p w14:paraId="40CB1BD9" w14:textId="77777777" w:rsidR="00584FB3" w:rsidRDefault="00584FB3">
            <w:pPr>
              <w:rPr>
                <w:rFonts w:ascii="宋体"/>
                <w:vanish/>
              </w:rPr>
            </w:pPr>
          </w:p>
        </w:tc>
        <w:tc>
          <w:tcPr>
            <w:tcW w:w="0" w:type="auto"/>
            <w:gridSpan w:val="3"/>
            <w:shd w:val="clear" w:color="auto" w:fill="auto"/>
          </w:tcPr>
          <w:p w14:paraId="40CB1BDA" w14:textId="77777777" w:rsidR="00584FB3" w:rsidRDefault="00584FB3">
            <w:pPr>
              <w:rPr>
                <w:rFonts w:ascii="宋体"/>
                <w:vanish/>
              </w:rPr>
            </w:pPr>
          </w:p>
        </w:tc>
        <w:tc>
          <w:tcPr>
            <w:tcW w:w="0" w:type="auto"/>
            <w:gridSpan w:val="3"/>
            <w:shd w:val="clear" w:color="auto" w:fill="auto"/>
          </w:tcPr>
          <w:p w14:paraId="40CB1BDB" w14:textId="77777777" w:rsidR="00584FB3" w:rsidRDefault="00584FB3">
            <w:pPr>
              <w:rPr>
                <w:rFonts w:ascii="宋体"/>
                <w:vanish/>
              </w:rPr>
            </w:pPr>
          </w:p>
        </w:tc>
      </w:tr>
      <w:tr w:rsidR="00584FB3" w14:paraId="40CB1BE7" w14:textId="77777777">
        <w:trPr>
          <w:jc w:val="center"/>
          <w:hidden/>
        </w:trPr>
        <w:tc>
          <w:tcPr>
            <w:tcW w:w="0" w:type="auto"/>
            <w:gridSpan w:val="3"/>
            <w:shd w:val="clear" w:color="auto" w:fill="auto"/>
          </w:tcPr>
          <w:p w14:paraId="40CB1BDD" w14:textId="77777777" w:rsidR="00584FB3" w:rsidRDefault="00584FB3">
            <w:pPr>
              <w:rPr>
                <w:rFonts w:ascii="宋体"/>
                <w:vanish/>
              </w:rPr>
            </w:pPr>
          </w:p>
        </w:tc>
        <w:tc>
          <w:tcPr>
            <w:tcW w:w="0" w:type="auto"/>
            <w:gridSpan w:val="3"/>
            <w:shd w:val="clear" w:color="auto" w:fill="auto"/>
          </w:tcPr>
          <w:p w14:paraId="40CB1BDE" w14:textId="77777777" w:rsidR="00584FB3" w:rsidRDefault="00584FB3">
            <w:pPr>
              <w:rPr>
                <w:rFonts w:ascii="宋体"/>
                <w:vanish/>
              </w:rPr>
            </w:pPr>
          </w:p>
        </w:tc>
        <w:tc>
          <w:tcPr>
            <w:tcW w:w="0" w:type="auto"/>
            <w:gridSpan w:val="3"/>
            <w:shd w:val="clear" w:color="auto" w:fill="auto"/>
          </w:tcPr>
          <w:p w14:paraId="40CB1BDF" w14:textId="77777777" w:rsidR="00584FB3" w:rsidRDefault="00584FB3">
            <w:pPr>
              <w:rPr>
                <w:rFonts w:ascii="宋体"/>
                <w:vanish/>
              </w:rPr>
            </w:pPr>
          </w:p>
        </w:tc>
        <w:tc>
          <w:tcPr>
            <w:tcW w:w="0" w:type="auto"/>
            <w:gridSpan w:val="3"/>
            <w:shd w:val="clear" w:color="auto" w:fill="auto"/>
          </w:tcPr>
          <w:p w14:paraId="40CB1BE0" w14:textId="77777777" w:rsidR="00584FB3" w:rsidRDefault="00584FB3">
            <w:pPr>
              <w:rPr>
                <w:rFonts w:ascii="宋体"/>
                <w:vanish/>
              </w:rPr>
            </w:pPr>
          </w:p>
        </w:tc>
        <w:tc>
          <w:tcPr>
            <w:tcW w:w="0" w:type="auto"/>
            <w:gridSpan w:val="3"/>
            <w:shd w:val="clear" w:color="auto" w:fill="auto"/>
          </w:tcPr>
          <w:p w14:paraId="40CB1BE1" w14:textId="77777777" w:rsidR="00584FB3" w:rsidRDefault="00584FB3">
            <w:pPr>
              <w:rPr>
                <w:rFonts w:ascii="宋体"/>
                <w:vanish/>
              </w:rPr>
            </w:pPr>
          </w:p>
        </w:tc>
        <w:tc>
          <w:tcPr>
            <w:tcW w:w="0" w:type="auto"/>
            <w:gridSpan w:val="3"/>
            <w:shd w:val="clear" w:color="auto" w:fill="auto"/>
          </w:tcPr>
          <w:p w14:paraId="40CB1BE2" w14:textId="77777777" w:rsidR="00584FB3" w:rsidRDefault="00584FB3">
            <w:pPr>
              <w:rPr>
                <w:rFonts w:ascii="宋体"/>
                <w:vanish/>
              </w:rPr>
            </w:pPr>
          </w:p>
        </w:tc>
        <w:tc>
          <w:tcPr>
            <w:tcW w:w="0" w:type="auto"/>
            <w:gridSpan w:val="3"/>
            <w:shd w:val="clear" w:color="auto" w:fill="auto"/>
          </w:tcPr>
          <w:p w14:paraId="40CB1BE3" w14:textId="77777777" w:rsidR="00584FB3" w:rsidRDefault="00584FB3">
            <w:pPr>
              <w:rPr>
                <w:rFonts w:ascii="宋体"/>
                <w:vanish/>
              </w:rPr>
            </w:pPr>
          </w:p>
        </w:tc>
        <w:tc>
          <w:tcPr>
            <w:tcW w:w="0" w:type="auto"/>
            <w:gridSpan w:val="3"/>
            <w:shd w:val="clear" w:color="auto" w:fill="auto"/>
          </w:tcPr>
          <w:p w14:paraId="40CB1BE4" w14:textId="77777777" w:rsidR="00584FB3" w:rsidRDefault="00584FB3">
            <w:pPr>
              <w:rPr>
                <w:rFonts w:ascii="宋体"/>
                <w:vanish/>
              </w:rPr>
            </w:pPr>
          </w:p>
        </w:tc>
        <w:tc>
          <w:tcPr>
            <w:tcW w:w="0" w:type="auto"/>
            <w:gridSpan w:val="3"/>
            <w:shd w:val="clear" w:color="auto" w:fill="auto"/>
          </w:tcPr>
          <w:p w14:paraId="40CB1BE5" w14:textId="77777777" w:rsidR="00584FB3" w:rsidRDefault="00584FB3">
            <w:pPr>
              <w:rPr>
                <w:rFonts w:ascii="宋体"/>
                <w:vanish/>
              </w:rPr>
            </w:pPr>
          </w:p>
        </w:tc>
        <w:tc>
          <w:tcPr>
            <w:tcW w:w="0" w:type="auto"/>
            <w:gridSpan w:val="3"/>
            <w:shd w:val="clear" w:color="auto" w:fill="auto"/>
          </w:tcPr>
          <w:p w14:paraId="40CB1BE6" w14:textId="77777777" w:rsidR="00584FB3" w:rsidRDefault="00584FB3">
            <w:pPr>
              <w:rPr>
                <w:rFonts w:ascii="宋体"/>
                <w:vanish/>
              </w:rPr>
            </w:pPr>
          </w:p>
        </w:tc>
      </w:tr>
      <w:tr w:rsidR="00584FB3" w14:paraId="40CB1BF2" w14:textId="77777777">
        <w:trPr>
          <w:jc w:val="center"/>
          <w:hidden/>
        </w:trPr>
        <w:tc>
          <w:tcPr>
            <w:tcW w:w="0" w:type="auto"/>
            <w:gridSpan w:val="3"/>
            <w:shd w:val="clear" w:color="auto" w:fill="auto"/>
          </w:tcPr>
          <w:p w14:paraId="40CB1BE8" w14:textId="77777777" w:rsidR="00584FB3" w:rsidRDefault="00584FB3">
            <w:pPr>
              <w:rPr>
                <w:rFonts w:ascii="宋体"/>
                <w:vanish/>
              </w:rPr>
            </w:pPr>
          </w:p>
        </w:tc>
        <w:tc>
          <w:tcPr>
            <w:tcW w:w="0" w:type="auto"/>
            <w:gridSpan w:val="3"/>
            <w:shd w:val="clear" w:color="auto" w:fill="auto"/>
          </w:tcPr>
          <w:p w14:paraId="40CB1BE9" w14:textId="77777777" w:rsidR="00584FB3" w:rsidRDefault="00584FB3">
            <w:pPr>
              <w:rPr>
                <w:rFonts w:ascii="宋体"/>
                <w:vanish/>
              </w:rPr>
            </w:pPr>
          </w:p>
        </w:tc>
        <w:tc>
          <w:tcPr>
            <w:tcW w:w="0" w:type="auto"/>
            <w:gridSpan w:val="3"/>
            <w:shd w:val="clear" w:color="auto" w:fill="auto"/>
          </w:tcPr>
          <w:p w14:paraId="40CB1BEA" w14:textId="77777777" w:rsidR="00584FB3" w:rsidRDefault="00584FB3">
            <w:pPr>
              <w:rPr>
                <w:rFonts w:ascii="宋体"/>
                <w:vanish/>
              </w:rPr>
            </w:pPr>
          </w:p>
        </w:tc>
        <w:tc>
          <w:tcPr>
            <w:tcW w:w="0" w:type="auto"/>
            <w:gridSpan w:val="3"/>
            <w:shd w:val="clear" w:color="auto" w:fill="auto"/>
          </w:tcPr>
          <w:p w14:paraId="40CB1BEB" w14:textId="77777777" w:rsidR="00584FB3" w:rsidRDefault="00584FB3">
            <w:pPr>
              <w:rPr>
                <w:rFonts w:ascii="宋体"/>
                <w:vanish/>
              </w:rPr>
            </w:pPr>
          </w:p>
        </w:tc>
        <w:tc>
          <w:tcPr>
            <w:tcW w:w="0" w:type="auto"/>
            <w:gridSpan w:val="3"/>
            <w:shd w:val="clear" w:color="auto" w:fill="auto"/>
          </w:tcPr>
          <w:p w14:paraId="40CB1BEC" w14:textId="77777777" w:rsidR="00584FB3" w:rsidRDefault="00584FB3">
            <w:pPr>
              <w:rPr>
                <w:rFonts w:ascii="宋体"/>
                <w:vanish/>
              </w:rPr>
            </w:pPr>
          </w:p>
        </w:tc>
        <w:tc>
          <w:tcPr>
            <w:tcW w:w="0" w:type="auto"/>
            <w:gridSpan w:val="3"/>
            <w:shd w:val="clear" w:color="auto" w:fill="auto"/>
          </w:tcPr>
          <w:p w14:paraId="40CB1BED" w14:textId="77777777" w:rsidR="00584FB3" w:rsidRDefault="00584FB3">
            <w:pPr>
              <w:rPr>
                <w:rFonts w:ascii="宋体"/>
                <w:vanish/>
              </w:rPr>
            </w:pPr>
          </w:p>
        </w:tc>
        <w:tc>
          <w:tcPr>
            <w:tcW w:w="0" w:type="auto"/>
            <w:gridSpan w:val="3"/>
            <w:shd w:val="clear" w:color="auto" w:fill="auto"/>
          </w:tcPr>
          <w:p w14:paraId="40CB1BEE" w14:textId="77777777" w:rsidR="00584FB3" w:rsidRDefault="00584FB3">
            <w:pPr>
              <w:rPr>
                <w:rFonts w:ascii="宋体"/>
                <w:vanish/>
              </w:rPr>
            </w:pPr>
          </w:p>
        </w:tc>
        <w:tc>
          <w:tcPr>
            <w:tcW w:w="0" w:type="auto"/>
            <w:gridSpan w:val="3"/>
            <w:shd w:val="clear" w:color="auto" w:fill="auto"/>
          </w:tcPr>
          <w:p w14:paraId="40CB1BEF" w14:textId="77777777" w:rsidR="00584FB3" w:rsidRDefault="00584FB3">
            <w:pPr>
              <w:rPr>
                <w:rFonts w:ascii="宋体"/>
                <w:vanish/>
              </w:rPr>
            </w:pPr>
          </w:p>
        </w:tc>
        <w:tc>
          <w:tcPr>
            <w:tcW w:w="0" w:type="auto"/>
            <w:gridSpan w:val="3"/>
            <w:shd w:val="clear" w:color="auto" w:fill="auto"/>
          </w:tcPr>
          <w:p w14:paraId="40CB1BF0" w14:textId="77777777" w:rsidR="00584FB3" w:rsidRDefault="00584FB3">
            <w:pPr>
              <w:rPr>
                <w:rFonts w:ascii="宋体"/>
                <w:vanish/>
              </w:rPr>
            </w:pPr>
          </w:p>
        </w:tc>
        <w:tc>
          <w:tcPr>
            <w:tcW w:w="0" w:type="auto"/>
            <w:gridSpan w:val="3"/>
            <w:shd w:val="clear" w:color="auto" w:fill="auto"/>
          </w:tcPr>
          <w:p w14:paraId="40CB1BF1" w14:textId="77777777" w:rsidR="00584FB3" w:rsidRDefault="00584FB3">
            <w:pPr>
              <w:rPr>
                <w:rFonts w:ascii="宋体"/>
                <w:vanish/>
              </w:rPr>
            </w:pPr>
          </w:p>
        </w:tc>
      </w:tr>
      <w:tr w:rsidR="00584FB3" w14:paraId="40CB1BFD" w14:textId="77777777">
        <w:trPr>
          <w:jc w:val="center"/>
          <w:hidden/>
        </w:trPr>
        <w:tc>
          <w:tcPr>
            <w:tcW w:w="0" w:type="auto"/>
            <w:gridSpan w:val="3"/>
            <w:shd w:val="clear" w:color="auto" w:fill="auto"/>
          </w:tcPr>
          <w:p w14:paraId="40CB1BF3" w14:textId="77777777" w:rsidR="00584FB3" w:rsidRDefault="00584FB3">
            <w:pPr>
              <w:rPr>
                <w:rFonts w:ascii="宋体"/>
                <w:vanish/>
              </w:rPr>
            </w:pPr>
          </w:p>
        </w:tc>
        <w:tc>
          <w:tcPr>
            <w:tcW w:w="0" w:type="auto"/>
            <w:gridSpan w:val="3"/>
            <w:shd w:val="clear" w:color="auto" w:fill="auto"/>
          </w:tcPr>
          <w:p w14:paraId="40CB1BF4" w14:textId="77777777" w:rsidR="00584FB3" w:rsidRDefault="00584FB3">
            <w:pPr>
              <w:rPr>
                <w:rFonts w:ascii="宋体"/>
                <w:vanish/>
              </w:rPr>
            </w:pPr>
          </w:p>
        </w:tc>
        <w:tc>
          <w:tcPr>
            <w:tcW w:w="0" w:type="auto"/>
            <w:gridSpan w:val="3"/>
            <w:shd w:val="clear" w:color="auto" w:fill="auto"/>
          </w:tcPr>
          <w:p w14:paraId="40CB1BF5" w14:textId="77777777" w:rsidR="00584FB3" w:rsidRDefault="00584FB3">
            <w:pPr>
              <w:rPr>
                <w:rFonts w:ascii="宋体"/>
                <w:vanish/>
              </w:rPr>
            </w:pPr>
          </w:p>
        </w:tc>
        <w:tc>
          <w:tcPr>
            <w:tcW w:w="0" w:type="auto"/>
            <w:gridSpan w:val="3"/>
            <w:shd w:val="clear" w:color="auto" w:fill="auto"/>
          </w:tcPr>
          <w:p w14:paraId="40CB1BF6" w14:textId="77777777" w:rsidR="00584FB3" w:rsidRDefault="00584FB3">
            <w:pPr>
              <w:rPr>
                <w:rFonts w:ascii="宋体"/>
                <w:vanish/>
              </w:rPr>
            </w:pPr>
          </w:p>
        </w:tc>
        <w:tc>
          <w:tcPr>
            <w:tcW w:w="0" w:type="auto"/>
            <w:gridSpan w:val="3"/>
            <w:shd w:val="clear" w:color="auto" w:fill="auto"/>
          </w:tcPr>
          <w:p w14:paraId="40CB1BF7" w14:textId="77777777" w:rsidR="00584FB3" w:rsidRDefault="00584FB3">
            <w:pPr>
              <w:rPr>
                <w:rFonts w:ascii="宋体"/>
                <w:vanish/>
              </w:rPr>
            </w:pPr>
          </w:p>
        </w:tc>
        <w:tc>
          <w:tcPr>
            <w:tcW w:w="0" w:type="auto"/>
            <w:gridSpan w:val="3"/>
            <w:shd w:val="clear" w:color="auto" w:fill="auto"/>
          </w:tcPr>
          <w:p w14:paraId="40CB1BF8" w14:textId="77777777" w:rsidR="00584FB3" w:rsidRDefault="00584FB3">
            <w:pPr>
              <w:rPr>
                <w:rFonts w:ascii="宋体"/>
                <w:vanish/>
              </w:rPr>
            </w:pPr>
          </w:p>
        </w:tc>
        <w:tc>
          <w:tcPr>
            <w:tcW w:w="0" w:type="auto"/>
            <w:gridSpan w:val="3"/>
            <w:shd w:val="clear" w:color="auto" w:fill="auto"/>
          </w:tcPr>
          <w:p w14:paraId="40CB1BF9" w14:textId="77777777" w:rsidR="00584FB3" w:rsidRDefault="00584FB3">
            <w:pPr>
              <w:rPr>
                <w:rFonts w:ascii="宋体"/>
                <w:vanish/>
              </w:rPr>
            </w:pPr>
          </w:p>
        </w:tc>
        <w:tc>
          <w:tcPr>
            <w:tcW w:w="0" w:type="auto"/>
            <w:gridSpan w:val="3"/>
            <w:shd w:val="clear" w:color="auto" w:fill="auto"/>
          </w:tcPr>
          <w:p w14:paraId="40CB1BFA" w14:textId="77777777" w:rsidR="00584FB3" w:rsidRDefault="00584FB3">
            <w:pPr>
              <w:rPr>
                <w:rFonts w:ascii="宋体"/>
                <w:vanish/>
              </w:rPr>
            </w:pPr>
          </w:p>
        </w:tc>
        <w:tc>
          <w:tcPr>
            <w:tcW w:w="0" w:type="auto"/>
            <w:gridSpan w:val="3"/>
            <w:shd w:val="clear" w:color="auto" w:fill="auto"/>
          </w:tcPr>
          <w:p w14:paraId="40CB1BFB" w14:textId="77777777" w:rsidR="00584FB3" w:rsidRDefault="00584FB3">
            <w:pPr>
              <w:rPr>
                <w:rFonts w:ascii="宋体"/>
                <w:vanish/>
              </w:rPr>
            </w:pPr>
          </w:p>
        </w:tc>
        <w:tc>
          <w:tcPr>
            <w:tcW w:w="0" w:type="auto"/>
            <w:gridSpan w:val="3"/>
            <w:shd w:val="clear" w:color="auto" w:fill="auto"/>
          </w:tcPr>
          <w:p w14:paraId="40CB1BFC" w14:textId="77777777" w:rsidR="00584FB3" w:rsidRDefault="00584FB3">
            <w:pPr>
              <w:rPr>
                <w:rFonts w:ascii="宋体"/>
                <w:vanish/>
              </w:rPr>
            </w:pPr>
          </w:p>
        </w:tc>
      </w:tr>
      <w:tr w:rsidR="00584FB3" w14:paraId="40CB1C08" w14:textId="77777777">
        <w:trPr>
          <w:jc w:val="center"/>
          <w:hidden/>
        </w:trPr>
        <w:tc>
          <w:tcPr>
            <w:tcW w:w="0" w:type="auto"/>
            <w:gridSpan w:val="3"/>
            <w:shd w:val="clear" w:color="auto" w:fill="auto"/>
          </w:tcPr>
          <w:p w14:paraId="40CB1BFE" w14:textId="77777777" w:rsidR="00584FB3" w:rsidRDefault="00584FB3">
            <w:pPr>
              <w:rPr>
                <w:rFonts w:ascii="宋体"/>
                <w:vanish/>
              </w:rPr>
            </w:pPr>
          </w:p>
        </w:tc>
        <w:tc>
          <w:tcPr>
            <w:tcW w:w="0" w:type="auto"/>
            <w:gridSpan w:val="3"/>
            <w:shd w:val="clear" w:color="auto" w:fill="auto"/>
          </w:tcPr>
          <w:p w14:paraId="40CB1BFF" w14:textId="77777777" w:rsidR="00584FB3" w:rsidRDefault="00584FB3">
            <w:pPr>
              <w:rPr>
                <w:rFonts w:ascii="宋体"/>
                <w:vanish/>
              </w:rPr>
            </w:pPr>
          </w:p>
        </w:tc>
        <w:tc>
          <w:tcPr>
            <w:tcW w:w="0" w:type="auto"/>
            <w:gridSpan w:val="3"/>
            <w:shd w:val="clear" w:color="auto" w:fill="auto"/>
          </w:tcPr>
          <w:p w14:paraId="40CB1C00" w14:textId="77777777" w:rsidR="00584FB3" w:rsidRDefault="00584FB3">
            <w:pPr>
              <w:rPr>
                <w:rFonts w:ascii="宋体"/>
                <w:vanish/>
              </w:rPr>
            </w:pPr>
          </w:p>
        </w:tc>
        <w:tc>
          <w:tcPr>
            <w:tcW w:w="0" w:type="auto"/>
            <w:gridSpan w:val="3"/>
            <w:shd w:val="clear" w:color="auto" w:fill="auto"/>
          </w:tcPr>
          <w:p w14:paraId="40CB1C01" w14:textId="77777777" w:rsidR="00584FB3" w:rsidRDefault="00584FB3">
            <w:pPr>
              <w:rPr>
                <w:rFonts w:ascii="宋体"/>
                <w:vanish/>
              </w:rPr>
            </w:pPr>
          </w:p>
        </w:tc>
        <w:tc>
          <w:tcPr>
            <w:tcW w:w="0" w:type="auto"/>
            <w:gridSpan w:val="3"/>
            <w:shd w:val="clear" w:color="auto" w:fill="auto"/>
          </w:tcPr>
          <w:p w14:paraId="40CB1C02" w14:textId="77777777" w:rsidR="00584FB3" w:rsidRDefault="00584FB3">
            <w:pPr>
              <w:rPr>
                <w:rFonts w:ascii="宋体"/>
                <w:vanish/>
              </w:rPr>
            </w:pPr>
          </w:p>
        </w:tc>
        <w:tc>
          <w:tcPr>
            <w:tcW w:w="0" w:type="auto"/>
            <w:gridSpan w:val="3"/>
            <w:shd w:val="clear" w:color="auto" w:fill="auto"/>
          </w:tcPr>
          <w:p w14:paraId="40CB1C03" w14:textId="77777777" w:rsidR="00584FB3" w:rsidRDefault="00584FB3">
            <w:pPr>
              <w:rPr>
                <w:rFonts w:ascii="宋体"/>
                <w:vanish/>
              </w:rPr>
            </w:pPr>
          </w:p>
        </w:tc>
        <w:tc>
          <w:tcPr>
            <w:tcW w:w="0" w:type="auto"/>
            <w:gridSpan w:val="3"/>
            <w:shd w:val="clear" w:color="auto" w:fill="auto"/>
          </w:tcPr>
          <w:p w14:paraId="40CB1C04" w14:textId="77777777" w:rsidR="00584FB3" w:rsidRDefault="00584FB3">
            <w:pPr>
              <w:rPr>
                <w:rFonts w:ascii="宋体"/>
                <w:vanish/>
              </w:rPr>
            </w:pPr>
          </w:p>
        </w:tc>
        <w:tc>
          <w:tcPr>
            <w:tcW w:w="0" w:type="auto"/>
            <w:gridSpan w:val="3"/>
            <w:shd w:val="clear" w:color="auto" w:fill="auto"/>
          </w:tcPr>
          <w:p w14:paraId="40CB1C05" w14:textId="77777777" w:rsidR="00584FB3" w:rsidRDefault="00584FB3">
            <w:pPr>
              <w:rPr>
                <w:rFonts w:ascii="宋体"/>
                <w:vanish/>
              </w:rPr>
            </w:pPr>
          </w:p>
        </w:tc>
        <w:tc>
          <w:tcPr>
            <w:tcW w:w="0" w:type="auto"/>
            <w:gridSpan w:val="3"/>
            <w:shd w:val="clear" w:color="auto" w:fill="auto"/>
          </w:tcPr>
          <w:p w14:paraId="40CB1C06" w14:textId="77777777" w:rsidR="00584FB3" w:rsidRDefault="00584FB3">
            <w:pPr>
              <w:rPr>
                <w:rFonts w:ascii="宋体"/>
                <w:vanish/>
              </w:rPr>
            </w:pPr>
          </w:p>
        </w:tc>
        <w:tc>
          <w:tcPr>
            <w:tcW w:w="0" w:type="auto"/>
            <w:gridSpan w:val="3"/>
            <w:shd w:val="clear" w:color="auto" w:fill="auto"/>
          </w:tcPr>
          <w:p w14:paraId="40CB1C07" w14:textId="77777777" w:rsidR="00584FB3" w:rsidRDefault="00584FB3">
            <w:pPr>
              <w:rPr>
                <w:rFonts w:ascii="宋体"/>
                <w:vanish/>
              </w:rPr>
            </w:pPr>
          </w:p>
        </w:tc>
      </w:tr>
      <w:tr w:rsidR="00584FB3" w14:paraId="40CB1C13" w14:textId="77777777">
        <w:trPr>
          <w:jc w:val="center"/>
          <w:hidden/>
        </w:trPr>
        <w:tc>
          <w:tcPr>
            <w:tcW w:w="0" w:type="auto"/>
            <w:gridSpan w:val="3"/>
            <w:shd w:val="clear" w:color="auto" w:fill="auto"/>
          </w:tcPr>
          <w:p w14:paraId="40CB1C09" w14:textId="77777777" w:rsidR="00584FB3" w:rsidRDefault="00584FB3">
            <w:pPr>
              <w:rPr>
                <w:rFonts w:ascii="宋体"/>
                <w:vanish/>
              </w:rPr>
            </w:pPr>
          </w:p>
        </w:tc>
        <w:tc>
          <w:tcPr>
            <w:tcW w:w="0" w:type="auto"/>
            <w:gridSpan w:val="3"/>
            <w:shd w:val="clear" w:color="auto" w:fill="auto"/>
          </w:tcPr>
          <w:p w14:paraId="40CB1C0A" w14:textId="77777777" w:rsidR="00584FB3" w:rsidRDefault="00584FB3">
            <w:pPr>
              <w:rPr>
                <w:rFonts w:ascii="宋体"/>
                <w:vanish/>
              </w:rPr>
            </w:pPr>
          </w:p>
        </w:tc>
        <w:tc>
          <w:tcPr>
            <w:tcW w:w="0" w:type="auto"/>
            <w:gridSpan w:val="3"/>
            <w:shd w:val="clear" w:color="auto" w:fill="auto"/>
          </w:tcPr>
          <w:p w14:paraId="40CB1C0B" w14:textId="77777777" w:rsidR="00584FB3" w:rsidRDefault="00584FB3">
            <w:pPr>
              <w:rPr>
                <w:rFonts w:ascii="宋体"/>
                <w:vanish/>
              </w:rPr>
            </w:pPr>
          </w:p>
        </w:tc>
        <w:tc>
          <w:tcPr>
            <w:tcW w:w="0" w:type="auto"/>
            <w:gridSpan w:val="3"/>
            <w:shd w:val="clear" w:color="auto" w:fill="auto"/>
          </w:tcPr>
          <w:p w14:paraId="40CB1C0C" w14:textId="77777777" w:rsidR="00584FB3" w:rsidRDefault="00584FB3">
            <w:pPr>
              <w:rPr>
                <w:rFonts w:ascii="宋体"/>
                <w:vanish/>
              </w:rPr>
            </w:pPr>
          </w:p>
        </w:tc>
        <w:tc>
          <w:tcPr>
            <w:tcW w:w="0" w:type="auto"/>
            <w:gridSpan w:val="3"/>
            <w:shd w:val="clear" w:color="auto" w:fill="auto"/>
          </w:tcPr>
          <w:p w14:paraId="40CB1C0D" w14:textId="77777777" w:rsidR="00584FB3" w:rsidRDefault="00584FB3">
            <w:pPr>
              <w:rPr>
                <w:rFonts w:ascii="宋体"/>
                <w:vanish/>
              </w:rPr>
            </w:pPr>
          </w:p>
        </w:tc>
        <w:tc>
          <w:tcPr>
            <w:tcW w:w="0" w:type="auto"/>
            <w:gridSpan w:val="3"/>
            <w:shd w:val="clear" w:color="auto" w:fill="auto"/>
          </w:tcPr>
          <w:p w14:paraId="40CB1C0E" w14:textId="77777777" w:rsidR="00584FB3" w:rsidRDefault="00584FB3">
            <w:pPr>
              <w:rPr>
                <w:rFonts w:ascii="宋体"/>
                <w:vanish/>
              </w:rPr>
            </w:pPr>
          </w:p>
        </w:tc>
        <w:tc>
          <w:tcPr>
            <w:tcW w:w="0" w:type="auto"/>
            <w:gridSpan w:val="3"/>
            <w:shd w:val="clear" w:color="auto" w:fill="auto"/>
          </w:tcPr>
          <w:p w14:paraId="40CB1C0F" w14:textId="77777777" w:rsidR="00584FB3" w:rsidRDefault="00584FB3">
            <w:pPr>
              <w:rPr>
                <w:rFonts w:ascii="宋体"/>
                <w:vanish/>
              </w:rPr>
            </w:pPr>
          </w:p>
        </w:tc>
        <w:tc>
          <w:tcPr>
            <w:tcW w:w="0" w:type="auto"/>
            <w:gridSpan w:val="3"/>
            <w:shd w:val="clear" w:color="auto" w:fill="auto"/>
          </w:tcPr>
          <w:p w14:paraId="40CB1C10" w14:textId="77777777" w:rsidR="00584FB3" w:rsidRDefault="00584FB3">
            <w:pPr>
              <w:rPr>
                <w:rFonts w:ascii="宋体"/>
                <w:vanish/>
              </w:rPr>
            </w:pPr>
          </w:p>
        </w:tc>
        <w:tc>
          <w:tcPr>
            <w:tcW w:w="0" w:type="auto"/>
            <w:gridSpan w:val="3"/>
            <w:shd w:val="clear" w:color="auto" w:fill="auto"/>
          </w:tcPr>
          <w:p w14:paraId="40CB1C11" w14:textId="77777777" w:rsidR="00584FB3" w:rsidRDefault="00584FB3">
            <w:pPr>
              <w:rPr>
                <w:rFonts w:ascii="宋体"/>
                <w:vanish/>
              </w:rPr>
            </w:pPr>
          </w:p>
        </w:tc>
        <w:tc>
          <w:tcPr>
            <w:tcW w:w="0" w:type="auto"/>
            <w:gridSpan w:val="3"/>
            <w:shd w:val="clear" w:color="auto" w:fill="auto"/>
          </w:tcPr>
          <w:p w14:paraId="40CB1C12" w14:textId="77777777" w:rsidR="00584FB3" w:rsidRDefault="00584FB3">
            <w:pPr>
              <w:rPr>
                <w:rFonts w:ascii="宋体"/>
                <w:vanish/>
              </w:rPr>
            </w:pPr>
          </w:p>
        </w:tc>
      </w:tr>
      <w:tr w:rsidR="00584FB3" w14:paraId="40CB1C1E" w14:textId="77777777">
        <w:trPr>
          <w:jc w:val="center"/>
          <w:hidden/>
        </w:trPr>
        <w:tc>
          <w:tcPr>
            <w:tcW w:w="0" w:type="auto"/>
            <w:gridSpan w:val="3"/>
            <w:shd w:val="clear" w:color="auto" w:fill="auto"/>
          </w:tcPr>
          <w:p w14:paraId="40CB1C14" w14:textId="77777777" w:rsidR="00584FB3" w:rsidRDefault="00584FB3">
            <w:pPr>
              <w:rPr>
                <w:rFonts w:ascii="宋体"/>
                <w:vanish/>
              </w:rPr>
            </w:pPr>
          </w:p>
        </w:tc>
        <w:tc>
          <w:tcPr>
            <w:tcW w:w="0" w:type="auto"/>
            <w:gridSpan w:val="3"/>
            <w:shd w:val="clear" w:color="auto" w:fill="auto"/>
          </w:tcPr>
          <w:p w14:paraId="40CB1C15" w14:textId="77777777" w:rsidR="00584FB3" w:rsidRDefault="00584FB3">
            <w:pPr>
              <w:rPr>
                <w:rFonts w:ascii="宋体"/>
                <w:vanish/>
              </w:rPr>
            </w:pPr>
          </w:p>
        </w:tc>
        <w:tc>
          <w:tcPr>
            <w:tcW w:w="0" w:type="auto"/>
            <w:gridSpan w:val="3"/>
            <w:shd w:val="clear" w:color="auto" w:fill="auto"/>
          </w:tcPr>
          <w:p w14:paraId="40CB1C16" w14:textId="77777777" w:rsidR="00584FB3" w:rsidRDefault="00584FB3">
            <w:pPr>
              <w:rPr>
                <w:rFonts w:ascii="宋体"/>
                <w:vanish/>
              </w:rPr>
            </w:pPr>
          </w:p>
        </w:tc>
        <w:tc>
          <w:tcPr>
            <w:tcW w:w="0" w:type="auto"/>
            <w:gridSpan w:val="3"/>
            <w:shd w:val="clear" w:color="auto" w:fill="auto"/>
          </w:tcPr>
          <w:p w14:paraId="40CB1C17" w14:textId="77777777" w:rsidR="00584FB3" w:rsidRDefault="00584FB3">
            <w:pPr>
              <w:rPr>
                <w:rFonts w:ascii="宋体"/>
                <w:vanish/>
              </w:rPr>
            </w:pPr>
          </w:p>
        </w:tc>
        <w:tc>
          <w:tcPr>
            <w:tcW w:w="0" w:type="auto"/>
            <w:gridSpan w:val="3"/>
            <w:shd w:val="clear" w:color="auto" w:fill="auto"/>
          </w:tcPr>
          <w:p w14:paraId="40CB1C18" w14:textId="77777777" w:rsidR="00584FB3" w:rsidRDefault="00584FB3">
            <w:pPr>
              <w:rPr>
                <w:rFonts w:ascii="宋体"/>
                <w:vanish/>
              </w:rPr>
            </w:pPr>
          </w:p>
        </w:tc>
        <w:tc>
          <w:tcPr>
            <w:tcW w:w="0" w:type="auto"/>
            <w:gridSpan w:val="3"/>
            <w:shd w:val="clear" w:color="auto" w:fill="auto"/>
          </w:tcPr>
          <w:p w14:paraId="40CB1C19" w14:textId="77777777" w:rsidR="00584FB3" w:rsidRDefault="00584FB3">
            <w:pPr>
              <w:rPr>
                <w:rFonts w:ascii="宋体"/>
                <w:vanish/>
              </w:rPr>
            </w:pPr>
          </w:p>
        </w:tc>
        <w:tc>
          <w:tcPr>
            <w:tcW w:w="0" w:type="auto"/>
            <w:gridSpan w:val="3"/>
            <w:shd w:val="clear" w:color="auto" w:fill="auto"/>
          </w:tcPr>
          <w:p w14:paraId="40CB1C1A" w14:textId="77777777" w:rsidR="00584FB3" w:rsidRDefault="00584FB3">
            <w:pPr>
              <w:rPr>
                <w:rFonts w:ascii="宋体"/>
                <w:vanish/>
              </w:rPr>
            </w:pPr>
          </w:p>
        </w:tc>
        <w:tc>
          <w:tcPr>
            <w:tcW w:w="0" w:type="auto"/>
            <w:gridSpan w:val="3"/>
            <w:shd w:val="clear" w:color="auto" w:fill="auto"/>
          </w:tcPr>
          <w:p w14:paraId="40CB1C1B" w14:textId="77777777" w:rsidR="00584FB3" w:rsidRDefault="00584FB3">
            <w:pPr>
              <w:rPr>
                <w:rFonts w:ascii="宋体"/>
                <w:vanish/>
              </w:rPr>
            </w:pPr>
          </w:p>
        </w:tc>
        <w:tc>
          <w:tcPr>
            <w:tcW w:w="0" w:type="auto"/>
            <w:gridSpan w:val="3"/>
            <w:shd w:val="clear" w:color="auto" w:fill="auto"/>
          </w:tcPr>
          <w:p w14:paraId="40CB1C1C" w14:textId="77777777" w:rsidR="00584FB3" w:rsidRDefault="00584FB3">
            <w:pPr>
              <w:rPr>
                <w:rFonts w:ascii="宋体"/>
                <w:vanish/>
              </w:rPr>
            </w:pPr>
          </w:p>
        </w:tc>
        <w:tc>
          <w:tcPr>
            <w:tcW w:w="0" w:type="auto"/>
            <w:gridSpan w:val="3"/>
            <w:shd w:val="clear" w:color="auto" w:fill="auto"/>
          </w:tcPr>
          <w:p w14:paraId="40CB1C1D" w14:textId="77777777" w:rsidR="00584FB3" w:rsidRDefault="00584FB3">
            <w:pPr>
              <w:rPr>
                <w:rFonts w:ascii="宋体"/>
                <w:vanish/>
              </w:rPr>
            </w:pPr>
          </w:p>
        </w:tc>
      </w:tr>
    </w:tbl>
    <w:p w14:paraId="40CB1C1F" w14:textId="77777777" w:rsidR="00584FB3" w:rsidRDefault="00584FB3">
      <w:pPr>
        <w:ind w:hanging="540"/>
      </w:pPr>
    </w:p>
    <w:p w14:paraId="40CB1C20" w14:textId="77777777" w:rsidR="00584FB3" w:rsidRDefault="00786180">
      <w:pPr>
        <w:jc w:val="center"/>
      </w:pPr>
      <w:r>
        <w:rPr>
          <w:rFonts w:ascii="Times New Roman" w:eastAsia="宋体" w:hAnsi="Times New Roman"/>
          <w:color w:val="000000"/>
          <w:sz w:val="20"/>
          <w:szCs w:val="20"/>
        </w:rPr>
        <w:t>25</w:t>
      </w:r>
    </w:p>
    <w:p w14:paraId="40CB1C21" w14:textId="77777777" w:rsidR="00584FB3" w:rsidRDefault="00786180">
      <w:r>
        <w:pict w14:anchorId="40CB2A4E">
          <v:rect id="_x0000_i1049" style="width:415.3pt;height:1.5pt" o:hralign="center" o:hrstd="t" o:hr="t" fillcolor="#a0a0a0" stroked="f"/>
        </w:pict>
      </w:r>
    </w:p>
    <w:p w14:paraId="40CB1C22" w14:textId="77777777" w:rsidR="00584FB3" w:rsidRDefault="00786180">
      <w:hyperlink r:id="rId101" w:anchor="i11706e4b673c41db9f2dcbdb897203bb_7" w:history="1">
        <w:r>
          <w:rPr>
            <w:rStyle w:val="a5"/>
            <w:rFonts w:ascii="Times New Roman" w:eastAsia="宋体" w:hAnsi="Times New Roman"/>
            <w:sz w:val="20"/>
            <w:szCs w:val="20"/>
          </w:rPr>
          <w:t>Table of Contents</w:t>
        </w:r>
      </w:hyperlink>
    </w:p>
    <w:p w14:paraId="40CB1C23" w14:textId="77777777" w:rsidR="00584FB3" w:rsidRDefault="00786180">
      <w:pP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Management’s Discussion and Analysis of Financial Condition and Results of Ope</w:t>
      </w:r>
      <w:r>
        <w:rPr>
          <w:rFonts w:ascii="Times New Roman" w:eastAsia="宋体" w:hAnsi="Times New Roman"/>
          <w:b/>
          <w:bCs/>
          <w:i/>
          <w:iCs/>
          <w:color w:val="00704A"/>
          <w:sz w:val="20"/>
          <w:szCs w:val="20"/>
        </w:rPr>
        <w:t>rations</w:t>
      </w:r>
    </w:p>
    <w:p w14:paraId="40CB1C24" w14:textId="77777777" w:rsidR="00584FB3" w:rsidRDefault="00786180">
      <w:pPr>
        <w:spacing w:before="120"/>
      </w:pPr>
      <w:r>
        <w:rPr>
          <w:rFonts w:ascii="Times New Roman" w:eastAsia="宋体" w:hAnsi="Times New Roman"/>
          <w:b/>
          <w:bCs/>
          <w:i/>
          <w:iCs/>
          <w:color w:val="000000"/>
          <w:sz w:val="20"/>
          <w:szCs w:val="20"/>
        </w:rPr>
        <w:t>CAUTIONARY STATEMENT PURSUANT TO THE PRIVATE SECURITIES LITIGATION REFORM ACT OF 1995</w:t>
      </w:r>
    </w:p>
    <w:p w14:paraId="40CB1C25" w14:textId="77777777" w:rsidR="00584FB3" w:rsidRDefault="00786180">
      <w:pPr>
        <w:spacing w:before="120"/>
      </w:pPr>
      <w:r>
        <w:rPr>
          <w:rFonts w:ascii="Times New Roman" w:eastAsia="宋体" w:hAnsi="Times New Roman"/>
          <w:i/>
          <w:iCs/>
          <w:color w:val="000000"/>
          <w:sz w:val="20"/>
          <w:szCs w:val="20"/>
        </w:rPr>
        <w:t>Certain statements herein are “forward-looking” statements within the meaning of the Private Securities Litigation Reform Act of 1995. Generally, these statements</w:t>
      </w:r>
      <w:r>
        <w:rPr>
          <w:rFonts w:ascii="Times New Roman" w:eastAsia="宋体" w:hAnsi="Times New Roman"/>
          <w:i/>
          <w:iCs/>
          <w:color w:val="000000"/>
          <w:sz w:val="20"/>
          <w:szCs w:val="20"/>
        </w:rPr>
        <w:t xml:space="preserve"> can be identified by the use of words such as “aim,” “anticipate,” “believe,” “continue,” “could,” “estimate,” “expect,” “feel,” “forecast,” “intend,” “may,” “outlook,” “plan,” “potential,” “project,” “seek,” “should,” “will,” “would,” and similar express</w:t>
      </w:r>
      <w:r>
        <w:rPr>
          <w:rFonts w:ascii="Times New Roman" w:eastAsia="宋体" w:hAnsi="Times New Roman"/>
          <w:i/>
          <w:iCs/>
          <w:color w:val="000000"/>
          <w:sz w:val="20"/>
          <w:szCs w:val="20"/>
        </w:rPr>
        <w:t>ions intended to identify forward-looking statements, although not all forward-looking statements contain these identifying words. These statements include statements relating to trends in or expectations relating to the expected effects of our initiatives</w:t>
      </w:r>
      <w:r>
        <w:rPr>
          <w:rFonts w:ascii="Times New Roman" w:eastAsia="宋体" w:hAnsi="Times New Roman"/>
          <w:i/>
          <w:iCs/>
          <w:color w:val="000000"/>
          <w:sz w:val="20"/>
          <w:szCs w:val="20"/>
        </w:rPr>
        <w:t>, strategies and plans, as well as trends in or expectations regarding our financial results and long-term growth model and drivers, the anticipated timing and effects of recovery of our business, the conversion of several market operations to fully licens</w:t>
      </w:r>
      <w:r>
        <w:rPr>
          <w:rFonts w:ascii="Times New Roman" w:eastAsia="宋体" w:hAnsi="Times New Roman"/>
          <w:i/>
          <w:iCs/>
          <w:color w:val="000000"/>
          <w:sz w:val="20"/>
          <w:szCs w:val="20"/>
        </w:rPr>
        <w:t>ed models, our plans for streamlining our operations, including store openings, closures, and changes in store formats and models, expanding our licensing to Nestlé of our consumer packaged goods and Foodservice businesses and its effects on our Channel De</w:t>
      </w:r>
      <w:r>
        <w:rPr>
          <w:rFonts w:ascii="Times New Roman" w:eastAsia="宋体" w:hAnsi="Times New Roman"/>
          <w:i/>
          <w:iCs/>
          <w:color w:val="000000"/>
          <w:sz w:val="20"/>
          <w:szCs w:val="20"/>
        </w:rPr>
        <w:t>velopment segment results, tax rates, business opportunities and expansion, strategic acquisitions, expenses, dividends, share repurchases, commodity costs and our mitigation strategies, liquidity, cash flow from operations, use of cash and cash requiremen</w:t>
      </w:r>
      <w:r>
        <w:rPr>
          <w:rFonts w:ascii="Times New Roman" w:eastAsia="宋体" w:hAnsi="Times New Roman"/>
          <w:i/>
          <w:iCs/>
          <w:color w:val="000000"/>
          <w:sz w:val="20"/>
          <w:szCs w:val="20"/>
        </w:rPr>
        <w:t>ts, investments, borrowing capacity and use of proceeds, repatriation of cash to the U.S., the likelihood of the issuance of additional debt and the applicable interest rate, the impact of the COVID-19 outbreak on our financial results, credits available t</w:t>
      </w:r>
      <w:r>
        <w:rPr>
          <w:rFonts w:ascii="Times New Roman" w:eastAsia="宋体" w:hAnsi="Times New Roman"/>
          <w:i/>
          <w:iCs/>
          <w:color w:val="000000"/>
          <w:sz w:val="20"/>
          <w:szCs w:val="20"/>
        </w:rPr>
        <w:t>o us under the CARES Act and other government credits, the expected effects of new accounting pronouncements and the estimated impact of changes in U.S. tax law, including on tax rates, investments funded by these changes, and potential outcomes and effect</w:t>
      </w:r>
      <w:r>
        <w:rPr>
          <w:rFonts w:ascii="Times New Roman" w:eastAsia="宋体" w:hAnsi="Times New Roman"/>
          <w:i/>
          <w:iCs/>
          <w:color w:val="000000"/>
          <w:sz w:val="20"/>
          <w:szCs w:val="20"/>
        </w:rPr>
        <w:t>s of legal proceedings. Such statements are based on currently available operating, financial and competitive information and are subject to various risks and uncertainties. Actual future results and trends may differ materially depending on a variety of f</w:t>
      </w:r>
      <w:r>
        <w:rPr>
          <w:rFonts w:ascii="Times New Roman" w:eastAsia="宋体" w:hAnsi="Times New Roman"/>
          <w:i/>
          <w:iCs/>
          <w:color w:val="000000"/>
          <w:sz w:val="20"/>
          <w:szCs w:val="20"/>
        </w:rPr>
        <w:t>actors, including, but not limited to: further spread of COVID-19 and related disruptions to our business; regulatory measures or voluntary actions that may be put in place to limit the spread of COVID-19, including restrictions on business operations or s</w:t>
      </w:r>
      <w:r>
        <w:rPr>
          <w:rFonts w:ascii="Times New Roman" w:eastAsia="宋体" w:hAnsi="Times New Roman"/>
          <w:i/>
          <w:iCs/>
          <w:color w:val="000000"/>
          <w:sz w:val="20"/>
          <w:szCs w:val="20"/>
        </w:rPr>
        <w:t>ocial distancing requirements, and the duration and efficacy of such restrictions; the potential for a resurgence of COVID-19 infections in a given geographic region after it has hit its “peak”; fluctuations in U.S. and international economies and currenci</w:t>
      </w:r>
      <w:r>
        <w:rPr>
          <w:rFonts w:ascii="Times New Roman" w:eastAsia="宋体" w:hAnsi="Times New Roman"/>
          <w:i/>
          <w:iCs/>
          <w:color w:val="000000"/>
          <w:sz w:val="20"/>
          <w:szCs w:val="20"/>
        </w:rPr>
        <w:t>es; our ability to preserve, grow and leverage our brands; the ability of our business partners and third-party providers to fulfill their responsibilities and commitments; potential negative effects of incidents involving food or beverage-borne illnesses,</w:t>
      </w:r>
      <w:r>
        <w:rPr>
          <w:rFonts w:ascii="Times New Roman" w:eastAsia="宋体" w:hAnsi="Times New Roman"/>
          <w:i/>
          <w:iCs/>
          <w:color w:val="000000"/>
          <w:sz w:val="20"/>
          <w:szCs w:val="20"/>
        </w:rPr>
        <w:t xml:space="preserve"> tampering, adulteration, contamination or mislabeling; potential negative effects of material breaches of our information technology systems to the extent we experience a material breach; material failures of our information technology systems; costs asso</w:t>
      </w:r>
      <w:r>
        <w:rPr>
          <w:rFonts w:ascii="Times New Roman" w:eastAsia="宋体" w:hAnsi="Times New Roman"/>
          <w:i/>
          <w:iCs/>
          <w:color w:val="000000"/>
          <w:sz w:val="20"/>
          <w:szCs w:val="20"/>
        </w:rPr>
        <w:t>ciated with, and the successful execution of, the Company’s initiatives and plans, including the successful expansion of our Global Coffee Alliance with Nestlé; our ability to obtain financing on acceptable terms; the acceptance of the Company’s products b</w:t>
      </w:r>
      <w:r>
        <w:rPr>
          <w:rFonts w:ascii="Times New Roman" w:eastAsia="宋体" w:hAnsi="Times New Roman"/>
          <w:i/>
          <w:iCs/>
          <w:color w:val="000000"/>
          <w:sz w:val="20"/>
          <w:szCs w:val="20"/>
        </w:rPr>
        <w:t>y our customers, evolving consumer preferences and tastes and changes in consumer spending behavior; changes in the availability and cost of labor; the impact of competition; inherent risks of operating a global business; the prices and availability of cof</w:t>
      </w:r>
      <w:r>
        <w:rPr>
          <w:rFonts w:ascii="Times New Roman" w:eastAsia="宋体" w:hAnsi="Times New Roman"/>
          <w:i/>
          <w:iCs/>
          <w:color w:val="000000"/>
          <w:sz w:val="20"/>
          <w:szCs w:val="20"/>
        </w:rPr>
        <w:t xml:space="preserve">fee, dairy and other raw materials; the effect of legal proceedings; the effects of changes in tax laws and related guidance and regulations that may be implemented and other risks detailed in our filings with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w:t>
      </w:r>
      <w:r>
        <w:rPr>
          <w:rFonts w:ascii="Times New Roman" w:eastAsia="宋体" w:hAnsi="Times New Roman"/>
          <w:i/>
          <w:iCs/>
          <w:color w:val="000000"/>
          <w:sz w:val="20"/>
          <w:szCs w:val="20"/>
        </w:rPr>
        <w:t>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w:t>
      </w:r>
    </w:p>
    <w:p w14:paraId="40CB1C26" w14:textId="77777777" w:rsidR="00584FB3" w:rsidRDefault="00786180">
      <w:pPr>
        <w:spacing w:before="120"/>
      </w:pPr>
      <w:r>
        <w:rPr>
          <w:rFonts w:ascii="Times New Roman" w:eastAsia="宋体" w:hAnsi="Times New Roman"/>
          <w:i/>
          <w:iCs/>
          <w:color w:val="000000"/>
          <w:sz w:val="20"/>
          <w:szCs w:val="20"/>
        </w:rPr>
        <w:t xml:space="preserve">A forward-looking statement is neither a prediction nor a guarantee of future events or circumstances, and those future events or circumstances may not occur. You should not place undue reliance on the forward-looking </w:t>
      </w:r>
      <w:r>
        <w:rPr>
          <w:rFonts w:ascii="Times New Roman" w:eastAsia="宋体" w:hAnsi="Times New Roman"/>
          <w:i/>
          <w:iCs/>
          <w:color w:val="000000"/>
          <w:sz w:val="20"/>
          <w:szCs w:val="20"/>
        </w:rPr>
        <w:t>statements, which speak only as of the date of this report. We are under no obligation to update or alter any forward-looking statements, whether as a result of new information, future events or otherwise.</w:t>
      </w:r>
    </w:p>
    <w:p w14:paraId="40CB1C27" w14:textId="77777777" w:rsidR="00584FB3" w:rsidRDefault="00786180">
      <w:pPr>
        <w:spacing w:before="120"/>
      </w:pPr>
      <w:r>
        <w:rPr>
          <w:rFonts w:ascii="Times New Roman" w:eastAsia="宋体" w:hAnsi="Times New Roman"/>
          <w:color w:val="000000"/>
          <w:sz w:val="20"/>
          <w:szCs w:val="20"/>
        </w:rPr>
        <w:t>This information should be read in conjunction wit</w:t>
      </w:r>
      <w:r>
        <w:rPr>
          <w:rFonts w:ascii="Times New Roman" w:eastAsia="宋体" w:hAnsi="Times New Roman"/>
          <w:color w:val="000000"/>
          <w:sz w:val="20"/>
          <w:szCs w:val="20"/>
        </w:rPr>
        <w:t>h the consolidated financial statements and the notes included in Item 1 of Part I of this 10-Q and the audited consolidated financial statements and notes, and Management’s Discussion and Analysis of Financial Condition and Results of Operations, containe</w:t>
      </w:r>
      <w:r>
        <w:rPr>
          <w:rFonts w:ascii="Times New Roman" w:eastAsia="宋体" w:hAnsi="Times New Roman"/>
          <w:color w:val="000000"/>
          <w:sz w:val="20"/>
          <w:szCs w:val="20"/>
        </w:rPr>
        <w:t>d in the 10-K.</w:t>
      </w:r>
    </w:p>
    <w:p w14:paraId="40CB1C28" w14:textId="77777777" w:rsidR="00584FB3" w:rsidRDefault="00786180">
      <w:pPr>
        <w:spacing w:before="120"/>
      </w:pPr>
      <w:r>
        <w:rPr>
          <w:rFonts w:ascii="Times New Roman" w:eastAsia="宋体" w:hAnsi="Times New Roman"/>
          <w:b/>
          <w:bCs/>
          <w:color w:val="000000"/>
          <w:sz w:val="20"/>
          <w:szCs w:val="20"/>
        </w:rPr>
        <w:t>Introduction and Overview</w:t>
      </w:r>
    </w:p>
    <w:p w14:paraId="40CB1C29" w14:textId="77777777" w:rsidR="00584FB3" w:rsidRDefault="00786180">
      <w:pPr>
        <w:spacing w:before="120"/>
      </w:pPr>
      <w:r>
        <w:rPr>
          <w:rFonts w:ascii="Times New Roman" w:eastAsia="宋体" w:hAnsi="Times New Roman"/>
          <w:color w:val="000000"/>
          <w:sz w:val="20"/>
          <w:szCs w:val="20"/>
        </w:rPr>
        <w:t>Starbucks is the premier coffee roaster and retailer of specialty coffee with operations in 83 markets around the world. As of December 27, 2020, Starbucks had over 32,900 company-operated and licensed stores, an increase of 4% from the prior year. Additio</w:t>
      </w:r>
      <w:r>
        <w:rPr>
          <w:rFonts w:ascii="Times New Roman" w:eastAsia="宋体" w:hAnsi="Times New Roman"/>
          <w:color w:val="000000"/>
          <w:sz w:val="20"/>
          <w:szCs w:val="20"/>
        </w:rPr>
        <w:t xml:space="preserve">nally, we sell a variety of consumer-packaged goods, or CPG, primarily through the Global Coffee Alliance established with Nestlé and other partnerships and joint ventures. Our financial results and long-term growth model will continue to be driven by new </w:t>
      </w:r>
      <w:r>
        <w:rPr>
          <w:rFonts w:ascii="Times New Roman" w:eastAsia="宋体" w:hAnsi="Times New Roman"/>
          <w:color w:val="000000"/>
          <w:sz w:val="20"/>
          <w:szCs w:val="20"/>
        </w:rPr>
        <w:t xml:space="preserve">store openings, comparable store sales and margin management. Comparable store sales represent company-operated stores open for 13 months or longer, and exclude the impact of foreign currency translation. Stores that are temporarily closed or operating at </w:t>
      </w:r>
      <w:r>
        <w:rPr>
          <w:rFonts w:ascii="Times New Roman" w:eastAsia="宋体" w:hAnsi="Times New Roman"/>
          <w:color w:val="000000"/>
          <w:sz w:val="20"/>
          <w:szCs w:val="20"/>
        </w:rPr>
        <w:t>reduced hours due to the COVID-19 outbreak remain in comparable store sales while stores identified for permanent closure have been removed. During the quarter ended December 27, 2020, our global comparable store sales declined 5%, including the negative i</w:t>
      </w:r>
      <w:r>
        <w:rPr>
          <w:rFonts w:ascii="Times New Roman" w:eastAsia="宋体" w:hAnsi="Times New Roman"/>
          <w:color w:val="000000"/>
          <w:sz w:val="20"/>
          <w:szCs w:val="20"/>
        </w:rPr>
        <w:t xml:space="preserve">mpacts of COVID-19. </w:t>
      </w:r>
    </w:p>
    <w:p w14:paraId="40CB1C2A" w14:textId="77777777" w:rsidR="00584FB3" w:rsidRDefault="00786180">
      <w:pPr>
        <w:spacing w:before="120"/>
      </w:pPr>
      <w:r>
        <w:rPr>
          <w:rFonts w:ascii="Times New Roman" w:eastAsia="宋体" w:hAnsi="Times New Roman"/>
          <w:color w:val="000000"/>
          <w:sz w:val="20"/>
          <w:szCs w:val="20"/>
        </w:rPr>
        <w:t xml:space="preserve">We have three reportable operating segments: Americas, International and Channel Development. Non-reportable operating segments and unallocated corporate expenses are reported within Corporate and Other. </w:t>
      </w:r>
    </w:p>
    <w:p w14:paraId="40CB1C2B" w14:textId="77777777" w:rsidR="00584FB3" w:rsidRDefault="00786180">
      <w:pPr>
        <w:jc w:val="center"/>
      </w:pPr>
      <w:r>
        <w:rPr>
          <w:rFonts w:ascii="Times New Roman" w:eastAsia="宋体" w:hAnsi="Times New Roman"/>
          <w:color w:val="000000"/>
          <w:sz w:val="20"/>
          <w:szCs w:val="20"/>
        </w:rPr>
        <w:t>26</w:t>
      </w:r>
    </w:p>
    <w:p w14:paraId="40CB1C2C" w14:textId="77777777" w:rsidR="00584FB3" w:rsidRDefault="00786180">
      <w:r>
        <w:pict w14:anchorId="40CB2A4F">
          <v:rect id="_x0000_i1050" style="width:415.3pt;height:1.5pt" o:hralign="center" o:hrstd="t" o:hr="t" fillcolor="#a0a0a0" stroked="f"/>
        </w:pict>
      </w:r>
    </w:p>
    <w:p w14:paraId="40CB1C2D" w14:textId="77777777" w:rsidR="00584FB3" w:rsidRDefault="00786180">
      <w:hyperlink r:id="rId102" w:anchor="i11706e4b673c41db9f2dcbdb897203bb_7" w:history="1">
        <w:r>
          <w:rPr>
            <w:rStyle w:val="a5"/>
            <w:rFonts w:ascii="Times New Roman" w:eastAsia="宋体" w:hAnsi="Times New Roman"/>
            <w:sz w:val="20"/>
            <w:szCs w:val="20"/>
          </w:rPr>
          <w:t>Table of Contents</w:t>
        </w:r>
      </w:hyperlink>
    </w:p>
    <w:p w14:paraId="40CB1C2E" w14:textId="77777777" w:rsidR="00584FB3" w:rsidRDefault="00786180">
      <w:pPr>
        <w:spacing w:before="120"/>
      </w:pPr>
      <w:r>
        <w:rPr>
          <w:rFonts w:ascii="Times New Roman" w:eastAsia="宋体" w:hAnsi="Times New Roman"/>
          <w:color w:val="000000"/>
          <w:sz w:val="20"/>
          <w:szCs w:val="20"/>
        </w:rPr>
        <w:t>Our fiscal year ends on the Sunday closest to September 30. Our 2021 fiscal year includes 53 weeks, with the 5</w:t>
      </w:r>
      <w:r>
        <w:rPr>
          <w:rFonts w:ascii="Times New Roman" w:eastAsia="宋体" w:hAnsi="Times New Roman"/>
          <w:color w:val="000000"/>
          <w:sz w:val="20"/>
          <w:szCs w:val="20"/>
        </w:rPr>
        <w:t xml:space="preserve">3rd week falling in the fourth fiscal quarter, while fiscal year 2020 included 52 weeks. All references to store counts, including data for new store openings, are reported net of store closures, unless otherwise noted. </w:t>
      </w:r>
    </w:p>
    <w:p w14:paraId="40CB1C2F" w14:textId="77777777" w:rsidR="00584FB3" w:rsidRDefault="00786180">
      <w:pPr>
        <w:spacing w:before="120"/>
      </w:pPr>
      <w:r>
        <w:rPr>
          <w:rFonts w:ascii="Times New Roman" w:eastAsia="宋体" w:hAnsi="Times New Roman"/>
          <w:b/>
          <w:bCs/>
          <w:color w:val="000000"/>
          <w:sz w:val="20"/>
          <w:szCs w:val="20"/>
        </w:rPr>
        <w:t>COVID-19 Update</w:t>
      </w:r>
    </w:p>
    <w:p w14:paraId="40CB1C30" w14:textId="77777777" w:rsidR="00584FB3" w:rsidRDefault="00786180">
      <w:pPr>
        <w:spacing w:before="120"/>
        <w:jc w:val="both"/>
      </w:pPr>
      <w:r>
        <w:rPr>
          <w:rFonts w:ascii="Times New Roman" w:eastAsia="宋体" w:hAnsi="Times New Roman"/>
          <w:color w:val="000000"/>
          <w:sz w:val="20"/>
          <w:szCs w:val="20"/>
        </w:rPr>
        <w:t>Starbucks results f</w:t>
      </w:r>
      <w:r>
        <w:rPr>
          <w:rFonts w:ascii="Times New Roman" w:eastAsia="宋体" w:hAnsi="Times New Roman"/>
          <w:color w:val="000000"/>
          <w:sz w:val="20"/>
          <w:szCs w:val="20"/>
        </w:rPr>
        <w:t xml:space="preserve">or the first quarter of fiscal 2021 reflect continued recovery from the effects of the COVID-19 pandemic. The sequential improvements in our quarterly results demonstrate the resilience of our business model and the strength of our brand. Consolidated net </w:t>
      </w:r>
      <w:r>
        <w:rPr>
          <w:rFonts w:ascii="Times New Roman" w:eastAsia="宋体" w:hAnsi="Times New Roman"/>
          <w:color w:val="000000"/>
          <w:sz w:val="20"/>
          <w:szCs w:val="20"/>
        </w:rPr>
        <w:t>revenues declined 5% to $6.7 billion in first quarter of fiscal 2021 compared to $7.1 billion in the first quarter of fiscal 2020, driven primarily by reduced customer traffic, modified business operations, reduced store operating hours and temporary closu</w:t>
      </w:r>
      <w:r>
        <w:rPr>
          <w:rFonts w:ascii="Times New Roman" w:eastAsia="宋体" w:hAnsi="Times New Roman"/>
          <w:color w:val="000000"/>
          <w:sz w:val="20"/>
          <w:szCs w:val="20"/>
        </w:rPr>
        <w:t>res of our company-operated and licensed stores. As of December 27, 2020, nearly all of our company-operated and licensed stores were re-opened; however, many were operating at less than full capacity.</w:t>
      </w:r>
    </w:p>
    <w:p w14:paraId="40CB1C31" w14:textId="77777777" w:rsidR="00584FB3" w:rsidRDefault="00786180">
      <w:pPr>
        <w:spacing w:before="120"/>
        <w:jc w:val="both"/>
      </w:pPr>
      <w:r>
        <w:rPr>
          <w:rFonts w:ascii="Times New Roman" w:eastAsia="宋体" w:hAnsi="Times New Roman"/>
          <w:color w:val="000000"/>
          <w:sz w:val="20"/>
          <w:szCs w:val="20"/>
        </w:rPr>
        <w:t>For the Americas segment, comparable store sales decli</w:t>
      </w:r>
      <w:r>
        <w:rPr>
          <w:rFonts w:ascii="Times New Roman" w:eastAsia="宋体" w:hAnsi="Times New Roman"/>
          <w:color w:val="000000"/>
          <w:sz w:val="20"/>
          <w:szCs w:val="20"/>
        </w:rPr>
        <w:t>ned by 6% for the first quarter of fiscal 2021, primarily due to reduced customer traffic, temporary store closures and modified store operations. As of December 27, 2020, approximately 40% of our U.S. company-operated stores offered limited seating. Our b</w:t>
      </w:r>
      <w:r>
        <w:rPr>
          <w:rFonts w:ascii="Times New Roman" w:eastAsia="宋体" w:hAnsi="Times New Roman"/>
          <w:color w:val="000000"/>
          <w:sz w:val="20"/>
          <w:szCs w:val="20"/>
        </w:rPr>
        <w:t>usiness in the U.S. continued its steady recovery, with a 5% decline in comparable store sales for the first quarter of fiscal 2021 compared to declines of 9% and 40% for the fourth and third fiscal quarters of 2020, respectively. We continued to incur inc</w:t>
      </w:r>
      <w:r>
        <w:rPr>
          <w:rFonts w:ascii="Times New Roman" w:eastAsia="宋体" w:hAnsi="Times New Roman"/>
          <w:color w:val="000000"/>
          <w:sz w:val="20"/>
          <w:szCs w:val="20"/>
        </w:rPr>
        <w:t>remental costs attributable to COVID-19, including catastrophe pay programs for company-operated store partners (employees). These were partially offset by qualified tax credits provided by the Coronavirus Aid, Relief and Economic Security Act (“CARES Act”</w:t>
      </w:r>
      <w:r>
        <w:rPr>
          <w:rFonts w:ascii="Times New Roman" w:eastAsia="宋体" w:hAnsi="Times New Roman"/>
          <w:color w:val="000000"/>
          <w:sz w:val="20"/>
          <w:szCs w:val="20"/>
        </w:rPr>
        <w:t>) and the Canada Emergency Wage Subsidy (“CEWS”). In fiscal year 2020, we announced a plan to optimize our Americas store portfolio, primarily in dense, metropolitan markets, by blending store formats to better cater to changing customer tastes and prefere</w:t>
      </w:r>
      <w:r>
        <w:rPr>
          <w:rFonts w:ascii="Times New Roman" w:eastAsia="宋体" w:hAnsi="Times New Roman"/>
          <w:color w:val="000000"/>
          <w:sz w:val="20"/>
          <w:szCs w:val="20"/>
        </w:rPr>
        <w:t>nces. During the first quarter of fiscal 2021, we closed approximately 170 stores in the U.S. and Canada, and we expect to close an additional 500 stores in those markets primarily over the next 9 to 12 months to complete our restructuring efforts. Costs i</w:t>
      </w:r>
      <w:r>
        <w:rPr>
          <w:rFonts w:ascii="Times New Roman" w:eastAsia="宋体" w:hAnsi="Times New Roman"/>
          <w:color w:val="000000"/>
          <w:sz w:val="20"/>
          <w:szCs w:val="20"/>
        </w:rPr>
        <w:t>ncurred related to the restructuring efforts are recorded as restructuring and impairments on our consolidated statement of earnings and will continue to be recorded as stores are identified for closure and are eventually closed.</w:t>
      </w:r>
    </w:p>
    <w:p w14:paraId="40CB1C32" w14:textId="77777777" w:rsidR="00584FB3" w:rsidRDefault="00786180">
      <w:pPr>
        <w:spacing w:before="120"/>
      </w:pPr>
      <w:r>
        <w:rPr>
          <w:rFonts w:ascii="Times New Roman" w:eastAsia="宋体" w:hAnsi="Times New Roman"/>
          <w:color w:val="000000"/>
          <w:sz w:val="20"/>
          <w:szCs w:val="20"/>
        </w:rPr>
        <w:t>For the International segm</w:t>
      </w:r>
      <w:r>
        <w:rPr>
          <w:rFonts w:ascii="Times New Roman" w:eastAsia="宋体" w:hAnsi="Times New Roman"/>
          <w:color w:val="000000"/>
          <w:sz w:val="20"/>
          <w:szCs w:val="20"/>
        </w:rPr>
        <w:t>ent, comparable store sales declined 3% for the first quarter of fiscal 2021, primarily due to modifications of store operations in our our company-operated international markets. Our business in China has substantially recovered. Comparable store sales in</w:t>
      </w:r>
      <w:r>
        <w:rPr>
          <w:rFonts w:ascii="Times New Roman" w:eastAsia="宋体" w:hAnsi="Times New Roman"/>
          <w:color w:val="000000"/>
          <w:sz w:val="20"/>
          <w:szCs w:val="20"/>
        </w:rPr>
        <w:t xml:space="preserve">creased 5%, inclusive of a nearly 5% benefit from the temporary VAT exemption ending in December 2020. The China market continued to demonstrate upward momentum in sales and profitability. As of December 27, 2020, nearly all company-operated stores within </w:t>
      </w:r>
      <w:r>
        <w:rPr>
          <w:rFonts w:ascii="Times New Roman" w:eastAsia="宋体" w:hAnsi="Times New Roman"/>
          <w:color w:val="000000"/>
          <w:sz w:val="20"/>
          <w:szCs w:val="20"/>
        </w:rPr>
        <w:t>the International segment were open. Most of our International licensed stores were also open at the end of the first quarter of fiscal 2021.</w:t>
      </w:r>
    </w:p>
    <w:p w14:paraId="40CB1C33" w14:textId="77777777" w:rsidR="00584FB3" w:rsidRDefault="00786180">
      <w:pPr>
        <w:spacing w:before="120"/>
      </w:pPr>
      <w:r>
        <w:rPr>
          <w:rFonts w:ascii="Times New Roman" w:eastAsia="宋体" w:hAnsi="Times New Roman"/>
          <w:color w:val="000000"/>
          <w:sz w:val="20"/>
          <w:szCs w:val="20"/>
        </w:rPr>
        <w:t>Net revenues for our Channel Development segment declined $123 million, or 25%, when compared with the first quart</w:t>
      </w:r>
      <w:r>
        <w:rPr>
          <w:rFonts w:ascii="Times New Roman" w:eastAsia="宋体" w:hAnsi="Times New Roman"/>
          <w:color w:val="000000"/>
          <w:sz w:val="20"/>
          <w:szCs w:val="20"/>
        </w:rPr>
        <w:t>er of fiscal 2020. This was largely due to the transition of certain single-serve product activities to Nestlé beginning in the fourth quarter of fiscal 2020 and lapping Global Coffee Alliance transition-related activities. Also contributing were lower Glo</w:t>
      </w:r>
      <w:r>
        <w:rPr>
          <w:rFonts w:ascii="Times New Roman" w:eastAsia="宋体" w:hAnsi="Times New Roman"/>
          <w:color w:val="000000"/>
          <w:sz w:val="20"/>
          <w:szCs w:val="20"/>
        </w:rPr>
        <w:t>bal Coffee Alliance revenues, primarily driven by the Foodservice business, which experienced softening due to COVID-19. Our Channel Development segment continues to grow category share as customers adjust to their at-home routines.</w:t>
      </w:r>
    </w:p>
    <w:p w14:paraId="40CB1C34" w14:textId="77777777" w:rsidR="00584FB3" w:rsidRDefault="00786180">
      <w:pPr>
        <w:spacing w:before="120"/>
      </w:pPr>
      <w:r>
        <w:rPr>
          <w:rFonts w:ascii="Times New Roman" w:eastAsia="宋体" w:hAnsi="Times New Roman"/>
          <w:color w:val="000000"/>
          <w:sz w:val="20"/>
          <w:szCs w:val="20"/>
        </w:rPr>
        <w:t>We continue to invest i</w:t>
      </w:r>
      <w:r>
        <w:rPr>
          <w:rFonts w:ascii="Times New Roman" w:eastAsia="宋体" w:hAnsi="Times New Roman"/>
          <w:color w:val="000000"/>
          <w:sz w:val="20"/>
          <w:szCs w:val="20"/>
        </w:rPr>
        <w:t>n technologies and innovations to elevate the customer and partner experience and to drive long-term growth. Absent significant COVID-19 relapses or global economic disruptions, and based on the current trend of our retail business recovery and our focused</w:t>
      </w:r>
      <w:r>
        <w:rPr>
          <w:rFonts w:ascii="Times New Roman" w:eastAsia="宋体" w:hAnsi="Times New Roman"/>
          <w:color w:val="000000"/>
          <w:sz w:val="20"/>
          <w:szCs w:val="20"/>
        </w:rPr>
        <w:t xml:space="preserve"> efforts to expand contactless customer experiences, enhance digital capabilities and drive beverage innovation, we believe we are well positioned to regain the positive business momentum we had demonstrated prior to the pandemic.</w:t>
      </w:r>
    </w:p>
    <w:p w14:paraId="40CB1C35" w14:textId="77777777" w:rsidR="00584FB3" w:rsidRDefault="00786180">
      <w:pPr>
        <w:spacing w:before="120"/>
      </w:pPr>
      <w:r>
        <w:rPr>
          <w:rFonts w:ascii="Times New Roman" w:eastAsia="宋体" w:hAnsi="Times New Roman"/>
          <w:b/>
          <w:bCs/>
          <w:color w:val="000000"/>
          <w:sz w:val="20"/>
          <w:szCs w:val="20"/>
        </w:rPr>
        <w:t>Comparable Store Sales</w:t>
      </w:r>
    </w:p>
    <w:p w14:paraId="40CB1C36" w14:textId="77777777" w:rsidR="00584FB3" w:rsidRDefault="00786180">
      <w:pPr>
        <w:spacing w:before="120"/>
      </w:pPr>
      <w:r>
        <w:rPr>
          <w:rFonts w:ascii="Times New Roman" w:eastAsia="宋体" w:hAnsi="Times New Roman"/>
          <w:color w:val="000000"/>
          <w:sz w:val="20"/>
          <w:szCs w:val="20"/>
        </w:rPr>
        <w:t>St</w:t>
      </w:r>
      <w:r>
        <w:rPr>
          <w:rFonts w:ascii="Times New Roman" w:eastAsia="宋体" w:hAnsi="Times New Roman"/>
          <w:color w:val="000000"/>
          <w:sz w:val="20"/>
          <w:szCs w:val="20"/>
        </w:rPr>
        <w:t>arbucks comparable store sales for the first quarter of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4140"/>
        <w:gridCol w:w="36"/>
        <w:gridCol w:w="61"/>
        <w:gridCol w:w="1042"/>
        <w:gridCol w:w="37"/>
        <w:gridCol w:w="37"/>
        <w:gridCol w:w="37"/>
        <w:gridCol w:w="36"/>
        <w:gridCol w:w="63"/>
        <w:gridCol w:w="1022"/>
        <w:gridCol w:w="36"/>
        <w:gridCol w:w="36"/>
        <w:gridCol w:w="36"/>
        <w:gridCol w:w="36"/>
        <w:gridCol w:w="50"/>
        <w:gridCol w:w="1036"/>
        <w:gridCol w:w="36"/>
        <w:gridCol w:w="36"/>
        <w:gridCol w:w="36"/>
        <w:gridCol w:w="36"/>
        <w:gridCol w:w="36"/>
        <w:gridCol w:w="36"/>
        <w:gridCol w:w="36"/>
        <w:gridCol w:w="36"/>
        <w:gridCol w:w="36"/>
        <w:gridCol w:w="36"/>
        <w:gridCol w:w="36"/>
        <w:gridCol w:w="36"/>
        <w:gridCol w:w="36"/>
        <w:gridCol w:w="36"/>
        <w:gridCol w:w="36"/>
      </w:tblGrid>
      <w:tr w:rsidR="00584FB3" w14:paraId="40CB1C4F" w14:textId="77777777">
        <w:trPr>
          <w:jc w:val="center"/>
        </w:trPr>
        <w:tc>
          <w:tcPr>
            <w:tcW w:w="50" w:type="pct"/>
            <w:shd w:val="clear" w:color="auto" w:fill="auto"/>
          </w:tcPr>
          <w:p w14:paraId="40CB1C37" w14:textId="77777777" w:rsidR="00584FB3" w:rsidRDefault="00584FB3">
            <w:pPr>
              <w:rPr>
                <w:rFonts w:ascii="宋体"/>
              </w:rPr>
            </w:pPr>
          </w:p>
        </w:tc>
        <w:tc>
          <w:tcPr>
            <w:tcW w:w="2656" w:type="pct"/>
            <w:shd w:val="clear" w:color="auto" w:fill="auto"/>
          </w:tcPr>
          <w:p w14:paraId="40CB1C38" w14:textId="77777777" w:rsidR="00584FB3" w:rsidRDefault="00584FB3">
            <w:pPr>
              <w:rPr>
                <w:rFonts w:ascii="宋体"/>
              </w:rPr>
            </w:pPr>
          </w:p>
        </w:tc>
        <w:tc>
          <w:tcPr>
            <w:tcW w:w="5" w:type="pct"/>
            <w:shd w:val="clear" w:color="auto" w:fill="auto"/>
          </w:tcPr>
          <w:p w14:paraId="40CB1C39" w14:textId="77777777" w:rsidR="00584FB3" w:rsidRDefault="00584FB3">
            <w:pPr>
              <w:rPr>
                <w:rFonts w:ascii="宋体"/>
              </w:rPr>
            </w:pPr>
          </w:p>
        </w:tc>
        <w:tc>
          <w:tcPr>
            <w:tcW w:w="50" w:type="pct"/>
            <w:shd w:val="clear" w:color="auto" w:fill="auto"/>
          </w:tcPr>
          <w:p w14:paraId="40CB1C3A" w14:textId="77777777" w:rsidR="00584FB3" w:rsidRDefault="00584FB3">
            <w:pPr>
              <w:rPr>
                <w:rFonts w:ascii="宋体"/>
              </w:rPr>
            </w:pPr>
          </w:p>
        </w:tc>
        <w:tc>
          <w:tcPr>
            <w:tcW w:w="683" w:type="pct"/>
            <w:shd w:val="clear" w:color="auto" w:fill="auto"/>
          </w:tcPr>
          <w:p w14:paraId="40CB1C3B" w14:textId="77777777" w:rsidR="00584FB3" w:rsidRDefault="00584FB3">
            <w:pPr>
              <w:rPr>
                <w:rFonts w:ascii="宋体"/>
              </w:rPr>
            </w:pPr>
          </w:p>
        </w:tc>
        <w:tc>
          <w:tcPr>
            <w:tcW w:w="5" w:type="pct"/>
            <w:shd w:val="clear" w:color="auto" w:fill="auto"/>
          </w:tcPr>
          <w:p w14:paraId="40CB1C3C" w14:textId="77777777" w:rsidR="00584FB3" w:rsidRDefault="00584FB3">
            <w:pPr>
              <w:rPr>
                <w:rFonts w:ascii="宋体"/>
              </w:rPr>
            </w:pPr>
          </w:p>
        </w:tc>
        <w:tc>
          <w:tcPr>
            <w:tcW w:w="5" w:type="pct"/>
            <w:shd w:val="clear" w:color="auto" w:fill="auto"/>
          </w:tcPr>
          <w:p w14:paraId="40CB1C3D" w14:textId="77777777" w:rsidR="00584FB3" w:rsidRDefault="00584FB3">
            <w:pPr>
              <w:rPr>
                <w:rFonts w:ascii="宋体"/>
              </w:rPr>
            </w:pPr>
          </w:p>
        </w:tc>
        <w:tc>
          <w:tcPr>
            <w:tcW w:w="26" w:type="pct"/>
            <w:shd w:val="clear" w:color="auto" w:fill="auto"/>
          </w:tcPr>
          <w:p w14:paraId="40CB1C3E" w14:textId="77777777" w:rsidR="00584FB3" w:rsidRDefault="00584FB3">
            <w:pPr>
              <w:rPr>
                <w:rFonts w:ascii="宋体"/>
              </w:rPr>
            </w:pPr>
          </w:p>
        </w:tc>
        <w:tc>
          <w:tcPr>
            <w:tcW w:w="5" w:type="pct"/>
            <w:shd w:val="clear" w:color="auto" w:fill="auto"/>
          </w:tcPr>
          <w:p w14:paraId="40CB1C3F" w14:textId="77777777" w:rsidR="00584FB3" w:rsidRDefault="00584FB3">
            <w:pPr>
              <w:rPr>
                <w:rFonts w:ascii="宋体"/>
              </w:rPr>
            </w:pPr>
          </w:p>
        </w:tc>
        <w:tc>
          <w:tcPr>
            <w:tcW w:w="50" w:type="pct"/>
            <w:shd w:val="clear" w:color="auto" w:fill="auto"/>
          </w:tcPr>
          <w:p w14:paraId="40CB1C40" w14:textId="77777777" w:rsidR="00584FB3" w:rsidRDefault="00584FB3">
            <w:pPr>
              <w:rPr>
                <w:rFonts w:ascii="宋体"/>
              </w:rPr>
            </w:pPr>
          </w:p>
        </w:tc>
        <w:tc>
          <w:tcPr>
            <w:tcW w:w="683" w:type="pct"/>
            <w:shd w:val="clear" w:color="auto" w:fill="auto"/>
          </w:tcPr>
          <w:p w14:paraId="40CB1C41" w14:textId="77777777" w:rsidR="00584FB3" w:rsidRDefault="00584FB3">
            <w:pPr>
              <w:rPr>
                <w:rFonts w:ascii="宋体"/>
              </w:rPr>
            </w:pPr>
          </w:p>
        </w:tc>
        <w:tc>
          <w:tcPr>
            <w:tcW w:w="5" w:type="pct"/>
            <w:shd w:val="clear" w:color="auto" w:fill="auto"/>
          </w:tcPr>
          <w:p w14:paraId="40CB1C42" w14:textId="77777777" w:rsidR="00584FB3" w:rsidRDefault="00584FB3">
            <w:pPr>
              <w:rPr>
                <w:rFonts w:ascii="宋体"/>
              </w:rPr>
            </w:pPr>
          </w:p>
        </w:tc>
        <w:tc>
          <w:tcPr>
            <w:tcW w:w="5" w:type="pct"/>
            <w:shd w:val="clear" w:color="auto" w:fill="auto"/>
          </w:tcPr>
          <w:p w14:paraId="40CB1C43" w14:textId="77777777" w:rsidR="00584FB3" w:rsidRDefault="00584FB3">
            <w:pPr>
              <w:rPr>
                <w:rFonts w:ascii="宋体"/>
              </w:rPr>
            </w:pPr>
          </w:p>
        </w:tc>
        <w:tc>
          <w:tcPr>
            <w:tcW w:w="26" w:type="pct"/>
            <w:shd w:val="clear" w:color="auto" w:fill="auto"/>
          </w:tcPr>
          <w:p w14:paraId="40CB1C44" w14:textId="77777777" w:rsidR="00584FB3" w:rsidRDefault="00584FB3">
            <w:pPr>
              <w:rPr>
                <w:rFonts w:ascii="宋体"/>
              </w:rPr>
            </w:pPr>
          </w:p>
        </w:tc>
        <w:tc>
          <w:tcPr>
            <w:tcW w:w="5" w:type="pct"/>
            <w:shd w:val="clear" w:color="auto" w:fill="auto"/>
          </w:tcPr>
          <w:p w14:paraId="40CB1C45" w14:textId="77777777" w:rsidR="00584FB3" w:rsidRDefault="00584FB3">
            <w:pPr>
              <w:rPr>
                <w:rFonts w:ascii="宋体"/>
              </w:rPr>
            </w:pPr>
          </w:p>
        </w:tc>
        <w:tc>
          <w:tcPr>
            <w:tcW w:w="50" w:type="pct"/>
            <w:shd w:val="clear" w:color="auto" w:fill="auto"/>
          </w:tcPr>
          <w:p w14:paraId="40CB1C46" w14:textId="77777777" w:rsidR="00584FB3" w:rsidRDefault="00584FB3">
            <w:pPr>
              <w:rPr>
                <w:rFonts w:ascii="宋体"/>
              </w:rPr>
            </w:pPr>
          </w:p>
        </w:tc>
        <w:tc>
          <w:tcPr>
            <w:tcW w:w="683" w:type="pct"/>
            <w:shd w:val="clear" w:color="auto" w:fill="auto"/>
          </w:tcPr>
          <w:p w14:paraId="40CB1C47" w14:textId="77777777" w:rsidR="00584FB3" w:rsidRDefault="00584FB3">
            <w:pPr>
              <w:rPr>
                <w:rFonts w:ascii="宋体"/>
              </w:rPr>
            </w:pPr>
          </w:p>
        </w:tc>
        <w:tc>
          <w:tcPr>
            <w:tcW w:w="5" w:type="pct"/>
            <w:shd w:val="clear" w:color="auto" w:fill="auto"/>
          </w:tcPr>
          <w:p w14:paraId="40CB1C48" w14:textId="77777777" w:rsidR="00584FB3" w:rsidRDefault="00584FB3">
            <w:pPr>
              <w:rPr>
                <w:rFonts w:ascii="宋体"/>
              </w:rPr>
            </w:pPr>
          </w:p>
        </w:tc>
        <w:tc>
          <w:tcPr>
            <w:tcW w:w="0" w:type="auto"/>
            <w:shd w:val="clear" w:color="auto" w:fill="auto"/>
          </w:tcPr>
          <w:p w14:paraId="40CB1C49" w14:textId="77777777" w:rsidR="00584FB3" w:rsidRDefault="00584FB3">
            <w:pPr>
              <w:rPr>
                <w:rFonts w:ascii="宋体"/>
                <w:vanish/>
              </w:rPr>
            </w:pPr>
          </w:p>
        </w:tc>
        <w:tc>
          <w:tcPr>
            <w:tcW w:w="0" w:type="auto"/>
            <w:shd w:val="clear" w:color="auto" w:fill="auto"/>
          </w:tcPr>
          <w:p w14:paraId="40CB1C4A" w14:textId="77777777" w:rsidR="00584FB3" w:rsidRDefault="00584FB3">
            <w:pPr>
              <w:rPr>
                <w:rFonts w:ascii="宋体"/>
                <w:vanish/>
              </w:rPr>
            </w:pPr>
          </w:p>
        </w:tc>
        <w:tc>
          <w:tcPr>
            <w:tcW w:w="0" w:type="auto"/>
            <w:gridSpan w:val="3"/>
            <w:shd w:val="clear" w:color="auto" w:fill="auto"/>
          </w:tcPr>
          <w:p w14:paraId="40CB1C4B" w14:textId="77777777" w:rsidR="00584FB3" w:rsidRDefault="00584FB3">
            <w:pPr>
              <w:rPr>
                <w:rFonts w:ascii="宋体"/>
                <w:vanish/>
              </w:rPr>
            </w:pPr>
          </w:p>
        </w:tc>
        <w:tc>
          <w:tcPr>
            <w:tcW w:w="0" w:type="auto"/>
            <w:gridSpan w:val="3"/>
            <w:shd w:val="clear" w:color="auto" w:fill="auto"/>
          </w:tcPr>
          <w:p w14:paraId="40CB1C4C" w14:textId="77777777" w:rsidR="00584FB3" w:rsidRDefault="00584FB3">
            <w:pPr>
              <w:rPr>
                <w:rFonts w:ascii="宋体"/>
                <w:vanish/>
              </w:rPr>
            </w:pPr>
          </w:p>
        </w:tc>
        <w:tc>
          <w:tcPr>
            <w:tcW w:w="0" w:type="auto"/>
            <w:gridSpan w:val="3"/>
            <w:shd w:val="clear" w:color="auto" w:fill="auto"/>
          </w:tcPr>
          <w:p w14:paraId="40CB1C4D" w14:textId="77777777" w:rsidR="00584FB3" w:rsidRDefault="00584FB3">
            <w:pPr>
              <w:rPr>
                <w:rFonts w:ascii="宋体"/>
                <w:vanish/>
              </w:rPr>
            </w:pPr>
          </w:p>
        </w:tc>
        <w:tc>
          <w:tcPr>
            <w:tcW w:w="0" w:type="auto"/>
            <w:gridSpan w:val="3"/>
            <w:shd w:val="clear" w:color="auto" w:fill="auto"/>
          </w:tcPr>
          <w:p w14:paraId="40CB1C4E" w14:textId="77777777" w:rsidR="00584FB3" w:rsidRDefault="00584FB3">
            <w:pPr>
              <w:rPr>
                <w:rFonts w:ascii="宋体"/>
                <w:vanish/>
              </w:rPr>
            </w:pPr>
          </w:p>
        </w:tc>
      </w:tr>
      <w:tr w:rsidR="00584FB3" w14:paraId="40CB1C60" w14:textId="77777777">
        <w:trPr>
          <w:jc w:val="center"/>
        </w:trPr>
        <w:tc>
          <w:tcPr>
            <w:tcW w:w="0" w:type="auto"/>
            <w:gridSpan w:val="3"/>
            <w:shd w:val="clear" w:color="auto" w:fill="auto"/>
            <w:tcMar>
              <w:top w:w="40" w:type="dxa"/>
              <w:left w:w="20" w:type="dxa"/>
              <w:bottom w:w="40" w:type="dxa"/>
              <w:right w:w="20" w:type="dxa"/>
            </w:tcMar>
            <w:vAlign w:val="bottom"/>
          </w:tcPr>
          <w:p w14:paraId="40CB1C50" w14:textId="77777777" w:rsidR="00584FB3" w:rsidRDefault="00786180">
            <w:pPr>
              <w:textAlignment w:val="bottom"/>
            </w:pPr>
            <w:r>
              <w:rPr>
                <w:rFonts w:ascii="Times New Roman" w:eastAsia="宋体" w:hAnsi="Times New Roman"/>
                <w:color w:val="000000"/>
                <w:sz w:val="16"/>
                <w:szCs w:val="16"/>
              </w:rPr>
              <w:t> </w:t>
            </w:r>
          </w:p>
        </w:tc>
        <w:tc>
          <w:tcPr>
            <w:tcW w:w="0" w:type="auto"/>
            <w:gridSpan w:val="15"/>
            <w:shd w:val="clear" w:color="auto" w:fill="00704A"/>
            <w:tcMar>
              <w:top w:w="40" w:type="dxa"/>
              <w:left w:w="20" w:type="dxa"/>
              <w:bottom w:w="40" w:type="dxa"/>
              <w:right w:w="20" w:type="dxa"/>
            </w:tcMar>
            <w:vAlign w:val="bottom"/>
          </w:tcPr>
          <w:p w14:paraId="40CB1C51" w14:textId="77777777" w:rsidR="00584FB3" w:rsidRDefault="00786180">
            <w:pPr>
              <w:jc w:val="center"/>
              <w:textAlignment w:val="bottom"/>
            </w:pPr>
            <w:r>
              <w:rPr>
                <w:rFonts w:ascii="Times New Roman" w:eastAsia="宋体" w:hAnsi="Times New Roman"/>
                <w:b/>
                <w:bCs/>
                <w:color w:val="FFFFFF"/>
                <w:sz w:val="16"/>
                <w:szCs w:val="16"/>
              </w:rPr>
              <w:t>Quarter Ended Dec 27, 2020</w:t>
            </w:r>
          </w:p>
        </w:tc>
        <w:tc>
          <w:tcPr>
            <w:tcW w:w="0" w:type="auto"/>
            <w:shd w:val="clear" w:color="auto" w:fill="auto"/>
          </w:tcPr>
          <w:p w14:paraId="40CB1C52" w14:textId="77777777" w:rsidR="00584FB3" w:rsidRDefault="00584FB3">
            <w:pPr>
              <w:rPr>
                <w:rFonts w:ascii="宋体"/>
                <w:vanish/>
              </w:rPr>
            </w:pPr>
          </w:p>
        </w:tc>
        <w:tc>
          <w:tcPr>
            <w:tcW w:w="0" w:type="auto"/>
            <w:shd w:val="clear" w:color="auto" w:fill="auto"/>
          </w:tcPr>
          <w:p w14:paraId="40CB1C53" w14:textId="77777777" w:rsidR="00584FB3" w:rsidRDefault="00584FB3">
            <w:pPr>
              <w:rPr>
                <w:rFonts w:ascii="宋体"/>
                <w:vanish/>
              </w:rPr>
            </w:pPr>
          </w:p>
        </w:tc>
        <w:tc>
          <w:tcPr>
            <w:tcW w:w="0" w:type="auto"/>
            <w:shd w:val="clear" w:color="auto" w:fill="auto"/>
          </w:tcPr>
          <w:p w14:paraId="40CB1C54" w14:textId="77777777" w:rsidR="00584FB3" w:rsidRDefault="00584FB3">
            <w:pPr>
              <w:rPr>
                <w:rFonts w:ascii="宋体"/>
              </w:rPr>
            </w:pPr>
          </w:p>
        </w:tc>
        <w:tc>
          <w:tcPr>
            <w:tcW w:w="0" w:type="auto"/>
            <w:shd w:val="clear" w:color="auto" w:fill="auto"/>
          </w:tcPr>
          <w:p w14:paraId="40CB1C55" w14:textId="77777777" w:rsidR="00584FB3" w:rsidRDefault="00584FB3">
            <w:pPr>
              <w:rPr>
                <w:rFonts w:ascii="宋体"/>
              </w:rPr>
            </w:pPr>
          </w:p>
        </w:tc>
        <w:tc>
          <w:tcPr>
            <w:tcW w:w="0" w:type="auto"/>
            <w:shd w:val="clear" w:color="auto" w:fill="auto"/>
          </w:tcPr>
          <w:p w14:paraId="40CB1C56" w14:textId="77777777" w:rsidR="00584FB3" w:rsidRDefault="00584FB3">
            <w:pPr>
              <w:rPr>
                <w:rFonts w:ascii="宋体"/>
              </w:rPr>
            </w:pPr>
          </w:p>
        </w:tc>
        <w:tc>
          <w:tcPr>
            <w:tcW w:w="0" w:type="auto"/>
            <w:shd w:val="clear" w:color="auto" w:fill="auto"/>
          </w:tcPr>
          <w:p w14:paraId="40CB1C57" w14:textId="77777777" w:rsidR="00584FB3" w:rsidRDefault="00584FB3">
            <w:pPr>
              <w:rPr>
                <w:rFonts w:ascii="宋体"/>
              </w:rPr>
            </w:pPr>
          </w:p>
        </w:tc>
        <w:tc>
          <w:tcPr>
            <w:tcW w:w="0" w:type="auto"/>
            <w:shd w:val="clear" w:color="auto" w:fill="auto"/>
          </w:tcPr>
          <w:p w14:paraId="40CB1C58" w14:textId="77777777" w:rsidR="00584FB3" w:rsidRDefault="00584FB3">
            <w:pPr>
              <w:rPr>
                <w:rFonts w:ascii="宋体"/>
              </w:rPr>
            </w:pPr>
          </w:p>
        </w:tc>
        <w:tc>
          <w:tcPr>
            <w:tcW w:w="0" w:type="auto"/>
            <w:shd w:val="clear" w:color="auto" w:fill="auto"/>
          </w:tcPr>
          <w:p w14:paraId="40CB1C59" w14:textId="77777777" w:rsidR="00584FB3" w:rsidRDefault="00584FB3">
            <w:pPr>
              <w:rPr>
                <w:rFonts w:ascii="宋体"/>
              </w:rPr>
            </w:pPr>
          </w:p>
        </w:tc>
        <w:tc>
          <w:tcPr>
            <w:tcW w:w="0" w:type="auto"/>
            <w:shd w:val="clear" w:color="auto" w:fill="auto"/>
          </w:tcPr>
          <w:p w14:paraId="40CB1C5A" w14:textId="77777777" w:rsidR="00584FB3" w:rsidRDefault="00584FB3">
            <w:pPr>
              <w:rPr>
                <w:rFonts w:ascii="宋体"/>
              </w:rPr>
            </w:pPr>
          </w:p>
        </w:tc>
        <w:tc>
          <w:tcPr>
            <w:tcW w:w="0" w:type="auto"/>
            <w:shd w:val="clear" w:color="auto" w:fill="auto"/>
          </w:tcPr>
          <w:p w14:paraId="40CB1C5B" w14:textId="77777777" w:rsidR="00584FB3" w:rsidRDefault="00584FB3">
            <w:pPr>
              <w:rPr>
                <w:rFonts w:ascii="宋体"/>
              </w:rPr>
            </w:pPr>
          </w:p>
        </w:tc>
        <w:tc>
          <w:tcPr>
            <w:tcW w:w="0" w:type="auto"/>
            <w:shd w:val="clear" w:color="auto" w:fill="auto"/>
          </w:tcPr>
          <w:p w14:paraId="40CB1C5C" w14:textId="77777777" w:rsidR="00584FB3" w:rsidRDefault="00584FB3">
            <w:pPr>
              <w:rPr>
                <w:rFonts w:ascii="宋体"/>
              </w:rPr>
            </w:pPr>
          </w:p>
        </w:tc>
        <w:tc>
          <w:tcPr>
            <w:tcW w:w="0" w:type="auto"/>
            <w:shd w:val="clear" w:color="auto" w:fill="auto"/>
          </w:tcPr>
          <w:p w14:paraId="40CB1C5D" w14:textId="77777777" w:rsidR="00584FB3" w:rsidRDefault="00584FB3">
            <w:pPr>
              <w:rPr>
                <w:rFonts w:ascii="宋体"/>
              </w:rPr>
            </w:pPr>
          </w:p>
        </w:tc>
        <w:tc>
          <w:tcPr>
            <w:tcW w:w="0" w:type="auto"/>
            <w:shd w:val="clear" w:color="auto" w:fill="auto"/>
          </w:tcPr>
          <w:p w14:paraId="40CB1C5E" w14:textId="77777777" w:rsidR="00584FB3" w:rsidRDefault="00584FB3">
            <w:pPr>
              <w:rPr>
                <w:rFonts w:ascii="宋体"/>
              </w:rPr>
            </w:pPr>
          </w:p>
        </w:tc>
        <w:tc>
          <w:tcPr>
            <w:tcW w:w="0" w:type="auto"/>
            <w:shd w:val="clear" w:color="auto" w:fill="auto"/>
          </w:tcPr>
          <w:p w14:paraId="40CB1C5F" w14:textId="77777777" w:rsidR="00584FB3" w:rsidRDefault="00584FB3">
            <w:pPr>
              <w:rPr>
                <w:rFonts w:ascii="宋体"/>
              </w:rPr>
            </w:pPr>
          </w:p>
        </w:tc>
      </w:tr>
      <w:tr w:rsidR="00584FB3" w14:paraId="40CB1C6F" w14:textId="77777777">
        <w:trPr>
          <w:jc w:val="center"/>
        </w:trPr>
        <w:tc>
          <w:tcPr>
            <w:tcW w:w="0" w:type="auto"/>
            <w:gridSpan w:val="3"/>
            <w:shd w:val="clear" w:color="auto" w:fill="auto"/>
            <w:tcMar>
              <w:top w:w="40" w:type="dxa"/>
              <w:left w:w="20" w:type="dxa"/>
              <w:bottom w:w="40" w:type="dxa"/>
              <w:right w:w="20" w:type="dxa"/>
            </w:tcMar>
            <w:vAlign w:val="bottom"/>
          </w:tcPr>
          <w:p w14:paraId="40CB1C61"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1C62" w14:textId="77777777" w:rsidR="00584FB3" w:rsidRDefault="00786180">
            <w:pPr>
              <w:jc w:val="center"/>
              <w:textAlignment w:val="bottom"/>
            </w:pPr>
            <w:r>
              <w:rPr>
                <w:rFonts w:ascii="Times New Roman" w:eastAsia="宋体" w:hAnsi="Times New Roman"/>
                <w:b/>
                <w:bCs/>
                <w:color w:val="FFFFFF"/>
                <w:sz w:val="16"/>
                <w:szCs w:val="16"/>
              </w:rPr>
              <w:br/>
              <w:t>Change in Comparable Store Sales</w:t>
            </w:r>
          </w:p>
        </w:tc>
        <w:tc>
          <w:tcPr>
            <w:tcW w:w="0" w:type="auto"/>
            <w:gridSpan w:val="3"/>
            <w:shd w:val="clear" w:color="auto" w:fill="auto"/>
            <w:tcMar>
              <w:top w:w="0" w:type="dxa"/>
              <w:left w:w="20" w:type="dxa"/>
              <w:bottom w:w="0" w:type="dxa"/>
              <w:right w:w="20" w:type="dxa"/>
            </w:tcMar>
          </w:tcPr>
          <w:p w14:paraId="40CB1C6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C64" w14:textId="77777777" w:rsidR="00584FB3" w:rsidRDefault="00786180">
            <w:pPr>
              <w:jc w:val="center"/>
              <w:textAlignment w:val="bottom"/>
            </w:pPr>
            <w:r>
              <w:rPr>
                <w:rFonts w:ascii="Times New Roman" w:eastAsia="宋体" w:hAnsi="Times New Roman"/>
                <w:b/>
                <w:bCs/>
                <w:color w:val="FFFFFF"/>
                <w:sz w:val="16"/>
                <w:szCs w:val="16"/>
              </w:rPr>
              <w:t>Change in</w:t>
            </w:r>
          </w:p>
          <w:p w14:paraId="40CB1C65" w14:textId="77777777" w:rsidR="00584FB3" w:rsidRDefault="00786180">
            <w:pPr>
              <w:jc w:val="center"/>
              <w:textAlignment w:val="bottom"/>
            </w:pPr>
            <w:r>
              <w:rPr>
                <w:rFonts w:ascii="Times New Roman" w:eastAsia="宋体" w:hAnsi="Times New Roman"/>
                <w:b/>
                <w:bCs/>
                <w:color w:val="FFFFFF"/>
                <w:sz w:val="16"/>
                <w:szCs w:val="16"/>
              </w:rPr>
              <w:t>Transactions</w:t>
            </w:r>
          </w:p>
        </w:tc>
        <w:tc>
          <w:tcPr>
            <w:tcW w:w="0" w:type="auto"/>
            <w:gridSpan w:val="3"/>
            <w:shd w:val="clear" w:color="auto" w:fill="auto"/>
            <w:tcMar>
              <w:top w:w="0" w:type="dxa"/>
              <w:left w:w="20" w:type="dxa"/>
              <w:bottom w:w="0" w:type="dxa"/>
              <w:right w:w="20" w:type="dxa"/>
            </w:tcMar>
          </w:tcPr>
          <w:p w14:paraId="40CB1C6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C67" w14:textId="77777777" w:rsidR="00584FB3" w:rsidRDefault="00786180">
            <w:pPr>
              <w:jc w:val="center"/>
              <w:textAlignment w:val="bottom"/>
            </w:pPr>
            <w:r>
              <w:rPr>
                <w:rFonts w:ascii="Times New Roman" w:eastAsia="宋体" w:hAnsi="Times New Roman"/>
                <w:b/>
                <w:bCs/>
                <w:color w:val="FFFFFF"/>
                <w:sz w:val="16"/>
                <w:szCs w:val="16"/>
              </w:rPr>
              <w:t>Change in</w:t>
            </w:r>
          </w:p>
          <w:p w14:paraId="40CB1C68" w14:textId="77777777" w:rsidR="00584FB3" w:rsidRDefault="00786180">
            <w:pPr>
              <w:jc w:val="center"/>
              <w:textAlignment w:val="bottom"/>
            </w:pPr>
            <w:r>
              <w:rPr>
                <w:rFonts w:ascii="Times New Roman" w:eastAsia="宋体" w:hAnsi="Times New Roman"/>
                <w:b/>
                <w:bCs/>
                <w:color w:val="FFFFFF"/>
                <w:sz w:val="16"/>
                <w:szCs w:val="16"/>
              </w:rPr>
              <w:t>Ticket</w:t>
            </w:r>
          </w:p>
        </w:tc>
        <w:tc>
          <w:tcPr>
            <w:tcW w:w="0" w:type="auto"/>
            <w:shd w:val="clear" w:color="auto" w:fill="auto"/>
          </w:tcPr>
          <w:p w14:paraId="40CB1C69" w14:textId="77777777" w:rsidR="00584FB3" w:rsidRDefault="00584FB3">
            <w:pPr>
              <w:rPr>
                <w:rFonts w:ascii="宋体"/>
                <w:vanish/>
              </w:rPr>
            </w:pPr>
          </w:p>
        </w:tc>
        <w:tc>
          <w:tcPr>
            <w:tcW w:w="0" w:type="auto"/>
            <w:shd w:val="clear" w:color="auto" w:fill="auto"/>
          </w:tcPr>
          <w:p w14:paraId="40CB1C6A" w14:textId="77777777" w:rsidR="00584FB3" w:rsidRDefault="00584FB3">
            <w:pPr>
              <w:rPr>
                <w:rFonts w:ascii="宋体"/>
                <w:vanish/>
              </w:rPr>
            </w:pPr>
          </w:p>
        </w:tc>
        <w:tc>
          <w:tcPr>
            <w:tcW w:w="0" w:type="auto"/>
            <w:gridSpan w:val="3"/>
            <w:shd w:val="clear" w:color="auto" w:fill="auto"/>
          </w:tcPr>
          <w:p w14:paraId="40CB1C6B" w14:textId="77777777" w:rsidR="00584FB3" w:rsidRDefault="00584FB3">
            <w:pPr>
              <w:rPr>
                <w:rFonts w:ascii="宋体"/>
                <w:vanish/>
              </w:rPr>
            </w:pPr>
          </w:p>
        </w:tc>
        <w:tc>
          <w:tcPr>
            <w:tcW w:w="0" w:type="auto"/>
            <w:gridSpan w:val="3"/>
            <w:shd w:val="clear" w:color="auto" w:fill="auto"/>
          </w:tcPr>
          <w:p w14:paraId="40CB1C6C" w14:textId="77777777" w:rsidR="00584FB3" w:rsidRDefault="00584FB3">
            <w:pPr>
              <w:rPr>
                <w:rFonts w:ascii="宋体"/>
                <w:vanish/>
              </w:rPr>
            </w:pPr>
          </w:p>
        </w:tc>
        <w:tc>
          <w:tcPr>
            <w:tcW w:w="0" w:type="auto"/>
            <w:gridSpan w:val="3"/>
            <w:shd w:val="clear" w:color="auto" w:fill="auto"/>
          </w:tcPr>
          <w:p w14:paraId="40CB1C6D" w14:textId="77777777" w:rsidR="00584FB3" w:rsidRDefault="00584FB3">
            <w:pPr>
              <w:rPr>
                <w:rFonts w:ascii="宋体"/>
                <w:vanish/>
              </w:rPr>
            </w:pPr>
          </w:p>
        </w:tc>
        <w:tc>
          <w:tcPr>
            <w:tcW w:w="0" w:type="auto"/>
            <w:gridSpan w:val="3"/>
            <w:shd w:val="clear" w:color="auto" w:fill="auto"/>
          </w:tcPr>
          <w:p w14:paraId="40CB1C6E" w14:textId="77777777" w:rsidR="00584FB3" w:rsidRDefault="00584FB3">
            <w:pPr>
              <w:rPr>
                <w:rFonts w:ascii="宋体"/>
                <w:vanish/>
              </w:rPr>
            </w:pPr>
          </w:p>
        </w:tc>
      </w:tr>
      <w:tr w:rsidR="00584FB3" w14:paraId="40CB1C7C" w14:textId="77777777">
        <w:trPr>
          <w:jc w:val="center"/>
        </w:trPr>
        <w:tc>
          <w:tcPr>
            <w:tcW w:w="0" w:type="auto"/>
            <w:gridSpan w:val="3"/>
            <w:shd w:val="clear" w:color="auto" w:fill="D7E4BC"/>
            <w:tcMar>
              <w:top w:w="40" w:type="dxa"/>
              <w:left w:w="20" w:type="dxa"/>
              <w:bottom w:w="40" w:type="dxa"/>
              <w:right w:w="20" w:type="dxa"/>
            </w:tcMar>
            <w:vAlign w:val="center"/>
          </w:tcPr>
          <w:p w14:paraId="40CB1C70" w14:textId="77777777" w:rsidR="00584FB3" w:rsidRDefault="00786180">
            <w:pPr>
              <w:textAlignment w:val="center"/>
            </w:pPr>
            <w:r>
              <w:rPr>
                <w:rFonts w:ascii="Times New Roman" w:eastAsia="宋体" w:hAnsi="Times New Roman"/>
                <w:color w:val="000000"/>
                <w:sz w:val="20"/>
                <w:szCs w:val="20"/>
              </w:rPr>
              <w:t>Consolidated</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0CB1C71" w14:textId="77777777" w:rsidR="00584FB3" w:rsidRDefault="00786180">
            <w:pPr>
              <w:jc w:val="center"/>
              <w:textAlignment w:val="bottom"/>
            </w:pPr>
            <w:r>
              <w:rPr>
                <w:rFonts w:ascii="Times New Roman" w:eastAsia="宋体" w:hAnsi="Times New Roman"/>
                <w:color w:val="000000"/>
                <w:sz w:val="20"/>
                <w:szCs w:val="20"/>
              </w:rPr>
              <w:t>(5)%</w:t>
            </w:r>
          </w:p>
        </w:tc>
        <w:tc>
          <w:tcPr>
            <w:tcW w:w="0" w:type="auto"/>
            <w:gridSpan w:val="3"/>
            <w:shd w:val="clear" w:color="auto" w:fill="D7E4BC"/>
            <w:tcMar>
              <w:top w:w="0" w:type="dxa"/>
              <w:left w:w="20" w:type="dxa"/>
              <w:bottom w:w="0" w:type="dxa"/>
              <w:right w:w="20" w:type="dxa"/>
            </w:tcMar>
          </w:tcPr>
          <w:p w14:paraId="40CB1C72" w14:textId="77777777" w:rsidR="00584FB3" w:rsidRDefault="00584FB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0CB1C73" w14:textId="77777777" w:rsidR="00584FB3" w:rsidRDefault="00786180">
            <w:pPr>
              <w:jc w:val="center"/>
              <w:textAlignment w:val="bottom"/>
            </w:pPr>
            <w:r>
              <w:rPr>
                <w:rFonts w:ascii="Times New Roman" w:eastAsia="宋体" w:hAnsi="Times New Roman"/>
                <w:color w:val="000000"/>
                <w:sz w:val="20"/>
                <w:szCs w:val="20"/>
              </w:rPr>
              <w:t>(19)%</w:t>
            </w:r>
          </w:p>
        </w:tc>
        <w:tc>
          <w:tcPr>
            <w:tcW w:w="0" w:type="auto"/>
            <w:gridSpan w:val="3"/>
            <w:shd w:val="clear" w:color="auto" w:fill="D7E4BC"/>
            <w:tcMar>
              <w:top w:w="0" w:type="dxa"/>
              <w:left w:w="20" w:type="dxa"/>
              <w:bottom w:w="0" w:type="dxa"/>
              <w:right w:w="20" w:type="dxa"/>
            </w:tcMar>
          </w:tcPr>
          <w:p w14:paraId="40CB1C74" w14:textId="77777777" w:rsidR="00584FB3" w:rsidRDefault="00584FB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0CB1C75" w14:textId="77777777" w:rsidR="00584FB3" w:rsidRDefault="00786180">
            <w:pPr>
              <w:jc w:val="center"/>
              <w:textAlignment w:val="bottom"/>
            </w:pPr>
            <w:r>
              <w:rPr>
                <w:rFonts w:ascii="Times New Roman" w:eastAsia="宋体" w:hAnsi="Times New Roman"/>
                <w:color w:val="000000"/>
                <w:sz w:val="20"/>
                <w:szCs w:val="20"/>
              </w:rPr>
              <w:t>17%</w:t>
            </w:r>
          </w:p>
        </w:tc>
        <w:tc>
          <w:tcPr>
            <w:tcW w:w="0" w:type="auto"/>
            <w:shd w:val="clear" w:color="auto" w:fill="auto"/>
          </w:tcPr>
          <w:p w14:paraId="40CB1C76" w14:textId="77777777" w:rsidR="00584FB3" w:rsidRDefault="00584FB3">
            <w:pPr>
              <w:rPr>
                <w:rFonts w:ascii="宋体"/>
                <w:vanish/>
              </w:rPr>
            </w:pPr>
          </w:p>
        </w:tc>
        <w:tc>
          <w:tcPr>
            <w:tcW w:w="0" w:type="auto"/>
            <w:shd w:val="clear" w:color="auto" w:fill="auto"/>
          </w:tcPr>
          <w:p w14:paraId="40CB1C77" w14:textId="77777777" w:rsidR="00584FB3" w:rsidRDefault="00584FB3">
            <w:pPr>
              <w:rPr>
                <w:rFonts w:ascii="宋体"/>
                <w:vanish/>
              </w:rPr>
            </w:pPr>
          </w:p>
        </w:tc>
        <w:tc>
          <w:tcPr>
            <w:tcW w:w="0" w:type="auto"/>
            <w:gridSpan w:val="3"/>
            <w:shd w:val="clear" w:color="auto" w:fill="auto"/>
          </w:tcPr>
          <w:p w14:paraId="40CB1C78" w14:textId="77777777" w:rsidR="00584FB3" w:rsidRDefault="00584FB3">
            <w:pPr>
              <w:rPr>
                <w:rFonts w:ascii="宋体"/>
                <w:vanish/>
              </w:rPr>
            </w:pPr>
          </w:p>
        </w:tc>
        <w:tc>
          <w:tcPr>
            <w:tcW w:w="0" w:type="auto"/>
            <w:gridSpan w:val="3"/>
            <w:shd w:val="clear" w:color="auto" w:fill="auto"/>
          </w:tcPr>
          <w:p w14:paraId="40CB1C79" w14:textId="77777777" w:rsidR="00584FB3" w:rsidRDefault="00584FB3">
            <w:pPr>
              <w:rPr>
                <w:rFonts w:ascii="宋体"/>
                <w:vanish/>
              </w:rPr>
            </w:pPr>
          </w:p>
        </w:tc>
        <w:tc>
          <w:tcPr>
            <w:tcW w:w="0" w:type="auto"/>
            <w:gridSpan w:val="3"/>
            <w:shd w:val="clear" w:color="auto" w:fill="auto"/>
          </w:tcPr>
          <w:p w14:paraId="40CB1C7A" w14:textId="77777777" w:rsidR="00584FB3" w:rsidRDefault="00584FB3">
            <w:pPr>
              <w:rPr>
                <w:rFonts w:ascii="宋体"/>
                <w:vanish/>
              </w:rPr>
            </w:pPr>
          </w:p>
        </w:tc>
        <w:tc>
          <w:tcPr>
            <w:tcW w:w="0" w:type="auto"/>
            <w:gridSpan w:val="3"/>
            <w:shd w:val="clear" w:color="auto" w:fill="auto"/>
          </w:tcPr>
          <w:p w14:paraId="40CB1C7B" w14:textId="77777777" w:rsidR="00584FB3" w:rsidRDefault="00584FB3">
            <w:pPr>
              <w:rPr>
                <w:rFonts w:ascii="宋体"/>
                <w:vanish/>
              </w:rPr>
            </w:pPr>
          </w:p>
        </w:tc>
      </w:tr>
      <w:tr w:rsidR="00584FB3" w14:paraId="40CB1C89" w14:textId="77777777">
        <w:trPr>
          <w:jc w:val="center"/>
        </w:trPr>
        <w:tc>
          <w:tcPr>
            <w:tcW w:w="0" w:type="auto"/>
            <w:gridSpan w:val="3"/>
            <w:shd w:val="clear" w:color="auto" w:fill="FFFFFF"/>
            <w:tcMar>
              <w:top w:w="40" w:type="dxa"/>
              <w:left w:w="20" w:type="dxa"/>
              <w:bottom w:w="40" w:type="dxa"/>
              <w:right w:w="20" w:type="dxa"/>
            </w:tcMar>
            <w:vAlign w:val="center"/>
          </w:tcPr>
          <w:p w14:paraId="40CB1C7D" w14:textId="77777777" w:rsidR="00584FB3" w:rsidRDefault="00786180">
            <w:pPr>
              <w:textAlignment w:val="center"/>
            </w:pPr>
            <w:r>
              <w:rPr>
                <w:rFonts w:ascii="Times New Roman" w:eastAsia="宋体" w:hAnsi="Times New Roman"/>
                <w:color w:val="000000"/>
                <w:sz w:val="20"/>
                <w:szCs w:val="20"/>
              </w:rPr>
              <w:t>Americas</w:t>
            </w:r>
          </w:p>
        </w:tc>
        <w:tc>
          <w:tcPr>
            <w:tcW w:w="0" w:type="auto"/>
            <w:gridSpan w:val="3"/>
            <w:shd w:val="clear" w:color="auto" w:fill="FFFFFF"/>
            <w:tcMar>
              <w:top w:w="40" w:type="dxa"/>
              <w:left w:w="20" w:type="dxa"/>
              <w:bottom w:w="40" w:type="dxa"/>
              <w:right w:w="20" w:type="dxa"/>
            </w:tcMar>
            <w:vAlign w:val="bottom"/>
          </w:tcPr>
          <w:p w14:paraId="40CB1C7E" w14:textId="77777777" w:rsidR="00584FB3" w:rsidRDefault="00786180">
            <w:pPr>
              <w:jc w:val="center"/>
              <w:textAlignment w:val="bottom"/>
            </w:pPr>
            <w:r>
              <w:rPr>
                <w:rFonts w:ascii="Times New Roman" w:eastAsia="宋体" w:hAnsi="Times New Roman"/>
                <w:color w:val="000000"/>
                <w:sz w:val="20"/>
                <w:szCs w:val="20"/>
              </w:rPr>
              <w:t>(6)%</w:t>
            </w:r>
          </w:p>
        </w:tc>
        <w:tc>
          <w:tcPr>
            <w:tcW w:w="0" w:type="auto"/>
            <w:gridSpan w:val="3"/>
            <w:shd w:val="clear" w:color="auto" w:fill="FFFFFF"/>
            <w:tcMar>
              <w:top w:w="0" w:type="dxa"/>
              <w:left w:w="20" w:type="dxa"/>
              <w:bottom w:w="0" w:type="dxa"/>
              <w:right w:w="20" w:type="dxa"/>
            </w:tcMar>
          </w:tcPr>
          <w:p w14:paraId="40CB1C7F"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1C80" w14:textId="77777777" w:rsidR="00584FB3" w:rsidRDefault="00786180">
            <w:pPr>
              <w:jc w:val="center"/>
              <w:textAlignment w:val="bottom"/>
            </w:pPr>
            <w:r>
              <w:rPr>
                <w:rFonts w:ascii="Times New Roman" w:eastAsia="宋体" w:hAnsi="Times New Roman"/>
                <w:color w:val="000000"/>
                <w:sz w:val="20"/>
                <w:szCs w:val="20"/>
              </w:rPr>
              <w:t>(21)%</w:t>
            </w:r>
          </w:p>
        </w:tc>
        <w:tc>
          <w:tcPr>
            <w:tcW w:w="0" w:type="auto"/>
            <w:gridSpan w:val="3"/>
            <w:shd w:val="clear" w:color="auto" w:fill="FFFFFF"/>
            <w:tcMar>
              <w:top w:w="0" w:type="dxa"/>
              <w:left w:w="20" w:type="dxa"/>
              <w:bottom w:w="0" w:type="dxa"/>
              <w:right w:w="20" w:type="dxa"/>
            </w:tcMar>
          </w:tcPr>
          <w:p w14:paraId="40CB1C81"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1C82" w14:textId="77777777" w:rsidR="00584FB3" w:rsidRDefault="00786180">
            <w:pPr>
              <w:jc w:val="center"/>
              <w:textAlignment w:val="bottom"/>
            </w:pPr>
            <w:r>
              <w:rPr>
                <w:rFonts w:ascii="Times New Roman" w:eastAsia="宋体" w:hAnsi="Times New Roman"/>
                <w:color w:val="000000"/>
                <w:sz w:val="20"/>
                <w:szCs w:val="20"/>
              </w:rPr>
              <w:t>20%</w:t>
            </w:r>
          </w:p>
        </w:tc>
        <w:tc>
          <w:tcPr>
            <w:tcW w:w="0" w:type="auto"/>
            <w:shd w:val="clear" w:color="auto" w:fill="auto"/>
          </w:tcPr>
          <w:p w14:paraId="40CB1C83" w14:textId="77777777" w:rsidR="00584FB3" w:rsidRDefault="00584FB3">
            <w:pPr>
              <w:rPr>
                <w:rFonts w:ascii="宋体"/>
                <w:vanish/>
              </w:rPr>
            </w:pPr>
          </w:p>
        </w:tc>
        <w:tc>
          <w:tcPr>
            <w:tcW w:w="0" w:type="auto"/>
            <w:shd w:val="clear" w:color="auto" w:fill="auto"/>
          </w:tcPr>
          <w:p w14:paraId="40CB1C84" w14:textId="77777777" w:rsidR="00584FB3" w:rsidRDefault="00584FB3">
            <w:pPr>
              <w:rPr>
                <w:rFonts w:ascii="宋体"/>
                <w:vanish/>
              </w:rPr>
            </w:pPr>
          </w:p>
        </w:tc>
        <w:tc>
          <w:tcPr>
            <w:tcW w:w="0" w:type="auto"/>
            <w:gridSpan w:val="3"/>
            <w:shd w:val="clear" w:color="auto" w:fill="auto"/>
          </w:tcPr>
          <w:p w14:paraId="40CB1C85" w14:textId="77777777" w:rsidR="00584FB3" w:rsidRDefault="00584FB3">
            <w:pPr>
              <w:rPr>
                <w:rFonts w:ascii="宋体"/>
                <w:vanish/>
              </w:rPr>
            </w:pPr>
          </w:p>
        </w:tc>
        <w:tc>
          <w:tcPr>
            <w:tcW w:w="0" w:type="auto"/>
            <w:gridSpan w:val="3"/>
            <w:shd w:val="clear" w:color="auto" w:fill="auto"/>
          </w:tcPr>
          <w:p w14:paraId="40CB1C86" w14:textId="77777777" w:rsidR="00584FB3" w:rsidRDefault="00584FB3">
            <w:pPr>
              <w:rPr>
                <w:rFonts w:ascii="宋体"/>
                <w:vanish/>
              </w:rPr>
            </w:pPr>
          </w:p>
        </w:tc>
        <w:tc>
          <w:tcPr>
            <w:tcW w:w="0" w:type="auto"/>
            <w:gridSpan w:val="3"/>
            <w:shd w:val="clear" w:color="auto" w:fill="auto"/>
          </w:tcPr>
          <w:p w14:paraId="40CB1C87" w14:textId="77777777" w:rsidR="00584FB3" w:rsidRDefault="00584FB3">
            <w:pPr>
              <w:rPr>
                <w:rFonts w:ascii="宋体"/>
                <w:vanish/>
              </w:rPr>
            </w:pPr>
          </w:p>
        </w:tc>
        <w:tc>
          <w:tcPr>
            <w:tcW w:w="0" w:type="auto"/>
            <w:gridSpan w:val="3"/>
            <w:shd w:val="clear" w:color="auto" w:fill="auto"/>
          </w:tcPr>
          <w:p w14:paraId="40CB1C88" w14:textId="77777777" w:rsidR="00584FB3" w:rsidRDefault="00584FB3">
            <w:pPr>
              <w:rPr>
                <w:rFonts w:ascii="宋体"/>
                <w:vanish/>
              </w:rPr>
            </w:pPr>
          </w:p>
        </w:tc>
      </w:tr>
      <w:tr w:rsidR="00584FB3" w14:paraId="40CB1C96" w14:textId="77777777">
        <w:trPr>
          <w:jc w:val="center"/>
        </w:trPr>
        <w:tc>
          <w:tcPr>
            <w:tcW w:w="0" w:type="auto"/>
            <w:gridSpan w:val="3"/>
            <w:shd w:val="clear" w:color="auto" w:fill="D7E4BC"/>
            <w:tcMar>
              <w:top w:w="40" w:type="dxa"/>
              <w:left w:w="20" w:type="dxa"/>
              <w:bottom w:w="40" w:type="dxa"/>
              <w:right w:w="20" w:type="dxa"/>
            </w:tcMar>
            <w:vAlign w:val="center"/>
          </w:tcPr>
          <w:p w14:paraId="40CB1C8A" w14:textId="77777777" w:rsidR="00584FB3" w:rsidRDefault="00786180">
            <w:pPr>
              <w:textAlignment w:val="center"/>
            </w:pPr>
            <w:r>
              <w:rPr>
                <w:rFonts w:ascii="Times New Roman" w:eastAsia="宋体" w:hAnsi="Times New Roman"/>
                <w:color w:val="000000"/>
                <w:sz w:val="20"/>
                <w:szCs w:val="20"/>
              </w:rPr>
              <w:t>International</w:t>
            </w:r>
          </w:p>
        </w:tc>
        <w:tc>
          <w:tcPr>
            <w:tcW w:w="0" w:type="auto"/>
            <w:gridSpan w:val="3"/>
            <w:shd w:val="clear" w:color="auto" w:fill="D7E4BC"/>
            <w:tcMar>
              <w:top w:w="40" w:type="dxa"/>
              <w:left w:w="20" w:type="dxa"/>
              <w:bottom w:w="40" w:type="dxa"/>
              <w:right w:w="20" w:type="dxa"/>
            </w:tcMar>
            <w:vAlign w:val="bottom"/>
          </w:tcPr>
          <w:p w14:paraId="40CB1C8B" w14:textId="77777777" w:rsidR="00584FB3" w:rsidRDefault="00786180">
            <w:pPr>
              <w:jc w:val="center"/>
              <w:textAlignment w:val="bottom"/>
            </w:pPr>
            <w:r>
              <w:rPr>
                <w:rFonts w:ascii="Times New Roman" w:eastAsia="宋体" w:hAnsi="Times New Roman"/>
                <w:color w:val="000000"/>
                <w:sz w:val="20"/>
                <w:szCs w:val="20"/>
              </w:rPr>
              <w:t>(3)%</w:t>
            </w:r>
          </w:p>
        </w:tc>
        <w:tc>
          <w:tcPr>
            <w:tcW w:w="0" w:type="auto"/>
            <w:gridSpan w:val="3"/>
            <w:shd w:val="clear" w:color="auto" w:fill="D7E4BC"/>
            <w:tcMar>
              <w:top w:w="0" w:type="dxa"/>
              <w:left w:w="20" w:type="dxa"/>
              <w:bottom w:w="0" w:type="dxa"/>
              <w:right w:w="20" w:type="dxa"/>
            </w:tcMar>
          </w:tcPr>
          <w:p w14:paraId="40CB1C8C"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1C8D" w14:textId="77777777" w:rsidR="00584FB3" w:rsidRDefault="00786180">
            <w:pPr>
              <w:jc w:val="center"/>
              <w:textAlignment w:val="bottom"/>
            </w:pPr>
            <w:r>
              <w:rPr>
                <w:rFonts w:ascii="Times New Roman" w:eastAsia="宋体" w:hAnsi="Times New Roman"/>
                <w:color w:val="000000"/>
                <w:sz w:val="20"/>
                <w:szCs w:val="20"/>
              </w:rPr>
              <w:t>(10)%</w:t>
            </w:r>
          </w:p>
        </w:tc>
        <w:tc>
          <w:tcPr>
            <w:tcW w:w="0" w:type="auto"/>
            <w:gridSpan w:val="3"/>
            <w:shd w:val="clear" w:color="auto" w:fill="D7E4BC"/>
            <w:tcMar>
              <w:top w:w="0" w:type="dxa"/>
              <w:left w:w="20" w:type="dxa"/>
              <w:bottom w:w="0" w:type="dxa"/>
              <w:right w:w="20" w:type="dxa"/>
            </w:tcMar>
          </w:tcPr>
          <w:p w14:paraId="40CB1C8E"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vAlign w:val="bottom"/>
          </w:tcPr>
          <w:p w14:paraId="40CB1C8F" w14:textId="77777777" w:rsidR="00584FB3" w:rsidRDefault="00786180">
            <w:pPr>
              <w:jc w:val="center"/>
              <w:textAlignment w:val="bottom"/>
            </w:pPr>
            <w:r>
              <w:rPr>
                <w:rFonts w:ascii="Times New Roman" w:eastAsia="宋体" w:hAnsi="Times New Roman"/>
                <w:color w:val="000000"/>
                <w:sz w:val="20"/>
                <w:szCs w:val="20"/>
              </w:rPr>
              <w:t>8%</w:t>
            </w:r>
          </w:p>
        </w:tc>
        <w:tc>
          <w:tcPr>
            <w:tcW w:w="0" w:type="auto"/>
            <w:shd w:val="clear" w:color="auto" w:fill="auto"/>
          </w:tcPr>
          <w:p w14:paraId="40CB1C90" w14:textId="77777777" w:rsidR="00584FB3" w:rsidRDefault="00584FB3">
            <w:pPr>
              <w:rPr>
                <w:rFonts w:ascii="宋体"/>
                <w:vanish/>
              </w:rPr>
            </w:pPr>
          </w:p>
        </w:tc>
        <w:tc>
          <w:tcPr>
            <w:tcW w:w="0" w:type="auto"/>
            <w:shd w:val="clear" w:color="auto" w:fill="auto"/>
          </w:tcPr>
          <w:p w14:paraId="40CB1C91" w14:textId="77777777" w:rsidR="00584FB3" w:rsidRDefault="00584FB3">
            <w:pPr>
              <w:rPr>
                <w:rFonts w:ascii="宋体"/>
                <w:vanish/>
              </w:rPr>
            </w:pPr>
          </w:p>
        </w:tc>
        <w:tc>
          <w:tcPr>
            <w:tcW w:w="0" w:type="auto"/>
            <w:gridSpan w:val="3"/>
            <w:shd w:val="clear" w:color="auto" w:fill="auto"/>
          </w:tcPr>
          <w:p w14:paraId="40CB1C92" w14:textId="77777777" w:rsidR="00584FB3" w:rsidRDefault="00584FB3">
            <w:pPr>
              <w:rPr>
                <w:rFonts w:ascii="宋体"/>
                <w:vanish/>
              </w:rPr>
            </w:pPr>
          </w:p>
        </w:tc>
        <w:tc>
          <w:tcPr>
            <w:tcW w:w="0" w:type="auto"/>
            <w:gridSpan w:val="3"/>
            <w:shd w:val="clear" w:color="auto" w:fill="auto"/>
          </w:tcPr>
          <w:p w14:paraId="40CB1C93" w14:textId="77777777" w:rsidR="00584FB3" w:rsidRDefault="00584FB3">
            <w:pPr>
              <w:rPr>
                <w:rFonts w:ascii="宋体"/>
                <w:vanish/>
              </w:rPr>
            </w:pPr>
          </w:p>
        </w:tc>
        <w:tc>
          <w:tcPr>
            <w:tcW w:w="0" w:type="auto"/>
            <w:gridSpan w:val="3"/>
            <w:shd w:val="clear" w:color="auto" w:fill="auto"/>
          </w:tcPr>
          <w:p w14:paraId="40CB1C94" w14:textId="77777777" w:rsidR="00584FB3" w:rsidRDefault="00584FB3">
            <w:pPr>
              <w:rPr>
                <w:rFonts w:ascii="宋体"/>
                <w:vanish/>
              </w:rPr>
            </w:pPr>
          </w:p>
        </w:tc>
        <w:tc>
          <w:tcPr>
            <w:tcW w:w="0" w:type="auto"/>
            <w:gridSpan w:val="3"/>
            <w:shd w:val="clear" w:color="auto" w:fill="auto"/>
          </w:tcPr>
          <w:p w14:paraId="40CB1C95" w14:textId="77777777" w:rsidR="00584FB3" w:rsidRDefault="00584FB3">
            <w:pPr>
              <w:rPr>
                <w:rFonts w:ascii="宋体"/>
                <w:vanish/>
              </w:rPr>
            </w:pPr>
          </w:p>
        </w:tc>
      </w:tr>
    </w:tbl>
    <w:p w14:paraId="40CB1C97" w14:textId="77777777" w:rsidR="00584FB3" w:rsidRDefault="00786180">
      <w:pPr>
        <w:spacing w:before="100"/>
      </w:pPr>
      <w:r>
        <w:rPr>
          <w:rFonts w:ascii="Times New Roman" w:eastAsia="宋体" w:hAnsi="Times New Roman"/>
          <w:color w:val="000000"/>
          <w:sz w:val="20"/>
          <w:szCs w:val="20"/>
        </w:rPr>
        <w:t xml:space="preserve">The above comparable store sales for the quarter ended December 27, 2020 decreased primarily due to reduced customer traffic, temporary store closures and stores with modified operations and business hours as a result of COVID-19. </w:t>
      </w:r>
    </w:p>
    <w:p w14:paraId="40CB1C98" w14:textId="77777777" w:rsidR="00584FB3" w:rsidRDefault="00786180">
      <w:pPr>
        <w:spacing w:before="100"/>
      </w:pPr>
      <w:r>
        <w:rPr>
          <w:rFonts w:ascii="Times New Roman" w:eastAsia="宋体" w:hAnsi="Times New Roman"/>
          <w:color w:val="000000"/>
          <w:sz w:val="20"/>
          <w:szCs w:val="20"/>
        </w:rPr>
        <w:t xml:space="preserve">Refer to our </w:t>
      </w:r>
      <w:hyperlink r:id="rId103" w:anchor="i11706e4b673c41db9f2dcbdb897203bb_112" w:history="1">
        <w:r>
          <w:rPr>
            <w:rStyle w:val="a5"/>
            <w:rFonts w:ascii="Times New Roman" w:eastAsia="宋体" w:hAnsi="Times New Roman"/>
            <w:sz w:val="20"/>
            <w:szCs w:val="20"/>
          </w:rPr>
          <w:t>Quarterly Store Data</w:t>
        </w:r>
      </w:hyperlink>
      <w:r>
        <w:rPr>
          <w:rFonts w:ascii="Times New Roman" w:eastAsia="宋体" w:hAnsi="Times New Roman"/>
          <w:color w:val="000000"/>
          <w:sz w:val="20"/>
          <w:szCs w:val="20"/>
        </w:rPr>
        <w:t xml:space="preserve">, also included in Item 2 of Part I of this 10-Q, for additional information on our </w:t>
      </w:r>
      <w:r>
        <w:rPr>
          <w:rFonts w:ascii="Times New Roman" w:eastAsia="宋体" w:hAnsi="Times New Roman"/>
          <w:color w:val="000000"/>
          <w:sz w:val="20"/>
          <w:szCs w:val="20"/>
        </w:rPr>
        <w:t>company operated and licensed store portfolio.</w:t>
      </w:r>
    </w:p>
    <w:p w14:paraId="40CB1C99" w14:textId="77777777" w:rsidR="00584FB3" w:rsidRDefault="00786180">
      <w:pPr>
        <w:jc w:val="center"/>
      </w:pPr>
      <w:r>
        <w:rPr>
          <w:rFonts w:ascii="Times New Roman" w:eastAsia="宋体" w:hAnsi="Times New Roman"/>
          <w:color w:val="000000"/>
          <w:sz w:val="20"/>
          <w:szCs w:val="20"/>
        </w:rPr>
        <w:t>27</w:t>
      </w:r>
    </w:p>
    <w:p w14:paraId="40CB1C9A" w14:textId="77777777" w:rsidR="00584FB3" w:rsidRDefault="00786180">
      <w:r>
        <w:pict w14:anchorId="40CB2A50">
          <v:rect id="_x0000_i1051" style="width:415.3pt;height:1.5pt" o:hralign="center" o:hrstd="t" o:hr="t" fillcolor="#a0a0a0" stroked="f"/>
        </w:pict>
      </w:r>
    </w:p>
    <w:p w14:paraId="40CB1C9B" w14:textId="77777777" w:rsidR="00584FB3" w:rsidRDefault="00786180">
      <w:hyperlink r:id="rId104" w:anchor="i11706e4b673c41db9f2dcbdb897203bb_7" w:history="1">
        <w:r>
          <w:rPr>
            <w:rStyle w:val="a5"/>
            <w:rFonts w:ascii="Times New Roman" w:eastAsia="宋体" w:hAnsi="Times New Roman"/>
            <w:sz w:val="20"/>
            <w:szCs w:val="20"/>
          </w:rPr>
          <w:t>Table of Contents</w:t>
        </w:r>
      </w:hyperlink>
    </w:p>
    <w:p w14:paraId="40CB1C9C" w14:textId="77777777" w:rsidR="00584FB3" w:rsidRDefault="00786180">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w:t>
      </w:r>
      <w:r>
        <w:rPr>
          <w:rFonts w:ascii="Times New Roman" w:eastAsia="宋体" w:hAnsi="Times New Roman"/>
          <w:b/>
          <w:bCs/>
          <w:i/>
          <w:iCs/>
          <w:color w:val="000000"/>
          <w:sz w:val="20"/>
          <w:szCs w:val="20"/>
        </w:rPr>
        <w:t>s)</w:t>
      </w:r>
    </w:p>
    <w:p w14:paraId="40CB1C9D" w14:textId="77777777" w:rsidR="00584FB3" w:rsidRDefault="00786180">
      <w:pPr>
        <w:spacing w:before="180"/>
      </w:pPr>
      <w:r>
        <w:rPr>
          <w:rFonts w:ascii="Times New Roman" w:eastAsia="宋体" w:hAnsi="Times New Roman"/>
          <w:color w:val="000000"/>
          <w:sz w:val="20"/>
          <w:szCs w:val="20"/>
          <w:u w:val="single"/>
        </w:rPr>
        <w:t>Revenues</w:t>
      </w:r>
    </w:p>
    <w:p w14:paraId="40CB1C9E" w14:textId="77777777" w:rsidR="00584FB3" w:rsidRDefault="00584FB3"/>
    <w:tbl>
      <w:tblPr>
        <w:tblW w:w="4985" w:type="pct"/>
        <w:tblCellMar>
          <w:top w:w="15" w:type="dxa"/>
          <w:left w:w="15" w:type="dxa"/>
          <w:bottom w:w="15" w:type="dxa"/>
          <w:right w:w="15" w:type="dxa"/>
        </w:tblCellMar>
        <w:tblLook w:val="04A0" w:firstRow="1" w:lastRow="0" w:firstColumn="1" w:lastColumn="0" w:noHBand="0" w:noVBand="1"/>
      </w:tblPr>
      <w:tblGrid>
        <w:gridCol w:w="37"/>
        <w:gridCol w:w="3962"/>
        <w:gridCol w:w="36"/>
        <w:gridCol w:w="120"/>
        <w:gridCol w:w="677"/>
        <w:gridCol w:w="36"/>
        <w:gridCol w:w="36"/>
        <w:gridCol w:w="36"/>
        <w:gridCol w:w="36"/>
        <w:gridCol w:w="120"/>
        <w:gridCol w:w="650"/>
        <w:gridCol w:w="36"/>
        <w:gridCol w:w="36"/>
        <w:gridCol w:w="36"/>
        <w:gridCol w:w="36"/>
        <w:gridCol w:w="120"/>
        <w:gridCol w:w="586"/>
        <w:gridCol w:w="36"/>
        <w:gridCol w:w="36"/>
        <w:gridCol w:w="36"/>
        <w:gridCol w:w="36"/>
        <w:gridCol w:w="53"/>
        <w:gridCol w:w="578"/>
        <w:gridCol w:w="22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1CBF" w14:textId="77777777">
        <w:tc>
          <w:tcPr>
            <w:tcW w:w="50" w:type="pct"/>
            <w:shd w:val="clear" w:color="auto" w:fill="auto"/>
          </w:tcPr>
          <w:p w14:paraId="40CB1C9F" w14:textId="77777777" w:rsidR="00584FB3" w:rsidRDefault="00584FB3">
            <w:pPr>
              <w:rPr>
                <w:rFonts w:ascii="宋体"/>
              </w:rPr>
            </w:pPr>
          </w:p>
        </w:tc>
        <w:tc>
          <w:tcPr>
            <w:tcW w:w="2664" w:type="pct"/>
            <w:shd w:val="clear" w:color="auto" w:fill="auto"/>
          </w:tcPr>
          <w:p w14:paraId="40CB1CA0" w14:textId="77777777" w:rsidR="00584FB3" w:rsidRDefault="00584FB3">
            <w:pPr>
              <w:rPr>
                <w:rFonts w:ascii="宋体"/>
              </w:rPr>
            </w:pPr>
          </w:p>
        </w:tc>
        <w:tc>
          <w:tcPr>
            <w:tcW w:w="5" w:type="pct"/>
            <w:shd w:val="clear" w:color="auto" w:fill="auto"/>
          </w:tcPr>
          <w:p w14:paraId="40CB1CA1" w14:textId="77777777" w:rsidR="00584FB3" w:rsidRDefault="00584FB3">
            <w:pPr>
              <w:rPr>
                <w:rFonts w:ascii="宋体"/>
              </w:rPr>
            </w:pPr>
          </w:p>
        </w:tc>
        <w:tc>
          <w:tcPr>
            <w:tcW w:w="50" w:type="pct"/>
            <w:shd w:val="clear" w:color="auto" w:fill="auto"/>
          </w:tcPr>
          <w:p w14:paraId="40CB1CA2" w14:textId="77777777" w:rsidR="00584FB3" w:rsidRDefault="00584FB3">
            <w:pPr>
              <w:rPr>
                <w:rFonts w:ascii="宋体"/>
              </w:rPr>
            </w:pPr>
          </w:p>
        </w:tc>
        <w:tc>
          <w:tcPr>
            <w:tcW w:w="487" w:type="pct"/>
            <w:shd w:val="clear" w:color="auto" w:fill="auto"/>
          </w:tcPr>
          <w:p w14:paraId="40CB1CA3" w14:textId="77777777" w:rsidR="00584FB3" w:rsidRDefault="00584FB3">
            <w:pPr>
              <w:rPr>
                <w:rFonts w:ascii="宋体"/>
              </w:rPr>
            </w:pPr>
          </w:p>
        </w:tc>
        <w:tc>
          <w:tcPr>
            <w:tcW w:w="5" w:type="pct"/>
            <w:shd w:val="clear" w:color="auto" w:fill="auto"/>
          </w:tcPr>
          <w:p w14:paraId="40CB1CA4" w14:textId="77777777" w:rsidR="00584FB3" w:rsidRDefault="00584FB3">
            <w:pPr>
              <w:rPr>
                <w:rFonts w:ascii="宋体"/>
              </w:rPr>
            </w:pPr>
          </w:p>
        </w:tc>
        <w:tc>
          <w:tcPr>
            <w:tcW w:w="5" w:type="pct"/>
            <w:shd w:val="clear" w:color="auto" w:fill="auto"/>
          </w:tcPr>
          <w:p w14:paraId="40CB1CA5" w14:textId="77777777" w:rsidR="00584FB3" w:rsidRDefault="00584FB3">
            <w:pPr>
              <w:rPr>
                <w:rFonts w:ascii="宋体"/>
              </w:rPr>
            </w:pPr>
          </w:p>
        </w:tc>
        <w:tc>
          <w:tcPr>
            <w:tcW w:w="26" w:type="pct"/>
            <w:shd w:val="clear" w:color="auto" w:fill="auto"/>
          </w:tcPr>
          <w:p w14:paraId="40CB1CA6" w14:textId="77777777" w:rsidR="00584FB3" w:rsidRDefault="00584FB3">
            <w:pPr>
              <w:rPr>
                <w:rFonts w:ascii="宋体"/>
              </w:rPr>
            </w:pPr>
          </w:p>
        </w:tc>
        <w:tc>
          <w:tcPr>
            <w:tcW w:w="5" w:type="pct"/>
            <w:shd w:val="clear" w:color="auto" w:fill="auto"/>
          </w:tcPr>
          <w:p w14:paraId="40CB1CA7" w14:textId="77777777" w:rsidR="00584FB3" w:rsidRDefault="00584FB3">
            <w:pPr>
              <w:rPr>
                <w:rFonts w:ascii="宋体"/>
              </w:rPr>
            </w:pPr>
          </w:p>
        </w:tc>
        <w:tc>
          <w:tcPr>
            <w:tcW w:w="50" w:type="pct"/>
            <w:shd w:val="clear" w:color="auto" w:fill="auto"/>
          </w:tcPr>
          <w:p w14:paraId="40CB1CA8" w14:textId="77777777" w:rsidR="00584FB3" w:rsidRDefault="00584FB3">
            <w:pPr>
              <w:rPr>
                <w:rFonts w:ascii="宋体"/>
              </w:rPr>
            </w:pPr>
          </w:p>
        </w:tc>
        <w:tc>
          <w:tcPr>
            <w:tcW w:w="487" w:type="pct"/>
            <w:shd w:val="clear" w:color="auto" w:fill="auto"/>
          </w:tcPr>
          <w:p w14:paraId="40CB1CA9" w14:textId="77777777" w:rsidR="00584FB3" w:rsidRDefault="00584FB3">
            <w:pPr>
              <w:rPr>
                <w:rFonts w:ascii="宋体"/>
              </w:rPr>
            </w:pPr>
          </w:p>
        </w:tc>
        <w:tc>
          <w:tcPr>
            <w:tcW w:w="5" w:type="pct"/>
            <w:shd w:val="clear" w:color="auto" w:fill="auto"/>
          </w:tcPr>
          <w:p w14:paraId="40CB1CAA" w14:textId="77777777" w:rsidR="00584FB3" w:rsidRDefault="00584FB3">
            <w:pPr>
              <w:rPr>
                <w:rFonts w:ascii="宋体"/>
              </w:rPr>
            </w:pPr>
          </w:p>
        </w:tc>
        <w:tc>
          <w:tcPr>
            <w:tcW w:w="5" w:type="pct"/>
            <w:shd w:val="clear" w:color="auto" w:fill="auto"/>
          </w:tcPr>
          <w:p w14:paraId="40CB1CAB" w14:textId="77777777" w:rsidR="00584FB3" w:rsidRDefault="00584FB3">
            <w:pPr>
              <w:rPr>
                <w:rFonts w:ascii="宋体"/>
              </w:rPr>
            </w:pPr>
          </w:p>
        </w:tc>
        <w:tc>
          <w:tcPr>
            <w:tcW w:w="26" w:type="pct"/>
            <w:shd w:val="clear" w:color="auto" w:fill="auto"/>
          </w:tcPr>
          <w:p w14:paraId="40CB1CAC" w14:textId="77777777" w:rsidR="00584FB3" w:rsidRDefault="00584FB3">
            <w:pPr>
              <w:rPr>
                <w:rFonts w:ascii="宋体"/>
              </w:rPr>
            </w:pPr>
          </w:p>
        </w:tc>
        <w:tc>
          <w:tcPr>
            <w:tcW w:w="5" w:type="pct"/>
            <w:shd w:val="clear" w:color="auto" w:fill="auto"/>
          </w:tcPr>
          <w:p w14:paraId="40CB1CAD" w14:textId="77777777" w:rsidR="00584FB3" w:rsidRDefault="00584FB3">
            <w:pPr>
              <w:rPr>
                <w:rFonts w:ascii="宋体"/>
              </w:rPr>
            </w:pPr>
          </w:p>
        </w:tc>
        <w:tc>
          <w:tcPr>
            <w:tcW w:w="50" w:type="pct"/>
            <w:shd w:val="clear" w:color="auto" w:fill="auto"/>
          </w:tcPr>
          <w:p w14:paraId="40CB1CAE" w14:textId="77777777" w:rsidR="00584FB3" w:rsidRDefault="00584FB3">
            <w:pPr>
              <w:rPr>
                <w:rFonts w:ascii="宋体"/>
              </w:rPr>
            </w:pPr>
          </w:p>
        </w:tc>
        <w:tc>
          <w:tcPr>
            <w:tcW w:w="487" w:type="pct"/>
            <w:shd w:val="clear" w:color="auto" w:fill="auto"/>
          </w:tcPr>
          <w:p w14:paraId="40CB1CAF" w14:textId="77777777" w:rsidR="00584FB3" w:rsidRDefault="00584FB3">
            <w:pPr>
              <w:rPr>
                <w:rFonts w:ascii="宋体"/>
              </w:rPr>
            </w:pPr>
          </w:p>
        </w:tc>
        <w:tc>
          <w:tcPr>
            <w:tcW w:w="5" w:type="pct"/>
            <w:shd w:val="clear" w:color="auto" w:fill="auto"/>
          </w:tcPr>
          <w:p w14:paraId="40CB1CB0" w14:textId="77777777" w:rsidR="00584FB3" w:rsidRDefault="00584FB3">
            <w:pPr>
              <w:rPr>
                <w:rFonts w:ascii="宋体"/>
              </w:rPr>
            </w:pPr>
          </w:p>
        </w:tc>
        <w:tc>
          <w:tcPr>
            <w:tcW w:w="5" w:type="pct"/>
            <w:shd w:val="clear" w:color="auto" w:fill="auto"/>
          </w:tcPr>
          <w:p w14:paraId="40CB1CB1" w14:textId="77777777" w:rsidR="00584FB3" w:rsidRDefault="00584FB3">
            <w:pPr>
              <w:rPr>
                <w:rFonts w:ascii="宋体"/>
              </w:rPr>
            </w:pPr>
          </w:p>
        </w:tc>
        <w:tc>
          <w:tcPr>
            <w:tcW w:w="26" w:type="pct"/>
            <w:shd w:val="clear" w:color="auto" w:fill="auto"/>
          </w:tcPr>
          <w:p w14:paraId="40CB1CB2" w14:textId="77777777" w:rsidR="00584FB3" w:rsidRDefault="00584FB3">
            <w:pPr>
              <w:rPr>
                <w:rFonts w:ascii="宋体"/>
              </w:rPr>
            </w:pPr>
          </w:p>
        </w:tc>
        <w:tc>
          <w:tcPr>
            <w:tcW w:w="5" w:type="pct"/>
            <w:shd w:val="clear" w:color="auto" w:fill="auto"/>
          </w:tcPr>
          <w:p w14:paraId="40CB1CB3" w14:textId="77777777" w:rsidR="00584FB3" w:rsidRDefault="00584FB3">
            <w:pPr>
              <w:rPr>
                <w:rFonts w:ascii="宋体"/>
              </w:rPr>
            </w:pPr>
          </w:p>
        </w:tc>
        <w:tc>
          <w:tcPr>
            <w:tcW w:w="50" w:type="pct"/>
            <w:shd w:val="clear" w:color="auto" w:fill="auto"/>
          </w:tcPr>
          <w:p w14:paraId="40CB1CB4" w14:textId="77777777" w:rsidR="00584FB3" w:rsidRDefault="00584FB3">
            <w:pPr>
              <w:rPr>
                <w:rFonts w:ascii="宋体"/>
              </w:rPr>
            </w:pPr>
          </w:p>
        </w:tc>
        <w:tc>
          <w:tcPr>
            <w:tcW w:w="487" w:type="pct"/>
            <w:shd w:val="clear" w:color="auto" w:fill="auto"/>
          </w:tcPr>
          <w:p w14:paraId="40CB1CB5" w14:textId="77777777" w:rsidR="00584FB3" w:rsidRDefault="00584FB3">
            <w:pPr>
              <w:rPr>
                <w:rFonts w:ascii="宋体"/>
              </w:rPr>
            </w:pPr>
          </w:p>
        </w:tc>
        <w:tc>
          <w:tcPr>
            <w:tcW w:w="5" w:type="pct"/>
            <w:shd w:val="clear" w:color="auto" w:fill="auto"/>
          </w:tcPr>
          <w:p w14:paraId="40CB1CB6" w14:textId="77777777" w:rsidR="00584FB3" w:rsidRDefault="00584FB3">
            <w:pPr>
              <w:rPr>
                <w:rFonts w:ascii="宋体"/>
              </w:rPr>
            </w:pPr>
          </w:p>
        </w:tc>
        <w:tc>
          <w:tcPr>
            <w:tcW w:w="0" w:type="auto"/>
            <w:shd w:val="clear" w:color="auto" w:fill="auto"/>
          </w:tcPr>
          <w:p w14:paraId="40CB1CB7" w14:textId="77777777" w:rsidR="00584FB3" w:rsidRDefault="00584FB3">
            <w:pPr>
              <w:rPr>
                <w:rFonts w:ascii="宋体"/>
                <w:vanish/>
              </w:rPr>
            </w:pPr>
          </w:p>
        </w:tc>
        <w:tc>
          <w:tcPr>
            <w:tcW w:w="0" w:type="auto"/>
            <w:shd w:val="clear" w:color="auto" w:fill="auto"/>
          </w:tcPr>
          <w:p w14:paraId="40CB1CB8" w14:textId="77777777" w:rsidR="00584FB3" w:rsidRDefault="00584FB3">
            <w:pPr>
              <w:rPr>
                <w:rFonts w:ascii="宋体"/>
                <w:vanish/>
              </w:rPr>
            </w:pPr>
          </w:p>
        </w:tc>
        <w:tc>
          <w:tcPr>
            <w:tcW w:w="0" w:type="auto"/>
            <w:gridSpan w:val="3"/>
            <w:shd w:val="clear" w:color="auto" w:fill="auto"/>
          </w:tcPr>
          <w:p w14:paraId="40CB1CB9" w14:textId="77777777" w:rsidR="00584FB3" w:rsidRDefault="00584FB3">
            <w:pPr>
              <w:rPr>
                <w:rFonts w:ascii="宋体"/>
                <w:vanish/>
              </w:rPr>
            </w:pPr>
          </w:p>
        </w:tc>
        <w:tc>
          <w:tcPr>
            <w:tcW w:w="0" w:type="auto"/>
            <w:gridSpan w:val="3"/>
            <w:shd w:val="clear" w:color="auto" w:fill="auto"/>
          </w:tcPr>
          <w:p w14:paraId="40CB1CBA" w14:textId="77777777" w:rsidR="00584FB3" w:rsidRDefault="00584FB3">
            <w:pPr>
              <w:rPr>
                <w:rFonts w:ascii="宋体"/>
                <w:vanish/>
              </w:rPr>
            </w:pPr>
          </w:p>
        </w:tc>
        <w:tc>
          <w:tcPr>
            <w:tcW w:w="0" w:type="auto"/>
            <w:gridSpan w:val="3"/>
            <w:shd w:val="clear" w:color="auto" w:fill="auto"/>
          </w:tcPr>
          <w:p w14:paraId="40CB1CBB" w14:textId="77777777" w:rsidR="00584FB3" w:rsidRDefault="00584FB3">
            <w:pPr>
              <w:rPr>
                <w:rFonts w:ascii="宋体"/>
                <w:vanish/>
              </w:rPr>
            </w:pPr>
          </w:p>
        </w:tc>
        <w:tc>
          <w:tcPr>
            <w:tcW w:w="0" w:type="auto"/>
            <w:gridSpan w:val="3"/>
            <w:shd w:val="clear" w:color="auto" w:fill="auto"/>
          </w:tcPr>
          <w:p w14:paraId="40CB1CBC" w14:textId="77777777" w:rsidR="00584FB3" w:rsidRDefault="00584FB3">
            <w:pPr>
              <w:rPr>
                <w:rFonts w:ascii="宋体"/>
                <w:vanish/>
              </w:rPr>
            </w:pPr>
          </w:p>
        </w:tc>
        <w:tc>
          <w:tcPr>
            <w:tcW w:w="0" w:type="auto"/>
            <w:gridSpan w:val="3"/>
            <w:shd w:val="clear" w:color="auto" w:fill="auto"/>
          </w:tcPr>
          <w:p w14:paraId="40CB1CBD" w14:textId="77777777" w:rsidR="00584FB3" w:rsidRDefault="00584FB3">
            <w:pPr>
              <w:rPr>
                <w:rFonts w:ascii="宋体"/>
                <w:vanish/>
              </w:rPr>
            </w:pPr>
          </w:p>
        </w:tc>
        <w:tc>
          <w:tcPr>
            <w:tcW w:w="0" w:type="auto"/>
            <w:gridSpan w:val="3"/>
            <w:shd w:val="clear" w:color="auto" w:fill="auto"/>
          </w:tcPr>
          <w:p w14:paraId="40CB1CBE" w14:textId="77777777" w:rsidR="00584FB3" w:rsidRDefault="00584FB3">
            <w:pPr>
              <w:rPr>
                <w:rFonts w:ascii="宋体"/>
                <w:vanish/>
              </w:rPr>
            </w:pPr>
          </w:p>
        </w:tc>
      </w:tr>
      <w:tr w:rsidR="00584FB3" w14:paraId="40CB1CD6" w14:textId="77777777">
        <w:tc>
          <w:tcPr>
            <w:tcW w:w="0" w:type="auto"/>
            <w:gridSpan w:val="3"/>
            <w:shd w:val="clear" w:color="auto" w:fill="auto"/>
            <w:tcMar>
              <w:top w:w="40" w:type="dxa"/>
              <w:left w:w="20" w:type="dxa"/>
              <w:bottom w:w="40" w:type="dxa"/>
              <w:right w:w="20" w:type="dxa"/>
            </w:tcMar>
            <w:vAlign w:val="bottom"/>
          </w:tcPr>
          <w:p w14:paraId="40CB1CC0" w14:textId="77777777" w:rsidR="00584FB3" w:rsidRDefault="00786180">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40CB1CC1"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CC2" w14:textId="77777777" w:rsidR="00584FB3" w:rsidRDefault="00584FB3">
            <w:pPr>
              <w:rPr>
                <w:rFonts w:ascii="宋体"/>
                <w:vanish/>
              </w:rPr>
            </w:pPr>
          </w:p>
        </w:tc>
        <w:tc>
          <w:tcPr>
            <w:tcW w:w="0" w:type="auto"/>
            <w:shd w:val="clear" w:color="auto" w:fill="auto"/>
          </w:tcPr>
          <w:p w14:paraId="40CB1CC3" w14:textId="77777777" w:rsidR="00584FB3" w:rsidRDefault="00584FB3">
            <w:pPr>
              <w:rPr>
                <w:rFonts w:ascii="宋体"/>
                <w:vanish/>
              </w:rPr>
            </w:pPr>
          </w:p>
        </w:tc>
        <w:tc>
          <w:tcPr>
            <w:tcW w:w="0" w:type="auto"/>
            <w:shd w:val="clear" w:color="auto" w:fill="auto"/>
          </w:tcPr>
          <w:p w14:paraId="40CB1CC4" w14:textId="77777777" w:rsidR="00584FB3" w:rsidRDefault="00584FB3">
            <w:pPr>
              <w:rPr>
                <w:rFonts w:ascii="宋体"/>
              </w:rPr>
            </w:pPr>
          </w:p>
        </w:tc>
        <w:tc>
          <w:tcPr>
            <w:tcW w:w="0" w:type="auto"/>
            <w:shd w:val="clear" w:color="auto" w:fill="auto"/>
          </w:tcPr>
          <w:p w14:paraId="40CB1CC5" w14:textId="77777777" w:rsidR="00584FB3" w:rsidRDefault="00584FB3">
            <w:pPr>
              <w:rPr>
                <w:rFonts w:ascii="宋体"/>
              </w:rPr>
            </w:pPr>
          </w:p>
        </w:tc>
        <w:tc>
          <w:tcPr>
            <w:tcW w:w="0" w:type="auto"/>
            <w:shd w:val="clear" w:color="auto" w:fill="auto"/>
          </w:tcPr>
          <w:p w14:paraId="40CB1CC6" w14:textId="77777777" w:rsidR="00584FB3" w:rsidRDefault="00584FB3">
            <w:pPr>
              <w:rPr>
                <w:rFonts w:ascii="宋体"/>
              </w:rPr>
            </w:pPr>
          </w:p>
        </w:tc>
        <w:tc>
          <w:tcPr>
            <w:tcW w:w="0" w:type="auto"/>
            <w:shd w:val="clear" w:color="auto" w:fill="auto"/>
          </w:tcPr>
          <w:p w14:paraId="40CB1CC7" w14:textId="77777777" w:rsidR="00584FB3" w:rsidRDefault="00584FB3">
            <w:pPr>
              <w:rPr>
                <w:rFonts w:ascii="宋体"/>
              </w:rPr>
            </w:pPr>
          </w:p>
        </w:tc>
        <w:tc>
          <w:tcPr>
            <w:tcW w:w="0" w:type="auto"/>
            <w:shd w:val="clear" w:color="auto" w:fill="auto"/>
          </w:tcPr>
          <w:p w14:paraId="40CB1CC8" w14:textId="77777777" w:rsidR="00584FB3" w:rsidRDefault="00584FB3">
            <w:pPr>
              <w:rPr>
                <w:rFonts w:ascii="宋体"/>
              </w:rPr>
            </w:pPr>
          </w:p>
        </w:tc>
        <w:tc>
          <w:tcPr>
            <w:tcW w:w="0" w:type="auto"/>
            <w:shd w:val="clear" w:color="auto" w:fill="auto"/>
          </w:tcPr>
          <w:p w14:paraId="40CB1CC9" w14:textId="77777777" w:rsidR="00584FB3" w:rsidRDefault="00584FB3">
            <w:pPr>
              <w:rPr>
                <w:rFonts w:ascii="宋体"/>
              </w:rPr>
            </w:pPr>
          </w:p>
        </w:tc>
        <w:tc>
          <w:tcPr>
            <w:tcW w:w="0" w:type="auto"/>
            <w:shd w:val="clear" w:color="auto" w:fill="auto"/>
          </w:tcPr>
          <w:p w14:paraId="40CB1CCA" w14:textId="77777777" w:rsidR="00584FB3" w:rsidRDefault="00584FB3">
            <w:pPr>
              <w:rPr>
                <w:rFonts w:ascii="宋体"/>
              </w:rPr>
            </w:pPr>
          </w:p>
        </w:tc>
        <w:tc>
          <w:tcPr>
            <w:tcW w:w="0" w:type="auto"/>
            <w:shd w:val="clear" w:color="auto" w:fill="auto"/>
          </w:tcPr>
          <w:p w14:paraId="40CB1CCB" w14:textId="77777777" w:rsidR="00584FB3" w:rsidRDefault="00584FB3">
            <w:pPr>
              <w:rPr>
                <w:rFonts w:ascii="宋体"/>
              </w:rPr>
            </w:pPr>
          </w:p>
        </w:tc>
        <w:tc>
          <w:tcPr>
            <w:tcW w:w="0" w:type="auto"/>
            <w:shd w:val="clear" w:color="auto" w:fill="auto"/>
          </w:tcPr>
          <w:p w14:paraId="40CB1CCC" w14:textId="77777777" w:rsidR="00584FB3" w:rsidRDefault="00584FB3">
            <w:pPr>
              <w:rPr>
                <w:rFonts w:ascii="宋体"/>
              </w:rPr>
            </w:pPr>
          </w:p>
        </w:tc>
        <w:tc>
          <w:tcPr>
            <w:tcW w:w="0" w:type="auto"/>
            <w:shd w:val="clear" w:color="auto" w:fill="auto"/>
          </w:tcPr>
          <w:p w14:paraId="40CB1CCD" w14:textId="77777777" w:rsidR="00584FB3" w:rsidRDefault="00584FB3">
            <w:pPr>
              <w:rPr>
                <w:rFonts w:ascii="宋体"/>
              </w:rPr>
            </w:pPr>
          </w:p>
        </w:tc>
        <w:tc>
          <w:tcPr>
            <w:tcW w:w="0" w:type="auto"/>
            <w:shd w:val="clear" w:color="auto" w:fill="auto"/>
          </w:tcPr>
          <w:p w14:paraId="40CB1CCE" w14:textId="77777777" w:rsidR="00584FB3" w:rsidRDefault="00584FB3">
            <w:pPr>
              <w:rPr>
                <w:rFonts w:ascii="宋体"/>
              </w:rPr>
            </w:pPr>
          </w:p>
        </w:tc>
        <w:tc>
          <w:tcPr>
            <w:tcW w:w="0" w:type="auto"/>
            <w:shd w:val="clear" w:color="auto" w:fill="auto"/>
          </w:tcPr>
          <w:p w14:paraId="40CB1CCF" w14:textId="77777777" w:rsidR="00584FB3" w:rsidRDefault="00584FB3">
            <w:pPr>
              <w:rPr>
                <w:rFonts w:ascii="宋体"/>
              </w:rPr>
            </w:pPr>
          </w:p>
        </w:tc>
        <w:tc>
          <w:tcPr>
            <w:tcW w:w="0" w:type="auto"/>
            <w:shd w:val="clear" w:color="auto" w:fill="auto"/>
          </w:tcPr>
          <w:p w14:paraId="40CB1CD0" w14:textId="77777777" w:rsidR="00584FB3" w:rsidRDefault="00584FB3">
            <w:pPr>
              <w:rPr>
                <w:rFonts w:ascii="宋体"/>
              </w:rPr>
            </w:pPr>
          </w:p>
        </w:tc>
        <w:tc>
          <w:tcPr>
            <w:tcW w:w="0" w:type="auto"/>
            <w:shd w:val="clear" w:color="auto" w:fill="auto"/>
          </w:tcPr>
          <w:p w14:paraId="40CB1CD1" w14:textId="77777777" w:rsidR="00584FB3" w:rsidRDefault="00584FB3">
            <w:pPr>
              <w:rPr>
                <w:rFonts w:ascii="宋体"/>
              </w:rPr>
            </w:pPr>
          </w:p>
        </w:tc>
        <w:tc>
          <w:tcPr>
            <w:tcW w:w="0" w:type="auto"/>
            <w:shd w:val="clear" w:color="auto" w:fill="auto"/>
          </w:tcPr>
          <w:p w14:paraId="40CB1CD2" w14:textId="77777777" w:rsidR="00584FB3" w:rsidRDefault="00584FB3">
            <w:pPr>
              <w:rPr>
                <w:rFonts w:ascii="宋体"/>
              </w:rPr>
            </w:pPr>
          </w:p>
        </w:tc>
        <w:tc>
          <w:tcPr>
            <w:tcW w:w="0" w:type="auto"/>
            <w:shd w:val="clear" w:color="auto" w:fill="auto"/>
          </w:tcPr>
          <w:p w14:paraId="40CB1CD3" w14:textId="77777777" w:rsidR="00584FB3" w:rsidRDefault="00584FB3">
            <w:pPr>
              <w:rPr>
                <w:rFonts w:ascii="宋体"/>
              </w:rPr>
            </w:pPr>
          </w:p>
        </w:tc>
        <w:tc>
          <w:tcPr>
            <w:tcW w:w="0" w:type="auto"/>
            <w:shd w:val="clear" w:color="auto" w:fill="auto"/>
          </w:tcPr>
          <w:p w14:paraId="40CB1CD4" w14:textId="77777777" w:rsidR="00584FB3" w:rsidRDefault="00584FB3">
            <w:pPr>
              <w:rPr>
                <w:rFonts w:ascii="宋体"/>
              </w:rPr>
            </w:pPr>
          </w:p>
        </w:tc>
        <w:tc>
          <w:tcPr>
            <w:tcW w:w="0" w:type="auto"/>
            <w:shd w:val="clear" w:color="auto" w:fill="auto"/>
          </w:tcPr>
          <w:p w14:paraId="40CB1CD5" w14:textId="77777777" w:rsidR="00584FB3" w:rsidRDefault="00584FB3">
            <w:pPr>
              <w:rPr>
                <w:rFonts w:ascii="宋体"/>
              </w:rPr>
            </w:pPr>
          </w:p>
        </w:tc>
      </w:tr>
      <w:tr w:rsidR="00584FB3" w14:paraId="40CB1CE8" w14:textId="77777777">
        <w:tc>
          <w:tcPr>
            <w:tcW w:w="0" w:type="auto"/>
            <w:gridSpan w:val="3"/>
            <w:shd w:val="clear" w:color="auto" w:fill="auto"/>
            <w:tcMar>
              <w:top w:w="0" w:type="dxa"/>
              <w:left w:w="20" w:type="dxa"/>
              <w:bottom w:w="0" w:type="dxa"/>
              <w:right w:w="20" w:type="dxa"/>
            </w:tcMar>
          </w:tcPr>
          <w:p w14:paraId="40CB1CD7"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CD8"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1CD9"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CDA"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1CDB"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CDC" w14:textId="77777777" w:rsidR="00584FB3" w:rsidRDefault="00786180">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tcPr>
          <w:p w14:paraId="40CB1CD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CDE" w14:textId="77777777" w:rsidR="00584FB3" w:rsidRDefault="00786180">
            <w:pPr>
              <w:jc w:val="center"/>
              <w:textAlignment w:val="bottom"/>
            </w:pPr>
            <w:r>
              <w:rPr>
                <w:rFonts w:ascii="Times New Roman" w:eastAsia="宋体" w:hAnsi="Times New Roman"/>
                <w:b/>
                <w:bCs/>
                <w:color w:val="FFFFFF"/>
                <w:sz w:val="16"/>
                <w:szCs w:val="16"/>
              </w:rPr>
              <w:t>%</w:t>
            </w:r>
          </w:p>
          <w:p w14:paraId="40CB1CDF"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shd w:val="clear" w:color="auto" w:fill="auto"/>
          </w:tcPr>
          <w:p w14:paraId="40CB1CE0" w14:textId="77777777" w:rsidR="00584FB3" w:rsidRDefault="00584FB3">
            <w:pPr>
              <w:rPr>
                <w:rFonts w:ascii="宋体"/>
                <w:vanish/>
              </w:rPr>
            </w:pPr>
          </w:p>
        </w:tc>
        <w:tc>
          <w:tcPr>
            <w:tcW w:w="0" w:type="auto"/>
            <w:shd w:val="clear" w:color="auto" w:fill="auto"/>
          </w:tcPr>
          <w:p w14:paraId="40CB1CE1" w14:textId="77777777" w:rsidR="00584FB3" w:rsidRDefault="00584FB3">
            <w:pPr>
              <w:rPr>
                <w:rFonts w:ascii="宋体"/>
                <w:vanish/>
              </w:rPr>
            </w:pPr>
          </w:p>
        </w:tc>
        <w:tc>
          <w:tcPr>
            <w:tcW w:w="0" w:type="auto"/>
            <w:gridSpan w:val="3"/>
            <w:shd w:val="clear" w:color="auto" w:fill="auto"/>
          </w:tcPr>
          <w:p w14:paraId="40CB1CE2" w14:textId="77777777" w:rsidR="00584FB3" w:rsidRDefault="00584FB3">
            <w:pPr>
              <w:rPr>
                <w:rFonts w:ascii="宋体"/>
                <w:vanish/>
              </w:rPr>
            </w:pPr>
          </w:p>
        </w:tc>
        <w:tc>
          <w:tcPr>
            <w:tcW w:w="0" w:type="auto"/>
            <w:gridSpan w:val="3"/>
            <w:shd w:val="clear" w:color="auto" w:fill="auto"/>
          </w:tcPr>
          <w:p w14:paraId="40CB1CE3" w14:textId="77777777" w:rsidR="00584FB3" w:rsidRDefault="00584FB3">
            <w:pPr>
              <w:rPr>
                <w:rFonts w:ascii="宋体"/>
                <w:vanish/>
              </w:rPr>
            </w:pPr>
          </w:p>
        </w:tc>
        <w:tc>
          <w:tcPr>
            <w:tcW w:w="0" w:type="auto"/>
            <w:gridSpan w:val="3"/>
            <w:shd w:val="clear" w:color="auto" w:fill="auto"/>
          </w:tcPr>
          <w:p w14:paraId="40CB1CE4" w14:textId="77777777" w:rsidR="00584FB3" w:rsidRDefault="00584FB3">
            <w:pPr>
              <w:rPr>
                <w:rFonts w:ascii="宋体"/>
                <w:vanish/>
              </w:rPr>
            </w:pPr>
          </w:p>
        </w:tc>
        <w:tc>
          <w:tcPr>
            <w:tcW w:w="0" w:type="auto"/>
            <w:gridSpan w:val="3"/>
            <w:shd w:val="clear" w:color="auto" w:fill="auto"/>
          </w:tcPr>
          <w:p w14:paraId="40CB1CE5" w14:textId="77777777" w:rsidR="00584FB3" w:rsidRDefault="00584FB3">
            <w:pPr>
              <w:rPr>
                <w:rFonts w:ascii="宋体"/>
                <w:vanish/>
              </w:rPr>
            </w:pPr>
          </w:p>
        </w:tc>
        <w:tc>
          <w:tcPr>
            <w:tcW w:w="0" w:type="auto"/>
            <w:gridSpan w:val="3"/>
            <w:shd w:val="clear" w:color="auto" w:fill="auto"/>
          </w:tcPr>
          <w:p w14:paraId="40CB1CE6" w14:textId="77777777" w:rsidR="00584FB3" w:rsidRDefault="00584FB3">
            <w:pPr>
              <w:rPr>
                <w:rFonts w:ascii="宋体"/>
                <w:vanish/>
              </w:rPr>
            </w:pPr>
          </w:p>
        </w:tc>
        <w:tc>
          <w:tcPr>
            <w:tcW w:w="0" w:type="auto"/>
            <w:gridSpan w:val="3"/>
            <w:shd w:val="clear" w:color="auto" w:fill="auto"/>
          </w:tcPr>
          <w:p w14:paraId="40CB1CE7" w14:textId="77777777" w:rsidR="00584FB3" w:rsidRDefault="00584FB3">
            <w:pPr>
              <w:rPr>
                <w:rFonts w:ascii="宋体"/>
                <w:vanish/>
              </w:rPr>
            </w:pPr>
          </w:p>
        </w:tc>
      </w:tr>
      <w:tr w:rsidR="00584FB3" w14:paraId="40CB1D00" w14:textId="77777777">
        <w:tc>
          <w:tcPr>
            <w:tcW w:w="0" w:type="auto"/>
            <w:gridSpan w:val="3"/>
            <w:shd w:val="clear" w:color="auto" w:fill="D7E4BC"/>
            <w:tcMar>
              <w:top w:w="40" w:type="dxa"/>
              <w:left w:w="20" w:type="dxa"/>
              <w:bottom w:w="40" w:type="dxa"/>
              <w:right w:w="20" w:type="dxa"/>
            </w:tcMar>
          </w:tcPr>
          <w:p w14:paraId="40CB1CE9" w14:textId="77777777" w:rsidR="00584FB3" w:rsidRDefault="00786180">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CEA"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CEB" w14:textId="77777777" w:rsidR="00584FB3" w:rsidRDefault="00786180">
            <w:pPr>
              <w:jc w:val="right"/>
              <w:textAlignment w:val="bottom"/>
            </w:pPr>
            <w:r>
              <w:rPr>
                <w:rFonts w:ascii="Times New Roman" w:eastAsia="宋体" w:hAnsi="Times New Roman"/>
                <w:color w:val="000000"/>
                <w:sz w:val="20"/>
                <w:szCs w:val="20"/>
              </w:rPr>
              <w:t>5,726.5 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CE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CED"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CEE"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CEF" w14:textId="77777777" w:rsidR="00584FB3" w:rsidRDefault="00786180">
            <w:pPr>
              <w:jc w:val="right"/>
              <w:textAlignment w:val="bottom"/>
            </w:pPr>
            <w:r>
              <w:rPr>
                <w:rFonts w:ascii="Times New Roman" w:eastAsia="宋体" w:hAnsi="Times New Roman"/>
                <w:color w:val="000000"/>
                <w:sz w:val="20"/>
                <w:szCs w:val="20"/>
              </w:rPr>
              <w:t>5,780.7 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CF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CF1"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CF2" w14:textId="77777777" w:rsidR="00584FB3" w:rsidRDefault="0078618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CF3" w14:textId="77777777" w:rsidR="00584FB3" w:rsidRDefault="00786180">
            <w:pPr>
              <w:jc w:val="right"/>
              <w:textAlignment w:val="bottom"/>
            </w:pPr>
            <w:r>
              <w:rPr>
                <w:rFonts w:ascii="Times New Roman" w:eastAsia="宋体" w:hAnsi="Times New Roman"/>
                <w:color w:val="000000"/>
                <w:sz w:val="20"/>
                <w:szCs w:val="20"/>
              </w:rPr>
              <w:t>(54.2)</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CF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CF5"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CF6" w14:textId="77777777" w:rsidR="00584FB3" w:rsidRDefault="00786180">
            <w:pPr>
              <w:jc w:val="right"/>
              <w:textAlignment w:val="bottom"/>
            </w:pPr>
            <w:r>
              <w:rPr>
                <w:rFonts w:ascii="Times New Roman" w:eastAsia="宋体" w:hAnsi="Times New Roman"/>
                <w:color w:val="000000"/>
                <w:sz w:val="20"/>
                <w:szCs w:val="20"/>
              </w:rPr>
              <w:t>(0.9)</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CF7"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1CF8" w14:textId="77777777" w:rsidR="00584FB3" w:rsidRDefault="00584FB3">
            <w:pPr>
              <w:rPr>
                <w:rFonts w:ascii="宋体"/>
                <w:vanish/>
              </w:rPr>
            </w:pPr>
          </w:p>
        </w:tc>
        <w:tc>
          <w:tcPr>
            <w:tcW w:w="0" w:type="auto"/>
            <w:shd w:val="clear" w:color="auto" w:fill="auto"/>
          </w:tcPr>
          <w:p w14:paraId="40CB1CF9" w14:textId="77777777" w:rsidR="00584FB3" w:rsidRDefault="00584FB3">
            <w:pPr>
              <w:rPr>
                <w:rFonts w:ascii="宋体"/>
                <w:vanish/>
              </w:rPr>
            </w:pPr>
          </w:p>
        </w:tc>
        <w:tc>
          <w:tcPr>
            <w:tcW w:w="0" w:type="auto"/>
            <w:gridSpan w:val="3"/>
            <w:shd w:val="clear" w:color="auto" w:fill="auto"/>
          </w:tcPr>
          <w:p w14:paraId="40CB1CFA" w14:textId="77777777" w:rsidR="00584FB3" w:rsidRDefault="00584FB3">
            <w:pPr>
              <w:rPr>
                <w:rFonts w:ascii="宋体"/>
                <w:vanish/>
              </w:rPr>
            </w:pPr>
          </w:p>
        </w:tc>
        <w:tc>
          <w:tcPr>
            <w:tcW w:w="0" w:type="auto"/>
            <w:gridSpan w:val="3"/>
            <w:shd w:val="clear" w:color="auto" w:fill="auto"/>
          </w:tcPr>
          <w:p w14:paraId="40CB1CFB" w14:textId="77777777" w:rsidR="00584FB3" w:rsidRDefault="00584FB3">
            <w:pPr>
              <w:rPr>
                <w:rFonts w:ascii="宋体"/>
                <w:vanish/>
              </w:rPr>
            </w:pPr>
          </w:p>
        </w:tc>
        <w:tc>
          <w:tcPr>
            <w:tcW w:w="0" w:type="auto"/>
            <w:gridSpan w:val="3"/>
            <w:shd w:val="clear" w:color="auto" w:fill="auto"/>
          </w:tcPr>
          <w:p w14:paraId="40CB1CFC" w14:textId="77777777" w:rsidR="00584FB3" w:rsidRDefault="00584FB3">
            <w:pPr>
              <w:rPr>
                <w:rFonts w:ascii="宋体"/>
                <w:vanish/>
              </w:rPr>
            </w:pPr>
          </w:p>
        </w:tc>
        <w:tc>
          <w:tcPr>
            <w:tcW w:w="0" w:type="auto"/>
            <w:gridSpan w:val="3"/>
            <w:shd w:val="clear" w:color="auto" w:fill="auto"/>
          </w:tcPr>
          <w:p w14:paraId="40CB1CFD" w14:textId="77777777" w:rsidR="00584FB3" w:rsidRDefault="00584FB3">
            <w:pPr>
              <w:rPr>
                <w:rFonts w:ascii="宋体"/>
                <w:vanish/>
              </w:rPr>
            </w:pPr>
          </w:p>
        </w:tc>
        <w:tc>
          <w:tcPr>
            <w:tcW w:w="0" w:type="auto"/>
            <w:gridSpan w:val="3"/>
            <w:shd w:val="clear" w:color="auto" w:fill="auto"/>
          </w:tcPr>
          <w:p w14:paraId="40CB1CFE" w14:textId="77777777" w:rsidR="00584FB3" w:rsidRDefault="00584FB3">
            <w:pPr>
              <w:rPr>
                <w:rFonts w:ascii="宋体"/>
                <w:vanish/>
              </w:rPr>
            </w:pPr>
          </w:p>
        </w:tc>
        <w:tc>
          <w:tcPr>
            <w:tcW w:w="0" w:type="auto"/>
            <w:gridSpan w:val="3"/>
            <w:shd w:val="clear" w:color="auto" w:fill="auto"/>
          </w:tcPr>
          <w:p w14:paraId="40CB1CFF" w14:textId="77777777" w:rsidR="00584FB3" w:rsidRDefault="00584FB3">
            <w:pPr>
              <w:rPr>
                <w:rFonts w:ascii="宋体"/>
                <w:vanish/>
              </w:rPr>
            </w:pPr>
          </w:p>
        </w:tc>
      </w:tr>
      <w:tr w:rsidR="00584FB3" w14:paraId="40CB1D15" w14:textId="77777777">
        <w:tc>
          <w:tcPr>
            <w:tcW w:w="0" w:type="auto"/>
            <w:gridSpan w:val="3"/>
            <w:shd w:val="clear" w:color="auto" w:fill="FFFFFF"/>
            <w:tcMar>
              <w:top w:w="40" w:type="dxa"/>
              <w:left w:w="20" w:type="dxa"/>
              <w:bottom w:w="40" w:type="dxa"/>
              <w:right w:w="20" w:type="dxa"/>
            </w:tcMar>
          </w:tcPr>
          <w:p w14:paraId="40CB1D01" w14:textId="77777777" w:rsidR="00584FB3" w:rsidRDefault="00786180">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40CB1D02" w14:textId="77777777" w:rsidR="00584FB3" w:rsidRDefault="00786180">
            <w:pPr>
              <w:jc w:val="right"/>
              <w:textAlignment w:val="bottom"/>
            </w:pPr>
            <w:r>
              <w:rPr>
                <w:rFonts w:ascii="Times New Roman" w:eastAsia="宋体" w:hAnsi="Times New Roman"/>
                <w:color w:val="000000"/>
                <w:sz w:val="20"/>
                <w:szCs w:val="20"/>
              </w:rPr>
              <w:t>613.8 </w:t>
            </w:r>
          </w:p>
        </w:tc>
        <w:tc>
          <w:tcPr>
            <w:tcW w:w="0" w:type="auto"/>
            <w:shd w:val="clear" w:color="auto" w:fill="FFFFFF"/>
            <w:tcMar>
              <w:top w:w="40" w:type="dxa"/>
              <w:left w:w="0" w:type="dxa"/>
              <w:bottom w:w="40" w:type="dxa"/>
              <w:right w:w="20" w:type="dxa"/>
            </w:tcMar>
            <w:vAlign w:val="bottom"/>
          </w:tcPr>
          <w:p w14:paraId="40CB1D0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0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D05" w14:textId="77777777" w:rsidR="00584FB3" w:rsidRDefault="00786180">
            <w:pPr>
              <w:jc w:val="right"/>
              <w:textAlignment w:val="bottom"/>
            </w:pPr>
            <w:r>
              <w:rPr>
                <w:rFonts w:ascii="Times New Roman" w:eastAsia="宋体" w:hAnsi="Times New Roman"/>
                <w:color w:val="000000"/>
                <w:sz w:val="20"/>
                <w:szCs w:val="20"/>
              </w:rPr>
              <w:t>792.0 </w:t>
            </w:r>
          </w:p>
        </w:tc>
        <w:tc>
          <w:tcPr>
            <w:tcW w:w="0" w:type="auto"/>
            <w:shd w:val="clear" w:color="auto" w:fill="FFFFFF"/>
            <w:tcMar>
              <w:top w:w="40" w:type="dxa"/>
              <w:left w:w="0" w:type="dxa"/>
              <w:bottom w:w="40" w:type="dxa"/>
              <w:right w:w="20" w:type="dxa"/>
            </w:tcMar>
            <w:vAlign w:val="bottom"/>
          </w:tcPr>
          <w:p w14:paraId="40CB1D0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0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D08" w14:textId="77777777" w:rsidR="00584FB3" w:rsidRDefault="00786180">
            <w:pPr>
              <w:jc w:val="right"/>
              <w:textAlignment w:val="bottom"/>
            </w:pPr>
            <w:r>
              <w:rPr>
                <w:rFonts w:ascii="Times New Roman" w:eastAsia="宋体" w:hAnsi="Times New Roman"/>
                <w:color w:val="000000"/>
                <w:sz w:val="20"/>
                <w:szCs w:val="20"/>
              </w:rPr>
              <w:t>(178.2)</w:t>
            </w:r>
          </w:p>
        </w:tc>
        <w:tc>
          <w:tcPr>
            <w:tcW w:w="0" w:type="auto"/>
            <w:shd w:val="clear" w:color="auto" w:fill="FFFFFF"/>
            <w:tcMar>
              <w:top w:w="40" w:type="dxa"/>
              <w:left w:w="0" w:type="dxa"/>
              <w:bottom w:w="40" w:type="dxa"/>
              <w:right w:w="20" w:type="dxa"/>
            </w:tcMar>
            <w:vAlign w:val="bottom"/>
          </w:tcPr>
          <w:p w14:paraId="40CB1D0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0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D0B" w14:textId="77777777" w:rsidR="00584FB3" w:rsidRDefault="00786180">
            <w:pPr>
              <w:jc w:val="right"/>
              <w:textAlignment w:val="bottom"/>
            </w:pPr>
            <w:r>
              <w:rPr>
                <w:rFonts w:ascii="Times New Roman" w:eastAsia="宋体" w:hAnsi="Times New Roman"/>
                <w:color w:val="000000"/>
                <w:sz w:val="20"/>
                <w:szCs w:val="20"/>
              </w:rPr>
              <w:t>(22.5)</w:t>
            </w:r>
          </w:p>
        </w:tc>
        <w:tc>
          <w:tcPr>
            <w:tcW w:w="0" w:type="auto"/>
            <w:shd w:val="clear" w:color="auto" w:fill="FFFFFF"/>
            <w:tcMar>
              <w:top w:w="40" w:type="dxa"/>
              <w:left w:w="0" w:type="dxa"/>
              <w:bottom w:w="40" w:type="dxa"/>
              <w:right w:w="20" w:type="dxa"/>
            </w:tcMar>
            <w:vAlign w:val="bottom"/>
          </w:tcPr>
          <w:p w14:paraId="40CB1D0C" w14:textId="77777777" w:rsidR="00584FB3" w:rsidRDefault="00584FB3">
            <w:pPr>
              <w:jc w:val="right"/>
              <w:rPr>
                <w:rFonts w:ascii="宋体"/>
              </w:rPr>
            </w:pPr>
          </w:p>
        </w:tc>
        <w:tc>
          <w:tcPr>
            <w:tcW w:w="0" w:type="auto"/>
            <w:shd w:val="clear" w:color="auto" w:fill="auto"/>
          </w:tcPr>
          <w:p w14:paraId="40CB1D0D" w14:textId="77777777" w:rsidR="00584FB3" w:rsidRDefault="00584FB3">
            <w:pPr>
              <w:rPr>
                <w:rFonts w:ascii="宋体"/>
                <w:vanish/>
              </w:rPr>
            </w:pPr>
          </w:p>
        </w:tc>
        <w:tc>
          <w:tcPr>
            <w:tcW w:w="0" w:type="auto"/>
            <w:shd w:val="clear" w:color="auto" w:fill="auto"/>
          </w:tcPr>
          <w:p w14:paraId="40CB1D0E" w14:textId="77777777" w:rsidR="00584FB3" w:rsidRDefault="00584FB3">
            <w:pPr>
              <w:rPr>
                <w:rFonts w:ascii="宋体"/>
                <w:vanish/>
              </w:rPr>
            </w:pPr>
          </w:p>
        </w:tc>
        <w:tc>
          <w:tcPr>
            <w:tcW w:w="0" w:type="auto"/>
            <w:gridSpan w:val="3"/>
            <w:shd w:val="clear" w:color="auto" w:fill="auto"/>
          </w:tcPr>
          <w:p w14:paraId="40CB1D0F" w14:textId="77777777" w:rsidR="00584FB3" w:rsidRDefault="00584FB3">
            <w:pPr>
              <w:rPr>
                <w:rFonts w:ascii="宋体"/>
                <w:vanish/>
              </w:rPr>
            </w:pPr>
          </w:p>
        </w:tc>
        <w:tc>
          <w:tcPr>
            <w:tcW w:w="0" w:type="auto"/>
            <w:gridSpan w:val="3"/>
            <w:shd w:val="clear" w:color="auto" w:fill="auto"/>
          </w:tcPr>
          <w:p w14:paraId="40CB1D10" w14:textId="77777777" w:rsidR="00584FB3" w:rsidRDefault="00584FB3">
            <w:pPr>
              <w:rPr>
                <w:rFonts w:ascii="宋体"/>
                <w:vanish/>
              </w:rPr>
            </w:pPr>
          </w:p>
        </w:tc>
        <w:tc>
          <w:tcPr>
            <w:tcW w:w="0" w:type="auto"/>
            <w:gridSpan w:val="3"/>
            <w:shd w:val="clear" w:color="auto" w:fill="auto"/>
          </w:tcPr>
          <w:p w14:paraId="40CB1D11" w14:textId="77777777" w:rsidR="00584FB3" w:rsidRDefault="00584FB3">
            <w:pPr>
              <w:rPr>
                <w:rFonts w:ascii="宋体"/>
                <w:vanish/>
              </w:rPr>
            </w:pPr>
          </w:p>
        </w:tc>
        <w:tc>
          <w:tcPr>
            <w:tcW w:w="0" w:type="auto"/>
            <w:gridSpan w:val="3"/>
            <w:shd w:val="clear" w:color="auto" w:fill="auto"/>
          </w:tcPr>
          <w:p w14:paraId="40CB1D12" w14:textId="77777777" w:rsidR="00584FB3" w:rsidRDefault="00584FB3">
            <w:pPr>
              <w:rPr>
                <w:rFonts w:ascii="宋体"/>
                <w:vanish/>
              </w:rPr>
            </w:pPr>
          </w:p>
        </w:tc>
        <w:tc>
          <w:tcPr>
            <w:tcW w:w="0" w:type="auto"/>
            <w:gridSpan w:val="3"/>
            <w:shd w:val="clear" w:color="auto" w:fill="auto"/>
          </w:tcPr>
          <w:p w14:paraId="40CB1D13" w14:textId="77777777" w:rsidR="00584FB3" w:rsidRDefault="00584FB3">
            <w:pPr>
              <w:rPr>
                <w:rFonts w:ascii="宋体"/>
                <w:vanish/>
              </w:rPr>
            </w:pPr>
          </w:p>
        </w:tc>
        <w:tc>
          <w:tcPr>
            <w:tcW w:w="0" w:type="auto"/>
            <w:gridSpan w:val="3"/>
            <w:shd w:val="clear" w:color="auto" w:fill="auto"/>
          </w:tcPr>
          <w:p w14:paraId="40CB1D14" w14:textId="77777777" w:rsidR="00584FB3" w:rsidRDefault="00584FB3">
            <w:pPr>
              <w:rPr>
                <w:rFonts w:ascii="宋体"/>
                <w:vanish/>
              </w:rPr>
            </w:pPr>
          </w:p>
        </w:tc>
      </w:tr>
      <w:tr w:rsidR="00584FB3" w14:paraId="40CB1D2A" w14:textId="77777777">
        <w:tc>
          <w:tcPr>
            <w:tcW w:w="0" w:type="auto"/>
            <w:gridSpan w:val="3"/>
            <w:shd w:val="clear" w:color="auto" w:fill="D7E4BC"/>
            <w:tcMar>
              <w:top w:w="40" w:type="dxa"/>
              <w:left w:w="20" w:type="dxa"/>
              <w:bottom w:w="40" w:type="dxa"/>
              <w:right w:w="20" w:type="dxa"/>
            </w:tcMar>
          </w:tcPr>
          <w:p w14:paraId="40CB1D16" w14:textId="77777777" w:rsidR="00584FB3" w:rsidRDefault="00786180">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40CB1D17" w14:textId="77777777" w:rsidR="00584FB3" w:rsidRDefault="00786180">
            <w:pPr>
              <w:jc w:val="right"/>
              <w:textAlignment w:val="bottom"/>
            </w:pPr>
            <w:r>
              <w:rPr>
                <w:rFonts w:ascii="Times New Roman" w:eastAsia="宋体" w:hAnsi="Times New Roman"/>
                <w:color w:val="000000"/>
                <w:sz w:val="20"/>
                <w:szCs w:val="20"/>
              </w:rPr>
              <w:t>409.1 </w:t>
            </w:r>
          </w:p>
        </w:tc>
        <w:tc>
          <w:tcPr>
            <w:tcW w:w="0" w:type="auto"/>
            <w:shd w:val="clear" w:color="auto" w:fill="D7E4BC"/>
            <w:tcMar>
              <w:top w:w="40" w:type="dxa"/>
              <w:left w:w="0" w:type="dxa"/>
              <w:bottom w:w="40" w:type="dxa"/>
              <w:right w:w="20" w:type="dxa"/>
            </w:tcMar>
            <w:vAlign w:val="bottom"/>
          </w:tcPr>
          <w:p w14:paraId="40CB1D1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1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D1A" w14:textId="77777777" w:rsidR="00584FB3" w:rsidRDefault="00786180">
            <w:pPr>
              <w:jc w:val="right"/>
              <w:textAlignment w:val="bottom"/>
            </w:pPr>
            <w:r>
              <w:rPr>
                <w:rFonts w:ascii="Times New Roman" w:eastAsia="宋体" w:hAnsi="Times New Roman"/>
                <w:color w:val="000000"/>
                <w:sz w:val="20"/>
                <w:szCs w:val="20"/>
              </w:rPr>
              <w:t>524.4 </w:t>
            </w:r>
          </w:p>
        </w:tc>
        <w:tc>
          <w:tcPr>
            <w:tcW w:w="0" w:type="auto"/>
            <w:shd w:val="clear" w:color="auto" w:fill="D7E4BC"/>
            <w:tcMar>
              <w:top w:w="40" w:type="dxa"/>
              <w:left w:w="0" w:type="dxa"/>
              <w:bottom w:w="40" w:type="dxa"/>
              <w:right w:w="20" w:type="dxa"/>
            </w:tcMar>
            <w:vAlign w:val="bottom"/>
          </w:tcPr>
          <w:p w14:paraId="40CB1D1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1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D1D" w14:textId="77777777" w:rsidR="00584FB3" w:rsidRDefault="00786180">
            <w:pPr>
              <w:jc w:val="right"/>
              <w:textAlignment w:val="bottom"/>
            </w:pPr>
            <w:r>
              <w:rPr>
                <w:rFonts w:ascii="Times New Roman" w:eastAsia="宋体" w:hAnsi="Times New Roman"/>
                <w:color w:val="000000"/>
                <w:sz w:val="20"/>
                <w:szCs w:val="20"/>
              </w:rPr>
              <w:t>(115.3)</w:t>
            </w:r>
          </w:p>
        </w:tc>
        <w:tc>
          <w:tcPr>
            <w:tcW w:w="0" w:type="auto"/>
            <w:shd w:val="clear" w:color="auto" w:fill="D7E4BC"/>
            <w:tcMar>
              <w:top w:w="40" w:type="dxa"/>
              <w:left w:w="0" w:type="dxa"/>
              <w:bottom w:w="40" w:type="dxa"/>
              <w:right w:w="20" w:type="dxa"/>
            </w:tcMar>
            <w:vAlign w:val="bottom"/>
          </w:tcPr>
          <w:p w14:paraId="40CB1D1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1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D20" w14:textId="77777777" w:rsidR="00584FB3" w:rsidRDefault="00786180">
            <w:pPr>
              <w:jc w:val="right"/>
              <w:textAlignment w:val="bottom"/>
            </w:pPr>
            <w:r>
              <w:rPr>
                <w:rFonts w:ascii="Times New Roman" w:eastAsia="宋体" w:hAnsi="Times New Roman"/>
                <w:color w:val="000000"/>
                <w:sz w:val="20"/>
                <w:szCs w:val="20"/>
              </w:rPr>
              <w:t>(22.0)</w:t>
            </w:r>
          </w:p>
        </w:tc>
        <w:tc>
          <w:tcPr>
            <w:tcW w:w="0" w:type="auto"/>
            <w:shd w:val="clear" w:color="auto" w:fill="D7E4BC"/>
            <w:tcMar>
              <w:top w:w="40" w:type="dxa"/>
              <w:left w:w="0" w:type="dxa"/>
              <w:bottom w:w="40" w:type="dxa"/>
              <w:right w:w="20" w:type="dxa"/>
            </w:tcMar>
            <w:vAlign w:val="bottom"/>
          </w:tcPr>
          <w:p w14:paraId="40CB1D21" w14:textId="77777777" w:rsidR="00584FB3" w:rsidRDefault="00584FB3">
            <w:pPr>
              <w:jc w:val="right"/>
              <w:rPr>
                <w:rFonts w:ascii="宋体"/>
              </w:rPr>
            </w:pPr>
          </w:p>
        </w:tc>
        <w:tc>
          <w:tcPr>
            <w:tcW w:w="0" w:type="auto"/>
            <w:shd w:val="clear" w:color="auto" w:fill="auto"/>
          </w:tcPr>
          <w:p w14:paraId="40CB1D22" w14:textId="77777777" w:rsidR="00584FB3" w:rsidRDefault="00584FB3">
            <w:pPr>
              <w:rPr>
                <w:rFonts w:ascii="宋体"/>
                <w:vanish/>
              </w:rPr>
            </w:pPr>
          </w:p>
        </w:tc>
        <w:tc>
          <w:tcPr>
            <w:tcW w:w="0" w:type="auto"/>
            <w:shd w:val="clear" w:color="auto" w:fill="auto"/>
          </w:tcPr>
          <w:p w14:paraId="40CB1D23" w14:textId="77777777" w:rsidR="00584FB3" w:rsidRDefault="00584FB3">
            <w:pPr>
              <w:rPr>
                <w:rFonts w:ascii="宋体"/>
                <w:vanish/>
              </w:rPr>
            </w:pPr>
          </w:p>
        </w:tc>
        <w:tc>
          <w:tcPr>
            <w:tcW w:w="0" w:type="auto"/>
            <w:gridSpan w:val="3"/>
            <w:shd w:val="clear" w:color="auto" w:fill="auto"/>
          </w:tcPr>
          <w:p w14:paraId="40CB1D24" w14:textId="77777777" w:rsidR="00584FB3" w:rsidRDefault="00584FB3">
            <w:pPr>
              <w:rPr>
                <w:rFonts w:ascii="宋体"/>
                <w:vanish/>
              </w:rPr>
            </w:pPr>
          </w:p>
        </w:tc>
        <w:tc>
          <w:tcPr>
            <w:tcW w:w="0" w:type="auto"/>
            <w:gridSpan w:val="3"/>
            <w:shd w:val="clear" w:color="auto" w:fill="auto"/>
          </w:tcPr>
          <w:p w14:paraId="40CB1D25" w14:textId="77777777" w:rsidR="00584FB3" w:rsidRDefault="00584FB3">
            <w:pPr>
              <w:rPr>
                <w:rFonts w:ascii="宋体"/>
                <w:vanish/>
              </w:rPr>
            </w:pPr>
          </w:p>
        </w:tc>
        <w:tc>
          <w:tcPr>
            <w:tcW w:w="0" w:type="auto"/>
            <w:gridSpan w:val="3"/>
            <w:shd w:val="clear" w:color="auto" w:fill="auto"/>
          </w:tcPr>
          <w:p w14:paraId="40CB1D26" w14:textId="77777777" w:rsidR="00584FB3" w:rsidRDefault="00584FB3">
            <w:pPr>
              <w:rPr>
                <w:rFonts w:ascii="宋体"/>
                <w:vanish/>
              </w:rPr>
            </w:pPr>
          </w:p>
        </w:tc>
        <w:tc>
          <w:tcPr>
            <w:tcW w:w="0" w:type="auto"/>
            <w:gridSpan w:val="3"/>
            <w:shd w:val="clear" w:color="auto" w:fill="auto"/>
          </w:tcPr>
          <w:p w14:paraId="40CB1D27" w14:textId="77777777" w:rsidR="00584FB3" w:rsidRDefault="00584FB3">
            <w:pPr>
              <w:rPr>
                <w:rFonts w:ascii="宋体"/>
                <w:vanish/>
              </w:rPr>
            </w:pPr>
          </w:p>
        </w:tc>
        <w:tc>
          <w:tcPr>
            <w:tcW w:w="0" w:type="auto"/>
            <w:gridSpan w:val="3"/>
            <w:shd w:val="clear" w:color="auto" w:fill="auto"/>
          </w:tcPr>
          <w:p w14:paraId="40CB1D28" w14:textId="77777777" w:rsidR="00584FB3" w:rsidRDefault="00584FB3">
            <w:pPr>
              <w:rPr>
                <w:rFonts w:ascii="宋体"/>
                <w:vanish/>
              </w:rPr>
            </w:pPr>
          </w:p>
        </w:tc>
        <w:tc>
          <w:tcPr>
            <w:tcW w:w="0" w:type="auto"/>
            <w:gridSpan w:val="3"/>
            <w:shd w:val="clear" w:color="auto" w:fill="auto"/>
          </w:tcPr>
          <w:p w14:paraId="40CB1D29" w14:textId="77777777" w:rsidR="00584FB3" w:rsidRDefault="00584FB3">
            <w:pPr>
              <w:rPr>
                <w:rFonts w:ascii="宋体"/>
                <w:vanish/>
              </w:rPr>
            </w:pPr>
          </w:p>
        </w:tc>
      </w:tr>
      <w:tr w:rsidR="00584FB3" w14:paraId="40CB1D42" w14:textId="77777777">
        <w:tc>
          <w:tcPr>
            <w:tcW w:w="0" w:type="auto"/>
            <w:gridSpan w:val="3"/>
            <w:shd w:val="clear" w:color="auto" w:fill="FFFFFF"/>
            <w:tcMar>
              <w:top w:w="40" w:type="dxa"/>
              <w:left w:w="20" w:type="dxa"/>
              <w:bottom w:w="40" w:type="dxa"/>
              <w:right w:w="20" w:type="dxa"/>
            </w:tcMar>
          </w:tcPr>
          <w:p w14:paraId="40CB1D2B" w14:textId="77777777" w:rsidR="00584FB3" w:rsidRDefault="00786180">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FFFFFF"/>
            <w:tcMar>
              <w:top w:w="40" w:type="dxa"/>
              <w:left w:w="20" w:type="dxa"/>
              <w:bottom w:w="40" w:type="dxa"/>
              <w:right w:w="0" w:type="dxa"/>
            </w:tcMar>
            <w:vAlign w:val="bottom"/>
          </w:tcPr>
          <w:p w14:paraId="40CB1D2C"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D2D" w14:textId="77777777" w:rsidR="00584FB3" w:rsidRDefault="00786180">
            <w:pPr>
              <w:jc w:val="right"/>
              <w:textAlignment w:val="bottom"/>
            </w:pPr>
            <w:r>
              <w:rPr>
                <w:rFonts w:ascii="Times New Roman" w:eastAsia="宋体" w:hAnsi="Times New Roman"/>
                <w:b/>
                <w:bCs/>
                <w:color w:val="000000"/>
                <w:sz w:val="20"/>
                <w:szCs w:val="20"/>
              </w:rPr>
              <w:t>6,749.4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D2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2F"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1D30"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D31" w14:textId="77777777" w:rsidR="00584FB3" w:rsidRDefault="00786180">
            <w:pPr>
              <w:jc w:val="right"/>
              <w:textAlignment w:val="bottom"/>
            </w:pPr>
            <w:r>
              <w:rPr>
                <w:rFonts w:ascii="Times New Roman" w:eastAsia="宋体" w:hAnsi="Times New Roman"/>
                <w:b/>
                <w:bCs/>
                <w:color w:val="000000"/>
                <w:sz w:val="20"/>
                <w:szCs w:val="20"/>
              </w:rPr>
              <w:t>7,097.1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D3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33"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1D34"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1D35" w14:textId="77777777" w:rsidR="00584FB3" w:rsidRDefault="00786180">
            <w:pPr>
              <w:jc w:val="right"/>
              <w:textAlignment w:val="bottom"/>
            </w:pPr>
            <w:r>
              <w:rPr>
                <w:rFonts w:ascii="Times New Roman" w:eastAsia="宋体" w:hAnsi="Times New Roman"/>
                <w:b/>
                <w:bCs/>
                <w:color w:val="000000"/>
                <w:sz w:val="20"/>
                <w:szCs w:val="20"/>
              </w:rPr>
              <w:t>(347.7)</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D3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37"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D38" w14:textId="77777777" w:rsidR="00584FB3" w:rsidRDefault="00786180">
            <w:pPr>
              <w:jc w:val="right"/>
              <w:textAlignment w:val="bottom"/>
            </w:pPr>
            <w:r>
              <w:rPr>
                <w:rFonts w:ascii="Times New Roman" w:eastAsia="宋体" w:hAnsi="Times New Roman"/>
                <w:b/>
                <w:bCs/>
                <w:color w:val="000000"/>
                <w:sz w:val="20"/>
                <w:szCs w:val="20"/>
              </w:rPr>
              <w:t>(4.9)</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D39"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40CB1D3A" w14:textId="77777777" w:rsidR="00584FB3" w:rsidRDefault="00584FB3">
            <w:pPr>
              <w:rPr>
                <w:rFonts w:ascii="宋体"/>
                <w:vanish/>
              </w:rPr>
            </w:pPr>
          </w:p>
        </w:tc>
        <w:tc>
          <w:tcPr>
            <w:tcW w:w="0" w:type="auto"/>
            <w:shd w:val="clear" w:color="auto" w:fill="auto"/>
          </w:tcPr>
          <w:p w14:paraId="40CB1D3B" w14:textId="77777777" w:rsidR="00584FB3" w:rsidRDefault="00584FB3">
            <w:pPr>
              <w:rPr>
                <w:rFonts w:ascii="宋体"/>
                <w:vanish/>
              </w:rPr>
            </w:pPr>
          </w:p>
        </w:tc>
        <w:tc>
          <w:tcPr>
            <w:tcW w:w="0" w:type="auto"/>
            <w:gridSpan w:val="3"/>
            <w:shd w:val="clear" w:color="auto" w:fill="auto"/>
          </w:tcPr>
          <w:p w14:paraId="40CB1D3C" w14:textId="77777777" w:rsidR="00584FB3" w:rsidRDefault="00584FB3">
            <w:pPr>
              <w:rPr>
                <w:rFonts w:ascii="宋体"/>
                <w:vanish/>
              </w:rPr>
            </w:pPr>
          </w:p>
        </w:tc>
        <w:tc>
          <w:tcPr>
            <w:tcW w:w="0" w:type="auto"/>
            <w:gridSpan w:val="3"/>
            <w:shd w:val="clear" w:color="auto" w:fill="auto"/>
          </w:tcPr>
          <w:p w14:paraId="40CB1D3D" w14:textId="77777777" w:rsidR="00584FB3" w:rsidRDefault="00584FB3">
            <w:pPr>
              <w:rPr>
                <w:rFonts w:ascii="宋体"/>
                <w:vanish/>
              </w:rPr>
            </w:pPr>
          </w:p>
        </w:tc>
        <w:tc>
          <w:tcPr>
            <w:tcW w:w="0" w:type="auto"/>
            <w:gridSpan w:val="3"/>
            <w:shd w:val="clear" w:color="auto" w:fill="auto"/>
          </w:tcPr>
          <w:p w14:paraId="40CB1D3E" w14:textId="77777777" w:rsidR="00584FB3" w:rsidRDefault="00584FB3">
            <w:pPr>
              <w:rPr>
                <w:rFonts w:ascii="宋体"/>
                <w:vanish/>
              </w:rPr>
            </w:pPr>
          </w:p>
        </w:tc>
        <w:tc>
          <w:tcPr>
            <w:tcW w:w="0" w:type="auto"/>
            <w:gridSpan w:val="3"/>
            <w:shd w:val="clear" w:color="auto" w:fill="auto"/>
          </w:tcPr>
          <w:p w14:paraId="40CB1D3F" w14:textId="77777777" w:rsidR="00584FB3" w:rsidRDefault="00584FB3">
            <w:pPr>
              <w:rPr>
                <w:rFonts w:ascii="宋体"/>
                <w:vanish/>
              </w:rPr>
            </w:pPr>
          </w:p>
        </w:tc>
        <w:tc>
          <w:tcPr>
            <w:tcW w:w="0" w:type="auto"/>
            <w:gridSpan w:val="3"/>
            <w:shd w:val="clear" w:color="auto" w:fill="auto"/>
          </w:tcPr>
          <w:p w14:paraId="40CB1D40" w14:textId="77777777" w:rsidR="00584FB3" w:rsidRDefault="00584FB3">
            <w:pPr>
              <w:rPr>
                <w:rFonts w:ascii="宋体"/>
                <w:vanish/>
              </w:rPr>
            </w:pPr>
          </w:p>
        </w:tc>
        <w:tc>
          <w:tcPr>
            <w:tcW w:w="0" w:type="auto"/>
            <w:gridSpan w:val="3"/>
            <w:shd w:val="clear" w:color="auto" w:fill="auto"/>
          </w:tcPr>
          <w:p w14:paraId="40CB1D41" w14:textId="77777777" w:rsidR="00584FB3" w:rsidRDefault="00584FB3">
            <w:pPr>
              <w:rPr>
                <w:rFonts w:ascii="宋体"/>
                <w:vanish/>
              </w:rPr>
            </w:pPr>
          </w:p>
        </w:tc>
      </w:tr>
    </w:tbl>
    <w:p w14:paraId="40CB1D43" w14:textId="77777777" w:rsidR="00584FB3" w:rsidRDefault="00786180">
      <w:pPr>
        <w:spacing w:before="120"/>
      </w:pPr>
      <w:r>
        <w:rPr>
          <w:rFonts w:ascii="Times New Roman" w:eastAsia="宋体" w:hAnsi="Times New Roman"/>
          <w:i/>
          <w:iCs/>
          <w:color w:val="000000"/>
          <w:sz w:val="20"/>
          <w:szCs w:val="20"/>
        </w:rPr>
        <w:t xml:space="preserve">For the quarter ended December 27, 2020 compared with the quarter ended December 29, 2019 </w:t>
      </w:r>
    </w:p>
    <w:p w14:paraId="40CB1D44" w14:textId="77777777" w:rsidR="00584FB3" w:rsidRDefault="00786180">
      <w:pPr>
        <w:spacing w:before="120"/>
      </w:pPr>
      <w:r>
        <w:rPr>
          <w:rFonts w:ascii="Times New Roman" w:eastAsia="宋体" w:hAnsi="Times New Roman"/>
          <w:color w:val="000000"/>
          <w:sz w:val="20"/>
          <w:szCs w:val="20"/>
        </w:rPr>
        <w:t>Total ne</w:t>
      </w:r>
      <w:r>
        <w:rPr>
          <w:rFonts w:ascii="Times New Roman" w:eastAsia="宋体" w:hAnsi="Times New Roman"/>
          <w:color w:val="000000"/>
          <w:sz w:val="20"/>
          <w:szCs w:val="20"/>
        </w:rPr>
        <w:t>t revenues for the first quarter of fiscal 2021 decreased $348 million. Company-operated stores revenue declined $54 million, reflecting a 5% decrease in comparable store sales ($279 million) attributed to a 19% decrease in transactions partially offset by</w:t>
      </w:r>
      <w:r>
        <w:rPr>
          <w:rFonts w:ascii="Times New Roman" w:eastAsia="宋体" w:hAnsi="Times New Roman"/>
          <w:color w:val="000000"/>
          <w:sz w:val="20"/>
          <w:szCs w:val="20"/>
        </w:rPr>
        <w:t xml:space="preserve"> a 17% increase in average ticket. This decrease was partially offset by 667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stores, or a 4% increase, over the past 12 months ($170 million) and favorable foreign currency translation ($69 million). </w:t>
      </w:r>
    </w:p>
    <w:p w14:paraId="40CB1D45" w14:textId="77777777" w:rsidR="00584FB3" w:rsidRDefault="00786180">
      <w:pPr>
        <w:spacing w:before="120"/>
      </w:pPr>
      <w:r>
        <w:rPr>
          <w:rFonts w:ascii="Times New Roman" w:eastAsia="宋体" w:hAnsi="Times New Roman"/>
          <w:color w:val="000000"/>
          <w:sz w:val="20"/>
          <w:szCs w:val="20"/>
        </w:rPr>
        <w:t>Licensed stores rev</w:t>
      </w:r>
      <w:r>
        <w:rPr>
          <w:rFonts w:ascii="Times New Roman" w:eastAsia="宋体" w:hAnsi="Times New Roman"/>
          <w:color w:val="000000"/>
          <w:sz w:val="20"/>
          <w:szCs w:val="20"/>
        </w:rPr>
        <w:t>enue decreased $178 million, primarily driven by lower product and equipment sales to and royalty revenues from our licensees.</w:t>
      </w:r>
    </w:p>
    <w:p w14:paraId="40CB1D46" w14:textId="77777777" w:rsidR="00584FB3" w:rsidRDefault="00786180">
      <w:pPr>
        <w:spacing w:before="120"/>
      </w:pPr>
      <w:r>
        <w:rPr>
          <w:rFonts w:ascii="Times New Roman" w:eastAsia="宋体" w:hAnsi="Times New Roman"/>
          <w:color w:val="000000"/>
          <w:sz w:val="20"/>
          <w:szCs w:val="20"/>
        </w:rPr>
        <w:t>Other revenues decreased $115 million, primarily due to the transition of certain single-serve product activities to Nestlé and l</w:t>
      </w:r>
      <w:r>
        <w:rPr>
          <w:rFonts w:ascii="Times New Roman" w:eastAsia="宋体" w:hAnsi="Times New Roman"/>
          <w:color w:val="000000"/>
          <w:sz w:val="20"/>
          <w:szCs w:val="20"/>
        </w:rPr>
        <w:t xml:space="preserve">apping of transition activities related to the Global Coffee Alliance in the prior year. Also contributing were lower Global Coffee Alliance revenues, mainly driven by the Foodservice business, which experienced softening due to COVID-19. </w:t>
      </w:r>
    </w:p>
    <w:p w14:paraId="40CB1D47" w14:textId="77777777" w:rsidR="00584FB3" w:rsidRDefault="00786180">
      <w:pPr>
        <w:spacing w:before="180"/>
      </w:pPr>
      <w:r>
        <w:rPr>
          <w:rFonts w:ascii="Times New Roman" w:eastAsia="宋体" w:hAnsi="Times New Roman"/>
          <w:color w:val="000000"/>
          <w:sz w:val="20"/>
          <w:szCs w:val="20"/>
          <w:u w:val="single"/>
        </w:rPr>
        <w:t>Operating Expens</w:t>
      </w:r>
      <w:r>
        <w:rPr>
          <w:rFonts w:ascii="Times New Roman" w:eastAsia="宋体" w:hAnsi="Times New Roman"/>
          <w:color w:val="000000"/>
          <w:sz w:val="20"/>
          <w:szCs w:val="20"/>
          <w:u w:val="single"/>
        </w:rPr>
        <w:t>es</w:t>
      </w:r>
    </w:p>
    <w:p w14:paraId="40CB1D48" w14:textId="77777777" w:rsidR="00584FB3" w:rsidRDefault="00584FB3"/>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222"/>
        <w:gridCol w:w="38"/>
        <w:gridCol w:w="120"/>
        <w:gridCol w:w="650"/>
        <w:gridCol w:w="36"/>
        <w:gridCol w:w="36"/>
        <w:gridCol w:w="36"/>
        <w:gridCol w:w="36"/>
        <w:gridCol w:w="120"/>
        <w:gridCol w:w="650"/>
        <w:gridCol w:w="36"/>
        <w:gridCol w:w="36"/>
        <w:gridCol w:w="36"/>
        <w:gridCol w:w="36"/>
        <w:gridCol w:w="120"/>
        <w:gridCol w:w="584"/>
        <w:gridCol w:w="36"/>
        <w:gridCol w:w="36"/>
        <w:gridCol w:w="36"/>
        <w:gridCol w:w="36"/>
        <w:gridCol w:w="50"/>
        <w:gridCol w:w="370"/>
        <w:gridCol w:w="220"/>
        <w:gridCol w:w="36"/>
        <w:gridCol w:w="36"/>
        <w:gridCol w:w="36"/>
        <w:gridCol w:w="50"/>
        <w:gridCol w:w="370"/>
        <w:gridCol w:w="22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1D71" w14:textId="77777777">
        <w:trPr>
          <w:jc w:val="center"/>
        </w:trPr>
        <w:tc>
          <w:tcPr>
            <w:tcW w:w="50" w:type="pct"/>
            <w:shd w:val="clear" w:color="auto" w:fill="auto"/>
          </w:tcPr>
          <w:p w14:paraId="40CB1D49" w14:textId="77777777" w:rsidR="00584FB3" w:rsidRDefault="00584FB3">
            <w:pPr>
              <w:rPr>
                <w:rFonts w:ascii="宋体"/>
              </w:rPr>
            </w:pPr>
          </w:p>
        </w:tc>
        <w:tc>
          <w:tcPr>
            <w:tcW w:w="2668" w:type="pct"/>
            <w:shd w:val="clear" w:color="auto" w:fill="auto"/>
          </w:tcPr>
          <w:p w14:paraId="40CB1D4A" w14:textId="77777777" w:rsidR="00584FB3" w:rsidRDefault="00584FB3">
            <w:pPr>
              <w:rPr>
                <w:rFonts w:ascii="宋体"/>
              </w:rPr>
            </w:pPr>
          </w:p>
        </w:tc>
        <w:tc>
          <w:tcPr>
            <w:tcW w:w="5" w:type="pct"/>
            <w:shd w:val="clear" w:color="auto" w:fill="auto"/>
          </w:tcPr>
          <w:p w14:paraId="40CB1D4B" w14:textId="77777777" w:rsidR="00584FB3" w:rsidRDefault="00584FB3">
            <w:pPr>
              <w:rPr>
                <w:rFonts w:ascii="宋体"/>
              </w:rPr>
            </w:pPr>
          </w:p>
        </w:tc>
        <w:tc>
          <w:tcPr>
            <w:tcW w:w="50" w:type="pct"/>
            <w:shd w:val="clear" w:color="auto" w:fill="auto"/>
          </w:tcPr>
          <w:p w14:paraId="40CB1D4C" w14:textId="77777777" w:rsidR="00584FB3" w:rsidRDefault="00584FB3">
            <w:pPr>
              <w:rPr>
                <w:rFonts w:ascii="宋体"/>
              </w:rPr>
            </w:pPr>
          </w:p>
        </w:tc>
        <w:tc>
          <w:tcPr>
            <w:tcW w:w="370" w:type="pct"/>
            <w:shd w:val="clear" w:color="auto" w:fill="auto"/>
          </w:tcPr>
          <w:p w14:paraId="40CB1D4D" w14:textId="77777777" w:rsidR="00584FB3" w:rsidRDefault="00584FB3">
            <w:pPr>
              <w:rPr>
                <w:rFonts w:ascii="宋体"/>
              </w:rPr>
            </w:pPr>
          </w:p>
        </w:tc>
        <w:tc>
          <w:tcPr>
            <w:tcW w:w="5" w:type="pct"/>
            <w:shd w:val="clear" w:color="auto" w:fill="auto"/>
          </w:tcPr>
          <w:p w14:paraId="40CB1D4E" w14:textId="77777777" w:rsidR="00584FB3" w:rsidRDefault="00584FB3">
            <w:pPr>
              <w:rPr>
                <w:rFonts w:ascii="宋体"/>
              </w:rPr>
            </w:pPr>
          </w:p>
        </w:tc>
        <w:tc>
          <w:tcPr>
            <w:tcW w:w="5" w:type="pct"/>
            <w:shd w:val="clear" w:color="auto" w:fill="auto"/>
          </w:tcPr>
          <w:p w14:paraId="40CB1D4F" w14:textId="77777777" w:rsidR="00584FB3" w:rsidRDefault="00584FB3">
            <w:pPr>
              <w:rPr>
                <w:rFonts w:ascii="宋体"/>
              </w:rPr>
            </w:pPr>
          </w:p>
        </w:tc>
        <w:tc>
          <w:tcPr>
            <w:tcW w:w="26" w:type="pct"/>
            <w:shd w:val="clear" w:color="auto" w:fill="auto"/>
          </w:tcPr>
          <w:p w14:paraId="40CB1D50" w14:textId="77777777" w:rsidR="00584FB3" w:rsidRDefault="00584FB3">
            <w:pPr>
              <w:rPr>
                <w:rFonts w:ascii="宋体"/>
              </w:rPr>
            </w:pPr>
          </w:p>
        </w:tc>
        <w:tc>
          <w:tcPr>
            <w:tcW w:w="5" w:type="pct"/>
            <w:shd w:val="clear" w:color="auto" w:fill="auto"/>
          </w:tcPr>
          <w:p w14:paraId="40CB1D51" w14:textId="77777777" w:rsidR="00584FB3" w:rsidRDefault="00584FB3">
            <w:pPr>
              <w:rPr>
                <w:rFonts w:ascii="宋体"/>
              </w:rPr>
            </w:pPr>
          </w:p>
        </w:tc>
        <w:tc>
          <w:tcPr>
            <w:tcW w:w="50" w:type="pct"/>
            <w:shd w:val="clear" w:color="auto" w:fill="auto"/>
          </w:tcPr>
          <w:p w14:paraId="40CB1D52" w14:textId="77777777" w:rsidR="00584FB3" w:rsidRDefault="00584FB3">
            <w:pPr>
              <w:rPr>
                <w:rFonts w:ascii="宋体"/>
              </w:rPr>
            </w:pPr>
          </w:p>
        </w:tc>
        <w:tc>
          <w:tcPr>
            <w:tcW w:w="370" w:type="pct"/>
            <w:shd w:val="clear" w:color="auto" w:fill="auto"/>
          </w:tcPr>
          <w:p w14:paraId="40CB1D53" w14:textId="77777777" w:rsidR="00584FB3" w:rsidRDefault="00584FB3">
            <w:pPr>
              <w:rPr>
                <w:rFonts w:ascii="宋体"/>
              </w:rPr>
            </w:pPr>
          </w:p>
        </w:tc>
        <w:tc>
          <w:tcPr>
            <w:tcW w:w="5" w:type="pct"/>
            <w:shd w:val="clear" w:color="auto" w:fill="auto"/>
          </w:tcPr>
          <w:p w14:paraId="40CB1D54" w14:textId="77777777" w:rsidR="00584FB3" w:rsidRDefault="00584FB3">
            <w:pPr>
              <w:rPr>
                <w:rFonts w:ascii="宋体"/>
              </w:rPr>
            </w:pPr>
          </w:p>
        </w:tc>
        <w:tc>
          <w:tcPr>
            <w:tcW w:w="5" w:type="pct"/>
            <w:shd w:val="clear" w:color="auto" w:fill="auto"/>
          </w:tcPr>
          <w:p w14:paraId="40CB1D55" w14:textId="77777777" w:rsidR="00584FB3" w:rsidRDefault="00584FB3">
            <w:pPr>
              <w:rPr>
                <w:rFonts w:ascii="宋体"/>
              </w:rPr>
            </w:pPr>
          </w:p>
        </w:tc>
        <w:tc>
          <w:tcPr>
            <w:tcW w:w="26" w:type="pct"/>
            <w:shd w:val="clear" w:color="auto" w:fill="auto"/>
          </w:tcPr>
          <w:p w14:paraId="40CB1D56" w14:textId="77777777" w:rsidR="00584FB3" w:rsidRDefault="00584FB3">
            <w:pPr>
              <w:rPr>
                <w:rFonts w:ascii="宋体"/>
              </w:rPr>
            </w:pPr>
          </w:p>
        </w:tc>
        <w:tc>
          <w:tcPr>
            <w:tcW w:w="5" w:type="pct"/>
            <w:shd w:val="clear" w:color="auto" w:fill="auto"/>
          </w:tcPr>
          <w:p w14:paraId="40CB1D57" w14:textId="77777777" w:rsidR="00584FB3" w:rsidRDefault="00584FB3">
            <w:pPr>
              <w:rPr>
                <w:rFonts w:ascii="宋体"/>
              </w:rPr>
            </w:pPr>
          </w:p>
        </w:tc>
        <w:tc>
          <w:tcPr>
            <w:tcW w:w="50" w:type="pct"/>
            <w:shd w:val="clear" w:color="auto" w:fill="auto"/>
          </w:tcPr>
          <w:p w14:paraId="40CB1D58" w14:textId="77777777" w:rsidR="00584FB3" w:rsidRDefault="00584FB3">
            <w:pPr>
              <w:rPr>
                <w:rFonts w:ascii="宋体"/>
              </w:rPr>
            </w:pPr>
          </w:p>
        </w:tc>
        <w:tc>
          <w:tcPr>
            <w:tcW w:w="370" w:type="pct"/>
            <w:shd w:val="clear" w:color="auto" w:fill="auto"/>
          </w:tcPr>
          <w:p w14:paraId="40CB1D59" w14:textId="77777777" w:rsidR="00584FB3" w:rsidRDefault="00584FB3">
            <w:pPr>
              <w:rPr>
                <w:rFonts w:ascii="宋体"/>
              </w:rPr>
            </w:pPr>
          </w:p>
        </w:tc>
        <w:tc>
          <w:tcPr>
            <w:tcW w:w="5" w:type="pct"/>
            <w:shd w:val="clear" w:color="auto" w:fill="auto"/>
          </w:tcPr>
          <w:p w14:paraId="40CB1D5A" w14:textId="77777777" w:rsidR="00584FB3" w:rsidRDefault="00584FB3">
            <w:pPr>
              <w:rPr>
                <w:rFonts w:ascii="宋体"/>
              </w:rPr>
            </w:pPr>
          </w:p>
        </w:tc>
        <w:tc>
          <w:tcPr>
            <w:tcW w:w="5" w:type="pct"/>
            <w:shd w:val="clear" w:color="auto" w:fill="auto"/>
          </w:tcPr>
          <w:p w14:paraId="40CB1D5B" w14:textId="77777777" w:rsidR="00584FB3" w:rsidRDefault="00584FB3">
            <w:pPr>
              <w:rPr>
                <w:rFonts w:ascii="宋体"/>
              </w:rPr>
            </w:pPr>
          </w:p>
        </w:tc>
        <w:tc>
          <w:tcPr>
            <w:tcW w:w="26" w:type="pct"/>
            <w:shd w:val="clear" w:color="auto" w:fill="auto"/>
          </w:tcPr>
          <w:p w14:paraId="40CB1D5C" w14:textId="77777777" w:rsidR="00584FB3" w:rsidRDefault="00584FB3">
            <w:pPr>
              <w:rPr>
                <w:rFonts w:ascii="宋体"/>
              </w:rPr>
            </w:pPr>
          </w:p>
        </w:tc>
        <w:tc>
          <w:tcPr>
            <w:tcW w:w="5" w:type="pct"/>
            <w:shd w:val="clear" w:color="auto" w:fill="auto"/>
          </w:tcPr>
          <w:p w14:paraId="40CB1D5D" w14:textId="77777777" w:rsidR="00584FB3" w:rsidRDefault="00584FB3">
            <w:pPr>
              <w:rPr>
                <w:rFonts w:ascii="宋体"/>
              </w:rPr>
            </w:pPr>
          </w:p>
        </w:tc>
        <w:tc>
          <w:tcPr>
            <w:tcW w:w="50" w:type="pct"/>
            <w:shd w:val="clear" w:color="auto" w:fill="auto"/>
          </w:tcPr>
          <w:p w14:paraId="40CB1D5E" w14:textId="77777777" w:rsidR="00584FB3" w:rsidRDefault="00584FB3">
            <w:pPr>
              <w:rPr>
                <w:rFonts w:ascii="宋体"/>
              </w:rPr>
            </w:pPr>
          </w:p>
        </w:tc>
        <w:tc>
          <w:tcPr>
            <w:tcW w:w="370" w:type="pct"/>
            <w:shd w:val="clear" w:color="auto" w:fill="auto"/>
          </w:tcPr>
          <w:p w14:paraId="40CB1D5F" w14:textId="77777777" w:rsidR="00584FB3" w:rsidRDefault="00584FB3">
            <w:pPr>
              <w:rPr>
                <w:rFonts w:ascii="宋体"/>
              </w:rPr>
            </w:pPr>
          </w:p>
        </w:tc>
        <w:tc>
          <w:tcPr>
            <w:tcW w:w="5" w:type="pct"/>
            <w:shd w:val="clear" w:color="auto" w:fill="auto"/>
          </w:tcPr>
          <w:p w14:paraId="40CB1D60" w14:textId="77777777" w:rsidR="00584FB3" w:rsidRDefault="00584FB3">
            <w:pPr>
              <w:rPr>
                <w:rFonts w:ascii="宋体"/>
              </w:rPr>
            </w:pPr>
          </w:p>
        </w:tc>
        <w:tc>
          <w:tcPr>
            <w:tcW w:w="5" w:type="pct"/>
            <w:shd w:val="clear" w:color="auto" w:fill="auto"/>
          </w:tcPr>
          <w:p w14:paraId="40CB1D61" w14:textId="77777777" w:rsidR="00584FB3" w:rsidRDefault="00584FB3">
            <w:pPr>
              <w:rPr>
                <w:rFonts w:ascii="宋体"/>
              </w:rPr>
            </w:pPr>
          </w:p>
        </w:tc>
        <w:tc>
          <w:tcPr>
            <w:tcW w:w="26" w:type="pct"/>
            <w:shd w:val="clear" w:color="auto" w:fill="auto"/>
          </w:tcPr>
          <w:p w14:paraId="40CB1D62" w14:textId="77777777" w:rsidR="00584FB3" w:rsidRDefault="00584FB3">
            <w:pPr>
              <w:rPr>
                <w:rFonts w:ascii="宋体"/>
              </w:rPr>
            </w:pPr>
          </w:p>
        </w:tc>
        <w:tc>
          <w:tcPr>
            <w:tcW w:w="5" w:type="pct"/>
            <w:shd w:val="clear" w:color="auto" w:fill="auto"/>
          </w:tcPr>
          <w:p w14:paraId="40CB1D63" w14:textId="77777777" w:rsidR="00584FB3" w:rsidRDefault="00584FB3">
            <w:pPr>
              <w:rPr>
                <w:rFonts w:ascii="宋体"/>
              </w:rPr>
            </w:pPr>
          </w:p>
        </w:tc>
        <w:tc>
          <w:tcPr>
            <w:tcW w:w="50" w:type="pct"/>
            <w:shd w:val="clear" w:color="auto" w:fill="auto"/>
          </w:tcPr>
          <w:p w14:paraId="40CB1D64" w14:textId="77777777" w:rsidR="00584FB3" w:rsidRDefault="00584FB3">
            <w:pPr>
              <w:rPr>
                <w:rFonts w:ascii="宋体"/>
              </w:rPr>
            </w:pPr>
          </w:p>
        </w:tc>
        <w:tc>
          <w:tcPr>
            <w:tcW w:w="371" w:type="pct"/>
            <w:shd w:val="clear" w:color="auto" w:fill="auto"/>
          </w:tcPr>
          <w:p w14:paraId="40CB1D65" w14:textId="77777777" w:rsidR="00584FB3" w:rsidRDefault="00584FB3">
            <w:pPr>
              <w:rPr>
                <w:rFonts w:ascii="宋体"/>
              </w:rPr>
            </w:pPr>
          </w:p>
        </w:tc>
        <w:tc>
          <w:tcPr>
            <w:tcW w:w="5" w:type="pct"/>
            <w:shd w:val="clear" w:color="auto" w:fill="auto"/>
          </w:tcPr>
          <w:p w14:paraId="40CB1D66" w14:textId="77777777" w:rsidR="00584FB3" w:rsidRDefault="00584FB3">
            <w:pPr>
              <w:rPr>
                <w:rFonts w:ascii="宋体"/>
              </w:rPr>
            </w:pPr>
          </w:p>
        </w:tc>
        <w:tc>
          <w:tcPr>
            <w:tcW w:w="0" w:type="auto"/>
            <w:shd w:val="clear" w:color="auto" w:fill="auto"/>
          </w:tcPr>
          <w:p w14:paraId="40CB1D67" w14:textId="77777777" w:rsidR="00584FB3" w:rsidRDefault="00584FB3">
            <w:pPr>
              <w:rPr>
                <w:rFonts w:ascii="宋体"/>
                <w:vanish/>
              </w:rPr>
            </w:pPr>
          </w:p>
        </w:tc>
        <w:tc>
          <w:tcPr>
            <w:tcW w:w="0" w:type="auto"/>
            <w:shd w:val="clear" w:color="auto" w:fill="auto"/>
          </w:tcPr>
          <w:p w14:paraId="40CB1D68" w14:textId="77777777" w:rsidR="00584FB3" w:rsidRDefault="00584FB3">
            <w:pPr>
              <w:rPr>
                <w:rFonts w:ascii="宋体"/>
                <w:vanish/>
              </w:rPr>
            </w:pPr>
          </w:p>
        </w:tc>
        <w:tc>
          <w:tcPr>
            <w:tcW w:w="0" w:type="auto"/>
            <w:gridSpan w:val="3"/>
            <w:shd w:val="clear" w:color="auto" w:fill="auto"/>
          </w:tcPr>
          <w:p w14:paraId="40CB1D69" w14:textId="77777777" w:rsidR="00584FB3" w:rsidRDefault="00584FB3">
            <w:pPr>
              <w:rPr>
                <w:rFonts w:ascii="宋体"/>
                <w:vanish/>
              </w:rPr>
            </w:pPr>
          </w:p>
        </w:tc>
        <w:tc>
          <w:tcPr>
            <w:tcW w:w="0" w:type="auto"/>
            <w:gridSpan w:val="3"/>
            <w:shd w:val="clear" w:color="auto" w:fill="auto"/>
          </w:tcPr>
          <w:p w14:paraId="40CB1D6A" w14:textId="77777777" w:rsidR="00584FB3" w:rsidRDefault="00584FB3">
            <w:pPr>
              <w:rPr>
                <w:rFonts w:ascii="宋体"/>
                <w:vanish/>
              </w:rPr>
            </w:pPr>
          </w:p>
        </w:tc>
        <w:tc>
          <w:tcPr>
            <w:tcW w:w="0" w:type="auto"/>
            <w:gridSpan w:val="3"/>
            <w:shd w:val="clear" w:color="auto" w:fill="auto"/>
          </w:tcPr>
          <w:p w14:paraId="40CB1D6B" w14:textId="77777777" w:rsidR="00584FB3" w:rsidRDefault="00584FB3">
            <w:pPr>
              <w:rPr>
                <w:rFonts w:ascii="宋体"/>
                <w:vanish/>
              </w:rPr>
            </w:pPr>
          </w:p>
        </w:tc>
        <w:tc>
          <w:tcPr>
            <w:tcW w:w="0" w:type="auto"/>
            <w:gridSpan w:val="3"/>
            <w:shd w:val="clear" w:color="auto" w:fill="auto"/>
          </w:tcPr>
          <w:p w14:paraId="40CB1D6C" w14:textId="77777777" w:rsidR="00584FB3" w:rsidRDefault="00584FB3">
            <w:pPr>
              <w:rPr>
                <w:rFonts w:ascii="宋体"/>
                <w:vanish/>
              </w:rPr>
            </w:pPr>
          </w:p>
        </w:tc>
        <w:tc>
          <w:tcPr>
            <w:tcW w:w="0" w:type="auto"/>
            <w:gridSpan w:val="3"/>
            <w:shd w:val="clear" w:color="auto" w:fill="auto"/>
          </w:tcPr>
          <w:p w14:paraId="40CB1D6D" w14:textId="77777777" w:rsidR="00584FB3" w:rsidRDefault="00584FB3">
            <w:pPr>
              <w:rPr>
                <w:rFonts w:ascii="宋体"/>
                <w:vanish/>
              </w:rPr>
            </w:pPr>
          </w:p>
        </w:tc>
        <w:tc>
          <w:tcPr>
            <w:tcW w:w="0" w:type="auto"/>
            <w:gridSpan w:val="3"/>
            <w:shd w:val="clear" w:color="auto" w:fill="auto"/>
          </w:tcPr>
          <w:p w14:paraId="40CB1D6E" w14:textId="77777777" w:rsidR="00584FB3" w:rsidRDefault="00584FB3">
            <w:pPr>
              <w:rPr>
                <w:rFonts w:ascii="宋体"/>
                <w:vanish/>
              </w:rPr>
            </w:pPr>
          </w:p>
        </w:tc>
        <w:tc>
          <w:tcPr>
            <w:tcW w:w="0" w:type="auto"/>
            <w:gridSpan w:val="3"/>
            <w:shd w:val="clear" w:color="auto" w:fill="auto"/>
          </w:tcPr>
          <w:p w14:paraId="40CB1D6F" w14:textId="77777777" w:rsidR="00584FB3" w:rsidRDefault="00584FB3">
            <w:pPr>
              <w:rPr>
                <w:rFonts w:ascii="宋体"/>
                <w:vanish/>
              </w:rPr>
            </w:pPr>
          </w:p>
        </w:tc>
        <w:tc>
          <w:tcPr>
            <w:tcW w:w="0" w:type="auto"/>
            <w:gridSpan w:val="3"/>
            <w:shd w:val="clear" w:color="auto" w:fill="auto"/>
          </w:tcPr>
          <w:p w14:paraId="40CB1D70" w14:textId="77777777" w:rsidR="00584FB3" w:rsidRDefault="00584FB3">
            <w:pPr>
              <w:rPr>
                <w:rFonts w:ascii="宋体"/>
                <w:vanish/>
              </w:rPr>
            </w:pPr>
          </w:p>
        </w:tc>
      </w:tr>
      <w:tr w:rsidR="00584FB3" w14:paraId="40CB1D8E" w14:textId="77777777">
        <w:trPr>
          <w:jc w:val="center"/>
        </w:trPr>
        <w:tc>
          <w:tcPr>
            <w:tcW w:w="0" w:type="auto"/>
            <w:gridSpan w:val="3"/>
            <w:shd w:val="clear" w:color="auto" w:fill="auto"/>
            <w:tcMar>
              <w:top w:w="40" w:type="dxa"/>
              <w:left w:w="20" w:type="dxa"/>
              <w:bottom w:w="40" w:type="dxa"/>
              <w:right w:w="20" w:type="dxa"/>
            </w:tcMar>
            <w:vAlign w:val="bottom"/>
          </w:tcPr>
          <w:p w14:paraId="40CB1D72" w14:textId="77777777" w:rsidR="00584FB3" w:rsidRDefault="00786180">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0CB1D73"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D74" w14:textId="77777777" w:rsidR="00584FB3" w:rsidRDefault="00584FB3">
            <w:pPr>
              <w:rPr>
                <w:rFonts w:ascii="宋体"/>
                <w:vanish/>
              </w:rPr>
            </w:pPr>
          </w:p>
        </w:tc>
        <w:tc>
          <w:tcPr>
            <w:tcW w:w="0" w:type="auto"/>
            <w:shd w:val="clear" w:color="auto" w:fill="auto"/>
          </w:tcPr>
          <w:p w14:paraId="40CB1D75" w14:textId="77777777" w:rsidR="00584FB3" w:rsidRDefault="00584FB3">
            <w:pPr>
              <w:rPr>
                <w:rFonts w:ascii="宋体"/>
                <w:vanish/>
              </w:rPr>
            </w:pPr>
          </w:p>
        </w:tc>
        <w:tc>
          <w:tcPr>
            <w:tcW w:w="0" w:type="auto"/>
            <w:shd w:val="clear" w:color="auto" w:fill="auto"/>
          </w:tcPr>
          <w:p w14:paraId="40CB1D76" w14:textId="77777777" w:rsidR="00584FB3" w:rsidRDefault="00584FB3">
            <w:pPr>
              <w:rPr>
                <w:rFonts w:ascii="宋体"/>
              </w:rPr>
            </w:pPr>
          </w:p>
        </w:tc>
        <w:tc>
          <w:tcPr>
            <w:tcW w:w="0" w:type="auto"/>
            <w:shd w:val="clear" w:color="auto" w:fill="auto"/>
          </w:tcPr>
          <w:p w14:paraId="40CB1D77" w14:textId="77777777" w:rsidR="00584FB3" w:rsidRDefault="00584FB3">
            <w:pPr>
              <w:rPr>
                <w:rFonts w:ascii="宋体"/>
              </w:rPr>
            </w:pPr>
          </w:p>
        </w:tc>
        <w:tc>
          <w:tcPr>
            <w:tcW w:w="0" w:type="auto"/>
            <w:shd w:val="clear" w:color="auto" w:fill="auto"/>
          </w:tcPr>
          <w:p w14:paraId="40CB1D78" w14:textId="77777777" w:rsidR="00584FB3" w:rsidRDefault="00584FB3">
            <w:pPr>
              <w:rPr>
                <w:rFonts w:ascii="宋体"/>
              </w:rPr>
            </w:pPr>
          </w:p>
        </w:tc>
        <w:tc>
          <w:tcPr>
            <w:tcW w:w="0" w:type="auto"/>
            <w:shd w:val="clear" w:color="auto" w:fill="auto"/>
          </w:tcPr>
          <w:p w14:paraId="40CB1D79" w14:textId="77777777" w:rsidR="00584FB3" w:rsidRDefault="00584FB3">
            <w:pPr>
              <w:rPr>
                <w:rFonts w:ascii="宋体"/>
              </w:rPr>
            </w:pPr>
          </w:p>
        </w:tc>
        <w:tc>
          <w:tcPr>
            <w:tcW w:w="0" w:type="auto"/>
            <w:shd w:val="clear" w:color="auto" w:fill="auto"/>
          </w:tcPr>
          <w:p w14:paraId="40CB1D7A" w14:textId="77777777" w:rsidR="00584FB3" w:rsidRDefault="00584FB3">
            <w:pPr>
              <w:rPr>
                <w:rFonts w:ascii="宋体"/>
              </w:rPr>
            </w:pPr>
          </w:p>
        </w:tc>
        <w:tc>
          <w:tcPr>
            <w:tcW w:w="0" w:type="auto"/>
            <w:shd w:val="clear" w:color="auto" w:fill="auto"/>
          </w:tcPr>
          <w:p w14:paraId="40CB1D7B" w14:textId="77777777" w:rsidR="00584FB3" w:rsidRDefault="00584FB3">
            <w:pPr>
              <w:rPr>
                <w:rFonts w:ascii="宋体"/>
              </w:rPr>
            </w:pPr>
          </w:p>
        </w:tc>
        <w:tc>
          <w:tcPr>
            <w:tcW w:w="0" w:type="auto"/>
            <w:shd w:val="clear" w:color="auto" w:fill="auto"/>
          </w:tcPr>
          <w:p w14:paraId="40CB1D7C" w14:textId="77777777" w:rsidR="00584FB3" w:rsidRDefault="00584FB3">
            <w:pPr>
              <w:rPr>
                <w:rFonts w:ascii="宋体"/>
              </w:rPr>
            </w:pPr>
          </w:p>
        </w:tc>
        <w:tc>
          <w:tcPr>
            <w:tcW w:w="0" w:type="auto"/>
            <w:shd w:val="clear" w:color="auto" w:fill="auto"/>
          </w:tcPr>
          <w:p w14:paraId="40CB1D7D" w14:textId="77777777" w:rsidR="00584FB3" w:rsidRDefault="00584FB3">
            <w:pPr>
              <w:rPr>
                <w:rFonts w:ascii="宋体"/>
              </w:rPr>
            </w:pPr>
          </w:p>
        </w:tc>
        <w:tc>
          <w:tcPr>
            <w:tcW w:w="0" w:type="auto"/>
            <w:shd w:val="clear" w:color="auto" w:fill="auto"/>
          </w:tcPr>
          <w:p w14:paraId="40CB1D7E" w14:textId="77777777" w:rsidR="00584FB3" w:rsidRDefault="00584FB3">
            <w:pPr>
              <w:rPr>
                <w:rFonts w:ascii="宋体"/>
              </w:rPr>
            </w:pPr>
          </w:p>
        </w:tc>
        <w:tc>
          <w:tcPr>
            <w:tcW w:w="0" w:type="auto"/>
            <w:shd w:val="clear" w:color="auto" w:fill="auto"/>
          </w:tcPr>
          <w:p w14:paraId="40CB1D7F" w14:textId="77777777" w:rsidR="00584FB3" w:rsidRDefault="00584FB3">
            <w:pPr>
              <w:rPr>
                <w:rFonts w:ascii="宋体"/>
              </w:rPr>
            </w:pPr>
          </w:p>
        </w:tc>
        <w:tc>
          <w:tcPr>
            <w:tcW w:w="0" w:type="auto"/>
            <w:shd w:val="clear" w:color="auto" w:fill="auto"/>
          </w:tcPr>
          <w:p w14:paraId="40CB1D80" w14:textId="77777777" w:rsidR="00584FB3" w:rsidRDefault="00584FB3">
            <w:pPr>
              <w:rPr>
                <w:rFonts w:ascii="宋体"/>
              </w:rPr>
            </w:pPr>
          </w:p>
        </w:tc>
        <w:tc>
          <w:tcPr>
            <w:tcW w:w="0" w:type="auto"/>
            <w:shd w:val="clear" w:color="auto" w:fill="auto"/>
          </w:tcPr>
          <w:p w14:paraId="40CB1D81" w14:textId="77777777" w:rsidR="00584FB3" w:rsidRDefault="00584FB3">
            <w:pPr>
              <w:rPr>
                <w:rFonts w:ascii="宋体"/>
              </w:rPr>
            </w:pPr>
          </w:p>
        </w:tc>
        <w:tc>
          <w:tcPr>
            <w:tcW w:w="0" w:type="auto"/>
            <w:shd w:val="clear" w:color="auto" w:fill="auto"/>
          </w:tcPr>
          <w:p w14:paraId="40CB1D82" w14:textId="77777777" w:rsidR="00584FB3" w:rsidRDefault="00584FB3">
            <w:pPr>
              <w:rPr>
                <w:rFonts w:ascii="宋体"/>
              </w:rPr>
            </w:pPr>
          </w:p>
        </w:tc>
        <w:tc>
          <w:tcPr>
            <w:tcW w:w="0" w:type="auto"/>
            <w:shd w:val="clear" w:color="auto" w:fill="auto"/>
          </w:tcPr>
          <w:p w14:paraId="40CB1D83" w14:textId="77777777" w:rsidR="00584FB3" w:rsidRDefault="00584FB3">
            <w:pPr>
              <w:rPr>
                <w:rFonts w:ascii="宋体"/>
              </w:rPr>
            </w:pPr>
          </w:p>
        </w:tc>
        <w:tc>
          <w:tcPr>
            <w:tcW w:w="0" w:type="auto"/>
            <w:shd w:val="clear" w:color="auto" w:fill="auto"/>
          </w:tcPr>
          <w:p w14:paraId="40CB1D84" w14:textId="77777777" w:rsidR="00584FB3" w:rsidRDefault="00584FB3">
            <w:pPr>
              <w:rPr>
                <w:rFonts w:ascii="宋体"/>
              </w:rPr>
            </w:pPr>
          </w:p>
        </w:tc>
        <w:tc>
          <w:tcPr>
            <w:tcW w:w="0" w:type="auto"/>
            <w:shd w:val="clear" w:color="auto" w:fill="auto"/>
          </w:tcPr>
          <w:p w14:paraId="40CB1D85" w14:textId="77777777" w:rsidR="00584FB3" w:rsidRDefault="00584FB3">
            <w:pPr>
              <w:rPr>
                <w:rFonts w:ascii="宋体"/>
              </w:rPr>
            </w:pPr>
          </w:p>
        </w:tc>
        <w:tc>
          <w:tcPr>
            <w:tcW w:w="0" w:type="auto"/>
            <w:shd w:val="clear" w:color="auto" w:fill="auto"/>
          </w:tcPr>
          <w:p w14:paraId="40CB1D86" w14:textId="77777777" w:rsidR="00584FB3" w:rsidRDefault="00584FB3">
            <w:pPr>
              <w:rPr>
                <w:rFonts w:ascii="宋体"/>
              </w:rPr>
            </w:pPr>
          </w:p>
        </w:tc>
        <w:tc>
          <w:tcPr>
            <w:tcW w:w="0" w:type="auto"/>
            <w:shd w:val="clear" w:color="auto" w:fill="auto"/>
          </w:tcPr>
          <w:p w14:paraId="40CB1D87" w14:textId="77777777" w:rsidR="00584FB3" w:rsidRDefault="00584FB3">
            <w:pPr>
              <w:rPr>
                <w:rFonts w:ascii="宋体"/>
              </w:rPr>
            </w:pPr>
          </w:p>
        </w:tc>
        <w:tc>
          <w:tcPr>
            <w:tcW w:w="0" w:type="auto"/>
            <w:shd w:val="clear" w:color="auto" w:fill="auto"/>
          </w:tcPr>
          <w:p w14:paraId="40CB1D88" w14:textId="77777777" w:rsidR="00584FB3" w:rsidRDefault="00584FB3">
            <w:pPr>
              <w:rPr>
                <w:rFonts w:ascii="宋体"/>
              </w:rPr>
            </w:pPr>
          </w:p>
        </w:tc>
        <w:tc>
          <w:tcPr>
            <w:tcW w:w="0" w:type="auto"/>
            <w:shd w:val="clear" w:color="auto" w:fill="auto"/>
          </w:tcPr>
          <w:p w14:paraId="40CB1D89" w14:textId="77777777" w:rsidR="00584FB3" w:rsidRDefault="00584FB3">
            <w:pPr>
              <w:rPr>
                <w:rFonts w:ascii="宋体"/>
              </w:rPr>
            </w:pPr>
          </w:p>
        </w:tc>
        <w:tc>
          <w:tcPr>
            <w:tcW w:w="0" w:type="auto"/>
            <w:shd w:val="clear" w:color="auto" w:fill="auto"/>
          </w:tcPr>
          <w:p w14:paraId="40CB1D8A" w14:textId="77777777" w:rsidR="00584FB3" w:rsidRDefault="00584FB3">
            <w:pPr>
              <w:rPr>
                <w:rFonts w:ascii="宋体"/>
              </w:rPr>
            </w:pPr>
          </w:p>
        </w:tc>
        <w:tc>
          <w:tcPr>
            <w:tcW w:w="0" w:type="auto"/>
            <w:shd w:val="clear" w:color="auto" w:fill="auto"/>
          </w:tcPr>
          <w:p w14:paraId="40CB1D8B" w14:textId="77777777" w:rsidR="00584FB3" w:rsidRDefault="00584FB3">
            <w:pPr>
              <w:rPr>
                <w:rFonts w:ascii="宋体"/>
              </w:rPr>
            </w:pPr>
          </w:p>
        </w:tc>
        <w:tc>
          <w:tcPr>
            <w:tcW w:w="0" w:type="auto"/>
            <w:shd w:val="clear" w:color="auto" w:fill="auto"/>
          </w:tcPr>
          <w:p w14:paraId="40CB1D8C" w14:textId="77777777" w:rsidR="00584FB3" w:rsidRDefault="00584FB3">
            <w:pPr>
              <w:rPr>
                <w:rFonts w:ascii="宋体"/>
              </w:rPr>
            </w:pPr>
          </w:p>
        </w:tc>
        <w:tc>
          <w:tcPr>
            <w:tcW w:w="0" w:type="auto"/>
            <w:shd w:val="clear" w:color="auto" w:fill="auto"/>
          </w:tcPr>
          <w:p w14:paraId="40CB1D8D" w14:textId="77777777" w:rsidR="00584FB3" w:rsidRDefault="00584FB3">
            <w:pPr>
              <w:rPr>
                <w:rFonts w:ascii="宋体"/>
              </w:rPr>
            </w:pPr>
          </w:p>
        </w:tc>
      </w:tr>
      <w:tr w:rsidR="00584FB3" w14:paraId="40CB1DA4" w14:textId="77777777">
        <w:trPr>
          <w:jc w:val="center"/>
        </w:trPr>
        <w:tc>
          <w:tcPr>
            <w:tcW w:w="0" w:type="auto"/>
            <w:gridSpan w:val="3"/>
            <w:shd w:val="clear" w:color="auto" w:fill="auto"/>
            <w:tcMar>
              <w:top w:w="0" w:type="dxa"/>
              <w:left w:w="20" w:type="dxa"/>
              <w:bottom w:w="0" w:type="dxa"/>
              <w:right w:w="20" w:type="dxa"/>
            </w:tcMar>
          </w:tcPr>
          <w:p w14:paraId="40CB1D8F"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D90"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1D9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D92"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1D9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D94" w14:textId="77777777" w:rsidR="00584FB3" w:rsidRDefault="00786180">
            <w:pPr>
              <w:jc w:val="center"/>
              <w:textAlignment w:val="bottom"/>
            </w:pPr>
            <w:r>
              <w:rPr>
                <w:rFonts w:ascii="Times New Roman" w:eastAsia="宋体" w:hAnsi="Times New Roman"/>
                <w:b/>
                <w:bCs/>
                <w:color w:val="FFFFFF"/>
                <w:sz w:val="16"/>
                <w:szCs w:val="16"/>
              </w:rPr>
              <w:t>$</w:t>
            </w:r>
          </w:p>
          <w:p w14:paraId="40CB1D95"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40CB1D96"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D97"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1D98"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1D99" w14:textId="77777777" w:rsidR="00584FB3" w:rsidRDefault="00786180">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w:t>
            </w:r>
            <w:r>
              <w:rPr>
                <w:rFonts w:ascii="Times New Roman" w:eastAsia="宋体" w:hAnsi="Times New Roman"/>
                <w:b/>
                <w:bCs/>
                <w:color w:val="FFFFFF"/>
                <w:sz w:val="16"/>
                <w:szCs w:val="16"/>
              </w:rPr>
              <w:br/>
              <w:t>2019</w:t>
            </w:r>
          </w:p>
        </w:tc>
        <w:tc>
          <w:tcPr>
            <w:tcW w:w="0" w:type="auto"/>
            <w:shd w:val="clear" w:color="auto" w:fill="auto"/>
          </w:tcPr>
          <w:p w14:paraId="40CB1D9A" w14:textId="77777777" w:rsidR="00584FB3" w:rsidRDefault="00584FB3">
            <w:pPr>
              <w:rPr>
                <w:rFonts w:ascii="宋体"/>
                <w:vanish/>
              </w:rPr>
            </w:pPr>
          </w:p>
        </w:tc>
        <w:tc>
          <w:tcPr>
            <w:tcW w:w="0" w:type="auto"/>
            <w:shd w:val="clear" w:color="auto" w:fill="auto"/>
          </w:tcPr>
          <w:p w14:paraId="40CB1D9B" w14:textId="77777777" w:rsidR="00584FB3" w:rsidRDefault="00584FB3">
            <w:pPr>
              <w:rPr>
                <w:rFonts w:ascii="宋体"/>
                <w:vanish/>
              </w:rPr>
            </w:pPr>
          </w:p>
        </w:tc>
        <w:tc>
          <w:tcPr>
            <w:tcW w:w="0" w:type="auto"/>
            <w:gridSpan w:val="3"/>
            <w:shd w:val="clear" w:color="auto" w:fill="auto"/>
          </w:tcPr>
          <w:p w14:paraId="40CB1D9C" w14:textId="77777777" w:rsidR="00584FB3" w:rsidRDefault="00584FB3">
            <w:pPr>
              <w:rPr>
                <w:rFonts w:ascii="宋体"/>
                <w:vanish/>
              </w:rPr>
            </w:pPr>
          </w:p>
        </w:tc>
        <w:tc>
          <w:tcPr>
            <w:tcW w:w="0" w:type="auto"/>
            <w:gridSpan w:val="3"/>
            <w:shd w:val="clear" w:color="auto" w:fill="auto"/>
          </w:tcPr>
          <w:p w14:paraId="40CB1D9D" w14:textId="77777777" w:rsidR="00584FB3" w:rsidRDefault="00584FB3">
            <w:pPr>
              <w:rPr>
                <w:rFonts w:ascii="宋体"/>
                <w:vanish/>
              </w:rPr>
            </w:pPr>
          </w:p>
        </w:tc>
        <w:tc>
          <w:tcPr>
            <w:tcW w:w="0" w:type="auto"/>
            <w:gridSpan w:val="3"/>
            <w:shd w:val="clear" w:color="auto" w:fill="auto"/>
          </w:tcPr>
          <w:p w14:paraId="40CB1D9E" w14:textId="77777777" w:rsidR="00584FB3" w:rsidRDefault="00584FB3">
            <w:pPr>
              <w:rPr>
                <w:rFonts w:ascii="宋体"/>
                <w:vanish/>
              </w:rPr>
            </w:pPr>
          </w:p>
        </w:tc>
        <w:tc>
          <w:tcPr>
            <w:tcW w:w="0" w:type="auto"/>
            <w:gridSpan w:val="3"/>
            <w:shd w:val="clear" w:color="auto" w:fill="auto"/>
          </w:tcPr>
          <w:p w14:paraId="40CB1D9F" w14:textId="77777777" w:rsidR="00584FB3" w:rsidRDefault="00584FB3">
            <w:pPr>
              <w:rPr>
                <w:rFonts w:ascii="宋体"/>
                <w:vanish/>
              </w:rPr>
            </w:pPr>
          </w:p>
        </w:tc>
        <w:tc>
          <w:tcPr>
            <w:tcW w:w="0" w:type="auto"/>
            <w:gridSpan w:val="3"/>
            <w:shd w:val="clear" w:color="auto" w:fill="auto"/>
          </w:tcPr>
          <w:p w14:paraId="40CB1DA0" w14:textId="77777777" w:rsidR="00584FB3" w:rsidRDefault="00584FB3">
            <w:pPr>
              <w:rPr>
                <w:rFonts w:ascii="宋体"/>
                <w:vanish/>
              </w:rPr>
            </w:pPr>
          </w:p>
        </w:tc>
        <w:tc>
          <w:tcPr>
            <w:tcW w:w="0" w:type="auto"/>
            <w:gridSpan w:val="3"/>
            <w:shd w:val="clear" w:color="auto" w:fill="auto"/>
          </w:tcPr>
          <w:p w14:paraId="40CB1DA1" w14:textId="77777777" w:rsidR="00584FB3" w:rsidRDefault="00584FB3">
            <w:pPr>
              <w:rPr>
                <w:rFonts w:ascii="宋体"/>
                <w:vanish/>
              </w:rPr>
            </w:pPr>
          </w:p>
        </w:tc>
        <w:tc>
          <w:tcPr>
            <w:tcW w:w="0" w:type="auto"/>
            <w:gridSpan w:val="3"/>
            <w:shd w:val="clear" w:color="auto" w:fill="auto"/>
          </w:tcPr>
          <w:p w14:paraId="40CB1DA2" w14:textId="77777777" w:rsidR="00584FB3" w:rsidRDefault="00584FB3">
            <w:pPr>
              <w:rPr>
                <w:rFonts w:ascii="宋体"/>
                <w:vanish/>
              </w:rPr>
            </w:pPr>
          </w:p>
        </w:tc>
        <w:tc>
          <w:tcPr>
            <w:tcW w:w="0" w:type="auto"/>
            <w:gridSpan w:val="3"/>
            <w:shd w:val="clear" w:color="auto" w:fill="auto"/>
          </w:tcPr>
          <w:p w14:paraId="40CB1DA3" w14:textId="77777777" w:rsidR="00584FB3" w:rsidRDefault="00584FB3">
            <w:pPr>
              <w:rPr>
                <w:rFonts w:ascii="宋体"/>
                <w:vanish/>
              </w:rPr>
            </w:pPr>
          </w:p>
        </w:tc>
      </w:tr>
      <w:tr w:rsidR="00584FB3" w14:paraId="40CB1DBC" w14:textId="77777777">
        <w:trPr>
          <w:jc w:val="center"/>
        </w:trPr>
        <w:tc>
          <w:tcPr>
            <w:tcW w:w="0" w:type="auto"/>
            <w:gridSpan w:val="3"/>
            <w:shd w:val="clear" w:color="auto" w:fill="auto"/>
            <w:tcMar>
              <w:top w:w="40" w:type="dxa"/>
              <w:left w:w="20" w:type="dxa"/>
              <w:bottom w:w="40" w:type="dxa"/>
              <w:right w:w="20" w:type="dxa"/>
            </w:tcMar>
            <w:vAlign w:val="bottom"/>
          </w:tcPr>
          <w:p w14:paraId="40CB1DA5" w14:textId="77777777" w:rsidR="00584FB3" w:rsidRDefault="00786180">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CB1DA6"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B1DA7" w14:textId="77777777" w:rsidR="00584FB3" w:rsidRDefault="00584FB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CB1DA8"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B1DA9"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1DAA"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DAB" w14:textId="77777777" w:rsidR="00584FB3" w:rsidRDefault="00584FB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CB1DAC" w14:textId="77777777" w:rsidR="00584FB3" w:rsidRDefault="00786180">
            <w:pPr>
              <w:jc w:val="center"/>
              <w:textAlignment w:val="bottom"/>
            </w:pPr>
            <w:r>
              <w:rPr>
                <w:rFonts w:ascii="Times New Roman" w:eastAsia="宋体" w:hAnsi="Times New Roman"/>
                <w:b/>
                <w:bCs/>
                <w:color w:val="000000"/>
                <w:sz w:val="16"/>
                <w:szCs w:val="16"/>
              </w:rPr>
              <w:t>As a % of Total</w:t>
            </w:r>
          </w:p>
          <w:p w14:paraId="40CB1DAD" w14:textId="77777777" w:rsidR="00584FB3" w:rsidRDefault="00786180">
            <w:pPr>
              <w:jc w:val="center"/>
              <w:textAlignment w:val="bottom"/>
            </w:pPr>
            <w:r>
              <w:rPr>
                <w:rFonts w:ascii="Times New Roman" w:eastAsia="宋体" w:hAnsi="Times New Roman"/>
                <w:b/>
                <w:bCs/>
                <w:color w:val="000000"/>
                <w:sz w:val="16"/>
                <w:szCs w:val="16"/>
              </w:rPr>
              <w:t>Net Revenues</w:t>
            </w:r>
          </w:p>
        </w:tc>
        <w:tc>
          <w:tcPr>
            <w:tcW w:w="0" w:type="auto"/>
            <w:shd w:val="clear" w:color="auto" w:fill="auto"/>
          </w:tcPr>
          <w:p w14:paraId="40CB1DAE" w14:textId="77777777" w:rsidR="00584FB3" w:rsidRDefault="00584FB3">
            <w:pPr>
              <w:rPr>
                <w:rFonts w:ascii="宋体"/>
                <w:vanish/>
              </w:rPr>
            </w:pPr>
          </w:p>
        </w:tc>
        <w:tc>
          <w:tcPr>
            <w:tcW w:w="0" w:type="auto"/>
            <w:shd w:val="clear" w:color="auto" w:fill="auto"/>
          </w:tcPr>
          <w:p w14:paraId="40CB1DAF" w14:textId="77777777" w:rsidR="00584FB3" w:rsidRDefault="00584FB3">
            <w:pPr>
              <w:rPr>
                <w:rFonts w:ascii="宋体"/>
                <w:vanish/>
              </w:rPr>
            </w:pPr>
          </w:p>
        </w:tc>
        <w:tc>
          <w:tcPr>
            <w:tcW w:w="0" w:type="auto"/>
            <w:gridSpan w:val="3"/>
            <w:shd w:val="clear" w:color="auto" w:fill="auto"/>
          </w:tcPr>
          <w:p w14:paraId="40CB1DB0" w14:textId="77777777" w:rsidR="00584FB3" w:rsidRDefault="00584FB3">
            <w:pPr>
              <w:rPr>
                <w:rFonts w:ascii="宋体"/>
                <w:vanish/>
              </w:rPr>
            </w:pPr>
          </w:p>
        </w:tc>
        <w:tc>
          <w:tcPr>
            <w:tcW w:w="0" w:type="auto"/>
            <w:gridSpan w:val="3"/>
            <w:shd w:val="clear" w:color="auto" w:fill="auto"/>
          </w:tcPr>
          <w:p w14:paraId="40CB1DB1" w14:textId="77777777" w:rsidR="00584FB3" w:rsidRDefault="00584FB3">
            <w:pPr>
              <w:rPr>
                <w:rFonts w:ascii="宋体"/>
                <w:vanish/>
              </w:rPr>
            </w:pPr>
          </w:p>
        </w:tc>
        <w:tc>
          <w:tcPr>
            <w:tcW w:w="0" w:type="auto"/>
            <w:gridSpan w:val="3"/>
            <w:shd w:val="clear" w:color="auto" w:fill="auto"/>
          </w:tcPr>
          <w:p w14:paraId="40CB1DB2" w14:textId="77777777" w:rsidR="00584FB3" w:rsidRDefault="00584FB3">
            <w:pPr>
              <w:rPr>
                <w:rFonts w:ascii="宋体"/>
                <w:vanish/>
              </w:rPr>
            </w:pPr>
          </w:p>
        </w:tc>
        <w:tc>
          <w:tcPr>
            <w:tcW w:w="0" w:type="auto"/>
            <w:gridSpan w:val="3"/>
            <w:shd w:val="clear" w:color="auto" w:fill="auto"/>
          </w:tcPr>
          <w:p w14:paraId="40CB1DB3" w14:textId="77777777" w:rsidR="00584FB3" w:rsidRDefault="00584FB3">
            <w:pPr>
              <w:rPr>
                <w:rFonts w:ascii="宋体"/>
                <w:vanish/>
              </w:rPr>
            </w:pPr>
          </w:p>
        </w:tc>
        <w:tc>
          <w:tcPr>
            <w:tcW w:w="0" w:type="auto"/>
            <w:gridSpan w:val="3"/>
            <w:shd w:val="clear" w:color="auto" w:fill="auto"/>
          </w:tcPr>
          <w:p w14:paraId="40CB1DB4" w14:textId="77777777" w:rsidR="00584FB3" w:rsidRDefault="00584FB3">
            <w:pPr>
              <w:rPr>
                <w:rFonts w:ascii="宋体"/>
                <w:vanish/>
              </w:rPr>
            </w:pPr>
          </w:p>
        </w:tc>
        <w:tc>
          <w:tcPr>
            <w:tcW w:w="0" w:type="auto"/>
            <w:gridSpan w:val="3"/>
            <w:shd w:val="clear" w:color="auto" w:fill="auto"/>
          </w:tcPr>
          <w:p w14:paraId="40CB1DB5" w14:textId="77777777" w:rsidR="00584FB3" w:rsidRDefault="00584FB3">
            <w:pPr>
              <w:rPr>
                <w:rFonts w:ascii="宋体"/>
                <w:vanish/>
              </w:rPr>
            </w:pPr>
          </w:p>
        </w:tc>
        <w:tc>
          <w:tcPr>
            <w:tcW w:w="0" w:type="auto"/>
            <w:shd w:val="clear" w:color="auto" w:fill="auto"/>
          </w:tcPr>
          <w:p w14:paraId="40CB1DB6" w14:textId="77777777" w:rsidR="00584FB3" w:rsidRDefault="00584FB3">
            <w:pPr>
              <w:rPr>
                <w:rFonts w:ascii="宋体"/>
              </w:rPr>
            </w:pPr>
          </w:p>
        </w:tc>
        <w:tc>
          <w:tcPr>
            <w:tcW w:w="0" w:type="auto"/>
            <w:shd w:val="clear" w:color="auto" w:fill="auto"/>
          </w:tcPr>
          <w:p w14:paraId="40CB1DB7" w14:textId="77777777" w:rsidR="00584FB3" w:rsidRDefault="00584FB3">
            <w:pPr>
              <w:rPr>
                <w:rFonts w:ascii="宋体"/>
              </w:rPr>
            </w:pPr>
          </w:p>
        </w:tc>
        <w:tc>
          <w:tcPr>
            <w:tcW w:w="0" w:type="auto"/>
            <w:shd w:val="clear" w:color="auto" w:fill="auto"/>
          </w:tcPr>
          <w:p w14:paraId="40CB1DB8" w14:textId="77777777" w:rsidR="00584FB3" w:rsidRDefault="00584FB3">
            <w:pPr>
              <w:rPr>
                <w:rFonts w:ascii="宋体"/>
              </w:rPr>
            </w:pPr>
          </w:p>
        </w:tc>
        <w:tc>
          <w:tcPr>
            <w:tcW w:w="0" w:type="auto"/>
            <w:shd w:val="clear" w:color="auto" w:fill="auto"/>
          </w:tcPr>
          <w:p w14:paraId="40CB1DB9" w14:textId="77777777" w:rsidR="00584FB3" w:rsidRDefault="00584FB3">
            <w:pPr>
              <w:rPr>
                <w:rFonts w:ascii="宋体"/>
              </w:rPr>
            </w:pPr>
          </w:p>
        </w:tc>
        <w:tc>
          <w:tcPr>
            <w:tcW w:w="0" w:type="auto"/>
            <w:shd w:val="clear" w:color="auto" w:fill="auto"/>
          </w:tcPr>
          <w:p w14:paraId="40CB1DBA" w14:textId="77777777" w:rsidR="00584FB3" w:rsidRDefault="00584FB3">
            <w:pPr>
              <w:rPr>
                <w:rFonts w:ascii="宋体"/>
              </w:rPr>
            </w:pPr>
          </w:p>
        </w:tc>
        <w:tc>
          <w:tcPr>
            <w:tcW w:w="0" w:type="auto"/>
            <w:shd w:val="clear" w:color="auto" w:fill="auto"/>
          </w:tcPr>
          <w:p w14:paraId="40CB1DBB" w14:textId="77777777" w:rsidR="00584FB3" w:rsidRDefault="00584FB3">
            <w:pPr>
              <w:rPr>
                <w:rFonts w:ascii="宋体"/>
              </w:rPr>
            </w:pPr>
          </w:p>
        </w:tc>
      </w:tr>
      <w:tr w:rsidR="00584FB3" w14:paraId="40CB1DD9" w14:textId="77777777">
        <w:trPr>
          <w:jc w:val="center"/>
        </w:trPr>
        <w:tc>
          <w:tcPr>
            <w:tcW w:w="0" w:type="auto"/>
            <w:gridSpan w:val="3"/>
            <w:shd w:val="clear" w:color="auto" w:fill="D7E4BC"/>
            <w:tcMar>
              <w:top w:w="40" w:type="dxa"/>
              <w:left w:w="20" w:type="dxa"/>
              <w:bottom w:w="40" w:type="dxa"/>
              <w:right w:w="20" w:type="dxa"/>
            </w:tcMar>
          </w:tcPr>
          <w:p w14:paraId="40CB1DBD" w14:textId="77777777" w:rsidR="00584FB3" w:rsidRDefault="00786180">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40CB1DBE"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1DBF" w14:textId="77777777" w:rsidR="00584FB3" w:rsidRDefault="00786180">
            <w:pPr>
              <w:jc w:val="right"/>
              <w:textAlignment w:val="bottom"/>
            </w:pPr>
            <w:r>
              <w:rPr>
                <w:rFonts w:ascii="Times New Roman" w:eastAsia="宋体" w:hAnsi="Times New Roman"/>
                <w:color w:val="000000"/>
                <w:sz w:val="20"/>
                <w:szCs w:val="20"/>
              </w:rPr>
              <w:t>2,049.1 </w:t>
            </w:r>
          </w:p>
        </w:tc>
        <w:tc>
          <w:tcPr>
            <w:tcW w:w="0" w:type="auto"/>
            <w:shd w:val="clear" w:color="auto" w:fill="D7E4BC"/>
            <w:tcMar>
              <w:top w:w="40" w:type="dxa"/>
              <w:left w:w="0" w:type="dxa"/>
              <w:bottom w:w="40" w:type="dxa"/>
              <w:right w:w="20" w:type="dxa"/>
            </w:tcMar>
            <w:vAlign w:val="bottom"/>
          </w:tcPr>
          <w:p w14:paraId="40CB1DC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C1"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1DC2"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1DC3" w14:textId="77777777" w:rsidR="00584FB3" w:rsidRDefault="00786180">
            <w:pPr>
              <w:jc w:val="right"/>
              <w:textAlignment w:val="bottom"/>
            </w:pPr>
            <w:r>
              <w:rPr>
                <w:rFonts w:ascii="Times New Roman" w:eastAsia="宋体" w:hAnsi="Times New Roman"/>
                <w:color w:val="000000"/>
                <w:sz w:val="20"/>
                <w:szCs w:val="20"/>
              </w:rPr>
              <w:t>2,236.4 </w:t>
            </w:r>
          </w:p>
        </w:tc>
        <w:tc>
          <w:tcPr>
            <w:tcW w:w="0" w:type="auto"/>
            <w:shd w:val="clear" w:color="auto" w:fill="D7E4BC"/>
            <w:tcMar>
              <w:top w:w="40" w:type="dxa"/>
              <w:left w:w="0" w:type="dxa"/>
              <w:bottom w:w="40" w:type="dxa"/>
              <w:right w:w="20" w:type="dxa"/>
            </w:tcMar>
            <w:vAlign w:val="bottom"/>
          </w:tcPr>
          <w:p w14:paraId="40CB1DC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C5"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1DC6"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1DC7" w14:textId="77777777" w:rsidR="00584FB3" w:rsidRDefault="00786180">
            <w:pPr>
              <w:jc w:val="right"/>
              <w:textAlignment w:val="bottom"/>
            </w:pPr>
            <w:r>
              <w:rPr>
                <w:rFonts w:ascii="Times New Roman" w:eastAsia="宋体" w:hAnsi="Times New Roman"/>
                <w:color w:val="000000"/>
                <w:sz w:val="20"/>
                <w:szCs w:val="20"/>
              </w:rPr>
              <w:t>(187.3)</w:t>
            </w:r>
          </w:p>
        </w:tc>
        <w:tc>
          <w:tcPr>
            <w:tcW w:w="0" w:type="auto"/>
            <w:shd w:val="clear" w:color="auto" w:fill="D7E4BC"/>
            <w:tcMar>
              <w:top w:w="40" w:type="dxa"/>
              <w:left w:w="0" w:type="dxa"/>
              <w:bottom w:w="40" w:type="dxa"/>
              <w:right w:w="20" w:type="dxa"/>
            </w:tcMar>
            <w:vAlign w:val="bottom"/>
          </w:tcPr>
          <w:p w14:paraId="40CB1DC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C9"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DCA" w14:textId="77777777" w:rsidR="00584FB3" w:rsidRDefault="00786180">
            <w:pPr>
              <w:jc w:val="right"/>
              <w:textAlignment w:val="bottom"/>
            </w:pPr>
            <w:r>
              <w:rPr>
                <w:rFonts w:ascii="Times New Roman" w:eastAsia="宋体" w:hAnsi="Times New Roman"/>
                <w:color w:val="000000"/>
                <w:sz w:val="20"/>
                <w:szCs w:val="20"/>
              </w:rPr>
              <w:t>30.4 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DCB"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40CB1DCC"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DCD" w14:textId="77777777" w:rsidR="00584FB3" w:rsidRDefault="00786180">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DCE"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1DCF" w14:textId="77777777" w:rsidR="00584FB3" w:rsidRDefault="00584FB3">
            <w:pPr>
              <w:rPr>
                <w:rFonts w:ascii="宋体"/>
                <w:vanish/>
              </w:rPr>
            </w:pPr>
          </w:p>
        </w:tc>
        <w:tc>
          <w:tcPr>
            <w:tcW w:w="0" w:type="auto"/>
            <w:shd w:val="clear" w:color="auto" w:fill="auto"/>
          </w:tcPr>
          <w:p w14:paraId="40CB1DD0" w14:textId="77777777" w:rsidR="00584FB3" w:rsidRDefault="00584FB3">
            <w:pPr>
              <w:rPr>
                <w:rFonts w:ascii="宋体"/>
                <w:vanish/>
              </w:rPr>
            </w:pPr>
          </w:p>
        </w:tc>
        <w:tc>
          <w:tcPr>
            <w:tcW w:w="0" w:type="auto"/>
            <w:gridSpan w:val="3"/>
            <w:shd w:val="clear" w:color="auto" w:fill="auto"/>
          </w:tcPr>
          <w:p w14:paraId="40CB1DD1" w14:textId="77777777" w:rsidR="00584FB3" w:rsidRDefault="00584FB3">
            <w:pPr>
              <w:rPr>
                <w:rFonts w:ascii="宋体"/>
                <w:vanish/>
              </w:rPr>
            </w:pPr>
          </w:p>
        </w:tc>
        <w:tc>
          <w:tcPr>
            <w:tcW w:w="0" w:type="auto"/>
            <w:gridSpan w:val="3"/>
            <w:shd w:val="clear" w:color="auto" w:fill="auto"/>
          </w:tcPr>
          <w:p w14:paraId="40CB1DD2" w14:textId="77777777" w:rsidR="00584FB3" w:rsidRDefault="00584FB3">
            <w:pPr>
              <w:rPr>
                <w:rFonts w:ascii="宋体"/>
                <w:vanish/>
              </w:rPr>
            </w:pPr>
          </w:p>
        </w:tc>
        <w:tc>
          <w:tcPr>
            <w:tcW w:w="0" w:type="auto"/>
            <w:gridSpan w:val="3"/>
            <w:shd w:val="clear" w:color="auto" w:fill="auto"/>
          </w:tcPr>
          <w:p w14:paraId="40CB1DD3" w14:textId="77777777" w:rsidR="00584FB3" w:rsidRDefault="00584FB3">
            <w:pPr>
              <w:rPr>
                <w:rFonts w:ascii="宋体"/>
                <w:vanish/>
              </w:rPr>
            </w:pPr>
          </w:p>
        </w:tc>
        <w:tc>
          <w:tcPr>
            <w:tcW w:w="0" w:type="auto"/>
            <w:gridSpan w:val="3"/>
            <w:shd w:val="clear" w:color="auto" w:fill="auto"/>
          </w:tcPr>
          <w:p w14:paraId="40CB1DD4" w14:textId="77777777" w:rsidR="00584FB3" w:rsidRDefault="00584FB3">
            <w:pPr>
              <w:rPr>
                <w:rFonts w:ascii="宋体"/>
                <w:vanish/>
              </w:rPr>
            </w:pPr>
          </w:p>
        </w:tc>
        <w:tc>
          <w:tcPr>
            <w:tcW w:w="0" w:type="auto"/>
            <w:gridSpan w:val="3"/>
            <w:shd w:val="clear" w:color="auto" w:fill="auto"/>
          </w:tcPr>
          <w:p w14:paraId="40CB1DD5" w14:textId="77777777" w:rsidR="00584FB3" w:rsidRDefault="00584FB3">
            <w:pPr>
              <w:rPr>
                <w:rFonts w:ascii="宋体"/>
                <w:vanish/>
              </w:rPr>
            </w:pPr>
          </w:p>
        </w:tc>
        <w:tc>
          <w:tcPr>
            <w:tcW w:w="0" w:type="auto"/>
            <w:gridSpan w:val="3"/>
            <w:shd w:val="clear" w:color="auto" w:fill="auto"/>
          </w:tcPr>
          <w:p w14:paraId="40CB1DD6" w14:textId="77777777" w:rsidR="00584FB3" w:rsidRDefault="00584FB3">
            <w:pPr>
              <w:rPr>
                <w:rFonts w:ascii="宋体"/>
                <w:vanish/>
              </w:rPr>
            </w:pPr>
          </w:p>
        </w:tc>
        <w:tc>
          <w:tcPr>
            <w:tcW w:w="0" w:type="auto"/>
            <w:gridSpan w:val="3"/>
            <w:shd w:val="clear" w:color="auto" w:fill="auto"/>
          </w:tcPr>
          <w:p w14:paraId="40CB1DD7" w14:textId="77777777" w:rsidR="00584FB3" w:rsidRDefault="00584FB3">
            <w:pPr>
              <w:rPr>
                <w:rFonts w:ascii="宋体"/>
                <w:vanish/>
              </w:rPr>
            </w:pPr>
          </w:p>
        </w:tc>
        <w:tc>
          <w:tcPr>
            <w:tcW w:w="0" w:type="auto"/>
            <w:gridSpan w:val="3"/>
            <w:shd w:val="clear" w:color="auto" w:fill="auto"/>
          </w:tcPr>
          <w:p w14:paraId="40CB1DD8" w14:textId="77777777" w:rsidR="00584FB3" w:rsidRDefault="00584FB3">
            <w:pPr>
              <w:rPr>
                <w:rFonts w:ascii="宋体"/>
                <w:vanish/>
              </w:rPr>
            </w:pPr>
          </w:p>
        </w:tc>
      </w:tr>
      <w:tr w:rsidR="00584FB3" w14:paraId="40CB1DF3" w14:textId="77777777">
        <w:trPr>
          <w:jc w:val="center"/>
        </w:trPr>
        <w:tc>
          <w:tcPr>
            <w:tcW w:w="0" w:type="auto"/>
            <w:gridSpan w:val="3"/>
            <w:shd w:val="clear" w:color="auto" w:fill="FFFFFF"/>
            <w:tcMar>
              <w:top w:w="40" w:type="dxa"/>
              <w:left w:w="20" w:type="dxa"/>
              <w:bottom w:w="40" w:type="dxa"/>
              <w:right w:w="20" w:type="dxa"/>
            </w:tcMar>
          </w:tcPr>
          <w:p w14:paraId="40CB1DDA" w14:textId="77777777" w:rsidR="00584FB3" w:rsidRDefault="00786180">
            <w:pPr>
              <w:textAlignment w:val="top"/>
            </w:pPr>
            <w:r>
              <w:rPr>
                <w:rFonts w:ascii="Times New Roman" w:eastAsia="宋体" w:hAnsi="Times New Roman"/>
                <w:color w:val="000000"/>
                <w:sz w:val="20"/>
                <w:szCs w:val="20"/>
              </w:rPr>
              <w:t>Store operating expenses</w:t>
            </w:r>
          </w:p>
        </w:tc>
        <w:tc>
          <w:tcPr>
            <w:tcW w:w="0" w:type="auto"/>
            <w:gridSpan w:val="2"/>
            <w:shd w:val="clear" w:color="auto" w:fill="FFFFFF"/>
            <w:tcMar>
              <w:top w:w="40" w:type="dxa"/>
              <w:left w:w="20" w:type="dxa"/>
              <w:bottom w:w="40" w:type="dxa"/>
              <w:right w:w="0" w:type="dxa"/>
            </w:tcMar>
            <w:vAlign w:val="bottom"/>
          </w:tcPr>
          <w:p w14:paraId="40CB1DDB" w14:textId="77777777" w:rsidR="00584FB3" w:rsidRDefault="00786180">
            <w:pPr>
              <w:jc w:val="right"/>
              <w:textAlignment w:val="bottom"/>
            </w:pPr>
            <w:r>
              <w:rPr>
                <w:rFonts w:ascii="Times New Roman" w:eastAsia="宋体" w:hAnsi="Times New Roman"/>
                <w:color w:val="000000"/>
                <w:sz w:val="20"/>
                <w:szCs w:val="20"/>
              </w:rPr>
              <w:t>2,867.3 </w:t>
            </w:r>
          </w:p>
        </w:tc>
        <w:tc>
          <w:tcPr>
            <w:tcW w:w="0" w:type="auto"/>
            <w:shd w:val="clear" w:color="auto" w:fill="FFFFFF"/>
            <w:tcMar>
              <w:top w:w="40" w:type="dxa"/>
              <w:left w:w="0" w:type="dxa"/>
              <w:bottom w:w="40" w:type="dxa"/>
              <w:right w:w="20" w:type="dxa"/>
            </w:tcMar>
            <w:vAlign w:val="bottom"/>
          </w:tcPr>
          <w:p w14:paraId="40CB1DD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D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DDE" w14:textId="77777777" w:rsidR="00584FB3" w:rsidRDefault="00786180">
            <w:pPr>
              <w:jc w:val="right"/>
              <w:textAlignment w:val="bottom"/>
            </w:pPr>
            <w:r>
              <w:rPr>
                <w:rFonts w:ascii="Times New Roman" w:eastAsia="宋体" w:hAnsi="Times New Roman"/>
                <w:color w:val="000000"/>
                <w:sz w:val="20"/>
                <w:szCs w:val="20"/>
              </w:rPr>
              <w:t>2,821.</w:t>
            </w: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40CB1DD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E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DE1" w14:textId="77777777" w:rsidR="00584FB3" w:rsidRDefault="00786180">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40CB1DE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E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DE4" w14:textId="77777777" w:rsidR="00584FB3" w:rsidRDefault="00786180">
            <w:pPr>
              <w:jc w:val="right"/>
              <w:textAlignment w:val="bottom"/>
            </w:pPr>
            <w:r>
              <w:rPr>
                <w:rFonts w:ascii="Times New Roman" w:eastAsia="宋体" w:hAnsi="Times New Roman"/>
                <w:color w:val="000000"/>
                <w:sz w:val="20"/>
                <w:szCs w:val="20"/>
              </w:rPr>
              <w:t>42.5 </w:t>
            </w:r>
          </w:p>
        </w:tc>
        <w:tc>
          <w:tcPr>
            <w:tcW w:w="0" w:type="auto"/>
            <w:shd w:val="clear" w:color="auto" w:fill="FFFFFF"/>
            <w:tcMar>
              <w:top w:w="40" w:type="dxa"/>
              <w:left w:w="0" w:type="dxa"/>
              <w:bottom w:w="40" w:type="dxa"/>
              <w:right w:w="20" w:type="dxa"/>
            </w:tcMar>
            <w:vAlign w:val="bottom"/>
          </w:tcPr>
          <w:p w14:paraId="40CB1DE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DE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DE7" w14:textId="77777777" w:rsidR="00584FB3" w:rsidRDefault="00786180">
            <w:pPr>
              <w:jc w:val="right"/>
              <w:textAlignment w:val="bottom"/>
            </w:pPr>
            <w:r>
              <w:rPr>
                <w:rFonts w:ascii="Times New Roman" w:eastAsia="宋体" w:hAnsi="Times New Roman"/>
                <w:color w:val="000000"/>
                <w:sz w:val="20"/>
                <w:szCs w:val="20"/>
              </w:rPr>
              <w:t>39.8 </w:t>
            </w:r>
          </w:p>
        </w:tc>
        <w:tc>
          <w:tcPr>
            <w:tcW w:w="0" w:type="auto"/>
            <w:shd w:val="clear" w:color="auto" w:fill="FFFFFF"/>
            <w:tcMar>
              <w:top w:w="40" w:type="dxa"/>
              <w:left w:w="0" w:type="dxa"/>
              <w:bottom w:w="40" w:type="dxa"/>
              <w:right w:w="20" w:type="dxa"/>
            </w:tcMar>
            <w:vAlign w:val="bottom"/>
          </w:tcPr>
          <w:p w14:paraId="40CB1DE8" w14:textId="77777777" w:rsidR="00584FB3" w:rsidRDefault="00584FB3">
            <w:pPr>
              <w:jc w:val="right"/>
              <w:rPr>
                <w:rFonts w:ascii="宋体"/>
              </w:rPr>
            </w:pPr>
          </w:p>
        </w:tc>
        <w:tc>
          <w:tcPr>
            <w:tcW w:w="0" w:type="auto"/>
            <w:shd w:val="clear" w:color="auto" w:fill="auto"/>
          </w:tcPr>
          <w:p w14:paraId="40CB1DE9" w14:textId="77777777" w:rsidR="00584FB3" w:rsidRDefault="00584FB3">
            <w:pPr>
              <w:rPr>
                <w:rFonts w:ascii="宋体"/>
                <w:vanish/>
              </w:rPr>
            </w:pPr>
          </w:p>
        </w:tc>
        <w:tc>
          <w:tcPr>
            <w:tcW w:w="0" w:type="auto"/>
            <w:shd w:val="clear" w:color="auto" w:fill="auto"/>
          </w:tcPr>
          <w:p w14:paraId="40CB1DEA" w14:textId="77777777" w:rsidR="00584FB3" w:rsidRDefault="00584FB3">
            <w:pPr>
              <w:rPr>
                <w:rFonts w:ascii="宋体"/>
                <w:vanish/>
              </w:rPr>
            </w:pPr>
          </w:p>
        </w:tc>
        <w:tc>
          <w:tcPr>
            <w:tcW w:w="0" w:type="auto"/>
            <w:gridSpan w:val="3"/>
            <w:shd w:val="clear" w:color="auto" w:fill="auto"/>
          </w:tcPr>
          <w:p w14:paraId="40CB1DEB" w14:textId="77777777" w:rsidR="00584FB3" w:rsidRDefault="00584FB3">
            <w:pPr>
              <w:rPr>
                <w:rFonts w:ascii="宋体"/>
                <w:vanish/>
              </w:rPr>
            </w:pPr>
          </w:p>
        </w:tc>
        <w:tc>
          <w:tcPr>
            <w:tcW w:w="0" w:type="auto"/>
            <w:gridSpan w:val="3"/>
            <w:shd w:val="clear" w:color="auto" w:fill="auto"/>
          </w:tcPr>
          <w:p w14:paraId="40CB1DEC" w14:textId="77777777" w:rsidR="00584FB3" w:rsidRDefault="00584FB3">
            <w:pPr>
              <w:rPr>
                <w:rFonts w:ascii="宋体"/>
                <w:vanish/>
              </w:rPr>
            </w:pPr>
          </w:p>
        </w:tc>
        <w:tc>
          <w:tcPr>
            <w:tcW w:w="0" w:type="auto"/>
            <w:gridSpan w:val="3"/>
            <w:shd w:val="clear" w:color="auto" w:fill="auto"/>
          </w:tcPr>
          <w:p w14:paraId="40CB1DED" w14:textId="77777777" w:rsidR="00584FB3" w:rsidRDefault="00584FB3">
            <w:pPr>
              <w:rPr>
                <w:rFonts w:ascii="宋体"/>
                <w:vanish/>
              </w:rPr>
            </w:pPr>
          </w:p>
        </w:tc>
        <w:tc>
          <w:tcPr>
            <w:tcW w:w="0" w:type="auto"/>
            <w:gridSpan w:val="3"/>
            <w:shd w:val="clear" w:color="auto" w:fill="auto"/>
          </w:tcPr>
          <w:p w14:paraId="40CB1DEE" w14:textId="77777777" w:rsidR="00584FB3" w:rsidRDefault="00584FB3">
            <w:pPr>
              <w:rPr>
                <w:rFonts w:ascii="宋体"/>
                <w:vanish/>
              </w:rPr>
            </w:pPr>
          </w:p>
        </w:tc>
        <w:tc>
          <w:tcPr>
            <w:tcW w:w="0" w:type="auto"/>
            <w:gridSpan w:val="3"/>
            <w:shd w:val="clear" w:color="auto" w:fill="auto"/>
          </w:tcPr>
          <w:p w14:paraId="40CB1DEF" w14:textId="77777777" w:rsidR="00584FB3" w:rsidRDefault="00584FB3">
            <w:pPr>
              <w:rPr>
                <w:rFonts w:ascii="宋体"/>
                <w:vanish/>
              </w:rPr>
            </w:pPr>
          </w:p>
        </w:tc>
        <w:tc>
          <w:tcPr>
            <w:tcW w:w="0" w:type="auto"/>
            <w:gridSpan w:val="3"/>
            <w:shd w:val="clear" w:color="auto" w:fill="auto"/>
          </w:tcPr>
          <w:p w14:paraId="40CB1DF0" w14:textId="77777777" w:rsidR="00584FB3" w:rsidRDefault="00584FB3">
            <w:pPr>
              <w:rPr>
                <w:rFonts w:ascii="宋体"/>
                <w:vanish/>
              </w:rPr>
            </w:pPr>
          </w:p>
        </w:tc>
        <w:tc>
          <w:tcPr>
            <w:tcW w:w="0" w:type="auto"/>
            <w:gridSpan w:val="3"/>
            <w:shd w:val="clear" w:color="auto" w:fill="auto"/>
          </w:tcPr>
          <w:p w14:paraId="40CB1DF1" w14:textId="77777777" w:rsidR="00584FB3" w:rsidRDefault="00584FB3">
            <w:pPr>
              <w:rPr>
                <w:rFonts w:ascii="宋体"/>
                <w:vanish/>
              </w:rPr>
            </w:pPr>
          </w:p>
        </w:tc>
        <w:tc>
          <w:tcPr>
            <w:tcW w:w="0" w:type="auto"/>
            <w:gridSpan w:val="3"/>
            <w:shd w:val="clear" w:color="auto" w:fill="auto"/>
          </w:tcPr>
          <w:p w14:paraId="40CB1DF2" w14:textId="77777777" w:rsidR="00584FB3" w:rsidRDefault="00584FB3">
            <w:pPr>
              <w:rPr>
                <w:rFonts w:ascii="宋体"/>
                <w:vanish/>
              </w:rPr>
            </w:pPr>
          </w:p>
        </w:tc>
      </w:tr>
      <w:tr w:rsidR="00584FB3" w14:paraId="40CB1E0D" w14:textId="77777777">
        <w:trPr>
          <w:jc w:val="center"/>
        </w:trPr>
        <w:tc>
          <w:tcPr>
            <w:tcW w:w="0" w:type="auto"/>
            <w:gridSpan w:val="3"/>
            <w:shd w:val="clear" w:color="auto" w:fill="D7E4BC"/>
            <w:tcMar>
              <w:top w:w="40" w:type="dxa"/>
              <w:left w:w="20" w:type="dxa"/>
              <w:bottom w:w="40" w:type="dxa"/>
              <w:right w:w="20" w:type="dxa"/>
            </w:tcMar>
          </w:tcPr>
          <w:p w14:paraId="40CB1DF4" w14:textId="77777777" w:rsidR="00584FB3" w:rsidRDefault="00786180">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40CB1DF5" w14:textId="77777777" w:rsidR="00584FB3" w:rsidRDefault="00786180">
            <w:pPr>
              <w:jc w:val="right"/>
              <w:textAlignment w:val="bottom"/>
            </w:pPr>
            <w:r>
              <w:rPr>
                <w:rFonts w:ascii="Times New Roman" w:eastAsia="宋体" w:hAnsi="Times New Roman"/>
                <w:color w:val="000000"/>
                <w:sz w:val="20"/>
                <w:szCs w:val="20"/>
              </w:rPr>
              <w:t>91.8 </w:t>
            </w:r>
          </w:p>
        </w:tc>
        <w:tc>
          <w:tcPr>
            <w:tcW w:w="0" w:type="auto"/>
            <w:shd w:val="clear" w:color="auto" w:fill="D7E4BC"/>
            <w:tcMar>
              <w:top w:w="40" w:type="dxa"/>
              <w:left w:w="0" w:type="dxa"/>
              <w:bottom w:w="40" w:type="dxa"/>
              <w:right w:w="20" w:type="dxa"/>
            </w:tcMar>
            <w:vAlign w:val="bottom"/>
          </w:tcPr>
          <w:p w14:paraId="40CB1DF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F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DF8" w14:textId="77777777" w:rsidR="00584FB3" w:rsidRDefault="00786180">
            <w:pPr>
              <w:jc w:val="right"/>
              <w:textAlignment w:val="bottom"/>
            </w:pPr>
            <w:r>
              <w:rPr>
                <w:rFonts w:ascii="Times New Roman" w:eastAsia="宋体" w:hAnsi="Times New Roman"/>
                <w:color w:val="000000"/>
                <w:sz w:val="20"/>
                <w:szCs w:val="20"/>
              </w:rPr>
              <w:t>101.8 </w:t>
            </w:r>
          </w:p>
        </w:tc>
        <w:tc>
          <w:tcPr>
            <w:tcW w:w="0" w:type="auto"/>
            <w:shd w:val="clear" w:color="auto" w:fill="D7E4BC"/>
            <w:tcMar>
              <w:top w:w="40" w:type="dxa"/>
              <w:left w:w="0" w:type="dxa"/>
              <w:bottom w:w="40" w:type="dxa"/>
              <w:right w:w="20" w:type="dxa"/>
            </w:tcMar>
            <w:vAlign w:val="bottom"/>
          </w:tcPr>
          <w:p w14:paraId="40CB1DF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F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DFB" w14:textId="77777777" w:rsidR="00584FB3" w:rsidRDefault="00786180">
            <w:pPr>
              <w:jc w:val="right"/>
              <w:textAlignment w:val="bottom"/>
            </w:pPr>
            <w:r>
              <w:rPr>
                <w:rFonts w:ascii="Times New Roman" w:eastAsia="宋体" w:hAnsi="Times New Roman"/>
                <w:color w:val="000000"/>
                <w:sz w:val="20"/>
                <w:szCs w:val="20"/>
              </w:rPr>
              <w:t>(10.0)</w:t>
            </w:r>
          </w:p>
        </w:tc>
        <w:tc>
          <w:tcPr>
            <w:tcW w:w="0" w:type="auto"/>
            <w:shd w:val="clear" w:color="auto" w:fill="D7E4BC"/>
            <w:tcMar>
              <w:top w:w="40" w:type="dxa"/>
              <w:left w:w="0" w:type="dxa"/>
              <w:bottom w:w="40" w:type="dxa"/>
              <w:right w:w="20" w:type="dxa"/>
            </w:tcMar>
            <w:vAlign w:val="bottom"/>
          </w:tcPr>
          <w:p w14:paraId="40CB1DF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DF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DFE" w14:textId="77777777" w:rsidR="00584FB3" w:rsidRDefault="00786180">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40CB1DF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0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E01" w14:textId="77777777" w:rsidR="00584FB3" w:rsidRDefault="00786180">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40CB1E02" w14:textId="77777777" w:rsidR="00584FB3" w:rsidRDefault="00584FB3">
            <w:pPr>
              <w:jc w:val="right"/>
              <w:rPr>
                <w:rFonts w:ascii="宋体"/>
              </w:rPr>
            </w:pPr>
          </w:p>
        </w:tc>
        <w:tc>
          <w:tcPr>
            <w:tcW w:w="0" w:type="auto"/>
            <w:shd w:val="clear" w:color="auto" w:fill="auto"/>
          </w:tcPr>
          <w:p w14:paraId="40CB1E03" w14:textId="77777777" w:rsidR="00584FB3" w:rsidRDefault="00584FB3">
            <w:pPr>
              <w:rPr>
                <w:rFonts w:ascii="宋体"/>
                <w:vanish/>
              </w:rPr>
            </w:pPr>
          </w:p>
        </w:tc>
        <w:tc>
          <w:tcPr>
            <w:tcW w:w="0" w:type="auto"/>
            <w:shd w:val="clear" w:color="auto" w:fill="auto"/>
          </w:tcPr>
          <w:p w14:paraId="40CB1E04" w14:textId="77777777" w:rsidR="00584FB3" w:rsidRDefault="00584FB3">
            <w:pPr>
              <w:rPr>
                <w:rFonts w:ascii="宋体"/>
                <w:vanish/>
              </w:rPr>
            </w:pPr>
          </w:p>
        </w:tc>
        <w:tc>
          <w:tcPr>
            <w:tcW w:w="0" w:type="auto"/>
            <w:gridSpan w:val="3"/>
            <w:shd w:val="clear" w:color="auto" w:fill="auto"/>
          </w:tcPr>
          <w:p w14:paraId="40CB1E05" w14:textId="77777777" w:rsidR="00584FB3" w:rsidRDefault="00584FB3">
            <w:pPr>
              <w:rPr>
                <w:rFonts w:ascii="宋体"/>
                <w:vanish/>
              </w:rPr>
            </w:pPr>
          </w:p>
        </w:tc>
        <w:tc>
          <w:tcPr>
            <w:tcW w:w="0" w:type="auto"/>
            <w:gridSpan w:val="3"/>
            <w:shd w:val="clear" w:color="auto" w:fill="auto"/>
          </w:tcPr>
          <w:p w14:paraId="40CB1E06" w14:textId="77777777" w:rsidR="00584FB3" w:rsidRDefault="00584FB3">
            <w:pPr>
              <w:rPr>
                <w:rFonts w:ascii="宋体"/>
                <w:vanish/>
              </w:rPr>
            </w:pPr>
          </w:p>
        </w:tc>
        <w:tc>
          <w:tcPr>
            <w:tcW w:w="0" w:type="auto"/>
            <w:gridSpan w:val="3"/>
            <w:shd w:val="clear" w:color="auto" w:fill="auto"/>
          </w:tcPr>
          <w:p w14:paraId="40CB1E07" w14:textId="77777777" w:rsidR="00584FB3" w:rsidRDefault="00584FB3">
            <w:pPr>
              <w:rPr>
                <w:rFonts w:ascii="宋体"/>
                <w:vanish/>
              </w:rPr>
            </w:pPr>
          </w:p>
        </w:tc>
        <w:tc>
          <w:tcPr>
            <w:tcW w:w="0" w:type="auto"/>
            <w:gridSpan w:val="3"/>
            <w:shd w:val="clear" w:color="auto" w:fill="auto"/>
          </w:tcPr>
          <w:p w14:paraId="40CB1E08" w14:textId="77777777" w:rsidR="00584FB3" w:rsidRDefault="00584FB3">
            <w:pPr>
              <w:rPr>
                <w:rFonts w:ascii="宋体"/>
                <w:vanish/>
              </w:rPr>
            </w:pPr>
          </w:p>
        </w:tc>
        <w:tc>
          <w:tcPr>
            <w:tcW w:w="0" w:type="auto"/>
            <w:gridSpan w:val="3"/>
            <w:shd w:val="clear" w:color="auto" w:fill="auto"/>
          </w:tcPr>
          <w:p w14:paraId="40CB1E09" w14:textId="77777777" w:rsidR="00584FB3" w:rsidRDefault="00584FB3">
            <w:pPr>
              <w:rPr>
                <w:rFonts w:ascii="宋体"/>
                <w:vanish/>
              </w:rPr>
            </w:pPr>
          </w:p>
        </w:tc>
        <w:tc>
          <w:tcPr>
            <w:tcW w:w="0" w:type="auto"/>
            <w:gridSpan w:val="3"/>
            <w:shd w:val="clear" w:color="auto" w:fill="auto"/>
          </w:tcPr>
          <w:p w14:paraId="40CB1E0A" w14:textId="77777777" w:rsidR="00584FB3" w:rsidRDefault="00584FB3">
            <w:pPr>
              <w:rPr>
                <w:rFonts w:ascii="宋体"/>
                <w:vanish/>
              </w:rPr>
            </w:pPr>
          </w:p>
        </w:tc>
        <w:tc>
          <w:tcPr>
            <w:tcW w:w="0" w:type="auto"/>
            <w:gridSpan w:val="3"/>
            <w:shd w:val="clear" w:color="auto" w:fill="auto"/>
          </w:tcPr>
          <w:p w14:paraId="40CB1E0B" w14:textId="77777777" w:rsidR="00584FB3" w:rsidRDefault="00584FB3">
            <w:pPr>
              <w:rPr>
                <w:rFonts w:ascii="宋体"/>
                <w:vanish/>
              </w:rPr>
            </w:pPr>
          </w:p>
        </w:tc>
        <w:tc>
          <w:tcPr>
            <w:tcW w:w="0" w:type="auto"/>
            <w:gridSpan w:val="3"/>
            <w:shd w:val="clear" w:color="auto" w:fill="auto"/>
          </w:tcPr>
          <w:p w14:paraId="40CB1E0C" w14:textId="77777777" w:rsidR="00584FB3" w:rsidRDefault="00584FB3">
            <w:pPr>
              <w:rPr>
                <w:rFonts w:ascii="宋体"/>
                <w:vanish/>
              </w:rPr>
            </w:pPr>
          </w:p>
        </w:tc>
      </w:tr>
      <w:tr w:rsidR="00584FB3" w14:paraId="40CB1E27" w14:textId="77777777">
        <w:trPr>
          <w:jc w:val="center"/>
        </w:trPr>
        <w:tc>
          <w:tcPr>
            <w:tcW w:w="0" w:type="auto"/>
            <w:gridSpan w:val="3"/>
            <w:shd w:val="clear" w:color="auto" w:fill="FFFFFF"/>
            <w:tcMar>
              <w:top w:w="40" w:type="dxa"/>
              <w:left w:w="20" w:type="dxa"/>
              <w:bottom w:w="40" w:type="dxa"/>
              <w:right w:w="20" w:type="dxa"/>
            </w:tcMar>
          </w:tcPr>
          <w:p w14:paraId="40CB1E0E"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40CB1E0F" w14:textId="77777777" w:rsidR="00584FB3" w:rsidRDefault="00786180">
            <w:pPr>
              <w:jc w:val="right"/>
              <w:textAlignment w:val="bottom"/>
            </w:pPr>
            <w:r>
              <w:rPr>
                <w:rFonts w:ascii="Times New Roman" w:eastAsia="宋体" w:hAnsi="Times New Roman"/>
                <w:color w:val="000000"/>
                <w:sz w:val="20"/>
                <w:szCs w:val="20"/>
              </w:rPr>
              <w:t>366.1 </w:t>
            </w:r>
          </w:p>
        </w:tc>
        <w:tc>
          <w:tcPr>
            <w:tcW w:w="0" w:type="auto"/>
            <w:shd w:val="clear" w:color="auto" w:fill="FFFFFF"/>
            <w:tcMar>
              <w:top w:w="40" w:type="dxa"/>
              <w:left w:w="0" w:type="dxa"/>
              <w:bottom w:w="40" w:type="dxa"/>
              <w:right w:w="20" w:type="dxa"/>
            </w:tcMar>
            <w:vAlign w:val="bottom"/>
          </w:tcPr>
          <w:p w14:paraId="40CB1E1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1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12" w14:textId="77777777" w:rsidR="00584FB3" w:rsidRDefault="00786180">
            <w:pPr>
              <w:jc w:val="right"/>
              <w:textAlignment w:val="bottom"/>
            </w:pPr>
            <w:r>
              <w:rPr>
                <w:rFonts w:ascii="Times New Roman" w:eastAsia="宋体" w:hAnsi="Times New Roman"/>
                <w:color w:val="000000"/>
                <w:sz w:val="20"/>
                <w:szCs w:val="20"/>
              </w:rPr>
              <w:t>351.0 </w:t>
            </w:r>
          </w:p>
        </w:tc>
        <w:tc>
          <w:tcPr>
            <w:tcW w:w="0" w:type="auto"/>
            <w:shd w:val="clear" w:color="auto" w:fill="FFFFFF"/>
            <w:tcMar>
              <w:top w:w="40" w:type="dxa"/>
              <w:left w:w="0" w:type="dxa"/>
              <w:bottom w:w="40" w:type="dxa"/>
              <w:right w:w="20" w:type="dxa"/>
            </w:tcMar>
            <w:vAlign w:val="bottom"/>
          </w:tcPr>
          <w:p w14:paraId="40CB1E1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1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15" w14:textId="77777777" w:rsidR="00584FB3" w:rsidRDefault="00786180">
            <w:pPr>
              <w:jc w:val="right"/>
              <w:textAlignment w:val="bottom"/>
            </w:pPr>
            <w:r>
              <w:rPr>
                <w:rFonts w:ascii="Times New Roman" w:eastAsia="宋体" w:hAnsi="Times New Roman"/>
                <w:color w:val="000000"/>
                <w:sz w:val="20"/>
                <w:szCs w:val="20"/>
              </w:rPr>
              <w:t>15.1 </w:t>
            </w:r>
          </w:p>
        </w:tc>
        <w:tc>
          <w:tcPr>
            <w:tcW w:w="0" w:type="auto"/>
            <w:shd w:val="clear" w:color="auto" w:fill="FFFFFF"/>
            <w:tcMar>
              <w:top w:w="40" w:type="dxa"/>
              <w:left w:w="0" w:type="dxa"/>
              <w:bottom w:w="40" w:type="dxa"/>
              <w:right w:w="20" w:type="dxa"/>
            </w:tcMar>
            <w:vAlign w:val="bottom"/>
          </w:tcPr>
          <w:p w14:paraId="40CB1E1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1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18" w14:textId="77777777" w:rsidR="00584FB3" w:rsidRDefault="00786180">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40CB1E1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1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1B" w14:textId="77777777" w:rsidR="00584FB3" w:rsidRDefault="00786180">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40CB1E1C" w14:textId="77777777" w:rsidR="00584FB3" w:rsidRDefault="00584FB3">
            <w:pPr>
              <w:jc w:val="right"/>
              <w:rPr>
                <w:rFonts w:ascii="宋体"/>
              </w:rPr>
            </w:pPr>
          </w:p>
        </w:tc>
        <w:tc>
          <w:tcPr>
            <w:tcW w:w="0" w:type="auto"/>
            <w:shd w:val="clear" w:color="auto" w:fill="auto"/>
          </w:tcPr>
          <w:p w14:paraId="40CB1E1D" w14:textId="77777777" w:rsidR="00584FB3" w:rsidRDefault="00584FB3">
            <w:pPr>
              <w:rPr>
                <w:rFonts w:ascii="宋体"/>
                <w:vanish/>
              </w:rPr>
            </w:pPr>
          </w:p>
        </w:tc>
        <w:tc>
          <w:tcPr>
            <w:tcW w:w="0" w:type="auto"/>
            <w:shd w:val="clear" w:color="auto" w:fill="auto"/>
          </w:tcPr>
          <w:p w14:paraId="40CB1E1E" w14:textId="77777777" w:rsidR="00584FB3" w:rsidRDefault="00584FB3">
            <w:pPr>
              <w:rPr>
                <w:rFonts w:ascii="宋体"/>
                <w:vanish/>
              </w:rPr>
            </w:pPr>
          </w:p>
        </w:tc>
        <w:tc>
          <w:tcPr>
            <w:tcW w:w="0" w:type="auto"/>
            <w:gridSpan w:val="3"/>
            <w:shd w:val="clear" w:color="auto" w:fill="auto"/>
          </w:tcPr>
          <w:p w14:paraId="40CB1E1F" w14:textId="77777777" w:rsidR="00584FB3" w:rsidRDefault="00584FB3">
            <w:pPr>
              <w:rPr>
                <w:rFonts w:ascii="宋体"/>
                <w:vanish/>
              </w:rPr>
            </w:pPr>
          </w:p>
        </w:tc>
        <w:tc>
          <w:tcPr>
            <w:tcW w:w="0" w:type="auto"/>
            <w:gridSpan w:val="3"/>
            <w:shd w:val="clear" w:color="auto" w:fill="auto"/>
          </w:tcPr>
          <w:p w14:paraId="40CB1E20" w14:textId="77777777" w:rsidR="00584FB3" w:rsidRDefault="00584FB3">
            <w:pPr>
              <w:rPr>
                <w:rFonts w:ascii="宋体"/>
                <w:vanish/>
              </w:rPr>
            </w:pPr>
          </w:p>
        </w:tc>
        <w:tc>
          <w:tcPr>
            <w:tcW w:w="0" w:type="auto"/>
            <w:gridSpan w:val="3"/>
            <w:shd w:val="clear" w:color="auto" w:fill="auto"/>
          </w:tcPr>
          <w:p w14:paraId="40CB1E21" w14:textId="77777777" w:rsidR="00584FB3" w:rsidRDefault="00584FB3">
            <w:pPr>
              <w:rPr>
                <w:rFonts w:ascii="宋体"/>
                <w:vanish/>
              </w:rPr>
            </w:pPr>
          </w:p>
        </w:tc>
        <w:tc>
          <w:tcPr>
            <w:tcW w:w="0" w:type="auto"/>
            <w:gridSpan w:val="3"/>
            <w:shd w:val="clear" w:color="auto" w:fill="auto"/>
          </w:tcPr>
          <w:p w14:paraId="40CB1E22" w14:textId="77777777" w:rsidR="00584FB3" w:rsidRDefault="00584FB3">
            <w:pPr>
              <w:rPr>
                <w:rFonts w:ascii="宋体"/>
                <w:vanish/>
              </w:rPr>
            </w:pPr>
          </w:p>
        </w:tc>
        <w:tc>
          <w:tcPr>
            <w:tcW w:w="0" w:type="auto"/>
            <w:gridSpan w:val="3"/>
            <w:shd w:val="clear" w:color="auto" w:fill="auto"/>
          </w:tcPr>
          <w:p w14:paraId="40CB1E23" w14:textId="77777777" w:rsidR="00584FB3" w:rsidRDefault="00584FB3">
            <w:pPr>
              <w:rPr>
                <w:rFonts w:ascii="宋体"/>
                <w:vanish/>
              </w:rPr>
            </w:pPr>
          </w:p>
        </w:tc>
        <w:tc>
          <w:tcPr>
            <w:tcW w:w="0" w:type="auto"/>
            <w:gridSpan w:val="3"/>
            <w:shd w:val="clear" w:color="auto" w:fill="auto"/>
          </w:tcPr>
          <w:p w14:paraId="40CB1E24" w14:textId="77777777" w:rsidR="00584FB3" w:rsidRDefault="00584FB3">
            <w:pPr>
              <w:rPr>
                <w:rFonts w:ascii="宋体"/>
                <w:vanish/>
              </w:rPr>
            </w:pPr>
          </w:p>
        </w:tc>
        <w:tc>
          <w:tcPr>
            <w:tcW w:w="0" w:type="auto"/>
            <w:gridSpan w:val="3"/>
            <w:shd w:val="clear" w:color="auto" w:fill="auto"/>
          </w:tcPr>
          <w:p w14:paraId="40CB1E25" w14:textId="77777777" w:rsidR="00584FB3" w:rsidRDefault="00584FB3">
            <w:pPr>
              <w:rPr>
                <w:rFonts w:ascii="宋体"/>
                <w:vanish/>
              </w:rPr>
            </w:pPr>
          </w:p>
        </w:tc>
        <w:tc>
          <w:tcPr>
            <w:tcW w:w="0" w:type="auto"/>
            <w:gridSpan w:val="3"/>
            <w:shd w:val="clear" w:color="auto" w:fill="auto"/>
          </w:tcPr>
          <w:p w14:paraId="40CB1E26" w14:textId="77777777" w:rsidR="00584FB3" w:rsidRDefault="00584FB3">
            <w:pPr>
              <w:rPr>
                <w:rFonts w:ascii="宋体"/>
                <w:vanish/>
              </w:rPr>
            </w:pPr>
          </w:p>
        </w:tc>
      </w:tr>
      <w:tr w:rsidR="00584FB3" w14:paraId="40CB1E41" w14:textId="77777777">
        <w:trPr>
          <w:jc w:val="center"/>
        </w:trPr>
        <w:tc>
          <w:tcPr>
            <w:tcW w:w="0" w:type="auto"/>
            <w:gridSpan w:val="3"/>
            <w:shd w:val="clear" w:color="auto" w:fill="D7E4BC"/>
            <w:tcMar>
              <w:top w:w="40" w:type="dxa"/>
              <w:left w:w="20" w:type="dxa"/>
              <w:bottom w:w="40" w:type="dxa"/>
              <w:right w:w="20" w:type="dxa"/>
            </w:tcMar>
          </w:tcPr>
          <w:p w14:paraId="40CB1E28" w14:textId="77777777" w:rsidR="00584FB3" w:rsidRDefault="00786180">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40CB1E29" w14:textId="77777777" w:rsidR="00584FB3" w:rsidRDefault="00786180">
            <w:pPr>
              <w:jc w:val="right"/>
              <w:textAlignment w:val="bottom"/>
            </w:pPr>
            <w:r>
              <w:rPr>
                <w:rFonts w:ascii="Times New Roman" w:eastAsia="宋体" w:hAnsi="Times New Roman"/>
                <w:color w:val="000000"/>
                <w:sz w:val="20"/>
                <w:szCs w:val="20"/>
              </w:rPr>
              <w:t>472.1 </w:t>
            </w:r>
          </w:p>
        </w:tc>
        <w:tc>
          <w:tcPr>
            <w:tcW w:w="0" w:type="auto"/>
            <w:shd w:val="clear" w:color="auto" w:fill="D7E4BC"/>
            <w:tcMar>
              <w:top w:w="40" w:type="dxa"/>
              <w:left w:w="0" w:type="dxa"/>
              <w:bottom w:w="40" w:type="dxa"/>
              <w:right w:w="20" w:type="dxa"/>
            </w:tcMar>
            <w:vAlign w:val="bottom"/>
          </w:tcPr>
          <w:p w14:paraId="40CB1E2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2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E2C" w14:textId="77777777" w:rsidR="00584FB3" w:rsidRDefault="00786180">
            <w:pPr>
              <w:jc w:val="right"/>
              <w:textAlignment w:val="bottom"/>
            </w:pPr>
            <w:r>
              <w:rPr>
                <w:rFonts w:ascii="Times New Roman" w:eastAsia="宋体" w:hAnsi="Times New Roman"/>
                <w:color w:val="000000"/>
                <w:sz w:val="20"/>
                <w:szCs w:val="20"/>
              </w:rPr>
              <w:t>434.2 </w:t>
            </w:r>
          </w:p>
        </w:tc>
        <w:tc>
          <w:tcPr>
            <w:tcW w:w="0" w:type="auto"/>
            <w:shd w:val="clear" w:color="auto" w:fill="D7E4BC"/>
            <w:tcMar>
              <w:top w:w="40" w:type="dxa"/>
              <w:left w:w="0" w:type="dxa"/>
              <w:bottom w:w="40" w:type="dxa"/>
              <w:right w:w="20" w:type="dxa"/>
            </w:tcMar>
            <w:vAlign w:val="bottom"/>
          </w:tcPr>
          <w:p w14:paraId="40CB1E2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2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E2F" w14:textId="77777777" w:rsidR="00584FB3" w:rsidRDefault="00786180">
            <w:pPr>
              <w:jc w:val="right"/>
              <w:textAlignment w:val="bottom"/>
            </w:pPr>
            <w:r>
              <w:rPr>
                <w:rFonts w:ascii="Times New Roman" w:eastAsia="宋体" w:hAnsi="Times New Roman"/>
                <w:color w:val="000000"/>
                <w:sz w:val="20"/>
                <w:szCs w:val="20"/>
              </w:rPr>
              <w:t>37.9 </w:t>
            </w:r>
          </w:p>
        </w:tc>
        <w:tc>
          <w:tcPr>
            <w:tcW w:w="0" w:type="auto"/>
            <w:shd w:val="clear" w:color="auto" w:fill="D7E4BC"/>
            <w:tcMar>
              <w:top w:w="40" w:type="dxa"/>
              <w:left w:w="0" w:type="dxa"/>
              <w:bottom w:w="40" w:type="dxa"/>
              <w:right w:w="20" w:type="dxa"/>
            </w:tcMar>
            <w:vAlign w:val="bottom"/>
          </w:tcPr>
          <w:p w14:paraId="40CB1E3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3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E32" w14:textId="77777777" w:rsidR="00584FB3" w:rsidRDefault="00786180">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40CB1E3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3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E35" w14:textId="77777777" w:rsidR="00584FB3" w:rsidRDefault="00786180">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40CB1E36" w14:textId="77777777" w:rsidR="00584FB3" w:rsidRDefault="00584FB3">
            <w:pPr>
              <w:jc w:val="right"/>
              <w:rPr>
                <w:rFonts w:ascii="宋体"/>
              </w:rPr>
            </w:pPr>
          </w:p>
        </w:tc>
        <w:tc>
          <w:tcPr>
            <w:tcW w:w="0" w:type="auto"/>
            <w:shd w:val="clear" w:color="auto" w:fill="auto"/>
          </w:tcPr>
          <w:p w14:paraId="40CB1E37" w14:textId="77777777" w:rsidR="00584FB3" w:rsidRDefault="00584FB3">
            <w:pPr>
              <w:rPr>
                <w:rFonts w:ascii="宋体"/>
                <w:vanish/>
              </w:rPr>
            </w:pPr>
          </w:p>
        </w:tc>
        <w:tc>
          <w:tcPr>
            <w:tcW w:w="0" w:type="auto"/>
            <w:shd w:val="clear" w:color="auto" w:fill="auto"/>
          </w:tcPr>
          <w:p w14:paraId="40CB1E38" w14:textId="77777777" w:rsidR="00584FB3" w:rsidRDefault="00584FB3">
            <w:pPr>
              <w:rPr>
                <w:rFonts w:ascii="宋体"/>
                <w:vanish/>
              </w:rPr>
            </w:pPr>
          </w:p>
        </w:tc>
        <w:tc>
          <w:tcPr>
            <w:tcW w:w="0" w:type="auto"/>
            <w:gridSpan w:val="3"/>
            <w:shd w:val="clear" w:color="auto" w:fill="auto"/>
          </w:tcPr>
          <w:p w14:paraId="40CB1E39" w14:textId="77777777" w:rsidR="00584FB3" w:rsidRDefault="00584FB3">
            <w:pPr>
              <w:rPr>
                <w:rFonts w:ascii="宋体"/>
                <w:vanish/>
              </w:rPr>
            </w:pPr>
          </w:p>
        </w:tc>
        <w:tc>
          <w:tcPr>
            <w:tcW w:w="0" w:type="auto"/>
            <w:gridSpan w:val="3"/>
            <w:shd w:val="clear" w:color="auto" w:fill="auto"/>
          </w:tcPr>
          <w:p w14:paraId="40CB1E3A" w14:textId="77777777" w:rsidR="00584FB3" w:rsidRDefault="00584FB3">
            <w:pPr>
              <w:rPr>
                <w:rFonts w:ascii="宋体"/>
                <w:vanish/>
              </w:rPr>
            </w:pPr>
          </w:p>
        </w:tc>
        <w:tc>
          <w:tcPr>
            <w:tcW w:w="0" w:type="auto"/>
            <w:gridSpan w:val="3"/>
            <w:shd w:val="clear" w:color="auto" w:fill="auto"/>
          </w:tcPr>
          <w:p w14:paraId="40CB1E3B" w14:textId="77777777" w:rsidR="00584FB3" w:rsidRDefault="00584FB3">
            <w:pPr>
              <w:rPr>
                <w:rFonts w:ascii="宋体"/>
                <w:vanish/>
              </w:rPr>
            </w:pPr>
          </w:p>
        </w:tc>
        <w:tc>
          <w:tcPr>
            <w:tcW w:w="0" w:type="auto"/>
            <w:gridSpan w:val="3"/>
            <w:shd w:val="clear" w:color="auto" w:fill="auto"/>
          </w:tcPr>
          <w:p w14:paraId="40CB1E3C" w14:textId="77777777" w:rsidR="00584FB3" w:rsidRDefault="00584FB3">
            <w:pPr>
              <w:rPr>
                <w:rFonts w:ascii="宋体"/>
                <w:vanish/>
              </w:rPr>
            </w:pPr>
          </w:p>
        </w:tc>
        <w:tc>
          <w:tcPr>
            <w:tcW w:w="0" w:type="auto"/>
            <w:gridSpan w:val="3"/>
            <w:shd w:val="clear" w:color="auto" w:fill="auto"/>
          </w:tcPr>
          <w:p w14:paraId="40CB1E3D" w14:textId="77777777" w:rsidR="00584FB3" w:rsidRDefault="00584FB3">
            <w:pPr>
              <w:rPr>
                <w:rFonts w:ascii="宋体"/>
                <w:vanish/>
              </w:rPr>
            </w:pPr>
          </w:p>
        </w:tc>
        <w:tc>
          <w:tcPr>
            <w:tcW w:w="0" w:type="auto"/>
            <w:gridSpan w:val="3"/>
            <w:shd w:val="clear" w:color="auto" w:fill="auto"/>
          </w:tcPr>
          <w:p w14:paraId="40CB1E3E" w14:textId="77777777" w:rsidR="00584FB3" w:rsidRDefault="00584FB3">
            <w:pPr>
              <w:rPr>
                <w:rFonts w:ascii="宋体"/>
                <w:vanish/>
              </w:rPr>
            </w:pPr>
          </w:p>
        </w:tc>
        <w:tc>
          <w:tcPr>
            <w:tcW w:w="0" w:type="auto"/>
            <w:gridSpan w:val="3"/>
            <w:shd w:val="clear" w:color="auto" w:fill="auto"/>
          </w:tcPr>
          <w:p w14:paraId="40CB1E3F" w14:textId="77777777" w:rsidR="00584FB3" w:rsidRDefault="00584FB3">
            <w:pPr>
              <w:rPr>
                <w:rFonts w:ascii="宋体"/>
                <w:vanish/>
              </w:rPr>
            </w:pPr>
          </w:p>
        </w:tc>
        <w:tc>
          <w:tcPr>
            <w:tcW w:w="0" w:type="auto"/>
            <w:gridSpan w:val="3"/>
            <w:shd w:val="clear" w:color="auto" w:fill="auto"/>
          </w:tcPr>
          <w:p w14:paraId="40CB1E40" w14:textId="77777777" w:rsidR="00584FB3" w:rsidRDefault="00584FB3">
            <w:pPr>
              <w:rPr>
                <w:rFonts w:ascii="宋体"/>
                <w:vanish/>
              </w:rPr>
            </w:pPr>
          </w:p>
        </w:tc>
      </w:tr>
      <w:tr w:rsidR="00584FB3" w14:paraId="40CB1E5B" w14:textId="77777777">
        <w:trPr>
          <w:jc w:val="center"/>
        </w:trPr>
        <w:tc>
          <w:tcPr>
            <w:tcW w:w="0" w:type="auto"/>
            <w:gridSpan w:val="3"/>
            <w:shd w:val="clear" w:color="auto" w:fill="FFFFFF"/>
            <w:tcMar>
              <w:top w:w="40" w:type="dxa"/>
              <w:left w:w="20" w:type="dxa"/>
              <w:bottom w:w="40" w:type="dxa"/>
              <w:right w:w="20" w:type="dxa"/>
            </w:tcMar>
          </w:tcPr>
          <w:p w14:paraId="40CB1E42" w14:textId="77777777" w:rsidR="00584FB3" w:rsidRDefault="00786180">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40CB1E43" w14:textId="77777777" w:rsidR="00584FB3" w:rsidRDefault="00786180">
            <w:pPr>
              <w:jc w:val="right"/>
              <w:textAlignment w:val="bottom"/>
            </w:pPr>
            <w:r>
              <w:rPr>
                <w:rFonts w:ascii="Times New Roman" w:eastAsia="宋体" w:hAnsi="Times New Roman"/>
                <w:color w:val="000000"/>
                <w:sz w:val="20"/>
                <w:szCs w:val="20"/>
              </w:rPr>
              <w:t>72.2 </w:t>
            </w:r>
          </w:p>
        </w:tc>
        <w:tc>
          <w:tcPr>
            <w:tcW w:w="0" w:type="auto"/>
            <w:shd w:val="clear" w:color="auto" w:fill="FFFFFF"/>
            <w:tcMar>
              <w:top w:w="40" w:type="dxa"/>
              <w:left w:w="0" w:type="dxa"/>
              <w:bottom w:w="40" w:type="dxa"/>
              <w:right w:w="20" w:type="dxa"/>
            </w:tcMar>
            <w:vAlign w:val="bottom"/>
          </w:tcPr>
          <w:p w14:paraId="40CB1E4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4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46" w14:textId="77777777" w:rsidR="00584FB3" w:rsidRDefault="00786180">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bottom"/>
          </w:tcPr>
          <w:p w14:paraId="40CB1E4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4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49" w14:textId="77777777" w:rsidR="00584FB3" w:rsidRDefault="00786180">
            <w:pPr>
              <w:jc w:val="right"/>
              <w:textAlignment w:val="bottom"/>
            </w:pPr>
            <w:r>
              <w:rPr>
                <w:rFonts w:ascii="Times New Roman" w:eastAsia="宋体" w:hAnsi="Times New Roman"/>
                <w:color w:val="000000"/>
                <w:sz w:val="20"/>
                <w:szCs w:val="20"/>
              </w:rPr>
              <w:t>65.9 </w:t>
            </w:r>
          </w:p>
        </w:tc>
        <w:tc>
          <w:tcPr>
            <w:tcW w:w="0" w:type="auto"/>
            <w:shd w:val="clear" w:color="auto" w:fill="FFFFFF"/>
            <w:tcMar>
              <w:top w:w="40" w:type="dxa"/>
              <w:left w:w="0" w:type="dxa"/>
              <w:bottom w:w="40" w:type="dxa"/>
              <w:right w:w="20" w:type="dxa"/>
            </w:tcMar>
            <w:vAlign w:val="bottom"/>
          </w:tcPr>
          <w:p w14:paraId="40CB1E4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4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4C" w14:textId="77777777" w:rsidR="00584FB3" w:rsidRDefault="00786180">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40CB1E4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4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4F"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40CB1E50" w14:textId="77777777" w:rsidR="00584FB3" w:rsidRDefault="00584FB3">
            <w:pPr>
              <w:jc w:val="right"/>
              <w:rPr>
                <w:rFonts w:ascii="宋体"/>
              </w:rPr>
            </w:pPr>
          </w:p>
        </w:tc>
        <w:tc>
          <w:tcPr>
            <w:tcW w:w="0" w:type="auto"/>
            <w:shd w:val="clear" w:color="auto" w:fill="auto"/>
          </w:tcPr>
          <w:p w14:paraId="40CB1E51" w14:textId="77777777" w:rsidR="00584FB3" w:rsidRDefault="00584FB3">
            <w:pPr>
              <w:rPr>
                <w:rFonts w:ascii="宋体"/>
                <w:vanish/>
              </w:rPr>
            </w:pPr>
          </w:p>
        </w:tc>
        <w:tc>
          <w:tcPr>
            <w:tcW w:w="0" w:type="auto"/>
            <w:shd w:val="clear" w:color="auto" w:fill="auto"/>
          </w:tcPr>
          <w:p w14:paraId="40CB1E52" w14:textId="77777777" w:rsidR="00584FB3" w:rsidRDefault="00584FB3">
            <w:pPr>
              <w:rPr>
                <w:rFonts w:ascii="宋体"/>
                <w:vanish/>
              </w:rPr>
            </w:pPr>
          </w:p>
        </w:tc>
        <w:tc>
          <w:tcPr>
            <w:tcW w:w="0" w:type="auto"/>
            <w:gridSpan w:val="3"/>
            <w:shd w:val="clear" w:color="auto" w:fill="auto"/>
          </w:tcPr>
          <w:p w14:paraId="40CB1E53" w14:textId="77777777" w:rsidR="00584FB3" w:rsidRDefault="00584FB3">
            <w:pPr>
              <w:rPr>
                <w:rFonts w:ascii="宋体"/>
                <w:vanish/>
              </w:rPr>
            </w:pPr>
          </w:p>
        </w:tc>
        <w:tc>
          <w:tcPr>
            <w:tcW w:w="0" w:type="auto"/>
            <w:gridSpan w:val="3"/>
            <w:shd w:val="clear" w:color="auto" w:fill="auto"/>
          </w:tcPr>
          <w:p w14:paraId="40CB1E54" w14:textId="77777777" w:rsidR="00584FB3" w:rsidRDefault="00584FB3">
            <w:pPr>
              <w:rPr>
                <w:rFonts w:ascii="宋体"/>
                <w:vanish/>
              </w:rPr>
            </w:pPr>
          </w:p>
        </w:tc>
        <w:tc>
          <w:tcPr>
            <w:tcW w:w="0" w:type="auto"/>
            <w:gridSpan w:val="3"/>
            <w:shd w:val="clear" w:color="auto" w:fill="auto"/>
          </w:tcPr>
          <w:p w14:paraId="40CB1E55" w14:textId="77777777" w:rsidR="00584FB3" w:rsidRDefault="00584FB3">
            <w:pPr>
              <w:rPr>
                <w:rFonts w:ascii="宋体"/>
                <w:vanish/>
              </w:rPr>
            </w:pPr>
          </w:p>
        </w:tc>
        <w:tc>
          <w:tcPr>
            <w:tcW w:w="0" w:type="auto"/>
            <w:gridSpan w:val="3"/>
            <w:shd w:val="clear" w:color="auto" w:fill="auto"/>
          </w:tcPr>
          <w:p w14:paraId="40CB1E56" w14:textId="77777777" w:rsidR="00584FB3" w:rsidRDefault="00584FB3">
            <w:pPr>
              <w:rPr>
                <w:rFonts w:ascii="宋体"/>
                <w:vanish/>
              </w:rPr>
            </w:pPr>
          </w:p>
        </w:tc>
        <w:tc>
          <w:tcPr>
            <w:tcW w:w="0" w:type="auto"/>
            <w:gridSpan w:val="3"/>
            <w:shd w:val="clear" w:color="auto" w:fill="auto"/>
          </w:tcPr>
          <w:p w14:paraId="40CB1E57" w14:textId="77777777" w:rsidR="00584FB3" w:rsidRDefault="00584FB3">
            <w:pPr>
              <w:rPr>
                <w:rFonts w:ascii="宋体"/>
                <w:vanish/>
              </w:rPr>
            </w:pPr>
          </w:p>
        </w:tc>
        <w:tc>
          <w:tcPr>
            <w:tcW w:w="0" w:type="auto"/>
            <w:gridSpan w:val="3"/>
            <w:shd w:val="clear" w:color="auto" w:fill="auto"/>
          </w:tcPr>
          <w:p w14:paraId="40CB1E58" w14:textId="77777777" w:rsidR="00584FB3" w:rsidRDefault="00584FB3">
            <w:pPr>
              <w:rPr>
                <w:rFonts w:ascii="宋体"/>
                <w:vanish/>
              </w:rPr>
            </w:pPr>
          </w:p>
        </w:tc>
        <w:tc>
          <w:tcPr>
            <w:tcW w:w="0" w:type="auto"/>
            <w:gridSpan w:val="3"/>
            <w:shd w:val="clear" w:color="auto" w:fill="auto"/>
          </w:tcPr>
          <w:p w14:paraId="40CB1E59" w14:textId="77777777" w:rsidR="00584FB3" w:rsidRDefault="00584FB3">
            <w:pPr>
              <w:rPr>
                <w:rFonts w:ascii="宋体"/>
                <w:vanish/>
              </w:rPr>
            </w:pPr>
          </w:p>
        </w:tc>
        <w:tc>
          <w:tcPr>
            <w:tcW w:w="0" w:type="auto"/>
            <w:gridSpan w:val="3"/>
            <w:shd w:val="clear" w:color="auto" w:fill="auto"/>
          </w:tcPr>
          <w:p w14:paraId="40CB1E5A" w14:textId="77777777" w:rsidR="00584FB3" w:rsidRDefault="00584FB3">
            <w:pPr>
              <w:rPr>
                <w:rFonts w:ascii="宋体"/>
                <w:vanish/>
              </w:rPr>
            </w:pPr>
          </w:p>
        </w:tc>
      </w:tr>
      <w:tr w:rsidR="00584FB3" w14:paraId="40CB1E70" w14:textId="77777777">
        <w:trPr>
          <w:jc w:val="center"/>
          <w:hidden/>
        </w:trPr>
        <w:tc>
          <w:tcPr>
            <w:tcW w:w="0" w:type="auto"/>
            <w:gridSpan w:val="3"/>
            <w:shd w:val="clear" w:color="auto" w:fill="auto"/>
          </w:tcPr>
          <w:p w14:paraId="40CB1E5C" w14:textId="77777777" w:rsidR="00584FB3" w:rsidRDefault="00584FB3">
            <w:pPr>
              <w:rPr>
                <w:rFonts w:ascii="宋体"/>
                <w:vanish/>
              </w:rPr>
            </w:pPr>
          </w:p>
        </w:tc>
        <w:tc>
          <w:tcPr>
            <w:tcW w:w="0" w:type="auto"/>
            <w:gridSpan w:val="3"/>
            <w:shd w:val="clear" w:color="auto" w:fill="auto"/>
          </w:tcPr>
          <w:p w14:paraId="40CB1E5D" w14:textId="77777777" w:rsidR="00584FB3" w:rsidRDefault="00584FB3">
            <w:pPr>
              <w:rPr>
                <w:rFonts w:ascii="宋体"/>
                <w:vanish/>
              </w:rPr>
            </w:pPr>
          </w:p>
        </w:tc>
        <w:tc>
          <w:tcPr>
            <w:tcW w:w="0" w:type="auto"/>
            <w:gridSpan w:val="3"/>
            <w:shd w:val="clear" w:color="auto" w:fill="auto"/>
          </w:tcPr>
          <w:p w14:paraId="40CB1E5E" w14:textId="77777777" w:rsidR="00584FB3" w:rsidRDefault="00584FB3">
            <w:pPr>
              <w:rPr>
                <w:rFonts w:ascii="宋体"/>
                <w:vanish/>
              </w:rPr>
            </w:pPr>
          </w:p>
        </w:tc>
        <w:tc>
          <w:tcPr>
            <w:tcW w:w="0" w:type="auto"/>
            <w:gridSpan w:val="3"/>
            <w:shd w:val="clear" w:color="auto" w:fill="auto"/>
          </w:tcPr>
          <w:p w14:paraId="40CB1E5F" w14:textId="77777777" w:rsidR="00584FB3" w:rsidRDefault="00584FB3">
            <w:pPr>
              <w:rPr>
                <w:rFonts w:ascii="宋体"/>
                <w:vanish/>
              </w:rPr>
            </w:pPr>
          </w:p>
        </w:tc>
        <w:tc>
          <w:tcPr>
            <w:tcW w:w="0" w:type="auto"/>
            <w:gridSpan w:val="3"/>
            <w:shd w:val="clear" w:color="auto" w:fill="auto"/>
          </w:tcPr>
          <w:p w14:paraId="40CB1E60" w14:textId="77777777" w:rsidR="00584FB3" w:rsidRDefault="00584FB3">
            <w:pPr>
              <w:rPr>
                <w:rFonts w:ascii="宋体"/>
                <w:vanish/>
              </w:rPr>
            </w:pPr>
          </w:p>
        </w:tc>
        <w:tc>
          <w:tcPr>
            <w:tcW w:w="0" w:type="auto"/>
            <w:gridSpan w:val="3"/>
            <w:shd w:val="clear" w:color="auto" w:fill="auto"/>
          </w:tcPr>
          <w:p w14:paraId="40CB1E61" w14:textId="77777777" w:rsidR="00584FB3" w:rsidRDefault="00584FB3">
            <w:pPr>
              <w:rPr>
                <w:rFonts w:ascii="宋体"/>
                <w:vanish/>
              </w:rPr>
            </w:pPr>
          </w:p>
        </w:tc>
        <w:tc>
          <w:tcPr>
            <w:tcW w:w="0" w:type="auto"/>
            <w:gridSpan w:val="3"/>
            <w:shd w:val="clear" w:color="auto" w:fill="auto"/>
          </w:tcPr>
          <w:p w14:paraId="40CB1E62" w14:textId="77777777" w:rsidR="00584FB3" w:rsidRDefault="00584FB3">
            <w:pPr>
              <w:rPr>
                <w:rFonts w:ascii="宋体"/>
                <w:vanish/>
              </w:rPr>
            </w:pPr>
          </w:p>
        </w:tc>
        <w:tc>
          <w:tcPr>
            <w:tcW w:w="0" w:type="auto"/>
            <w:gridSpan w:val="3"/>
            <w:shd w:val="clear" w:color="auto" w:fill="auto"/>
          </w:tcPr>
          <w:p w14:paraId="40CB1E63" w14:textId="77777777" w:rsidR="00584FB3" w:rsidRDefault="00584FB3">
            <w:pPr>
              <w:rPr>
                <w:rFonts w:ascii="宋体"/>
                <w:vanish/>
              </w:rPr>
            </w:pPr>
          </w:p>
        </w:tc>
        <w:tc>
          <w:tcPr>
            <w:tcW w:w="0" w:type="auto"/>
            <w:gridSpan w:val="3"/>
            <w:shd w:val="clear" w:color="auto" w:fill="auto"/>
          </w:tcPr>
          <w:p w14:paraId="40CB1E64" w14:textId="77777777" w:rsidR="00584FB3" w:rsidRDefault="00584FB3">
            <w:pPr>
              <w:rPr>
                <w:rFonts w:ascii="宋体"/>
                <w:vanish/>
              </w:rPr>
            </w:pPr>
          </w:p>
        </w:tc>
        <w:tc>
          <w:tcPr>
            <w:tcW w:w="0" w:type="auto"/>
            <w:gridSpan w:val="3"/>
            <w:shd w:val="clear" w:color="auto" w:fill="auto"/>
          </w:tcPr>
          <w:p w14:paraId="40CB1E65" w14:textId="77777777" w:rsidR="00584FB3" w:rsidRDefault="00584FB3">
            <w:pPr>
              <w:rPr>
                <w:rFonts w:ascii="宋体"/>
                <w:vanish/>
              </w:rPr>
            </w:pPr>
          </w:p>
        </w:tc>
        <w:tc>
          <w:tcPr>
            <w:tcW w:w="0" w:type="auto"/>
            <w:shd w:val="clear" w:color="auto" w:fill="auto"/>
          </w:tcPr>
          <w:p w14:paraId="40CB1E66" w14:textId="77777777" w:rsidR="00584FB3" w:rsidRDefault="00584FB3">
            <w:pPr>
              <w:rPr>
                <w:rFonts w:ascii="宋体"/>
                <w:vanish/>
              </w:rPr>
            </w:pPr>
          </w:p>
        </w:tc>
        <w:tc>
          <w:tcPr>
            <w:tcW w:w="0" w:type="auto"/>
            <w:shd w:val="clear" w:color="auto" w:fill="auto"/>
          </w:tcPr>
          <w:p w14:paraId="40CB1E67" w14:textId="77777777" w:rsidR="00584FB3" w:rsidRDefault="00584FB3">
            <w:pPr>
              <w:rPr>
                <w:rFonts w:ascii="宋体"/>
                <w:vanish/>
              </w:rPr>
            </w:pPr>
          </w:p>
        </w:tc>
        <w:tc>
          <w:tcPr>
            <w:tcW w:w="0" w:type="auto"/>
            <w:gridSpan w:val="3"/>
            <w:shd w:val="clear" w:color="auto" w:fill="auto"/>
          </w:tcPr>
          <w:p w14:paraId="40CB1E68" w14:textId="77777777" w:rsidR="00584FB3" w:rsidRDefault="00584FB3">
            <w:pPr>
              <w:rPr>
                <w:rFonts w:ascii="宋体"/>
                <w:vanish/>
              </w:rPr>
            </w:pPr>
          </w:p>
        </w:tc>
        <w:tc>
          <w:tcPr>
            <w:tcW w:w="0" w:type="auto"/>
            <w:gridSpan w:val="3"/>
            <w:shd w:val="clear" w:color="auto" w:fill="auto"/>
          </w:tcPr>
          <w:p w14:paraId="40CB1E69" w14:textId="77777777" w:rsidR="00584FB3" w:rsidRDefault="00584FB3">
            <w:pPr>
              <w:rPr>
                <w:rFonts w:ascii="宋体"/>
                <w:vanish/>
              </w:rPr>
            </w:pPr>
          </w:p>
        </w:tc>
        <w:tc>
          <w:tcPr>
            <w:tcW w:w="0" w:type="auto"/>
            <w:gridSpan w:val="3"/>
            <w:shd w:val="clear" w:color="auto" w:fill="auto"/>
          </w:tcPr>
          <w:p w14:paraId="40CB1E6A" w14:textId="77777777" w:rsidR="00584FB3" w:rsidRDefault="00584FB3">
            <w:pPr>
              <w:rPr>
                <w:rFonts w:ascii="宋体"/>
                <w:vanish/>
              </w:rPr>
            </w:pPr>
          </w:p>
        </w:tc>
        <w:tc>
          <w:tcPr>
            <w:tcW w:w="0" w:type="auto"/>
            <w:gridSpan w:val="3"/>
            <w:shd w:val="clear" w:color="auto" w:fill="auto"/>
          </w:tcPr>
          <w:p w14:paraId="40CB1E6B" w14:textId="77777777" w:rsidR="00584FB3" w:rsidRDefault="00584FB3">
            <w:pPr>
              <w:rPr>
                <w:rFonts w:ascii="宋体"/>
                <w:vanish/>
              </w:rPr>
            </w:pPr>
          </w:p>
        </w:tc>
        <w:tc>
          <w:tcPr>
            <w:tcW w:w="0" w:type="auto"/>
            <w:gridSpan w:val="3"/>
            <w:shd w:val="clear" w:color="auto" w:fill="auto"/>
          </w:tcPr>
          <w:p w14:paraId="40CB1E6C" w14:textId="77777777" w:rsidR="00584FB3" w:rsidRDefault="00584FB3">
            <w:pPr>
              <w:rPr>
                <w:rFonts w:ascii="宋体"/>
                <w:vanish/>
              </w:rPr>
            </w:pPr>
          </w:p>
        </w:tc>
        <w:tc>
          <w:tcPr>
            <w:tcW w:w="0" w:type="auto"/>
            <w:gridSpan w:val="3"/>
            <w:shd w:val="clear" w:color="auto" w:fill="auto"/>
          </w:tcPr>
          <w:p w14:paraId="40CB1E6D" w14:textId="77777777" w:rsidR="00584FB3" w:rsidRDefault="00584FB3">
            <w:pPr>
              <w:rPr>
                <w:rFonts w:ascii="宋体"/>
                <w:vanish/>
              </w:rPr>
            </w:pPr>
          </w:p>
        </w:tc>
        <w:tc>
          <w:tcPr>
            <w:tcW w:w="0" w:type="auto"/>
            <w:gridSpan w:val="3"/>
            <w:shd w:val="clear" w:color="auto" w:fill="auto"/>
          </w:tcPr>
          <w:p w14:paraId="40CB1E6E" w14:textId="77777777" w:rsidR="00584FB3" w:rsidRDefault="00584FB3">
            <w:pPr>
              <w:rPr>
                <w:rFonts w:ascii="宋体"/>
                <w:vanish/>
              </w:rPr>
            </w:pPr>
          </w:p>
        </w:tc>
        <w:tc>
          <w:tcPr>
            <w:tcW w:w="0" w:type="auto"/>
            <w:gridSpan w:val="3"/>
            <w:shd w:val="clear" w:color="auto" w:fill="auto"/>
          </w:tcPr>
          <w:p w14:paraId="40CB1E6F" w14:textId="77777777" w:rsidR="00584FB3" w:rsidRDefault="00584FB3">
            <w:pPr>
              <w:rPr>
                <w:rFonts w:ascii="宋体"/>
                <w:vanish/>
              </w:rPr>
            </w:pPr>
          </w:p>
        </w:tc>
      </w:tr>
      <w:tr w:rsidR="00584FB3" w14:paraId="40CB1E8A" w14:textId="77777777">
        <w:trPr>
          <w:jc w:val="center"/>
        </w:trPr>
        <w:tc>
          <w:tcPr>
            <w:tcW w:w="0" w:type="auto"/>
            <w:gridSpan w:val="3"/>
            <w:shd w:val="clear" w:color="auto" w:fill="D7E4BC"/>
            <w:tcMar>
              <w:top w:w="40" w:type="dxa"/>
              <w:left w:w="20" w:type="dxa"/>
              <w:bottom w:w="40" w:type="dxa"/>
              <w:right w:w="20" w:type="dxa"/>
            </w:tcMar>
          </w:tcPr>
          <w:p w14:paraId="40CB1E71" w14:textId="77777777" w:rsidR="00584FB3" w:rsidRDefault="00786180">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E72" w14:textId="77777777" w:rsidR="00584FB3" w:rsidRDefault="00786180">
            <w:pPr>
              <w:jc w:val="right"/>
              <w:textAlignment w:val="bottom"/>
            </w:pPr>
            <w:r>
              <w:rPr>
                <w:rFonts w:ascii="Times New Roman" w:eastAsia="宋体" w:hAnsi="Times New Roman"/>
                <w:color w:val="000000"/>
                <w:sz w:val="20"/>
                <w:szCs w:val="20"/>
              </w:rPr>
              <w:t>5,918.6 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7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74"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E75" w14:textId="77777777" w:rsidR="00584FB3" w:rsidRDefault="00786180">
            <w:pPr>
              <w:jc w:val="right"/>
              <w:textAlignment w:val="bottom"/>
            </w:pPr>
            <w:r>
              <w:rPr>
                <w:rFonts w:ascii="Times New Roman" w:eastAsia="宋体" w:hAnsi="Times New Roman"/>
                <w:color w:val="000000"/>
                <w:sz w:val="20"/>
                <w:szCs w:val="20"/>
              </w:rPr>
              <w:t>5,951.2 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7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77"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E78" w14:textId="77777777" w:rsidR="00584FB3" w:rsidRDefault="00786180">
            <w:pPr>
              <w:jc w:val="right"/>
              <w:textAlignment w:val="bottom"/>
            </w:pPr>
            <w:r>
              <w:rPr>
                <w:rFonts w:ascii="Times New Roman" w:eastAsia="宋体" w:hAnsi="Times New Roman"/>
                <w:color w:val="000000"/>
                <w:sz w:val="20"/>
                <w:szCs w:val="20"/>
              </w:rPr>
              <w:t>(32.6)</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7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7A"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E7B" w14:textId="77777777" w:rsidR="00584FB3" w:rsidRDefault="00786180">
            <w:pPr>
              <w:jc w:val="right"/>
              <w:textAlignment w:val="bottom"/>
            </w:pPr>
            <w:r>
              <w:rPr>
                <w:rFonts w:ascii="Times New Roman" w:eastAsia="宋体" w:hAnsi="Times New Roman"/>
                <w:color w:val="000000"/>
                <w:sz w:val="20"/>
                <w:szCs w:val="20"/>
              </w:rPr>
              <w:t>87.7 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7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7D"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E7E" w14:textId="77777777" w:rsidR="00584FB3" w:rsidRDefault="00786180">
            <w:pPr>
              <w:jc w:val="right"/>
              <w:textAlignment w:val="bottom"/>
            </w:pPr>
            <w:r>
              <w:rPr>
                <w:rFonts w:ascii="Times New Roman" w:eastAsia="宋体" w:hAnsi="Times New Roman"/>
                <w:color w:val="000000"/>
                <w:sz w:val="20"/>
                <w:szCs w:val="20"/>
              </w:rPr>
              <w:t>83.9 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7F" w14:textId="77777777" w:rsidR="00584FB3" w:rsidRDefault="00584FB3">
            <w:pPr>
              <w:jc w:val="right"/>
              <w:rPr>
                <w:rFonts w:ascii="宋体"/>
              </w:rPr>
            </w:pPr>
          </w:p>
        </w:tc>
        <w:tc>
          <w:tcPr>
            <w:tcW w:w="0" w:type="auto"/>
            <w:shd w:val="clear" w:color="auto" w:fill="auto"/>
          </w:tcPr>
          <w:p w14:paraId="40CB1E80" w14:textId="77777777" w:rsidR="00584FB3" w:rsidRDefault="00584FB3">
            <w:pPr>
              <w:rPr>
                <w:rFonts w:ascii="宋体"/>
                <w:vanish/>
              </w:rPr>
            </w:pPr>
          </w:p>
        </w:tc>
        <w:tc>
          <w:tcPr>
            <w:tcW w:w="0" w:type="auto"/>
            <w:shd w:val="clear" w:color="auto" w:fill="auto"/>
          </w:tcPr>
          <w:p w14:paraId="40CB1E81" w14:textId="77777777" w:rsidR="00584FB3" w:rsidRDefault="00584FB3">
            <w:pPr>
              <w:rPr>
                <w:rFonts w:ascii="宋体"/>
                <w:vanish/>
              </w:rPr>
            </w:pPr>
          </w:p>
        </w:tc>
        <w:tc>
          <w:tcPr>
            <w:tcW w:w="0" w:type="auto"/>
            <w:gridSpan w:val="3"/>
            <w:shd w:val="clear" w:color="auto" w:fill="auto"/>
          </w:tcPr>
          <w:p w14:paraId="40CB1E82" w14:textId="77777777" w:rsidR="00584FB3" w:rsidRDefault="00584FB3">
            <w:pPr>
              <w:rPr>
                <w:rFonts w:ascii="宋体"/>
                <w:vanish/>
              </w:rPr>
            </w:pPr>
          </w:p>
        </w:tc>
        <w:tc>
          <w:tcPr>
            <w:tcW w:w="0" w:type="auto"/>
            <w:gridSpan w:val="3"/>
            <w:shd w:val="clear" w:color="auto" w:fill="auto"/>
          </w:tcPr>
          <w:p w14:paraId="40CB1E83" w14:textId="77777777" w:rsidR="00584FB3" w:rsidRDefault="00584FB3">
            <w:pPr>
              <w:rPr>
                <w:rFonts w:ascii="宋体"/>
                <w:vanish/>
              </w:rPr>
            </w:pPr>
          </w:p>
        </w:tc>
        <w:tc>
          <w:tcPr>
            <w:tcW w:w="0" w:type="auto"/>
            <w:gridSpan w:val="3"/>
            <w:shd w:val="clear" w:color="auto" w:fill="auto"/>
          </w:tcPr>
          <w:p w14:paraId="40CB1E84" w14:textId="77777777" w:rsidR="00584FB3" w:rsidRDefault="00584FB3">
            <w:pPr>
              <w:rPr>
                <w:rFonts w:ascii="宋体"/>
                <w:vanish/>
              </w:rPr>
            </w:pPr>
          </w:p>
        </w:tc>
        <w:tc>
          <w:tcPr>
            <w:tcW w:w="0" w:type="auto"/>
            <w:gridSpan w:val="3"/>
            <w:shd w:val="clear" w:color="auto" w:fill="auto"/>
          </w:tcPr>
          <w:p w14:paraId="40CB1E85" w14:textId="77777777" w:rsidR="00584FB3" w:rsidRDefault="00584FB3">
            <w:pPr>
              <w:rPr>
                <w:rFonts w:ascii="宋体"/>
                <w:vanish/>
              </w:rPr>
            </w:pPr>
          </w:p>
        </w:tc>
        <w:tc>
          <w:tcPr>
            <w:tcW w:w="0" w:type="auto"/>
            <w:gridSpan w:val="3"/>
            <w:shd w:val="clear" w:color="auto" w:fill="auto"/>
          </w:tcPr>
          <w:p w14:paraId="40CB1E86" w14:textId="77777777" w:rsidR="00584FB3" w:rsidRDefault="00584FB3">
            <w:pPr>
              <w:rPr>
                <w:rFonts w:ascii="宋体"/>
                <w:vanish/>
              </w:rPr>
            </w:pPr>
          </w:p>
        </w:tc>
        <w:tc>
          <w:tcPr>
            <w:tcW w:w="0" w:type="auto"/>
            <w:gridSpan w:val="3"/>
            <w:shd w:val="clear" w:color="auto" w:fill="auto"/>
          </w:tcPr>
          <w:p w14:paraId="40CB1E87" w14:textId="77777777" w:rsidR="00584FB3" w:rsidRDefault="00584FB3">
            <w:pPr>
              <w:rPr>
                <w:rFonts w:ascii="宋体"/>
                <w:vanish/>
              </w:rPr>
            </w:pPr>
          </w:p>
        </w:tc>
        <w:tc>
          <w:tcPr>
            <w:tcW w:w="0" w:type="auto"/>
            <w:gridSpan w:val="3"/>
            <w:shd w:val="clear" w:color="auto" w:fill="auto"/>
          </w:tcPr>
          <w:p w14:paraId="40CB1E88" w14:textId="77777777" w:rsidR="00584FB3" w:rsidRDefault="00584FB3">
            <w:pPr>
              <w:rPr>
                <w:rFonts w:ascii="宋体"/>
                <w:vanish/>
              </w:rPr>
            </w:pPr>
          </w:p>
        </w:tc>
        <w:tc>
          <w:tcPr>
            <w:tcW w:w="0" w:type="auto"/>
            <w:gridSpan w:val="3"/>
            <w:shd w:val="clear" w:color="auto" w:fill="auto"/>
          </w:tcPr>
          <w:p w14:paraId="40CB1E89" w14:textId="77777777" w:rsidR="00584FB3" w:rsidRDefault="00584FB3">
            <w:pPr>
              <w:rPr>
                <w:rFonts w:ascii="宋体"/>
                <w:vanish/>
              </w:rPr>
            </w:pPr>
          </w:p>
        </w:tc>
      </w:tr>
      <w:tr w:rsidR="00584FB3" w14:paraId="40CB1EA4" w14:textId="77777777">
        <w:trPr>
          <w:jc w:val="center"/>
        </w:trPr>
        <w:tc>
          <w:tcPr>
            <w:tcW w:w="0" w:type="auto"/>
            <w:gridSpan w:val="3"/>
            <w:shd w:val="clear" w:color="auto" w:fill="FFFFFF"/>
            <w:tcMar>
              <w:top w:w="40" w:type="dxa"/>
              <w:left w:w="20" w:type="dxa"/>
              <w:bottom w:w="40" w:type="dxa"/>
              <w:right w:w="20" w:type="dxa"/>
            </w:tcMar>
          </w:tcPr>
          <w:p w14:paraId="40CB1E8B" w14:textId="77777777" w:rsidR="00584FB3" w:rsidRDefault="00786180">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40CB1E8C" w14:textId="77777777" w:rsidR="00584FB3" w:rsidRDefault="00786180">
            <w:pPr>
              <w:jc w:val="right"/>
              <w:textAlignment w:val="bottom"/>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bottom"/>
          </w:tcPr>
          <w:p w14:paraId="40CB1E8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8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8F" w14:textId="77777777" w:rsidR="00584FB3" w:rsidRDefault="00786180">
            <w:pPr>
              <w:jc w:val="right"/>
              <w:textAlignment w:val="bottom"/>
            </w:pPr>
            <w:r>
              <w:rPr>
                <w:rFonts w:ascii="Times New Roman" w:eastAsia="宋体" w:hAnsi="Times New Roman"/>
                <w:color w:val="000000"/>
                <w:sz w:val="20"/>
                <w:szCs w:val="20"/>
              </w:rPr>
              <w:t>73.9 </w:t>
            </w:r>
          </w:p>
        </w:tc>
        <w:tc>
          <w:tcPr>
            <w:tcW w:w="0" w:type="auto"/>
            <w:shd w:val="clear" w:color="auto" w:fill="FFFFFF"/>
            <w:tcMar>
              <w:top w:w="40" w:type="dxa"/>
              <w:left w:w="0" w:type="dxa"/>
              <w:bottom w:w="40" w:type="dxa"/>
              <w:right w:w="20" w:type="dxa"/>
            </w:tcMar>
            <w:vAlign w:val="bottom"/>
          </w:tcPr>
          <w:p w14:paraId="40CB1E9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9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92" w14:textId="77777777" w:rsidR="00584FB3" w:rsidRDefault="00786180">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left w:w="0" w:type="dxa"/>
              <w:bottom w:w="40" w:type="dxa"/>
              <w:right w:w="20" w:type="dxa"/>
            </w:tcMar>
            <w:vAlign w:val="bottom"/>
          </w:tcPr>
          <w:p w14:paraId="40CB1E9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9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95" w14:textId="77777777" w:rsidR="00584FB3" w:rsidRDefault="00786180">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40CB1E9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E9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E98" w14:textId="77777777" w:rsidR="00584FB3" w:rsidRDefault="00786180">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40CB1E99" w14:textId="77777777" w:rsidR="00584FB3" w:rsidRDefault="00584FB3">
            <w:pPr>
              <w:jc w:val="right"/>
              <w:rPr>
                <w:rFonts w:ascii="宋体"/>
              </w:rPr>
            </w:pPr>
          </w:p>
        </w:tc>
        <w:tc>
          <w:tcPr>
            <w:tcW w:w="0" w:type="auto"/>
            <w:shd w:val="clear" w:color="auto" w:fill="auto"/>
          </w:tcPr>
          <w:p w14:paraId="40CB1E9A" w14:textId="77777777" w:rsidR="00584FB3" w:rsidRDefault="00584FB3">
            <w:pPr>
              <w:rPr>
                <w:rFonts w:ascii="宋体"/>
                <w:vanish/>
              </w:rPr>
            </w:pPr>
          </w:p>
        </w:tc>
        <w:tc>
          <w:tcPr>
            <w:tcW w:w="0" w:type="auto"/>
            <w:shd w:val="clear" w:color="auto" w:fill="auto"/>
          </w:tcPr>
          <w:p w14:paraId="40CB1E9B" w14:textId="77777777" w:rsidR="00584FB3" w:rsidRDefault="00584FB3">
            <w:pPr>
              <w:rPr>
                <w:rFonts w:ascii="宋体"/>
                <w:vanish/>
              </w:rPr>
            </w:pPr>
          </w:p>
        </w:tc>
        <w:tc>
          <w:tcPr>
            <w:tcW w:w="0" w:type="auto"/>
            <w:gridSpan w:val="3"/>
            <w:shd w:val="clear" w:color="auto" w:fill="auto"/>
          </w:tcPr>
          <w:p w14:paraId="40CB1E9C" w14:textId="77777777" w:rsidR="00584FB3" w:rsidRDefault="00584FB3">
            <w:pPr>
              <w:rPr>
                <w:rFonts w:ascii="宋体"/>
                <w:vanish/>
              </w:rPr>
            </w:pPr>
          </w:p>
        </w:tc>
        <w:tc>
          <w:tcPr>
            <w:tcW w:w="0" w:type="auto"/>
            <w:gridSpan w:val="3"/>
            <w:shd w:val="clear" w:color="auto" w:fill="auto"/>
          </w:tcPr>
          <w:p w14:paraId="40CB1E9D" w14:textId="77777777" w:rsidR="00584FB3" w:rsidRDefault="00584FB3">
            <w:pPr>
              <w:rPr>
                <w:rFonts w:ascii="宋体"/>
                <w:vanish/>
              </w:rPr>
            </w:pPr>
          </w:p>
        </w:tc>
        <w:tc>
          <w:tcPr>
            <w:tcW w:w="0" w:type="auto"/>
            <w:gridSpan w:val="3"/>
            <w:shd w:val="clear" w:color="auto" w:fill="auto"/>
          </w:tcPr>
          <w:p w14:paraId="40CB1E9E" w14:textId="77777777" w:rsidR="00584FB3" w:rsidRDefault="00584FB3">
            <w:pPr>
              <w:rPr>
                <w:rFonts w:ascii="宋体"/>
                <w:vanish/>
              </w:rPr>
            </w:pPr>
          </w:p>
        </w:tc>
        <w:tc>
          <w:tcPr>
            <w:tcW w:w="0" w:type="auto"/>
            <w:gridSpan w:val="3"/>
            <w:shd w:val="clear" w:color="auto" w:fill="auto"/>
          </w:tcPr>
          <w:p w14:paraId="40CB1E9F" w14:textId="77777777" w:rsidR="00584FB3" w:rsidRDefault="00584FB3">
            <w:pPr>
              <w:rPr>
                <w:rFonts w:ascii="宋体"/>
                <w:vanish/>
              </w:rPr>
            </w:pPr>
          </w:p>
        </w:tc>
        <w:tc>
          <w:tcPr>
            <w:tcW w:w="0" w:type="auto"/>
            <w:gridSpan w:val="3"/>
            <w:shd w:val="clear" w:color="auto" w:fill="auto"/>
          </w:tcPr>
          <w:p w14:paraId="40CB1EA0" w14:textId="77777777" w:rsidR="00584FB3" w:rsidRDefault="00584FB3">
            <w:pPr>
              <w:rPr>
                <w:rFonts w:ascii="宋体"/>
                <w:vanish/>
              </w:rPr>
            </w:pPr>
          </w:p>
        </w:tc>
        <w:tc>
          <w:tcPr>
            <w:tcW w:w="0" w:type="auto"/>
            <w:gridSpan w:val="3"/>
            <w:shd w:val="clear" w:color="auto" w:fill="auto"/>
          </w:tcPr>
          <w:p w14:paraId="40CB1EA1" w14:textId="77777777" w:rsidR="00584FB3" w:rsidRDefault="00584FB3">
            <w:pPr>
              <w:rPr>
                <w:rFonts w:ascii="宋体"/>
                <w:vanish/>
              </w:rPr>
            </w:pPr>
          </w:p>
        </w:tc>
        <w:tc>
          <w:tcPr>
            <w:tcW w:w="0" w:type="auto"/>
            <w:gridSpan w:val="3"/>
            <w:shd w:val="clear" w:color="auto" w:fill="auto"/>
          </w:tcPr>
          <w:p w14:paraId="40CB1EA2" w14:textId="77777777" w:rsidR="00584FB3" w:rsidRDefault="00584FB3">
            <w:pPr>
              <w:rPr>
                <w:rFonts w:ascii="宋体"/>
                <w:vanish/>
              </w:rPr>
            </w:pPr>
          </w:p>
        </w:tc>
        <w:tc>
          <w:tcPr>
            <w:tcW w:w="0" w:type="auto"/>
            <w:gridSpan w:val="3"/>
            <w:shd w:val="clear" w:color="auto" w:fill="auto"/>
          </w:tcPr>
          <w:p w14:paraId="40CB1EA3" w14:textId="77777777" w:rsidR="00584FB3" w:rsidRDefault="00584FB3">
            <w:pPr>
              <w:rPr>
                <w:rFonts w:ascii="宋体"/>
                <w:vanish/>
              </w:rPr>
            </w:pPr>
          </w:p>
        </w:tc>
      </w:tr>
      <w:tr w:rsidR="00584FB3" w14:paraId="40CB1EC1" w14:textId="77777777">
        <w:trPr>
          <w:jc w:val="center"/>
        </w:trPr>
        <w:tc>
          <w:tcPr>
            <w:tcW w:w="0" w:type="auto"/>
            <w:gridSpan w:val="3"/>
            <w:shd w:val="clear" w:color="auto" w:fill="D7E4BC"/>
            <w:tcMar>
              <w:top w:w="40" w:type="dxa"/>
              <w:left w:w="20" w:type="dxa"/>
              <w:bottom w:w="40" w:type="dxa"/>
              <w:right w:w="20" w:type="dxa"/>
            </w:tcMar>
          </w:tcPr>
          <w:p w14:paraId="40CB1EA5" w14:textId="77777777" w:rsidR="00584FB3" w:rsidRDefault="00786180">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1EA6"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EA7" w14:textId="77777777" w:rsidR="00584FB3" w:rsidRDefault="00786180">
            <w:pPr>
              <w:jc w:val="right"/>
              <w:textAlignment w:val="bottom"/>
            </w:pPr>
            <w:r>
              <w:rPr>
                <w:rFonts w:ascii="Times New Roman" w:eastAsia="宋体" w:hAnsi="Times New Roman"/>
                <w:b/>
                <w:bCs/>
                <w:color w:val="000000"/>
                <w:sz w:val="20"/>
                <w:szCs w:val="20"/>
              </w:rPr>
              <w:t>913.5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A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A9"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EAA"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EAB" w14:textId="77777777" w:rsidR="00584FB3" w:rsidRDefault="00786180">
            <w:pPr>
              <w:jc w:val="right"/>
              <w:textAlignment w:val="bottom"/>
            </w:pPr>
            <w:r>
              <w:rPr>
                <w:rFonts w:ascii="Times New Roman" w:eastAsia="宋体" w:hAnsi="Times New Roman"/>
                <w:b/>
                <w:bCs/>
                <w:color w:val="000000"/>
                <w:sz w:val="20"/>
                <w:szCs w:val="20"/>
              </w:rPr>
              <w:t>1,219.8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A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AD"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1EAE"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1EAF" w14:textId="77777777" w:rsidR="00584FB3" w:rsidRDefault="00786180">
            <w:pPr>
              <w:jc w:val="right"/>
              <w:textAlignment w:val="bottom"/>
            </w:pPr>
            <w:r>
              <w:rPr>
                <w:rFonts w:ascii="Times New Roman" w:eastAsia="宋体" w:hAnsi="Times New Roman"/>
                <w:b/>
                <w:bCs/>
                <w:color w:val="000000"/>
                <w:sz w:val="20"/>
                <w:szCs w:val="20"/>
              </w:rPr>
              <w:t>(306.3)</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B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EB1"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EB2" w14:textId="77777777" w:rsidR="00584FB3" w:rsidRDefault="00786180">
            <w:pPr>
              <w:jc w:val="right"/>
              <w:textAlignment w:val="bottom"/>
            </w:pPr>
            <w:r>
              <w:rPr>
                <w:rFonts w:ascii="Times New Roman" w:eastAsia="宋体" w:hAnsi="Times New Roman"/>
                <w:b/>
                <w:bCs/>
                <w:color w:val="000000"/>
                <w:sz w:val="20"/>
                <w:szCs w:val="20"/>
              </w:rPr>
              <w:t>13.5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B3"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40CB1EB4"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EB5" w14:textId="77777777" w:rsidR="00584FB3" w:rsidRDefault="00786180">
            <w:pPr>
              <w:jc w:val="right"/>
              <w:textAlignment w:val="bottom"/>
            </w:pPr>
            <w:r>
              <w:rPr>
                <w:rFonts w:ascii="Times New Roman" w:eastAsia="宋体" w:hAnsi="Times New Roman"/>
                <w:b/>
                <w:bCs/>
                <w:color w:val="000000"/>
                <w:sz w:val="20"/>
                <w:szCs w:val="20"/>
              </w:rPr>
              <w:t>17.2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EB6"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40CB1EB7" w14:textId="77777777" w:rsidR="00584FB3" w:rsidRDefault="00584FB3">
            <w:pPr>
              <w:rPr>
                <w:rFonts w:ascii="宋体"/>
                <w:vanish/>
              </w:rPr>
            </w:pPr>
          </w:p>
        </w:tc>
        <w:tc>
          <w:tcPr>
            <w:tcW w:w="0" w:type="auto"/>
            <w:shd w:val="clear" w:color="auto" w:fill="auto"/>
          </w:tcPr>
          <w:p w14:paraId="40CB1EB8" w14:textId="77777777" w:rsidR="00584FB3" w:rsidRDefault="00584FB3">
            <w:pPr>
              <w:rPr>
                <w:rFonts w:ascii="宋体"/>
                <w:vanish/>
              </w:rPr>
            </w:pPr>
          </w:p>
        </w:tc>
        <w:tc>
          <w:tcPr>
            <w:tcW w:w="0" w:type="auto"/>
            <w:gridSpan w:val="3"/>
            <w:shd w:val="clear" w:color="auto" w:fill="auto"/>
          </w:tcPr>
          <w:p w14:paraId="40CB1EB9" w14:textId="77777777" w:rsidR="00584FB3" w:rsidRDefault="00584FB3">
            <w:pPr>
              <w:rPr>
                <w:rFonts w:ascii="宋体"/>
                <w:vanish/>
              </w:rPr>
            </w:pPr>
          </w:p>
        </w:tc>
        <w:tc>
          <w:tcPr>
            <w:tcW w:w="0" w:type="auto"/>
            <w:gridSpan w:val="3"/>
            <w:shd w:val="clear" w:color="auto" w:fill="auto"/>
          </w:tcPr>
          <w:p w14:paraId="40CB1EBA" w14:textId="77777777" w:rsidR="00584FB3" w:rsidRDefault="00584FB3">
            <w:pPr>
              <w:rPr>
                <w:rFonts w:ascii="宋体"/>
                <w:vanish/>
              </w:rPr>
            </w:pPr>
          </w:p>
        </w:tc>
        <w:tc>
          <w:tcPr>
            <w:tcW w:w="0" w:type="auto"/>
            <w:gridSpan w:val="3"/>
            <w:shd w:val="clear" w:color="auto" w:fill="auto"/>
          </w:tcPr>
          <w:p w14:paraId="40CB1EBB" w14:textId="77777777" w:rsidR="00584FB3" w:rsidRDefault="00584FB3">
            <w:pPr>
              <w:rPr>
                <w:rFonts w:ascii="宋体"/>
                <w:vanish/>
              </w:rPr>
            </w:pPr>
          </w:p>
        </w:tc>
        <w:tc>
          <w:tcPr>
            <w:tcW w:w="0" w:type="auto"/>
            <w:gridSpan w:val="3"/>
            <w:shd w:val="clear" w:color="auto" w:fill="auto"/>
          </w:tcPr>
          <w:p w14:paraId="40CB1EBC" w14:textId="77777777" w:rsidR="00584FB3" w:rsidRDefault="00584FB3">
            <w:pPr>
              <w:rPr>
                <w:rFonts w:ascii="宋体"/>
                <w:vanish/>
              </w:rPr>
            </w:pPr>
          </w:p>
        </w:tc>
        <w:tc>
          <w:tcPr>
            <w:tcW w:w="0" w:type="auto"/>
            <w:gridSpan w:val="3"/>
            <w:shd w:val="clear" w:color="auto" w:fill="auto"/>
          </w:tcPr>
          <w:p w14:paraId="40CB1EBD" w14:textId="77777777" w:rsidR="00584FB3" w:rsidRDefault="00584FB3">
            <w:pPr>
              <w:rPr>
                <w:rFonts w:ascii="宋体"/>
                <w:vanish/>
              </w:rPr>
            </w:pPr>
          </w:p>
        </w:tc>
        <w:tc>
          <w:tcPr>
            <w:tcW w:w="0" w:type="auto"/>
            <w:gridSpan w:val="3"/>
            <w:shd w:val="clear" w:color="auto" w:fill="auto"/>
          </w:tcPr>
          <w:p w14:paraId="40CB1EBE" w14:textId="77777777" w:rsidR="00584FB3" w:rsidRDefault="00584FB3">
            <w:pPr>
              <w:rPr>
                <w:rFonts w:ascii="宋体"/>
                <w:vanish/>
              </w:rPr>
            </w:pPr>
          </w:p>
        </w:tc>
        <w:tc>
          <w:tcPr>
            <w:tcW w:w="0" w:type="auto"/>
            <w:gridSpan w:val="3"/>
            <w:shd w:val="clear" w:color="auto" w:fill="auto"/>
          </w:tcPr>
          <w:p w14:paraId="40CB1EBF" w14:textId="77777777" w:rsidR="00584FB3" w:rsidRDefault="00584FB3">
            <w:pPr>
              <w:rPr>
                <w:rFonts w:ascii="宋体"/>
                <w:vanish/>
              </w:rPr>
            </w:pPr>
          </w:p>
        </w:tc>
        <w:tc>
          <w:tcPr>
            <w:tcW w:w="0" w:type="auto"/>
            <w:gridSpan w:val="3"/>
            <w:shd w:val="clear" w:color="auto" w:fill="auto"/>
          </w:tcPr>
          <w:p w14:paraId="40CB1EC0" w14:textId="77777777" w:rsidR="00584FB3" w:rsidRDefault="00584FB3">
            <w:pPr>
              <w:rPr>
                <w:rFonts w:ascii="宋体"/>
                <w:vanish/>
              </w:rPr>
            </w:pPr>
          </w:p>
        </w:tc>
      </w:tr>
      <w:tr w:rsidR="00584FB3" w14:paraId="40CB1ED7" w14:textId="77777777">
        <w:trPr>
          <w:jc w:val="center"/>
        </w:trPr>
        <w:tc>
          <w:tcPr>
            <w:tcW w:w="0" w:type="auto"/>
            <w:gridSpan w:val="6"/>
            <w:shd w:val="clear" w:color="auto" w:fill="FFFFFF"/>
            <w:tcMar>
              <w:top w:w="40" w:type="dxa"/>
              <w:left w:w="20" w:type="dxa"/>
              <w:bottom w:w="40" w:type="dxa"/>
              <w:right w:w="20" w:type="dxa"/>
            </w:tcMar>
          </w:tcPr>
          <w:p w14:paraId="40CB1EC2" w14:textId="77777777" w:rsidR="00584FB3" w:rsidRDefault="00786180">
            <w:pPr>
              <w:textAlignment w:val="top"/>
            </w:pPr>
            <w:r>
              <w:rPr>
                <w:rFonts w:ascii="Times New Roman" w:eastAsia="宋体" w:hAnsi="Times New Roman"/>
                <w:color w:val="000000"/>
                <w:sz w:val="20"/>
                <w:szCs w:val="20"/>
              </w:rPr>
              <w:t>Store operatin</w:t>
            </w:r>
            <w:r>
              <w:rPr>
                <w:rFonts w:ascii="Times New Roman" w:eastAsia="宋体" w:hAnsi="Times New Roman"/>
                <w:color w:val="000000"/>
                <w:sz w:val="20"/>
                <w:szCs w:val="20"/>
              </w:rPr>
              <w:t>g expenses as a % of company-operated store revenues</w:t>
            </w:r>
          </w:p>
        </w:tc>
        <w:tc>
          <w:tcPr>
            <w:tcW w:w="0" w:type="auto"/>
            <w:gridSpan w:val="3"/>
            <w:shd w:val="clear" w:color="auto" w:fill="FFFFFF"/>
            <w:tcMar>
              <w:top w:w="0" w:type="dxa"/>
              <w:left w:w="20" w:type="dxa"/>
              <w:bottom w:w="0" w:type="dxa"/>
              <w:right w:w="20" w:type="dxa"/>
            </w:tcMar>
          </w:tcPr>
          <w:p w14:paraId="40CB1EC3"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EC4"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EC5"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EC6"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1EC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1EC8" w14:textId="77777777" w:rsidR="00584FB3" w:rsidRDefault="00786180">
            <w:pPr>
              <w:jc w:val="right"/>
              <w:textAlignment w:val="top"/>
            </w:pPr>
            <w:r>
              <w:rPr>
                <w:rFonts w:ascii="Times New Roman" w:eastAsia="宋体" w:hAnsi="Times New Roman"/>
                <w:color w:val="000000"/>
                <w:sz w:val="20"/>
                <w:szCs w:val="20"/>
              </w:rPr>
              <w:t>50.1 </w:t>
            </w:r>
          </w:p>
        </w:tc>
        <w:tc>
          <w:tcPr>
            <w:tcW w:w="0" w:type="auto"/>
            <w:shd w:val="clear" w:color="auto" w:fill="FFFFFF"/>
            <w:tcMar>
              <w:top w:w="40" w:type="dxa"/>
              <w:left w:w="0" w:type="dxa"/>
              <w:bottom w:w="40" w:type="dxa"/>
              <w:right w:w="20" w:type="dxa"/>
            </w:tcMar>
          </w:tcPr>
          <w:p w14:paraId="40CB1EC9" w14:textId="77777777" w:rsidR="00584FB3" w:rsidRDefault="00786180">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1EC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1ECB" w14:textId="77777777" w:rsidR="00584FB3" w:rsidRDefault="00786180">
            <w:pPr>
              <w:jc w:val="right"/>
              <w:textAlignment w:val="top"/>
            </w:pPr>
            <w:r>
              <w:rPr>
                <w:rFonts w:ascii="Times New Roman" w:eastAsia="宋体" w:hAnsi="Times New Roman"/>
                <w:color w:val="000000"/>
                <w:sz w:val="20"/>
                <w:szCs w:val="20"/>
              </w:rPr>
              <w:t>48.8 </w:t>
            </w:r>
          </w:p>
        </w:tc>
        <w:tc>
          <w:tcPr>
            <w:tcW w:w="0" w:type="auto"/>
            <w:shd w:val="clear" w:color="auto" w:fill="FFFFFF"/>
            <w:tcMar>
              <w:top w:w="40" w:type="dxa"/>
              <w:left w:w="0" w:type="dxa"/>
              <w:bottom w:w="40" w:type="dxa"/>
              <w:right w:w="20" w:type="dxa"/>
            </w:tcMar>
          </w:tcPr>
          <w:p w14:paraId="40CB1ECC" w14:textId="77777777" w:rsidR="00584FB3" w:rsidRDefault="00786180">
            <w:pPr>
              <w:jc w:val="right"/>
              <w:textAlignment w:val="top"/>
            </w:pPr>
            <w:r>
              <w:rPr>
                <w:rFonts w:ascii="Times New Roman" w:eastAsia="宋体" w:hAnsi="Times New Roman"/>
                <w:color w:val="000000"/>
                <w:sz w:val="20"/>
                <w:szCs w:val="20"/>
              </w:rPr>
              <w:t>%</w:t>
            </w:r>
          </w:p>
        </w:tc>
        <w:tc>
          <w:tcPr>
            <w:tcW w:w="0" w:type="auto"/>
            <w:shd w:val="clear" w:color="auto" w:fill="auto"/>
          </w:tcPr>
          <w:p w14:paraId="40CB1ECD" w14:textId="77777777" w:rsidR="00584FB3" w:rsidRDefault="00584FB3">
            <w:pPr>
              <w:rPr>
                <w:rFonts w:ascii="宋体"/>
                <w:vanish/>
              </w:rPr>
            </w:pPr>
          </w:p>
        </w:tc>
        <w:tc>
          <w:tcPr>
            <w:tcW w:w="0" w:type="auto"/>
            <w:shd w:val="clear" w:color="auto" w:fill="auto"/>
          </w:tcPr>
          <w:p w14:paraId="40CB1ECE" w14:textId="77777777" w:rsidR="00584FB3" w:rsidRDefault="00584FB3">
            <w:pPr>
              <w:rPr>
                <w:rFonts w:ascii="宋体"/>
                <w:vanish/>
              </w:rPr>
            </w:pPr>
          </w:p>
        </w:tc>
        <w:tc>
          <w:tcPr>
            <w:tcW w:w="0" w:type="auto"/>
            <w:gridSpan w:val="3"/>
            <w:shd w:val="clear" w:color="auto" w:fill="auto"/>
          </w:tcPr>
          <w:p w14:paraId="40CB1ECF" w14:textId="77777777" w:rsidR="00584FB3" w:rsidRDefault="00584FB3">
            <w:pPr>
              <w:rPr>
                <w:rFonts w:ascii="宋体"/>
                <w:vanish/>
              </w:rPr>
            </w:pPr>
          </w:p>
        </w:tc>
        <w:tc>
          <w:tcPr>
            <w:tcW w:w="0" w:type="auto"/>
            <w:gridSpan w:val="3"/>
            <w:shd w:val="clear" w:color="auto" w:fill="auto"/>
          </w:tcPr>
          <w:p w14:paraId="40CB1ED0" w14:textId="77777777" w:rsidR="00584FB3" w:rsidRDefault="00584FB3">
            <w:pPr>
              <w:rPr>
                <w:rFonts w:ascii="宋体"/>
                <w:vanish/>
              </w:rPr>
            </w:pPr>
          </w:p>
        </w:tc>
        <w:tc>
          <w:tcPr>
            <w:tcW w:w="0" w:type="auto"/>
            <w:gridSpan w:val="3"/>
            <w:shd w:val="clear" w:color="auto" w:fill="auto"/>
          </w:tcPr>
          <w:p w14:paraId="40CB1ED1" w14:textId="77777777" w:rsidR="00584FB3" w:rsidRDefault="00584FB3">
            <w:pPr>
              <w:rPr>
                <w:rFonts w:ascii="宋体"/>
                <w:vanish/>
              </w:rPr>
            </w:pPr>
          </w:p>
        </w:tc>
        <w:tc>
          <w:tcPr>
            <w:tcW w:w="0" w:type="auto"/>
            <w:gridSpan w:val="3"/>
            <w:shd w:val="clear" w:color="auto" w:fill="auto"/>
          </w:tcPr>
          <w:p w14:paraId="40CB1ED2" w14:textId="77777777" w:rsidR="00584FB3" w:rsidRDefault="00584FB3">
            <w:pPr>
              <w:rPr>
                <w:rFonts w:ascii="宋体"/>
                <w:vanish/>
              </w:rPr>
            </w:pPr>
          </w:p>
        </w:tc>
        <w:tc>
          <w:tcPr>
            <w:tcW w:w="0" w:type="auto"/>
            <w:gridSpan w:val="3"/>
            <w:shd w:val="clear" w:color="auto" w:fill="auto"/>
          </w:tcPr>
          <w:p w14:paraId="40CB1ED3" w14:textId="77777777" w:rsidR="00584FB3" w:rsidRDefault="00584FB3">
            <w:pPr>
              <w:rPr>
                <w:rFonts w:ascii="宋体"/>
                <w:vanish/>
              </w:rPr>
            </w:pPr>
          </w:p>
        </w:tc>
        <w:tc>
          <w:tcPr>
            <w:tcW w:w="0" w:type="auto"/>
            <w:gridSpan w:val="3"/>
            <w:shd w:val="clear" w:color="auto" w:fill="auto"/>
          </w:tcPr>
          <w:p w14:paraId="40CB1ED4" w14:textId="77777777" w:rsidR="00584FB3" w:rsidRDefault="00584FB3">
            <w:pPr>
              <w:rPr>
                <w:rFonts w:ascii="宋体"/>
                <w:vanish/>
              </w:rPr>
            </w:pPr>
          </w:p>
        </w:tc>
        <w:tc>
          <w:tcPr>
            <w:tcW w:w="0" w:type="auto"/>
            <w:gridSpan w:val="3"/>
            <w:shd w:val="clear" w:color="auto" w:fill="auto"/>
          </w:tcPr>
          <w:p w14:paraId="40CB1ED5" w14:textId="77777777" w:rsidR="00584FB3" w:rsidRDefault="00584FB3">
            <w:pPr>
              <w:rPr>
                <w:rFonts w:ascii="宋体"/>
                <w:vanish/>
              </w:rPr>
            </w:pPr>
          </w:p>
        </w:tc>
        <w:tc>
          <w:tcPr>
            <w:tcW w:w="0" w:type="auto"/>
            <w:gridSpan w:val="3"/>
            <w:shd w:val="clear" w:color="auto" w:fill="auto"/>
          </w:tcPr>
          <w:p w14:paraId="40CB1ED6" w14:textId="77777777" w:rsidR="00584FB3" w:rsidRDefault="00584FB3">
            <w:pPr>
              <w:rPr>
                <w:rFonts w:ascii="宋体"/>
                <w:vanish/>
              </w:rPr>
            </w:pPr>
          </w:p>
        </w:tc>
      </w:tr>
    </w:tbl>
    <w:p w14:paraId="40CB1ED8" w14:textId="77777777" w:rsidR="00584FB3" w:rsidRDefault="00786180">
      <w:pPr>
        <w:spacing w:before="120"/>
      </w:pPr>
      <w:r>
        <w:rPr>
          <w:rFonts w:ascii="Times New Roman" w:eastAsia="宋体" w:hAnsi="Times New Roman"/>
          <w:i/>
          <w:iCs/>
          <w:color w:val="000000"/>
          <w:sz w:val="20"/>
          <w:szCs w:val="20"/>
        </w:rPr>
        <w:t xml:space="preserve">For the quarter ended December 27, 2020 compared with the quarter ended December 29, 2019 </w:t>
      </w:r>
    </w:p>
    <w:p w14:paraId="40CB1ED9" w14:textId="77777777" w:rsidR="00584FB3" w:rsidRDefault="00786180">
      <w:pPr>
        <w:spacing w:before="120"/>
      </w:pPr>
      <w:r>
        <w:rPr>
          <w:rFonts w:ascii="Times New Roman" w:eastAsia="宋体" w:hAnsi="Times New Roman"/>
          <w:color w:val="000000"/>
          <w:sz w:val="20"/>
          <w:szCs w:val="20"/>
        </w:rPr>
        <w:t>Product and distribution costs as a percentage of total net revenues decreased 110 basis points for the first quarter of fiscal 2021, primarily due to the tr</w:t>
      </w:r>
      <w:r>
        <w:rPr>
          <w:rFonts w:ascii="Times New Roman" w:eastAsia="宋体" w:hAnsi="Times New Roman"/>
          <w:color w:val="000000"/>
          <w:sz w:val="20"/>
          <w:szCs w:val="20"/>
        </w:rPr>
        <w:t>ansfer of certain single-serve products to Nestlé beginning in the fourth quarter of fiscal 2020 (approximately 90 basis points) and pricing in Americas.</w:t>
      </w:r>
    </w:p>
    <w:p w14:paraId="40CB1EDA" w14:textId="77777777" w:rsidR="00584FB3" w:rsidRDefault="00786180">
      <w:pPr>
        <w:spacing w:before="120"/>
      </w:pPr>
      <w:r>
        <w:rPr>
          <w:rFonts w:ascii="Times New Roman" w:eastAsia="宋体" w:hAnsi="Times New Roman"/>
          <w:color w:val="000000"/>
          <w:sz w:val="20"/>
          <w:szCs w:val="20"/>
        </w:rPr>
        <w:t>Store operating expenses as a percentage of total net revenues increased 270 basis points for the firs</w:t>
      </w:r>
      <w:r>
        <w:rPr>
          <w:rFonts w:ascii="Times New Roman" w:eastAsia="宋体" w:hAnsi="Times New Roman"/>
          <w:color w:val="000000"/>
          <w:sz w:val="20"/>
          <w:szCs w:val="20"/>
        </w:rPr>
        <w:t>t quarter of fiscal 2021. Store operating expenses as a percentage of company-operated store revenues increased 130 basis points, primarily due to sales deleverage attributable to COVID-19 impacts, as well as catastrophe pay programs for retail partners, n</w:t>
      </w:r>
      <w:r>
        <w:rPr>
          <w:rFonts w:ascii="Times New Roman" w:eastAsia="宋体" w:hAnsi="Times New Roman"/>
          <w:color w:val="000000"/>
          <w:sz w:val="20"/>
          <w:szCs w:val="20"/>
        </w:rPr>
        <w:t>et of benefits provided by temporary subsidies from the U.S. and certain foreign governments (approximately 50 basis points), and growth in wages and benefits (approximately 180 basis points). These were partially offset by labor efficiencies (approximatel</w:t>
      </w:r>
      <w:r>
        <w:rPr>
          <w:rFonts w:ascii="Times New Roman" w:eastAsia="宋体" w:hAnsi="Times New Roman"/>
          <w:color w:val="000000"/>
          <w:sz w:val="20"/>
          <w:szCs w:val="20"/>
        </w:rPr>
        <w:t>y 250 basis points).</w:t>
      </w:r>
    </w:p>
    <w:p w14:paraId="40CB1EDB" w14:textId="77777777" w:rsidR="00584FB3" w:rsidRDefault="00786180">
      <w:pPr>
        <w:spacing w:before="120"/>
      </w:pPr>
      <w:r>
        <w:rPr>
          <w:rFonts w:ascii="Times New Roman" w:eastAsia="宋体" w:hAnsi="Times New Roman"/>
          <w:color w:val="000000"/>
          <w:sz w:val="20"/>
          <w:szCs w:val="20"/>
        </w:rPr>
        <w:t>Other operating expenses decreased $10 million for the first quarter of fiscal 2021, primarily due to lapping prior year incremental costs to develop and grow the Global Coffee Alliance.</w:t>
      </w:r>
    </w:p>
    <w:p w14:paraId="40CB1EDC" w14:textId="77777777" w:rsidR="00584FB3" w:rsidRDefault="00786180">
      <w:pPr>
        <w:jc w:val="center"/>
      </w:pPr>
      <w:r>
        <w:rPr>
          <w:rFonts w:ascii="Times New Roman" w:eastAsia="宋体" w:hAnsi="Times New Roman"/>
          <w:color w:val="000000"/>
          <w:sz w:val="20"/>
          <w:szCs w:val="20"/>
        </w:rPr>
        <w:t>28</w:t>
      </w:r>
    </w:p>
    <w:p w14:paraId="40CB1EDD" w14:textId="77777777" w:rsidR="00584FB3" w:rsidRDefault="00786180">
      <w:r>
        <w:pict w14:anchorId="40CB2A51">
          <v:rect id="_x0000_i1052" style="width:415.3pt;height:1.5pt" o:hralign="center" o:hrstd="t" o:hr="t" fillcolor="#a0a0a0" stroked="f"/>
        </w:pict>
      </w:r>
    </w:p>
    <w:p w14:paraId="40CB1EDE" w14:textId="77777777" w:rsidR="00584FB3" w:rsidRDefault="00786180">
      <w:hyperlink r:id="rId105" w:anchor="i11706e4b673c41db9f2dcbdb897203bb_7" w:history="1">
        <w:r>
          <w:rPr>
            <w:rStyle w:val="a5"/>
            <w:rFonts w:ascii="Times New Roman" w:eastAsia="宋体" w:hAnsi="Times New Roman"/>
            <w:sz w:val="20"/>
            <w:szCs w:val="20"/>
          </w:rPr>
          <w:t>Table of Contents</w:t>
        </w:r>
      </w:hyperlink>
    </w:p>
    <w:p w14:paraId="40CB1EDF" w14:textId="77777777" w:rsidR="00584FB3" w:rsidRDefault="00786180">
      <w:pPr>
        <w:spacing w:before="120"/>
      </w:pPr>
      <w:r>
        <w:rPr>
          <w:rFonts w:ascii="Times New Roman" w:eastAsia="宋体" w:hAnsi="Times New Roman"/>
          <w:color w:val="000000"/>
          <w:sz w:val="20"/>
          <w:szCs w:val="20"/>
        </w:rPr>
        <w:t>Depreciation and amortization expenses as a percentage of total net revenues increased 50 basis points, primarily due to sales d</w:t>
      </w:r>
      <w:r>
        <w:rPr>
          <w:rFonts w:ascii="Times New Roman" w:eastAsia="宋体" w:hAnsi="Times New Roman"/>
          <w:color w:val="000000"/>
          <w:sz w:val="20"/>
          <w:szCs w:val="20"/>
        </w:rPr>
        <w:t>eleverage.</w:t>
      </w:r>
    </w:p>
    <w:p w14:paraId="40CB1EE0" w14:textId="77777777" w:rsidR="00584FB3" w:rsidRDefault="00786180">
      <w:pPr>
        <w:spacing w:before="120"/>
      </w:pPr>
      <w:r>
        <w:rPr>
          <w:rFonts w:ascii="Times New Roman" w:eastAsia="宋体" w:hAnsi="Times New Roman"/>
          <w:color w:val="000000"/>
          <w:sz w:val="20"/>
          <w:szCs w:val="20"/>
        </w:rPr>
        <w:t xml:space="preserve">General and administrative expenses increased $38 million, primarily due to incremental strategic investments in technology ($28 million) and higher performance-based compensation, recognizing the strength of the company's overall recovery from </w:t>
      </w:r>
      <w:r>
        <w:rPr>
          <w:rFonts w:ascii="Times New Roman" w:eastAsia="宋体" w:hAnsi="Times New Roman"/>
          <w:color w:val="000000"/>
          <w:sz w:val="20"/>
          <w:szCs w:val="20"/>
        </w:rPr>
        <w:t>pandemic-related business impacts ($18 million).</w:t>
      </w:r>
    </w:p>
    <w:p w14:paraId="40CB1EE1" w14:textId="77777777" w:rsidR="00584FB3" w:rsidRDefault="00786180">
      <w:pPr>
        <w:spacing w:before="120"/>
      </w:pPr>
      <w:r>
        <w:rPr>
          <w:rFonts w:ascii="Times New Roman" w:eastAsia="宋体" w:hAnsi="Times New Roman"/>
          <w:color w:val="000000"/>
          <w:sz w:val="20"/>
          <w:szCs w:val="20"/>
        </w:rPr>
        <w:t xml:space="preserve">Restructuring and impairment expenses increased $66 million, primarily due to higher asset impairment related to store portfolio optimization ($42 million) and accelerated amortization of right-of-use lease </w:t>
      </w:r>
      <w:r>
        <w:rPr>
          <w:rFonts w:ascii="Times New Roman" w:eastAsia="宋体" w:hAnsi="Times New Roman"/>
          <w:color w:val="000000"/>
          <w:sz w:val="20"/>
          <w:szCs w:val="20"/>
        </w:rPr>
        <w:t>assets associated with the closure of certain company-operated stores ($26 million).</w:t>
      </w:r>
    </w:p>
    <w:p w14:paraId="40CB1EE2" w14:textId="77777777" w:rsidR="00584FB3" w:rsidRDefault="00786180">
      <w:pPr>
        <w:spacing w:before="120"/>
        <w:jc w:val="both"/>
      </w:pPr>
      <w:r>
        <w:rPr>
          <w:rFonts w:ascii="Times New Roman" w:eastAsia="宋体" w:hAnsi="Times New Roman"/>
          <w:color w:val="000000"/>
          <w:sz w:val="20"/>
          <w:szCs w:val="20"/>
        </w:rPr>
        <w:t>Income from equity investees increased $9 million, primarily due to higher income from our North American Coffee Partnership joint venture, partially offset by temporary s</w:t>
      </w:r>
      <w:r>
        <w:rPr>
          <w:rFonts w:ascii="Times New Roman" w:eastAsia="宋体" w:hAnsi="Times New Roman"/>
          <w:color w:val="000000"/>
          <w:sz w:val="20"/>
          <w:szCs w:val="20"/>
        </w:rPr>
        <w:t xml:space="preserve">tore closures and reduced operating hours in our South Korea and India joint ventures. </w:t>
      </w:r>
    </w:p>
    <w:p w14:paraId="40CB1EE3" w14:textId="77777777" w:rsidR="00584FB3" w:rsidRDefault="00786180">
      <w:pPr>
        <w:spacing w:before="120"/>
      </w:pPr>
      <w:r>
        <w:rPr>
          <w:rFonts w:ascii="Times New Roman" w:eastAsia="宋体" w:hAnsi="Times New Roman"/>
          <w:color w:val="000000"/>
          <w:sz w:val="20"/>
          <w:szCs w:val="20"/>
        </w:rPr>
        <w:t>The combination of these changes resulted in an overall decrease in operating margin of 370 basis points for the first quarter of fiscal 2021.</w:t>
      </w:r>
    </w:p>
    <w:p w14:paraId="40CB1EE4" w14:textId="77777777" w:rsidR="00584FB3" w:rsidRDefault="00786180">
      <w:pPr>
        <w:spacing w:before="120"/>
      </w:pPr>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72"/>
        <w:gridCol w:w="38"/>
        <w:gridCol w:w="120"/>
        <w:gridCol w:w="500"/>
        <w:gridCol w:w="36"/>
        <w:gridCol w:w="36"/>
        <w:gridCol w:w="36"/>
        <w:gridCol w:w="36"/>
        <w:gridCol w:w="120"/>
        <w:gridCol w:w="650"/>
        <w:gridCol w:w="36"/>
        <w:gridCol w:w="36"/>
        <w:gridCol w:w="36"/>
        <w:gridCol w:w="36"/>
        <w:gridCol w:w="120"/>
        <w:gridCol w:w="584"/>
        <w:gridCol w:w="36"/>
        <w:gridCol w:w="36"/>
        <w:gridCol w:w="36"/>
        <w:gridCol w:w="36"/>
        <w:gridCol w:w="50"/>
        <w:gridCol w:w="370"/>
        <w:gridCol w:w="220"/>
        <w:gridCol w:w="36"/>
        <w:gridCol w:w="36"/>
        <w:gridCol w:w="36"/>
        <w:gridCol w:w="50"/>
        <w:gridCol w:w="370"/>
        <w:gridCol w:w="22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1F0D" w14:textId="77777777">
        <w:trPr>
          <w:jc w:val="center"/>
        </w:trPr>
        <w:tc>
          <w:tcPr>
            <w:tcW w:w="50" w:type="pct"/>
            <w:shd w:val="clear" w:color="auto" w:fill="auto"/>
          </w:tcPr>
          <w:p w14:paraId="40CB1EE5" w14:textId="77777777" w:rsidR="00584FB3" w:rsidRDefault="00584FB3">
            <w:pPr>
              <w:rPr>
                <w:rFonts w:ascii="宋体"/>
              </w:rPr>
            </w:pPr>
          </w:p>
        </w:tc>
        <w:tc>
          <w:tcPr>
            <w:tcW w:w="2668" w:type="pct"/>
            <w:shd w:val="clear" w:color="auto" w:fill="auto"/>
          </w:tcPr>
          <w:p w14:paraId="40CB1EE6" w14:textId="77777777" w:rsidR="00584FB3" w:rsidRDefault="00584FB3">
            <w:pPr>
              <w:rPr>
                <w:rFonts w:ascii="宋体"/>
              </w:rPr>
            </w:pPr>
          </w:p>
        </w:tc>
        <w:tc>
          <w:tcPr>
            <w:tcW w:w="5" w:type="pct"/>
            <w:shd w:val="clear" w:color="auto" w:fill="auto"/>
          </w:tcPr>
          <w:p w14:paraId="40CB1EE7" w14:textId="77777777" w:rsidR="00584FB3" w:rsidRDefault="00584FB3">
            <w:pPr>
              <w:rPr>
                <w:rFonts w:ascii="宋体"/>
              </w:rPr>
            </w:pPr>
          </w:p>
        </w:tc>
        <w:tc>
          <w:tcPr>
            <w:tcW w:w="50" w:type="pct"/>
            <w:shd w:val="clear" w:color="auto" w:fill="auto"/>
          </w:tcPr>
          <w:p w14:paraId="40CB1EE8" w14:textId="77777777" w:rsidR="00584FB3" w:rsidRDefault="00584FB3">
            <w:pPr>
              <w:rPr>
                <w:rFonts w:ascii="宋体"/>
              </w:rPr>
            </w:pPr>
          </w:p>
        </w:tc>
        <w:tc>
          <w:tcPr>
            <w:tcW w:w="370" w:type="pct"/>
            <w:shd w:val="clear" w:color="auto" w:fill="auto"/>
          </w:tcPr>
          <w:p w14:paraId="40CB1EE9" w14:textId="77777777" w:rsidR="00584FB3" w:rsidRDefault="00584FB3">
            <w:pPr>
              <w:rPr>
                <w:rFonts w:ascii="宋体"/>
              </w:rPr>
            </w:pPr>
          </w:p>
        </w:tc>
        <w:tc>
          <w:tcPr>
            <w:tcW w:w="5" w:type="pct"/>
            <w:shd w:val="clear" w:color="auto" w:fill="auto"/>
          </w:tcPr>
          <w:p w14:paraId="40CB1EEA" w14:textId="77777777" w:rsidR="00584FB3" w:rsidRDefault="00584FB3">
            <w:pPr>
              <w:rPr>
                <w:rFonts w:ascii="宋体"/>
              </w:rPr>
            </w:pPr>
          </w:p>
        </w:tc>
        <w:tc>
          <w:tcPr>
            <w:tcW w:w="5" w:type="pct"/>
            <w:shd w:val="clear" w:color="auto" w:fill="auto"/>
          </w:tcPr>
          <w:p w14:paraId="40CB1EEB" w14:textId="77777777" w:rsidR="00584FB3" w:rsidRDefault="00584FB3">
            <w:pPr>
              <w:rPr>
                <w:rFonts w:ascii="宋体"/>
              </w:rPr>
            </w:pPr>
          </w:p>
        </w:tc>
        <w:tc>
          <w:tcPr>
            <w:tcW w:w="26" w:type="pct"/>
            <w:shd w:val="clear" w:color="auto" w:fill="auto"/>
          </w:tcPr>
          <w:p w14:paraId="40CB1EEC" w14:textId="77777777" w:rsidR="00584FB3" w:rsidRDefault="00584FB3">
            <w:pPr>
              <w:rPr>
                <w:rFonts w:ascii="宋体"/>
              </w:rPr>
            </w:pPr>
          </w:p>
        </w:tc>
        <w:tc>
          <w:tcPr>
            <w:tcW w:w="5" w:type="pct"/>
            <w:shd w:val="clear" w:color="auto" w:fill="auto"/>
          </w:tcPr>
          <w:p w14:paraId="40CB1EED" w14:textId="77777777" w:rsidR="00584FB3" w:rsidRDefault="00584FB3">
            <w:pPr>
              <w:rPr>
                <w:rFonts w:ascii="宋体"/>
              </w:rPr>
            </w:pPr>
          </w:p>
        </w:tc>
        <w:tc>
          <w:tcPr>
            <w:tcW w:w="50" w:type="pct"/>
            <w:shd w:val="clear" w:color="auto" w:fill="auto"/>
          </w:tcPr>
          <w:p w14:paraId="40CB1EEE" w14:textId="77777777" w:rsidR="00584FB3" w:rsidRDefault="00584FB3">
            <w:pPr>
              <w:rPr>
                <w:rFonts w:ascii="宋体"/>
              </w:rPr>
            </w:pPr>
          </w:p>
        </w:tc>
        <w:tc>
          <w:tcPr>
            <w:tcW w:w="370" w:type="pct"/>
            <w:shd w:val="clear" w:color="auto" w:fill="auto"/>
          </w:tcPr>
          <w:p w14:paraId="40CB1EEF" w14:textId="77777777" w:rsidR="00584FB3" w:rsidRDefault="00584FB3">
            <w:pPr>
              <w:rPr>
                <w:rFonts w:ascii="宋体"/>
              </w:rPr>
            </w:pPr>
          </w:p>
        </w:tc>
        <w:tc>
          <w:tcPr>
            <w:tcW w:w="5" w:type="pct"/>
            <w:shd w:val="clear" w:color="auto" w:fill="auto"/>
          </w:tcPr>
          <w:p w14:paraId="40CB1EF0" w14:textId="77777777" w:rsidR="00584FB3" w:rsidRDefault="00584FB3">
            <w:pPr>
              <w:rPr>
                <w:rFonts w:ascii="宋体"/>
              </w:rPr>
            </w:pPr>
          </w:p>
        </w:tc>
        <w:tc>
          <w:tcPr>
            <w:tcW w:w="5" w:type="pct"/>
            <w:shd w:val="clear" w:color="auto" w:fill="auto"/>
          </w:tcPr>
          <w:p w14:paraId="40CB1EF1" w14:textId="77777777" w:rsidR="00584FB3" w:rsidRDefault="00584FB3">
            <w:pPr>
              <w:rPr>
                <w:rFonts w:ascii="宋体"/>
              </w:rPr>
            </w:pPr>
          </w:p>
        </w:tc>
        <w:tc>
          <w:tcPr>
            <w:tcW w:w="26" w:type="pct"/>
            <w:shd w:val="clear" w:color="auto" w:fill="auto"/>
          </w:tcPr>
          <w:p w14:paraId="40CB1EF2" w14:textId="77777777" w:rsidR="00584FB3" w:rsidRDefault="00584FB3">
            <w:pPr>
              <w:rPr>
                <w:rFonts w:ascii="宋体"/>
              </w:rPr>
            </w:pPr>
          </w:p>
        </w:tc>
        <w:tc>
          <w:tcPr>
            <w:tcW w:w="5" w:type="pct"/>
            <w:shd w:val="clear" w:color="auto" w:fill="auto"/>
          </w:tcPr>
          <w:p w14:paraId="40CB1EF3" w14:textId="77777777" w:rsidR="00584FB3" w:rsidRDefault="00584FB3">
            <w:pPr>
              <w:rPr>
                <w:rFonts w:ascii="宋体"/>
              </w:rPr>
            </w:pPr>
          </w:p>
        </w:tc>
        <w:tc>
          <w:tcPr>
            <w:tcW w:w="50" w:type="pct"/>
            <w:shd w:val="clear" w:color="auto" w:fill="auto"/>
          </w:tcPr>
          <w:p w14:paraId="40CB1EF4" w14:textId="77777777" w:rsidR="00584FB3" w:rsidRDefault="00584FB3">
            <w:pPr>
              <w:rPr>
                <w:rFonts w:ascii="宋体"/>
              </w:rPr>
            </w:pPr>
          </w:p>
        </w:tc>
        <w:tc>
          <w:tcPr>
            <w:tcW w:w="370" w:type="pct"/>
            <w:shd w:val="clear" w:color="auto" w:fill="auto"/>
          </w:tcPr>
          <w:p w14:paraId="40CB1EF5" w14:textId="77777777" w:rsidR="00584FB3" w:rsidRDefault="00584FB3">
            <w:pPr>
              <w:rPr>
                <w:rFonts w:ascii="宋体"/>
              </w:rPr>
            </w:pPr>
          </w:p>
        </w:tc>
        <w:tc>
          <w:tcPr>
            <w:tcW w:w="5" w:type="pct"/>
            <w:shd w:val="clear" w:color="auto" w:fill="auto"/>
          </w:tcPr>
          <w:p w14:paraId="40CB1EF6" w14:textId="77777777" w:rsidR="00584FB3" w:rsidRDefault="00584FB3">
            <w:pPr>
              <w:rPr>
                <w:rFonts w:ascii="宋体"/>
              </w:rPr>
            </w:pPr>
          </w:p>
        </w:tc>
        <w:tc>
          <w:tcPr>
            <w:tcW w:w="5" w:type="pct"/>
            <w:shd w:val="clear" w:color="auto" w:fill="auto"/>
          </w:tcPr>
          <w:p w14:paraId="40CB1EF7" w14:textId="77777777" w:rsidR="00584FB3" w:rsidRDefault="00584FB3">
            <w:pPr>
              <w:rPr>
                <w:rFonts w:ascii="宋体"/>
              </w:rPr>
            </w:pPr>
          </w:p>
        </w:tc>
        <w:tc>
          <w:tcPr>
            <w:tcW w:w="26" w:type="pct"/>
            <w:shd w:val="clear" w:color="auto" w:fill="auto"/>
          </w:tcPr>
          <w:p w14:paraId="40CB1EF8" w14:textId="77777777" w:rsidR="00584FB3" w:rsidRDefault="00584FB3">
            <w:pPr>
              <w:rPr>
                <w:rFonts w:ascii="宋体"/>
              </w:rPr>
            </w:pPr>
          </w:p>
        </w:tc>
        <w:tc>
          <w:tcPr>
            <w:tcW w:w="5" w:type="pct"/>
            <w:shd w:val="clear" w:color="auto" w:fill="auto"/>
          </w:tcPr>
          <w:p w14:paraId="40CB1EF9" w14:textId="77777777" w:rsidR="00584FB3" w:rsidRDefault="00584FB3">
            <w:pPr>
              <w:rPr>
                <w:rFonts w:ascii="宋体"/>
              </w:rPr>
            </w:pPr>
          </w:p>
        </w:tc>
        <w:tc>
          <w:tcPr>
            <w:tcW w:w="50" w:type="pct"/>
            <w:shd w:val="clear" w:color="auto" w:fill="auto"/>
          </w:tcPr>
          <w:p w14:paraId="40CB1EFA" w14:textId="77777777" w:rsidR="00584FB3" w:rsidRDefault="00584FB3">
            <w:pPr>
              <w:rPr>
                <w:rFonts w:ascii="宋体"/>
              </w:rPr>
            </w:pPr>
          </w:p>
        </w:tc>
        <w:tc>
          <w:tcPr>
            <w:tcW w:w="370" w:type="pct"/>
            <w:shd w:val="clear" w:color="auto" w:fill="auto"/>
          </w:tcPr>
          <w:p w14:paraId="40CB1EFB" w14:textId="77777777" w:rsidR="00584FB3" w:rsidRDefault="00584FB3">
            <w:pPr>
              <w:rPr>
                <w:rFonts w:ascii="宋体"/>
              </w:rPr>
            </w:pPr>
          </w:p>
        </w:tc>
        <w:tc>
          <w:tcPr>
            <w:tcW w:w="5" w:type="pct"/>
            <w:shd w:val="clear" w:color="auto" w:fill="auto"/>
          </w:tcPr>
          <w:p w14:paraId="40CB1EFC" w14:textId="77777777" w:rsidR="00584FB3" w:rsidRDefault="00584FB3">
            <w:pPr>
              <w:rPr>
                <w:rFonts w:ascii="宋体"/>
              </w:rPr>
            </w:pPr>
          </w:p>
        </w:tc>
        <w:tc>
          <w:tcPr>
            <w:tcW w:w="5" w:type="pct"/>
            <w:shd w:val="clear" w:color="auto" w:fill="auto"/>
          </w:tcPr>
          <w:p w14:paraId="40CB1EFD" w14:textId="77777777" w:rsidR="00584FB3" w:rsidRDefault="00584FB3">
            <w:pPr>
              <w:rPr>
                <w:rFonts w:ascii="宋体"/>
              </w:rPr>
            </w:pPr>
          </w:p>
        </w:tc>
        <w:tc>
          <w:tcPr>
            <w:tcW w:w="26" w:type="pct"/>
            <w:shd w:val="clear" w:color="auto" w:fill="auto"/>
          </w:tcPr>
          <w:p w14:paraId="40CB1EFE" w14:textId="77777777" w:rsidR="00584FB3" w:rsidRDefault="00584FB3">
            <w:pPr>
              <w:rPr>
                <w:rFonts w:ascii="宋体"/>
              </w:rPr>
            </w:pPr>
          </w:p>
        </w:tc>
        <w:tc>
          <w:tcPr>
            <w:tcW w:w="5" w:type="pct"/>
            <w:shd w:val="clear" w:color="auto" w:fill="auto"/>
          </w:tcPr>
          <w:p w14:paraId="40CB1EFF" w14:textId="77777777" w:rsidR="00584FB3" w:rsidRDefault="00584FB3">
            <w:pPr>
              <w:rPr>
                <w:rFonts w:ascii="宋体"/>
              </w:rPr>
            </w:pPr>
          </w:p>
        </w:tc>
        <w:tc>
          <w:tcPr>
            <w:tcW w:w="50" w:type="pct"/>
            <w:shd w:val="clear" w:color="auto" w:fill="auto"/>
          </w:tcPr>
          <w:p w14:paraId="40CB1F00" w14:textId="77777777" w:rsidR="00584FB3" w:rsidRDefault="00584FB3">
            <w:pPr>
              <w:rPr>
                <w:rFonts w:ascii="宋体"/>
              </w:rPr>
            </w:pPr>
          </w:p>
        </w:tc>
        <w:tc>
          <w:tcPr>
            <w:tcW w:w="371" w:type="pct"/>
            <w:shd w:val="clear" w:color="auto" w:fill="auto"/>
          </w:tcPr>
          <w:p w14:paraId="40CB1F01" w14:textId="77777777" w:rsidR="00584FB3" w:rsidRDefault="00584FB3">
            <w:pPr>
              <w:rPr>
                <w:rFonts w:ascii="宋体"/>
              </w:rPr>
            </w:pPr>
          </w:p>
        </w:tc>
        <w:tc>
          <w:tcPr>
            <w:tcW w:w="5" w:type="pct"/>
            <w:shd w:val="clear" w:color="auto" w:fill="auto"/>
          </w:tcPr>
          <w:p w14:paraId="40CB1F02" w14:textId="77777777" w:rsidR="00584FB3" w:rsidRDefault="00584FB3">
            <w:pPr>
              <w:rPr>
                <w:rFonts w:ascii="宋体"/>
              </w:rPr>
            </w:pPr>
          </w:p>
        </w:tc>
        <w:tc>
          <w:tcPr>
            <w:tcW w:w="0" w:type="auto"/>
            <w:shd w:val="clear" w:color="auto" w:fill="auto"/>
          </w:tcPr>
          <w:p w14:paraId="40CB1F03" w14:textId="77777777" w:rsidR="00584FB3" w:rsidRDefault="00584FB3">
            <w:pPr>
              <w:rPr>
                <w:rFonts w:ascii="宋体"/>
                <w:vanish/>
              </w:rPr>
            </w:pPr>
          </w:p>
        </w:tc>
        <w:tc>
          <w:tcPr>
            <w:tcW w:w="0" w:type="auto"/>
            <w:shd w:val="clear" w:color="auto" w:fill="auto"/>
          </w:tcPr>
          <w:p w14:paraId="40CB1F04" w14:textId="77777777" w:rsidR="00584FB3" w:rsidRDefault="00584FB3">
            <w:pPr>
              <w:rPr>
                <w:rFonts w:ascii="宋体"/>
                <w:vanish/>
              </w:rPr>
            </w:pPr>
          </w:p>
        </w:tc>
        <w:tc>
          <w:tcPr>
            <w:tcW w:w="0" w:type="auto"/>
            <w:gridSpan w:val="3"/>
            <w:shd w:val="clear" w:color="auto" w:fill="auto"/>
          </w:tcPr>
          <w:p w14:paraId="40CB1F05" w14:textId="77777777" w:rsidR="00584FB3" w:rsidRDefault="00584FB3">
            <w:pPr>
              <w:rPr>
                <w:rFonts w:ascii="宋体"/>
                <w:vanish/>
              </w:rPr>
            </w:pPr>
          </w:p>
        </w:tc>
        <w:tc>
          <w:tcPr>
            <w:tcW w:w="0" w:type="auto"/>
            <w:gridSpan w:val="3"/>
            <w:shd w:val="clear" w:color="auto" w:fill="auto"/>
          </w:tcPr>
          <w:p w14:paraId="40CB1F06" w14:textId="77777777" w:rsidR="00584FB3" w:rsidRDefault="00584FB3">
            <w:pPr>
              <w:rPr>
                <w:rFonts w:ascii="宋体"/>
                <w:vanish/>
              </w:rPr>
            </w:pPr>
          </w:p>
        </w:tc>
        <w:tc>
          <w:tcPr>
            <w:tcW w:w="0" w:type="auto"/>
            <w:gridSpan w:val="3"/>
            <w:shd w:val="clear" w:color="auto" w:fill="auto"/>
          </w:tcPr>
          <w:p w14:paraId="40CB1F07" w14:textId="77777777" w:rsidR="00584FB3" w:rsidRDefault="00584FB3">
            <w:pPr>
              <w:rPr>
                <w:rFonts w:ascii="宋体"/>
                <w:vanish/>
              </w:rPr>
            </w:pPr>
          </w:p>
        </w:tc>
        <w:tc>
          <w:tcPr>
            <w:tcW w:w="0" w:type="auto"/>
            <w:gridSpan w:val="3"/>
            <w:shd w:val="clear" w:color="auto" w:fill="auto"/>
          </w:tcPr>
          <w:p w14:paraId="40CB1F08" w14:textId="77777777" w:rsidR="00584FB3" w:rsidRDefault="00584FB3">
            <w:pPr>
              <w:rPr>
                <w:rFonts w:ascii="宋体"/>
                <w:vanish/>
              </w:rPr>
            </w:pPr>
          </w:p>
        </w:tc>
        <w:tc>
          <w:tcPr>
            <w:tcW w:w="0" w:type="auto"/>
            <w:gridSpan w:val="3"/>
            <w:shd w:val="clear" w:color="auto" w:fill="auto"/>
          </w:tcPr>
          <w:p w14:paraId="40CB1F09" w14:textId="77777777" w:rsidR="00584FB3" w:rsidRDefault="00584FB3">
            <w:pPr>
              <w:rPr>
                <w:rFonts w:ascii="宋体"/>
                <w:vanish/>
              </w:rPr>
            </w:pPr>
          </w:p>
        </w:tc>
        <w:tc>
          <w:tcPr>
            <w:tcW w:w="0" w:type="auto"/>
            <w:gridSpan w:val="3"/>
            <w:shd w:val="clear" w:color="auto" w:fill="auto"/>
          </w:tcPr>
          <w:p w14:paraId="40CB1F0A" w14:textId="77777777" w:rsidR="00584FB3" w:rsidRDefault="00584FB3">
            <w:pPr>
              <w:rPr>
                <w:rFonts w:ascii="宋体"/>
                <w:vanish/>
              </w:rPr>
            </w:pPr>
          </w:p>
        </w:tc>
        <w:tc>
          <w:tcPr>
            <w:tcW w:w="0" w:type="auto"/>
            <w:gridSpan w:val="3"/>
            <w:shd w:val="clear" w:color="auto" w:fill="auto"/>
          </w:tcPr>
          <w:p w14:paraId="40CB1F0B" w14:textId="77777777" w:rsidR="00584FB3" w:rsidRDefault="00584FB3">
            <w:pPr>
              <w:rPr>
                <w:rFonts w:ascii="宋体"/>
                <w:vanish/>
              </w:rPr>
            </w:pPr>
          </w:p>
        </w:tc>
        <w:tc>
          <w:tcPr>
            <w:tcW w:w="0" w:type="auto"/>
            <w:gridSpan w:val="3"/>
            <w:shd w:val="clear" w:color="auto" w:fill="auto"/>
          </w:tcPr>
          <w:p w14:paraId="40CB1F0C" w14:textId="77777777" w:rsidR="00584FB3" w:rsidRDefault="00584FB3">
            <w:pPr>
              <w:rPr>
                <w:rFonts w:ascii="宋体"/>
                <w:vanish/>
              </w:rPr>
            </w:pPr>
          </w:p>
        </w:tc>
      </w:tr>
      <w:tr w:rsidR="00584FB3" w14:paraId="40CB1F2A" w14:textId="77777777">
        <w:trPr>
          <w:jc w:val="center"/>
        </w:trPr>
        <w:tc>
          <w:tcPr>
            <w:tcW w:w="0" w:type="auto"/>
            <w:gridSpan w:val="3"/>
            <w:shd w:val="clear" w:color="auto" w:fill="auto"/>
            <w:tcMar>
              <w:top w:w="40" w:type="dxa"/>
              <w:left w:w="20" w:type="dxa"/>
              <w:bottom w:w="40" w:type="dxa"/>
              <w:right w:w="20" w:type="dxa"/>
            </w:tcMar>
            <w:vAlign w:val="bottom"/>
          </w:tcPr>
          <w:p w14:paraId="40CB1F0E" w14:textId="77777777" w:rsidR="00584FB3" w:rsidRDefault="00786180">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0CB1F0F"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1F10" w14:textId="77777777" w:rsidR="00584FB3" w:rsidRDefault="00584FB3">
            <w:pPr>
              <w:rPr>
                <w:rFonts w:ascii="宋体"/>
                <w:vanish/>
              </w:rPr>
            </w:pPr>
          </w:p>
        </w:tc>
        <w:tc>
          <w:tcPr>
            <w:tcW w:w="0" w:type="auto"/>
            <w:shd w:val="clear" w:color="auto" w:fill="auto"/>
          </w:tcPr>
          <w:p w14:paraId="40CB1F11" w14:textId="77777777" w:rsidR="00584FB3" w:rsidRDefault="00584FB3">
            <w:pPr>
              <w:rPr>
                <w:rFonts w:ascii="宋体"/>
                <w:vanish/>
              </w:rPr>
            </w:pPr>
          </w:p>
        </w:tc>
        <w:tc>
          <w:tcPr>
            <w:tcW w:w="0" w:type="auto"/>
            <w:shd w:val="clear" w:color="auto" w:fill="auto"/>
          </w:tcPr>
          <w:p w14:paraId="40CB1F12" w14:textId="77777777" w:rsidR="00584FB3" w:rsidRDefault="00584FB3">
            <w:pPr>
              <w:rPr>
                <w:rFonts w:ascii="宋体"/>
              </w:rPr>
            </w:pPr>
          </w:p>
        </w:tc>
        <w:tc>
          <w:tcPr>
            <w:tcW w:w="0" w:type="auto"/>
            <w:shd w:val="clear" w:color="auto" w:fill="auto"/>
          </w:tcPr>
          <w:p w14:paraId="40CB1F13" w14:textId="77777777" w:rsidR="00584FB3" w:rsidRDefault="00584FB3">
            <w:pPr>
              <w:rPr>
                <w:rFonts w:ascii="宋体"/>
              </w:rPr>
            </w:pPr>
          </w:p>
        </w:tc>
        <w:tc>
          <w:tcPr>
            <w:tcW w:w="0" w:type="auto"/>
            <w:shd w:val="clear" w:color="auto" w:fill="auto"/>
          </w:tcPr>
          <w:p w14:paraId="40CB1F14" w14:textId="77777777" w:rsidR="00584FB3" w:rsidRDefault="00584FB3">
            <w:pPr>
              <w:rPr>
                <w:rFonts w:ascii="宋体"/>
              </w:rPr>
            </w:pPr>
          </w:p>
        </w:tc>
        <w:tc>
          <w:tcPr>
            <w:tcW w:w="0" w:type="auto"/>
            <w:shd w:val="clear" w:color="auto" w:fill="auto"/>
          </w:tcPr>
          <w:p w14:paraId="40CB1F15" w14:textId="77777777" w:rsidR="00584FB3" w:rsidRDefault="00584FB3">
            <w:pPr>
              <w:rPr>
                <w:rFonts w:ascii="宋体"/>
              </w:rPr>
            </w:pPr>
          </w:p>
        </w:tc>
        <w:tc>
          <w:tcPr>
            <w:tcW w:w="0" w:type="auto"/>
            <w:shd w:val="clear" w:color="auto" w:fill="auto"/>
          </w:tcPr>
          <w:p w14:paraId="40CB1F16" w14:textId="77777777" w:rsidR="00584FB3" w:rsidRDefault="00584FB3">
            <w:pPr>
              <w:rPr>
                <w:rFonts w:ascii="宋体"/>
              </w:rPr>
            </w:pPr>
          </w:p>
        </w:tc>
        <w:tc>
          <w:tcPr>
            <w:tcW w:w="0" w:type="auto"/>
            <w:shd w:val="clear" w:color="auto" w:fill="auto"/>
          </w:tcPr>
          <w:p w14:paraId="40CB1F17" w14:textId="77777777" w:rsidR="00584FB3" w:rsidRDefault="00584FB3">
            <w:pPr>
              <w:rPr>
                <w:rFonts w:ascii="宋体"/>
              </w:rPr>
            </w:pPr>
          </w:p>
        </w:tc>
        <w:tc>
          <w:tcPr>
            <w:tcW w:w="0" w:type="auto"/>
            <w:shd w:val="clear" w:color="auto" w:fill="auto"/>
          </w:tcPr>
          <w:p w14:paraId="40CB1F18" w14:textId="77777777" w:rsidR="00584FB3" w:rsidRDefault="00584FB3">
            <w:pPr>
              <w:rPr>
                <w:rFonts w:ascii="宋体"/>
              </w:rPr>
            </w:pPr>
          </w:p>
        </w:tc>
        <w:tc>
          <w:tcPr>
            <w:tcW w:w="0" w:type="auto"/>
            <w:shd w:val="clear" w:color="auto" w:fill="auto"/>
          </w:tcPr>
          <w:p w14:paraId="40CB1F19" w14:textId="77777777" w:rsidR="00584FB3" w:rsidRDefault="00584FB3">
            <w:pPr>
              <w:rPr>
                <w:rFonts w:ascii="宋体"/>
              </w:rPr>
            </w:pPr>
          </w:p>
        </w:tc>
        <w:tc>
          <w:tcPr>
            <w:tcW w:w="0" w:type="auto"/>
            <w:shd w:val="clear" w:color="auto" w:fill="auto"/>
          </w:tcPr>
          <w:p w14:paraId="40CB1F1A" w14:textId="77777777" w:rsidR="00584FB3" w:rsidRDefault="00584FB3">
            <w:pPr>
              <w:rPr>
                <w:rFonts w:ascii="宋体"/>
              </w:rPr>
            </w:pPr>
          </w:p>
        </w:tc>
        <w:tc>
          <w:tcPr>
            <w:tcW w:w="0" w:type="auto"/>
            <w:shd w:val="clear" w:color="auto" w:fill="auto"/>
          </w:tcPr>
          <w:p w14:paraId="40CB1F1B" w14:textId="77777777" w:rsidR="00584FB3" w:rsidRDefault="00584FB3">
            <w:pPr>
              <w:rPr>
                <w:rFonts w:ascii="宋体"/>
              </w:rPr>
            </w:pPr>
          </w:p>
        </w:tc>
        <w:tc>
          <w:tcPr>
            <w:tcW w:w="0" w:type="auto"/>
            <w:shd w:val="clear" w:color="auto" w:fill="auto"/>
          </w:tcPr>
          <w:p w14:paraId="40CB1F1C" w14:textId="77777777" w:rsidR="00584FB3" w:rsidRDefault="00584FB3">
            <w:pPr>
              <w:rPr>
                <w:rFonts w:ascii="宋体"/>
              </w:rPr>
            </w:pPr>
          </w:p>
        </w:tc>
        <w:tc>
          <w:tcPr>
            <w:tcW w:w="0" w:type="auto"/>
            <w:shd w:val="clear" w:color="auto" w:fill="auto"/>
          </w:tcPr>
          <w:p w14:paraId="40CB1F1D" w14:textId="77777777" w:rsidR="00584FB3" w:rsidRDefault="00584FB3">
            <w:pPr>
              <w:rPr>
                <w:rFonts w:ascii="宋体"/>
              </w:rPr>
            </w:pPr>
          </w:p>
        </w:tc>
        <w:tc>
          <w:tcPr>
            <w:tcW w:w="0" w:type="auto"/>
            <w:shd w:val="clear" w:color="auto" w:fill="auto"/>
          </w:tcPr>
          <w:p w14:paraId="40CB1F1E" w14:textId="77777777" w:rsidR="00584FB3" w:rsidRDefault="00584FB3">
            <w:pPr>
              <w:rPr>
                <w:rFonts w:ascii="宋体"/>
              </w:rPr>
            </w:pPr>
          </w:p>
        </w:tc>
        <w:tc>
          <w:tcPr>
            <w:tcW w:w="0" w:type="auto"/>
            <w:shd w:val="clear" w:color="auto" w:fill="auto"/>
          </w:tcPr>
          <w:p w14:paraId="40CB1F1F" w14:textId="77777777" w:rsidR="00584FB3" w:rsidRDefault="00584FB3">
            <w:pPr>
              <w:rPr>
                <w:rFonts w:ascii="宋体"/>
              </w:rPr>
            </w:pPr>
          </w:p>
        </w:tc>
        <w:tc>
          <w:tcPr>
            <w:tcW w:w="0" w:type="auto"/>
            <w:shd w:val="clear" w:color="auto" w:fill="auto"/>
          </w:tcPr>
          <w:p w14:paraId="40CB1F20" w14:textId="77777777" w:rsidR="00584FB3" w:rsidRDefault="00584FB3">
            <w:pPr>
              <w:rPr>
                <w:rFonts w:ascii="宋体"/>
              </w:rPr>
            </w:pPr>
          </w:p>
        </w:tc>
        <w:tc>
          <w:tcPr>
            <w:tcW w:w="0" w:type="auto"/>
            <w:shd w:val="clear" w:color="auto" w:fill="auto"/>
          </w:tcPr>
          <w:p w14:paraId="40CB1F21" w14:textId="77777777" w:rsidR="00584FB3" w:rsidRDefault="00584FB3">
            <w:pPr>
              <w:rPr>
                <w:rFonts w:ascii="宋体"/>
              </w:rPr>
            </w:pPr>
          </w:p>
        </w:tc>
        <w:tc>
          <w:tcPr>
            <w:tcW w:w="0" w:type="auto"/>
            <w:shd w:val="clear" w:color="auto" w:fill="auto"/>
          </w:tcPr>
          <w:p w14:paraId="40CB1F22" w14:textId="77777777" w:rsidR="00584FB3" w:rsidRDefault="00584FB3">
            <w:pPr>
              <w:rPr>
                <w:rFonts w:ascii="宋体"/>
              </w:rPr>
            </w:pPr>
          </w:p>
        </w:tc>
        <w:tc>
          <w:tcPr>
            <w:tcW w:w="0" w:type="auto"/>
            <w:shd w:val="clear" w:color="auto" w:fill="auto"/>
          </w:tcPr>
          <w:p w14:paraId="40CB1F23" w14:textId="77777777" w:rsidR="00584FB3" w:rsidRDefault="00584FB3">
            <w:pPr>
              <w:rPr>
                <w:rFonts w:ascii="宋体"/>
              </w:rPr>
            </w:pPr>
          </w:p>
        </w:tc>
        <w:tc>
          <w:tcPr>
            <w:tcW w:w="0" w:type="auto"/>
            <w:shd w:val="clear" w:color="auto" w:fill="auto"/>
          </w:tcPr>
          <w:p w14:paraId="40CB1F24" w14:textId="77777777" w:rsidR="00584FB3" w:rsidRDefault="00584FB3">
            <w:pPr>
              <w:rPr>
                <w:rFonts w:ascii="宋体"/>
              </w:rPr>
            </w:pPr>
          </w:p>
        </w:tc>
        <w:tc>
          <w:tcPr>
            <w:tcW w:w="0" w:type="auto"/>
            <w:shd w:val="clear" w:color="auto" w:fill="auto"/>
          </w:tcPr>
          <w:p w14:paraId="40CB1F25" w14:textId="77777777" w:rsidR="00584FB3" w:rsidRDefault="00584FB3">
            <w:pPr>
              <w:rPr>
                <w:rFonts w:ascii="宋体"/>
              </w:rPr>
            </w:pPr>
          </w:p>
        </w:tc>
        <w:tc>
          <w:tcPr>
            <w:tcW w:w="0" w:type="auto"/>
            <w:shd w:val="clear" w:color="auto" w:fill="auto"/>
          </w:tcPr>
          <w:p w14:paraId="40CB1F26" w14:textId="77777777" w:rsidR="00584FB3" w:rsidRDefault="00584FB3">
            <w:pPr>
              <w:rPr>
                <w:rFonts w:ascii="宋体"/>
              </w:rPr>
            </w:pPr>
          </w:p>
        </w:tc>
        <w:tc>
          <w:tcPr>
            <w:tcW w:w="0" w:type="auto"/>
            <w:shd w:val="clear" w:color="auto" w:fill="auto"/>
          </w:tcPr>
          <w:p w14:paraId="40CB1F27" w14:textId="77777777" w:rsidR="00584FB3" w:rsidRDefault="00584FB3">
            <w:pPr>
              <w:rPr>
                <w:rFonts w:ascii="宋体"/>
              </w:rPr>
            </w:pPr>
          </w:p>
        </w:tc>
        <w:tc>
          <w:tcPr>
            <w:tcW w:w="0" w:type="auto"/>
            <w:shd w:val="clear" w:color="auto" w:fill="auto"/>
          </w:tcPr>
          <w:p w14:paraId="40CB1F28" w14:textId="77777777" w:rsidR="00584FB3" w:rsidRDefault="00584FB3">
            <w:pPr>
              <w:rPr>
                <w:rFonts w:ascii="宋体"/>
              </w:rPr>
            </w:pPr>
          </w:p>
        </w:tc>
        <w:tc>
          <w:tcPr>
            <w:tcW w:w="0" w:type="auto"/>
            <w:shd w:val="clear" w:color="auto" w:fill="auto"/>
          </w:tcPr>
          <w:p w14:paraId="40CB1F29" w14:textId="77777777" w:rsidR="00584FB3" w:rsidRDefault="00584FB3">
            <w:pPr>
              <w:rPr>
                <w:rFonts w:ascii="宋体"/>
              </w:rPr>
            </w:pPr>
          </w:p>
        </w:tc>
      </w:tr>
      <w:tr w:rsidR="00584FB3" w14:paraId="40CB1F40" w14:textId="77777777">
        <w:trPr>
          <w:jc w:val="center"/>
        </w:trPr>
        <w:tc>
          <w:tcPr>
            <w:tcW w:w="0" w:type="auto"/>
            <w:gridSpan w:val="3"/>
            <w:shd w:val="clear" w:color="auto" w:fill="auto"/>
            <w:tcMar>
              <w:top w:w="0" w:type="dxa"/>
              <w:left w:w="20" w:type="dxa"/>
              <w:bottom w:w="0" w:type="dxa"/>
              <w:right w:w="20" w:type="dxa"/>
            </w:tcMar>
          </w:tcPr>
          <w:p w14:paraId="40CB1F2B"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F2C"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1F2D"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F2E"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1F2F"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F30" w14:textId="77777777" w:rsidR="00584FB3" w:rsidRDefault="00786180">
            <w:pPr>
              <w:jc w:val="center"/>
              <w:textAlignment w:val="bottom"/>
            </w:pPr>
            <w:r>
              <w:rPr>
                <w:rFonts w:ascii="Times New Roman" w:eastAsia="宋体" w:hAnsi="Times New Roman"/>
                <w:b/>
                <w:bCs/>
                <w:color w:val="FFFFFF"/>
                <w:sz w:val="16"/>
                <w:szCs w:val="16"/>
              </w:rPr>
              <w:t xml:space="preserve">$ </w:t>
            </w:r>
          </w:p>
          <w:p w14:paraId="40CB1F31"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40CB1F3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1F33"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1F34"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1F35" w14:textId="77777777" w:rsidR="00584FB3" w:rsidRDefault="00786180">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w:t>
            </w:r>
            <w:r>
              <w:rPr>
                <w:rFonts w:ascii="Times New Roman" w:eastAsia="宋体" w:hAnsi="Times New Roman"/>
                <w:b/>
                <w:bCs/>
                <w:color w:val="FFFFFF"/>
                <w:sz w:val="16"/>
                <w:szCs w:val="16"/>
              </w:rPr>
              <w:br/>
              <w:t>2019</w:t>
            </w:r>
          </w:p>
        </w:tc>
        <w:tc>
          <w:tcPr>
            <w:tcW w:w="0" w:type="auto"/>
            <w:shd w:val="clear" w:color="auto" w:fill="auto"/>
          </w:tcPr>
          <w:p w14:paraId="40CB1F36" w14:textId="77777777" w:rsidR="00584FB3" w:rsidRDefault="00584FB3">
            <w:pPr>
              <w:rPr>
                <w:rFonts w:ascii="宋体"/>
                <w:vanish/>
              </w:rPr>
            </w:pPr>
          </w:p>
        </w:tc>
        <w:tc>
          <w:tcPr>
            <w:tcW w:w="0" w:type="auto"/>
            <w:shd w:val="clear" w:color="auto" w:fill="auto"/>
          </w:tcPr>
          <w:p w14:paraId="40CB1F37" w14:textId="77777777" w:rsidR="00584FB3" w:rsidRDefault="00584FB3">
            <w:pPr>
              <w:rPr>
                <w:rFonts w:ascii="宋体"/>
                <w:vanish/>
              </w:rPr>
            </w:pPr>
          </w:p>
        </w:tc>
        <w:tc>
          <w:tcPr>
            <w:tcW w:w="0" w:type="auto"/>
            <w:gridSpan w:val="3"/>
            <w:shd w:val="clear" w:color="auto" w:fill="auto"/>
          </w:tcPr>
          <w:p w14:paraId="40CB1F38" w14:textId="77777777" w:rsidR="00584FB3" w:rsidRDefault="00584FB3">
            <w:pPr>
              <w:rPr>
                <w:rFonts w:ascii="宋体"/>
                <w:vanish/>
              </w:rPr>
            </w:pPr>
          </w:p>
        </w:tc>
        <w:tc>
          <w:tcPr>
            <w:tcW w:w="0" w:type="auto"/>
            <w:gridSpan w:val="3"/>
            <w:shd w:val="clear" w:color="auto" w:fill="auto"/>
          </w:tcPr>
          <w:p w14:paraId="40CB1F39" w14:textId="77777777" w:rsidR="00584FB3" w:rsidRDefault="00584FB3">
            <w:pPr>
              <w:rPr>
                <w:rFonts w:ascii="宋体"/>
                <w:vanish/>
              </w:rPr>
            </w:pPr>
          </w:p>
        </w:tc>
        <w:tc>
          <w:tcPr>
            <w:tcW w:w="0" w:type="auto"/>
            <w:gridSpan w:val="3"/>
            <w:shd w:val="clear" w:color="auto" w:fill="auto"/>
          </w:tcPr>
          <w:p w14:paraId="40CB1F3A" w14:textId="77777777" w:rsidR="00584FB3" w:rsidRDefault="00584FB3">
            <w:pPr>
              <w:rPr>
                <w:rFonts w:ascii="宋体"/>
                <w:vanish/>
              </w:rPr>
            </w:pPr>
          </w:p>
        </w:tc>
        <w:tc>
          <w:tcPr>
            <w:tcW w:w="0" w:type="auto"/>
            <w:gridSpan w:val="3"/>
            <w:shd w:val="clear" w:color="auto" w:fill="auto"/>
          </w:tcPr>
          <w:p w14:paraId="40CB1F3B" w14:textId="77777777" w:rsidR="00584FB3" w:rsidRDefault="00584FB3">
            <w:pPr>
              <w:rPr>
                <w:rFonts w:ascii="宋体"/>
                <w:vanish/>
              </w:rPr>
            </w:pPr>
          </w:p>
        </w:tc>
        <w:tc>
          <w:tcPr>
            <w:tcW w:w="0" w:type="auto"/>
            <w:gridSpan w:val="3"/>
            <w:shd w:val="clear" w:color="auto" w:fill="auto"/>
          </w:tcPr>
          <w:p w14:paraId="40CB1F3C" w14:textId="77777777" w:rsidR="00584FB3" w:rsidRDefault="00584FB3">
            <w:pPr>
              <w:rPr>
                <w:rFonts w:ascii="宋体"/>
                <w:vanish/>
              </w:rPr>
            </w:pPr>
          </w:p>
        </w:tc>
        <w:tc>
          <w:tcPr>
            <w:tcW w:w="0" w:type="auto"/>
            <w:gridSpan w:val="3"/>
            <w:shd w:val="clear" w:color="auto" w:fill="auto"/>
          </w:tcPr>
          <w:p w14:paraId="40CB1F3D" w14:textId="77777777" w:rsidR="00584FB3" w:rsidRDefault="00584FB3">
            <w:pPr>
              <w:rPr>
                <w:rFonts w:ascii="宋体"/>
                <w:vanish/>
              </w:rPr>
            </w:pPr>
          </w:p>
        </w:tc>
        <w:tc>
          <w:tcPr>
            <w:tcW w:w="0" w:type="auto"/>
            <w:gridSpan w:val="3"/>
            <w:shd w:val="clear" w:color="auto" w:fill="auto"/>
          </w:tcPr>
          <w:p w14:paraId="40CB1F3E" w14:textId="77777777" w:rsidR="00584FB3" w:rsidRDefault="00584FB3">
            <w:pPr>
              <w:rPr>
                <w:rFonts w:ascii="宋体"/>
                <w:vanish/>
              </w:rPr>
            </w:pPr>
          </w:p>
        </w:tc>
        <w:tc>
          <w:tcPr>
            <w:tcW w:w="0" w:type="auto"/>
            <w:gridSpan w:val="3"/>
            <w:shd w:val="clear" w:color="auto" w:fill="auto"/>
          </w:tcPr>
          <w:p w14:paraId="40CB1F3F" w14:textId="77777777" w:rsidR="00584FB3" w:rsidRDefault="00584FB3">
            <w:pPr>
              <w:rPr>
                <w:rFonts w:ascii="宋体"/>
                <w:vanish/>
              </w:rPr>
            </w:pPr>
          </w:p>
        </w:tc>
      </w:tr>
      <w:tr w:rsidR="00584FB3" w14:paraId="40CB1F58" w14:textId="77777777">
        <w:trPr>
          <w:jc w:val="center"/>
        </w:trPr>
        <w:tc>
          <w:tcPr>
            <w:tcW w:w="0" w:type="auto"/>
            <w:gridSpan w:val="3"/>
            <w:shd w:val="clear" w:color="auto" w:fill="auto"/>
            <w:tcMar>
              <w:top w:w="0" w:type="dxa"/>
              <w:left w:w="20" w:type="dxa"/>
              <w:bottom w:w="0" w:type="dxa"/>
              <w:right w:w="20" w:type="dxa"/>
            </w:tcMar>
          </w:tcPr>
          <w:p w14:paraId="40CB1F41"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1F42"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F43"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1F44"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F45"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1F46"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1F47" w14:textId="77777777" w:rsidR="00584FB3" w:rsidRDefault="00584FB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CB1F48" w14:textId="77777777" w:rsidR="00584FB3" w:rsidRDefault="00786180">
            <w:pPr>
              <w:jc w:val="center"/>
              <w:textAlignment w:val="bottom"/>
            </w:pPr>
            <w:r>
              <w:rPr>
                <w:rFonts w:ascii="Times New Roman" w:eastAsia="宋体" w:hAnsi="Times New Roman"/>
                <w:b/>
                <w:bCs/>
                <w:color w:val="000000"/>
                <w:sz w:val="16"/>
                <w:szCs w:val="16"/>
              </w:rPr>
              <w:t>As a % of Total</w:t>
            </w:r>
          </w:p>
          <w:p w14:paraId="40CB1F49" w14:textId="77777777" w:rsidR="00584FB3" w:rsidRDefault="00786180">
            <w:pPr>
              <w:jc w:val="center"/>
              <w:textAlignment w:val="bottom"/>
            </w:pPr>
            <w:r>
              <w:rPr>
                <w:rFonts w:ascii="Times New Roman" w:eastAsia="宋体" w:hAnsi="Times New Roman"/>
                <w:b/>
                <w:bCs/>
                <w:color w:val="000000"/>
                <w:sz w:val="16"/>
                <w:szCs w:val="16"/>
              </w:rPr>
              <w:t>Net Revenues</w:t>
            </w:r>
          </w:p>
        </w:tc>
        <w:tc>
          <w:tcPr>
            <w:tcW w:w="0" w:type="auto"/>
            <w:shd w:val="clear" w:color="auto" w:fill="auto"/>
          </w:tcPr>
          <w:p w14:paraId="40CB1F4A" w14:textId="77777777" w:rsidR="00584FB3" w:rsidRDefault="00584FB3">
            <w:pPr>
              <w:rPr>
                <w:rFonts w:ascii="宋体"/>
                <w:vanish/>
              </w:rPr>
            </w:pPr>
          </w:p>
        </w:tc>
        <w:tc>
          <w:tcPr>
            <w:tcW w:w="0" w:type="auto"/>
            <w:shd w:val="clear" w:color="auto" w:fill="auto"/>
          </w:tcPr>
          <w:p w14:paraId="40CB1F4B" w14:textId="77777777" w:rsidR="00584FB3" w:rsidRDefault="00584FB3">
            <w:pPr>
              <w:rPr>
                <w:rFonts w:ascii="宋体"/>
                <w:vanish/>
              </w:rPr>
            </w:pPr>
          </w:p>
        </w:tc>
        <w:tc>
          <w:tcPr>
            <w:tcW w:w="0" w:type="auto"/>
            <w:gridSpan w:val="3"/>
            <w:shd w:val="clear" w:color="auto" w:fill="auto"/>
          </w:tcPr>
          <w:p w14:paraId="40CB1F4C" w14:textId="77777777" w:rsidR="00584FB3" w:rsidRDefault="00584FB3">
            <w:pPr>
              <w:rPr>
                <w:rFonts w:ascii="宋体"/>
                <w:vanish/>
              </w:rPr>
            </w:pPr>
          </w:p>
        </w:tc>
        <w:tc>
          <w:tcPr>
            <w:tcW w:w="0" w:type="auto"/>
            <w:gridSpan w:val="3"/>
            <w:shd w:val="clear" w:color="auto" w:fill="auto"/>
          </w:tcPr>
          <w:p w14:paraId="40CB1F4D" w14:textId="77777777" w:rsidR="00584FB3" w:rsidRDefault="00584FB3">
            <w:pPr>
              <w:rPr>
                <w:rFonts w:ascii="宋体"/>
                <w:vanish/>
              </w:rPr>
            </w:pPr>
          </w:p>
        </w:tc>
        <w:tc>
          <w:tcPr>
            <w:tcW w:w="0" w:type="auto"/>
            <w:gridSpan w:val="3"/>
            <w:shd w:val="clear" w:color="auto" w:fill="auto"/>
          </w:tcPr>
          <w:p w14:paraId="40CB1F4E" w14:textId="77777777" w:rsidR="00584FB3" w:rsidRDefault="00584FB3">
            <w:pPr>
              <w:rPr>
                <w:rFonts w:ascii="宋体"/>
                <w:vanish/>
              </w:rPr>
            </w:pPr>
          </w:p>
        </w:tc>
        <w:tc>
          <w:tcPr>
            <w:tcW w:w="0" w:type="auto"/>
            <w:gridSpan w:val="3"/>
            <w:shd w:val="clear" w:color="auto" w:fill="auto"/>
          </w:tcPr>
          <w:p w14:paraId="40CB1F4F" w14:textId="77777777" w:rsidR="00584FB3" w:rsidRDefault="00584FB3">
            <w:pPr>
              <w:rPr>
                <w:rFonts w:ascii="宋体"/>
                <w:vanish/>
              </w:rPr>
            </w:pPr>
          </w:p>
        </w:tc>
        <w:tc>
          <w:tcPr>
            <w:tcW w:w="0" w:type="auto"/>
            <w:gridSpan w:val="3"/>
            <w:shd w:val="clear" w:color="auto" w:fill="auto"/>
          </w:tcPr>
          <w:p w14:paraId="40CB1F50" w14:textId="77777777" w:rsidR="00584FB3" w:rsidRDefault="00584FB3">
            <w:pPr>
              <w:rPr>
                <w:rFonts w:ascii="宋体"/>
                <w:vanish/>
              </w:rPr>
            </w:pPr>
          </w:p>
        </w:tc>
        <w:tc>
          <w:tcPr>
            <w:tcW w:w="0" w:type="auto"/>
            <w:gridSpan w:val="3"/>
            <w:shd w:val="clear" w:color="auto" w:fill="auto"/>
          </w:tcPr>
          <w:p w14:paraId="40CB1F51" w14:textId="77777777" w:rsidR="00584FB3" w:rsidRDefault="00584FB3">
            <w:pPr>
              <w:rPr>
                <w:rFonts w:ascii="宋体"/>
                <w:vanish/>
              </w:rPr>
            </w:pPr>
          </w:p>
        </w:tc>
        <w:tc>
          <w:tcPr>
            <w:tcW w:w="0" w:type="auto"/>
            <w:shd w:val="clear" w:color="auto" w:fill="auto"/>
          </w:tcPr>
          <w:p w14:paraId="40CB1F52" w14:textId="77777777" w:rsidR="00584FB3" w:rsidRDefault="00584FB3">
            <w:pPr>
              <w:rPr>
                <w:rFonts w:ascii="宋体"/>
              </w:rPr>
            </w:pPr>
          </w:p>
        </w:tc>
        <w:tc>
          <w:tcPr>
            <w:tcW w:w="0" w:type="auto"/>
            <w:shd w:val="clear" w:color="auto" w:fill="auto"/>
          </w:tcPr>
          <w:p w14:paraId="40CB1F53" w14:textId="77777777" w:rsidR="00584FB3" w:rsidRDefault="00584FB3">
            <w:pPr>
              <w:rPr>
                <w:rFonts w:ascii="宋体"/>
              </w:rPr>
            </w:pPr>
          </w:p>
        </w:tc>
        <w:tc>
          <w:tcPr>
            <w:tcW w:w="0" w:type="auto"/>
            <w:shd w:val="clear" w:color="auto" w:fill="auto"/>
          </w:tcPr>
          <w:p w14:paraId="40CB1F54" w14:textId="77777777" w:rsidR="00584FB3" w:rsidRDefault="00584FB3">
            <w:pPr>
              <w:rPr>
                <w:rFonts w:ascii="宋体"/>
              </w:rPr>
            </w:pPr>
          </w:p>
        </w:tc>
        <w:tc>
          <w:tcPr>
            <w:tcW w:w="0" w:type="auto"/>
            <w:shd w:val="clear" w:color="auto" w:fill="auto"/>
          </w:tcPr>
          <w:p w14:paraId="40CB1F55" w14:textId="77777777" w:rsidR="00584FB3" w:rsidRDefault="00584FB3">
            <w:pPr>
              <w:rPr>
                <w:rFonts w:ascii="宋体"/>
              </w:rPr>
            </w:pPr>
          </w:p>
        </w:tc>
        <w:tc>
          <w:tcPr>
            <w:tcW w:w="0" w:type="auto"/>
            <w:shd w:val="clear" w:color="auto" w:fill="auto"/>
          </w:tcPr>
          <w:p w14:paraId="40CB1F56" w14:textId="77777777" w:rsidR="00584FB3" w:rsidRDefault="00584FB3">
            <w:pPr>
              <w:rPr>
                <w:rFonts w:ascii="宋体"/>
              </w:rPr>
            </w:pPr>
          </w:p>
        </w:tc>
        <w:tc>
          <w:tcPr>
            <w:tcW w:w="0" w:type="auto"/>
            <w:shd w:val="clear" w:color="auto" w:fill="auto"/>
          </w:tcPr>
          <w:p w14:paraId="40CB1F57" w14:textId="77777777" w:rsidR="00584FB3" w:rsidRDefault="00584FB3">
            <w:pPr>
              <w:rPr>
                <w:rFonts w:ascii="宋体"/>
              </w:rPr>
            </w:pPr>
          </w:p>
        </w:tc>
      </w:tr>
      <w:tr w:rsidR="00584FB3" w14:paraId="40CB1F75" w14:textId="77777777">
        <w:trPr>
          <w:jc w:val="center"/>
        </w:trPr>
        <w:tc>
          <w:tcPr>
            <w:tcW w:w="0" w:type="auto"/>
            <w:gridSpan w:val="3"/>
            <w:shd w:val="clear" w:color="auto" w:fill="D7E4BC"/>
            <w:tcMar>
              <w:top w:w="40" w:type="dxa"/>
              <w:left w:w="20" w:type="dxa"/>
              <w:bottom w:w="40" w:type="dxa"/>
              <w:right w:w="20" w:type="dxa"/>
            </w:tcMar>
          </w:tcPr>
          <w:p w14:paraId="40CB1F59" w14:textId="77777777" w:rsidR="00584FB3" w:rsidRDefault="00786180">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40CB1F5A"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1F5B" w14:textId="77777777" w:rsidR="00584FB3" w:rsidRDefault="00786180">
            <w:pPr>
              <w:jc w:val="right"/>
              <w:textAlignment w:val="bottom"/>
            </w:pPr>
            <w:r>
              <w:rPr>
                <w:rFonts w:ascii="Times New Roman" w:eastAsia="宋体" w:hAnsi="Times New Roman"/>
                <w:color w:val="000000"/>
                <w:sz w:val="20"/>
                <w:szCs w:val="20"/>
              </w:rPr>
              <w:t>913.5 </w:t>
            </w:r>
          </w:p>
        </w:tc>
        <w:tc>
          <w:tcPr>
            <w:tcW w:w="0" w:type="auto"/>
            <w:shd w:val="clear" w:color="auto" w:fill="D7E4BC"/>
            <w:tcMar>
              <w:top w:w="40" w:type="dxa"/>
              <w:left w:w="0" w:type="dxa"/>
              <w:bottom w:w="40" w:type="dxa"/>
              <w:right w:w="20" w:type="dxa"/>
            </w:tcMar>
            <w:vAlign w:val="bottom"/>
          </w:tcPr>
          <w:p w14:paraId="40CB1F5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5D"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1F5E"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1F5F" w14:textId="77777777" w:rsidR="00584FB3" w:rsidRDefault="00786180">
            <w:pPr>
              <w:jc w:val="right"/>
              <w:textAlignment w:val="bottom"/>
            </w:pPr>
            <w:r>
              <w:rPr>
                <w:rFonts w:ascii="Times New Roman" w:eastAsia="宋体" w:hAnsi="Times New Roman"/>
                <w:color w:val="000000"/>
                <w:sz w:val="20"/>
                <w:szCs w:val="20"/>
              </w:rPr>
              <w:t>1,219.8 </w:t>
            </w:r>
          </w:p>
        </w:tc>
        <w:tc>
          <w:tcPr>
            <w:tcW w:w="0" w:type="auto"/>
            <w:shd w:val="clear" w:color="auto" w:fill="D7E4BC"/>
            <w:tcMar>
              <w:top w:w="40" w:type="dxa"/>
              <w:left w:w="0" w:type="dxa"/>
              <w:bottom w:w="40" w:type="dxa"/>
              <w:right w:w="20" w:type="dxa"/>
            </w:tcMar>
            <w:vAlign w:val="bottom"/>
          </w:tcPr>
          <w:p w14:paraId="40CB1F6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61"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1F62"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1F63" w14:textId="77777777" w:rsidR="00584FB3" w:rsidRDefault="00786180">
            <w:pPr>
              <w:jc w:val="right"/>
              <w:textAlignment w:val="bottom"/>
            </w:pPr>
            <w:r>
              <w:rPr>
                <w:rFonts w:ascii="Times New Roman" w:eastAsia="宋体" w:hAnsi="Times New Roman"/>
                <w:color w:val="000000"/>
                <w:sz w:val="20"/>
                <w:szCs w:val="20"/>
              </w:rPr>
              <w:t>(306.3)</w:t>
            </w:r>
          </w:p>
        </w:tc>
        <w:tc>
          <w:tcPr>
            <w:tcW w:w="0" w:type="auto"/>
            <w:shd w:val="clear" w:color="auto" w:fill="D7E4BC"/>
            <w:tcMar>
              <w:top w:w="40" w:type="dxa"/>
              <w:left w:w="0" w:type="dxa"/>
              <w:bottom w:w="40" w:type="dxa"/>
              <w:right w:w="20" w:type="dxa"/>
            </w:tcMar>
            <w:vAlign w:val="bottom"/>
          </w:tcPr>
          <w:p w14:paraId="40CB1F6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65"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F66" w14:textId="77777777" w:rsidR="00584FB3" w:rsidRDefault="00786180">
            <w:pPr>
              <w:jc w:val="right"/>
              <w:textAlignment w:val="bottom"/>
            </w:pPr>
            <w:r>
              <w:rPr>
                <w:rFonts w:ascii="Times New Roman" w:eastAsia="宋体" w:hAnsi="Times New Roman"/>
                <w:color w:val="000000"/>
                <w:sz w:val="20"/>
                <w:szCs w:val="20"/>
              </w:rPr>
              <w:t>13.5 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F67"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40CB1F68"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1F69" w14:textId="77777777" w:rsidR="00584FB3" w:rsidRDefault="00786180">
            <w:pPr>
              <w:jc w:val="right"/>
              <w:textAlignment w:val="bottom"/>
            </w:pPr>
            <w:r>
              <w:rPr>
                <w:rFonts w:ascii="Times New Roman" w:eastAsia="宋体" w:hAnsi="Times New Roman"/>
                <w:color w:val="000000"/>
                <w:sz w:val="20"/>
                <w:szCs w:val="20"/>
              </w:rPr>
              <w:t>17.2 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1F6A"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1F6B" w14:textId="77777777" w:rsidR="00584FB3" w:rsidRDefault="00584FB3">
            <w:pPr>
              <w:rPr>
                <w:rFonts w:ascii="宋体"/>
                <w:vanish/>
              </w:rPr>
            </w:pPr>
          </w:p>
        </w:tc>
        <w:tc>
          <w:tcPr>
            <w:tcW w:w="0" w:type="auto"/>
            <w:shd w:val="clear" w:color="auto" w:fill="auto"/>
          </w:tcPr>
          <w:p w14:paraId="40CB1F6C" w14:textId="77777777" w:rsidR="00584FB3" w:rsidRDefault="00584FB3">
            <w:pPr>
              <w:rPr>
                <w:rFonts w:ascii="宋体"/>
                <w:vanish/>
              </w:rPr>
            </w:pPr>
          </w:p>
        </w:tc>
        <w:tc>
          <w:tcPr>
            <w:tcW w:w="0" w:type="auto"/>
            <w:gridSpan w:val="3"/>
            <w:shd w:val="clear" w:color="auto" w:fill="auto"/>
          </w:tcPr>
          <w:p w14:paraId="40CB1F6D" w14:textId="77777777" w:rsidR="00584FB3" w:rsidRDefault="00584FB3">
            <w:pPr>
              <w:rPr>
                <w:rFonts w:ascii="宋体"/>
                <w:vanish/>
              </w:rPr>
            </w:pPr>
          </w:p>
        </w:tc>
        <w:tc>
          <w:tcPr>
            <w:tcW w:w="0" w:type="auto"/>
            <w:gridSpan w:val="3"/>
            <w:shd w:val="clear" w:color="auto" w:fill="auto"/>
          </w:tcPr>
          <w:p w14:paraId="40CB1F6E" w14:textId="77777777" w:rsidR="00584FB3" w:rsidRDefault="00584FB3">
            <w:pPr>
              <w:rPr>
                <w:rFonts w:ascii="宋体"/>
                <w:vanish/>
              </w:rPr>
            </w:pPr>
          </w:p>
        </w:tc>
        <w:tc>
          <w:tcPr>
            <w:tcW w:w="0" w:type="auto"/>
            <w:gridSpan w:val="3"/>
            <w:shd w:val="clear" w:color="auto" w:fill="auto"/>
          </w:tcPr>
          <w:p w14:paraId="40CB1F6F" w14:textId="77777777" w:rsidR="00584FB3" w:rsidRDefault="00584FB3">
            <w:pPr>
              <w:rPr>
                <w:rFonts w:ascii="宋体"/>
                <w:vanish/>
              </w:rPr>
            </w:pPr>
          </w:p>
        </w:tc>
        <w:tc>
          <w:tcPr>
            <w:tcW w:w="0" w:type="auto"/>
            <w:gridSpan w:val="3"/>
            <w:shd w:val="clear" w:color="auto" w:fill="auto"/>
          </w:tcPr>
          <w:p w14:paraId="40CB1F70" w14:textId="77777777" w:rsidR="00584FB3" w:rsidRDefault="00584FB3">
            <w:pPr>
              <w:rPr>
                <w:rFonts w:ascii="宋体"/>
                <w:vanish/>
              </w:rPr>
            </w:pPr>
          </w:p>
        </w:tc>
        <w:tc>
          <w:tcPr>
            <w:tcW w:w="0" w:type="auto"/>
            <w:gridSpan w:val="3"/>
            <w:shd w:val="clear" w:color="auto" w:fill="auto"/>
          </w:tcPr>
          <w:p w14:paraId="40CB1F71" w14:textId="77777777" w:rsidR="00584FB3" w:rsidRDefault="00584FB3">
            <w:pPr>
              <w:rPr>
                <w:rFonts w:ascii="宋体"/>
                <w:vanish/>
              </w:rPr>
            </w:pPr>
          </w:p>
        </w:tc>
        <w:tc>
          <w:tcPr>
            <w:tcW w:w="0" w:type="auto"/>
            <w:gridSpan w:val="3"/>
            <w:shd w:val="clear" w:color="auto" w:fill="auto"/>
          </w:tcPr>
          <w:p w14:paraId="40CB1F72" w14:textId="77777777" w:rsidR="00584FB3" w:rsidRDefault="00584FB3">
            <w:pPr>
              <w:rPr>
                <w:rFonts w:ascii="宋体"/>
                <w:vanish/>
              </w:rPr>
            </w:pPr>
          </w:p>
        </w:tc>
        <w:tc>
          <w:tcPr>
            <w:tcW w:w="0" w:type="auto"/>
            <w:gridSpan w:val="3"/>
            <w:shd w:val="clear" w:color="auto" w:fill="auto"/>
          </w:tcPr>
          <w:p w14:paraId="40CB1F73" w14:textId="77777777" w:rsidR="00584FB3" w:rsidRDefault="00584FB3">
            <w:pPr>
              <w:rPr>
                <w:rFonts w:ascii="宋体"/>
                <w:vanish/>
              </w:rPr>
            </w:pPr>
          </w:p>
        </w:tc>
        <w:tc>
          <w:tcPr>
            <w:tcW w:w="0" w:type="auto"/>
            <w:gridSpan w:val="3"/>
            <w:shd w:val="clear" w:color="auto" w:fill="auto"/>
          </w:tcPr>
          <w:p w14:paraId="40CB1F74" w14:textId="77777777" w:rsidR="00584FB3" w:rsidRDefault="00584FB3">
            <w:pPr>
              <w:rPr>
                <w:rFonts w:ascii="宋体"/>
                <w:vanish/>
              </w:rPr>
            </w:pPr>
          </w:p>
        </w:tc>
      </w:tr>
      <w:tr w:rsidR="00584FB3" w14:paraId="40CB1F8A" w14:textId="77777777">
        <w:trPr>
          <w:jc w:val="center"/>
          <w:hidden/>
        </w:trPr>
        <w:tc>
          <w:tcPr>
            <w:tcW w:w="0" w:type="auto"/>
            <w:gridSpan w:val="3"/>
            <w:shd w:val="clear" w:color="auto" w:fill="auto"/>
          </w:tcPr>
          <w:p w14:paraId="40CB1F76" w14:textId="77777777" w:rsidR="00584FB3" w:rsidRDefault="00584FB3">
            <w:pPr>
              <w:rPr>
                <w:rFonts w:ascii="宋体"/>
                <w:vanish/>
              </w:rPr>
            </w:pPr>
          </w:p>
        </w:tc>
        <w:tc>
          <w:tcPr>
            <w:tcW w:w="0" w:type="auto"/>
            <w:gridSpan w:val="3"/>
            <w:shd w:val="clear" w:color="auto" w:fill="auto"/>
          </w:tcPr>
          <w:p w14:paraId="40CB1F77" w14:textId="77777777" w:rsidR="00584FB3" w:rsidRDefault="00584FB3">
            <w:pPr>
              <w:rPr>
                <w:rFonts w:ascii="宋体"/>
                <w:vanish/>
              </w:rPr>
            </w:pPr>
          </w:p>
        </w:tc>
        <w:tc>
          <w:tcPr>
            <w:tcW w:w="0" w:type="auto"/>
            <w:gridSpan w:val="3"/>
            <w:shd w:val="clear" w:color="auto" w:fill="auto"/>
          </w:tcPr>
          <w:p w14:paraId="40CB1F78" w14:textId="77777777" w:rsidR="00584FB3" w:rsidRDefault="00584FB3">
            <w:pPr>
              <w:rPr>
                <w:rFonts w:ascii="宋体"/>
                <w:vanish/>
              </w:rPr>
            </w:pPr>
          </w:p>
        </w:tc>
        <w:tc>
          <w:tcPr>
            <w:tcW w:w="0" w:type="auto"/>
            <w:gridSpan w:val="3"/>
            <w:shd w:val="clear" w:color="auto" w:fill="auto"/>
          </w:tcPr>
          <w:p w14:paraId="40CB1F79" w14:textId="77777777" w:rsidR="00584FB3" w:rsidRDefault="00584FB3">
            <w:pPr>
              <w:rPr>
                <w:rFonts w:ascii="宋体"/>
                <w:vanish/>
              </w:rPr>
            </w:pPr>
          </w:p>
        </w:tc>
        <w:tc>
          <w:tcPr>
            <w:tcW w:w="0" w:type="auto"/>
            <w:gridSpan w:val="3"/>
            <w:shd w:val="clear" w:color="auto" w:fill="auto"/>
          </w:tcPr>
          <w:p w14:paraId="40CB1F7A" w14:textId="77777777" w:rsidR="00584FB3" w:rsidRDefault="00584FB3">
            <w:pPr>
              <w:rPr>
                <w:rFonts w:ascii="宋体"/>
                <w:vanish/>
              </w:rPr>
            </w:pPr>
          </w:p>
        </w:tc>
        <w:tc>
          <w:tcPr>
            <w:tcW w:w="0" w:type="auto"/>
            <w:gridSpan w:val="3"/>
            <w:shd w:val="clear" w:color="auto" w:fill="auto"/>
          </w:tcPr>
          <w:p w14:paraId="40CB1F7B" w14:textId="77777777" w:rsidR="00584FB3" w:rsidRDefault="00584FB3">
            <w:pPr>
              <w:rPr>
                <w:rFonts w:ascii="宋体"/>
                <w:vanish/>
              </w:rPr>
            </w:pPr>
          </w:p>
        </w:tc>
        <w:tc>
          <w:tcPr>
            <w:tcW w:w="0" w:type="auto"/>
            <w:gridSpan w:val="3"/>
            <w:shd w:val="clear" w:color="auto" w:fill="auto"/>
          </w:tcPr>
          <w:p w14:paraId="40CB1F7C" w14:textId="77777777" w:rsidR="00584FB3" w:rsidRDefault="00584FB3">
            <w:pPr>
              <w:rPr>
                <w:rFonts w:ascii="宋体"/>
                <w:vanish/>
              </w:rPr>
            </w:pPr>
          </w:p>
        </w:tc>
        <w:tc>
          <w:tcPr>
            <w:tcW w:w="0" w:type="auto"/>
            <w:gridSpan w:val="3"/>
            <w:shd w:val="clear" w:color="auto" w:fill="auto"/>
          </w:tcPr>
          <w:p w14:paraId="40CB1F7D" w14:textId="77777777" w:rsidR="00584FB3" w:rsidRDefault="00584FB3">
            <w:pPr>
              <w:rPr>
                <w:rFonts w:ascii="宋体"/>
                <w:vanish/>
              </w:rPr>
            </w:pPr>
          </w:p>
        </w:tc>
        <w:tc>
          <w:tcPr>
            <w:tcW w:w="0" w:type="auto"/>
            <w:gridSpan w:val="3"/>
            <w:shd w:val="clear" w:color="auto" w:fill="auto"/>
          </w:tcPr>
          <w:p w14:paraId="40CB1F7E" w14:textId="77777777" w:rsidR="00584FB3" w:rsidRDefault="00584FB3">
            <w:pPr>
              <w:rPr>
                <w:rFonts w:ascii="宋体"/>
                <w:vanish/>
              </w:rPr>
            </w:pPr>
          </w:p>
        </w:tc>
        <w:tc>
          <w:tcPr>
            <w:tcW w:w="0" w:type="auto"/>
            <w:gridSpan w:val="3"/>
            <w:shd w:val="clear" w:color="auto" w:fill="auto"/>
          </w:tcPr>
          <w:p w14:paraId="40CB1F7F" w14:textId="77777777" w:rsidR="00584FB3" w:rsidRDefault="00584FB3">
            <w:pPr>
              <w:rPr>
                <w:rFonts w:ascii="宋体"/>
                <w:vanish/>
              </w:rPr>
            </w:pPr>
          </w:p>
        </w:tc>
        <w:tc>
          <w:tcPr>
            <w:tcW w:w="0" w:type="auto"/>
            <w:shd w:val="clear" w:color="auto" w:fill="auto"/>
          </w:tcPr>
          <w:p w14:paraId="40CB1F80" w14:textId="77777777" w:rsidR="00584FB3" w:rsidRDefault="00584FB3">
            <w:pPr>
              <w:rPr>
                <w:rFonts w:ascii="宋体"/>
                <w:vanish/>
              </w:rPr>
            </w:pPr>
          </w:p>
        </w:tc>
        <w:tc>
          <w:tcPr>
            <w:tcW w:w="0" w:type="auto"/>
            <w:shd w:val="clear" w:color="auto" w:fill="auto"/>
          </w:tcPr>
          <w:p w14:paraId="40CB1F81" w14:textId="77777777" w:rsidR="00584FB3" w:rsidRDefault="00584FB3">
            <w:pPr>
              <w:rPr>
                <w:rFonts w:ascii="宋体"/>
                <w:vanish/>
              </w:rPr>
            </w:pPr>
          </w:p>
        </w:tc>
        <w:tc>
          <w:tcPr>
            <w:tcW w:w="0" w:type="auto"/>
            <w:gridSpan w:val="3"/>
            <w:shd w:val="clear" w:color="auto" w:fill="auto"/>
          </w:tcPr>
          <w:p w14:paraId="40CB1F82" w14:textId="77777777" w:rsidR="00584FB3" w:rsidRDefault="00584FB3">
            <w:pPr>
              <w:rPr>
                <w:rFonts w:ascii="宋体"/>
                <w:vanish/>
              </w:rPr>
            </w:pPr>
          </w:p>
        </w:tc>
        <w:tc>
          <w:tcPr>
            <w:tcW w:w="0" w:type="auto"/>
            <w:gridSpan w:val="3"/>
            <w:shd w:val="clear" w:color="auto" w:fill="auto"/>
          </w:tcPr>
          <w:p w14:paraId="40CB1F83" w14:textId="77777777" w:rsidR="00584FB3" w:rsidRDefault="00584FB3">
            <w:pPr>
              <w:rPr>
                <w:rFonts w:ascii="宋体"/>
                <w:vanish/>
              </w:rPr>
            </w:pPr>
          </w:p>
        </w:tc>
        <w:tc>
          <w:tcPr>
            <w:tcW w:w="0" w:type="auto"/>
            <w:gridSpan w:val="3"/>
            <w:shd w:val="clear" w:color="auto" w:fill="auto"/>
          </w:tcPr>
          <w:p w14:paraId="40CB1F84" w14:textId="77777777" w:rsidR="00584FB3" w:rsidRDefault="00584FB3">
            <w:pPr>
              <w:rPr>
                <w:rFonts w:ascii="宋体"/>
                <w:vanish/>
              </w:rPr>
            </w:pPr>
          </w:p>
        </w:tc>
        <w:tc>
          <w:tcPr>
            <w:tcW w:w="0" w:type="auto"/>
            <w:gridSpan w:val="3"/>
            <w:shd w:val="clear" w:color="auto" w:fill="auto"/>
          </w:tcPr>
          <w:p w14:paraId="40CB1F85" w14:textId="77777777" w:rsidR="00584FB3" w:rsidRDefault="00584FB3">
            <w:pPr>
              <w:rPr>
                <w:rFonts w:ascii="宋体"/>
                <w:vanish/>
              </w:rPr>
            </w:pPr>
          </w:p>
        </w:tc>
        <w:tc>
          <w:tcPr>
            <w:tcW w:w="0" w:type="auto"/>
            <w:gridSpan w:val="3"/>
            <w:shd w:val="clear" w:color="auto" w:fill="auto"/>
          </w:tcPr>
          <w:p w14:paraId="40CB1F86" w14:textId="77777777" w:rsidR="00584FB3" w:rsidRDefault="00584FB3">
            <w:pPr>
              <w:rPr>
                <w:rFonts w:ascii="宋体"/>
                <w:vanish/>
              </w:rPr>
            </w:pPr>
          </w:p>
        </w:tc>
        <w:tc>
          <w:tcPr>
            <w:tcW w:w="0" w:type="auto"/>
            <w:gridSpan w:val="3"/>
            <w:shd w:val="clear" w:color="auto" w:fill="auto"/>
          </w:tcPr>
          <w:p w14:paraId="40CB1F87" w14:textId="77777777" w:rsidR="00584FB3" w:rsidRDefault="00584FB3">
            <w:pPr>
              <w:rPr>
                <w:rFonts w:ascii="宋体"/>
                <w:vanish/>
              </w:rPr>
            </w:pPr>
          </w:p>
        </w:tc>
        <w:tc>
          <w:tcPr>
            <w:tcW w:w="0" w:type="auto"/>
            <w:gridSpan w:val="3"/>
            <w:shd w:val="clear" w:color="auto" w:fill="auto"/>
          </w:tcPr>
          <w:p w14:paraId="40CB1F88" w14:textId="77777777" w:rsidR="00584FB3" w:rsidRDefault="00584FB3">
            <w:pPr>
              <w:rPr>
                <w:rFonts w:ascii="宋体"/>
                <w:vanish/>
              </w:rPr>
            </w:pPr>
          </w:p>
        </w:tc>
        <w:tc>
          <w:tcPr>
            <w:tcW w:w="0" w:type="auto"/>
            <w:gridSpan w:val="3"/>
            <w:shd w:val="clear" w:color="auto" w:fill="auto"/>
          </w:tcPr>
          <w:p w14:paraId="40CB1F89" w14:textId="77777777" w:rsidR="00584FB3" w:rsidRDefault="00584FB3">
            <w:pPr>
              <w:rPr>
                <w:rFonts w:ascii="宋体"/>
                <w:vanish/>
              </w:rPr>
            </w:pPr>
          </w:p>
        </w:tc>
      </w:tr>
      <w:tr w:rsidR="00584FB3" w14:paraId="40CB1F9F" w14:textId="77777777">
        <w:trPr>
          <w:jc w:val="center"/>
          <w:hidden/>
        </w:trPr>
        <w:tc>
          <w:tcPr>
            <w:tcW w:w="0" w:type="auto"/>
            <w:gridSpan w:val="3"/>
            <w:shd w:val="clear" w:color="auto" w:fill="auto"/>
          </w:tcPr>
          <w:p w14:paraId="40CB1F8B" w14:textId="77777777" w:rsidR="00584FB3" w:rsidRDefault="00584FB3">
            <w:pPr>
              <w:rPr>
                <w:rFonts w:ascii="宋体"/>
                <w:vanish/>
              </w:rPr>
            </w:pPr>
          </w:p>
        </w:tc>
        <w:tc>
          <w:tcPr>
            <w:tcW w:w="0" w:type="auto"/>
            <w:gridSpan w:val="3"/>
            <w:shd w:val="clear" w:color="auto" w:fill="auto"/>
          </w:tcPr>
          <w:p w14:paraId="40CB1F8C" w14:textId="77777777" w:rsidR="00584FB3" w:rsidRDefault="00584FB3">
            <w:pPr>
              <w:rPr>
                <w:rFonts w:ascii="宋体"/>
                <w:vanish/>
              </w:rPr>
            </w:pPr>
          </w:p>
        </w:tc>
        <w:tc>
          <w:tcPr>
            <w:tcW w:w="0" w:type="auto"/>
            <w:gridSpan w:val="3"/>
            <w:shd w:val="clear" w:color="auto" w:fill="auto"/>
          </w:tcPr>
          <w:p w14:paraId="40CB1F8D" w14:textId="77777777" w:rsidR="00584FB3" w:rsidRDefault="00584FB3">
            <w:pPr>
              <w:rPr>
                <w:rFonts w:ascii="宋体"/>
                <w:vanish/>
              </w:rPr>
            </w:pPr>
          </w:p>
        </w:tc>
        <w:tc>
          <w:tcPr>
            <w:tcW w:w="0" w:type="auto"/>
            <w:gridSpan w:val="3"/>
            <w:shd w:val="clear" w:color="auto" w:fill="auto"/>
          </w:tcPr>
          <w:p w14:paraId="40CB1F8E" w14:textId="77777777" w:rsidR="00584FB3" w:rsidRDefault="00584FB3">
            <w:pPr>
              <w:rPr>
                <w:rFonts w:ascii="宋体"/>
                <w:vanish/>
              </w:rPr>
            </w:pPr>
          </w:p>
        </w:tc>
        <w:tc>
          <w:tcPr>
            <w:tcW w:w="0" w:type="auto"/>
            <w:gridSpan w:val="3"/>
            <w:shd w:val="clear" w:color="auto" w:fill="auto"/>
          </w:tcPr>
          <w:p w14:paraId="40CB1F8F" w14:textId="77777777" w:rsidR="00584FB3" w:rsidRDefault="00584FB3">
            <w:pPr>
              <w:rPr>
                <w:rFonts w:ascii="宋体"/>
                <w:vanish/>
              </w:rPr>
            </w:pPr>
          </w:p>
        </w:tc>
        <w:tc>
          <w:tcPr>
            <w:tcW w:w="0" w:type="auto"/>
            <w:gridSpan w:val="3"/>
            <w:shd w:val="clear" w:color="auto" w:fill="auto"/>
          </w:tcPr>
          <w:p w14:paraId="40CB1F90" w14:textId="77777777" w:rsidR="00584FB3" w:rsidRDefault="00584FB3">
            <w:pPr>
              <w:rPr>
                <w:rFonts w:ascii="宋体"/>
                <w:vanish/>
              </w:rPr>
            </w:pPr>
          </w:p>
        </w:tc>
        <w:tc>
          <w:tcPr>
            <w:tcW w:w="0" w:type="auto"/>
            <w:gridSpan w:val="3"/>
            <w:shd w:val="clear" w:color="auto" w:fill="auto"/>
          </w:tcPr>
          <w:p w14:paraId="40CB1F91" w14:textId="77777777" w:rsidR="00584FB3" w:rsidRDefault="00584FB3">
            <w:pPr>
              <w:rPr>
                <w:rFonts w:ascii="宋体"/>
                <w:vanish/>
              </w:rPr>
            </w:pPr>
          </w:p>
        </w:tc>
        <w:tc>
          <w:tcPr>
            <w:tcW w:w="0" w:type="auto"/>
            <w:gridSpan w:val="3"/>
            <w:shd w:val="clear" w:color="auto" w:fill="auto"/>
          </w:tcPr>
          <w:p w14:paraId="40CB1F92" w14:textId="77777777" w:rsidR="00584FB3" w:rsidRDefault="00584FB3">
            <w:pPr>
              <w:rPr>
                <w:rFonts w:ascii="宋体"/>
                <w:vanish/>
              </w:rPr>
            </w:pPr>
          </w:p>
        </w:tc>
        <w:tc>
          <w:tcPr>
            <w:tcW w:w="0" w:type="auto"/>
            <w:gridSpan w:val="3"/>
            <w:shd w:val="clear" w:color="auto" w:fill="auto"/>
          </w:tcPr>
          <w:p w14:paraId="40CB1F93" w14:textId="77777777" w:rsidR="00584FB3" w:rsidRDefault="00584FB3">
            <w:pPr>
              <w:rPr>
                <w:rFonts w:ascii="宋体"/>
                <w:vanish/>
              </w:rPr>
            </w:pPr>
          </w:p>
        </w:tc>
        <w:tc>
          <w:tcPr>
            <w:tcW w:w="0" w:type="auto"/>
            <w:gridSpan w:val="3"/>
            <w:shd w:val="clear" w:color="auto" w:fill="auto"/>
          </w:tcPr>
          <w:p w14:paraId="40CB1F94" w14:textId="77777777" w:rsidR="00584FB3" w:rsidRDefault="00584FB3">
            <w:pPr>
              <w:rPr>
                <w:rFonts w:ascii="宋体"/>
                <w:vanish/>
              </w:rPr>
            </w:pPr>
          </w:p>
        </w:tc>
        <w:tc>
          <w:tcPr>
            <w:tcW w:w="0" w:type="auto"/>
            <w:shd w:val="clear" w:color="auto" w:fill="auto"/>
          </w:tcPr>
          <w:p w14:paraId="40CB1F95" w14:textId="77777777" w:rsidR="00584FB3" w:rsidRDefault="00584FB3">
            <w:pPr>
              <w:rPr>
                <w:rFonts w:ascii="宋体"/>
                <w:vanish/>
              </w:rPr>
            </w:pPr>
          </w:p>
        </w:tc>
        <w:tc>
          <w:tcPr>
            <w:tcW w:w="0" w:type="auto"/>
            <w:shd w:val="clear" w:color="auto" w:fill="auto"/>
          </w:tcPr>
          <w:p w14:paraId="40CB1F96" w14:textId="77777777" w:rsidR="00584FB3" w:rsidRDefault="00584FB3">
            <w:pPr>
              <w:rPr>
                <w:rFonts w:ascii="宋体"/>
                <w:vanish/>
              </w:rPr>
            </w:pPr>
          </w:p>
        </w:tc>
        <w:tc>
          <w:tcPr>
            <w:tcW w:w="0" w:type="auto"/>
            <w:gridSpan w:val="3"/>
            <w:shd w:val="clear" w:color="auto" w:fill="auto"/>
          </w:tcPr>
          <w:p w14:paraId="40CB1F97" w14:textId="77777777" w:rsidR="00584FB3" w:rsidRDefault="00584FB3">
            <w:pPr>
              <w:rPr>
                <w:rFonts w:ascii="宋体"/>
                <w:vanish/>
              </w:rPr>
            </w:pPr>
          </w:p>
        </w:tc>
        <w:tc>
          <w:tcPr>
            <w:tcW w:w="0" w:type="auto"/>
            <w:gridSpan w:val="3"/>
            <w:shd w:val="clear" w:color="auto" w:fill="auto"/>
          </w:tcPr>
          <w:p w14:paraId="40CB1F98" w14:textId="77777777" w:rsidR="00584FB3" w:rsidRDefault="00584FB3">
            <w:pPr>
              <w:rPr>
                <w:rFonts w:ascii="宋体"/>
                <w:vanish/>
              </w:rPr>
            </w:pPr>
          </w:p>
        </w:tc>
        <w:tc>
          <w:tcPr>
            <w:tcW w:w="0" w:type="auto"/>
            <w:gridSpan w:val="3"/>
            <w:shd w:val="clear" w:color="auto" w:fill="auto"/>
          </w:tcPr>
          <w:p w14:paraId="40CB1F99" w14:textId="77777777" w:rsidR="00584FB3" w:rsidRDefault="00584FB3">
            <w:pPr>
              <w:rPr>
                <w:rFonts w:ascii="宋体"/>
                <w:vanish/>
              </w:rPr>
            </w:pPr>
          </w:p>
        </w:tc>
        <w:tc>
          <w:tcPr>
            <w:tcW w:w="0" w:type="auto"/>
            <w:gridSpan w:val="3"/>
            <w:shd w:val="clear" w:color="auto" w:fill="auto"/>
          </w:tcPr>
          <w:p w14:paraId="40CB1F9A" w14:textId="77777777" w:rsidR="00584FB3" w:rsidRDefault="00584FB3">
            <w:pPr>
              <w:rPr>
                <w:rFonts w:ascii="宋体"/>
                <w:vanish/>
              </w:rPr>
            </w:pPr>
          </w:p>
        </w:tc>
        <w:tc>
          <w:tcPr>
            <w:tcW w:w="0" w:type="auto"/>
            <w:gridSpan w:val="3"/>
            <w:shd w:val="clear" w:color="auto" w:fill="auto"/>
          </w:tcPr>
          <w:p w14:paraId="40CB1F9B" w14:textId="77777777" w:rsidR="00584FB3" w:rsidRDefault="00584FB3">
            <w:pPr>
              <w:rPr>
                <w:rFonts w:ascii="宋体"/>
                <w:vanish/>
              </w:rPr>
            </w:pPr>
          </w:p>
        </w:tc>
        <w:tc>
          <w:tcPr>
            <w:tcW w:w="0" w:type="auto"/>
            <w:gridSpan w:val="3"/>
            <w:shd w:val="clear" w:color="auto" w:fill="auto"/>
          </w:tcPr>
          <w:p w14:paraId="40CB1F9C" w14:textId="77777777" w:rsidR="00584FB3" w:rsidRDefault="00584FB3">
            <w:pPr>
              <w:rPr>
                <w:rFonts w:ascii="宋体"/>
                <w:vanish/>
              </w:rPr>
            </w:pPr>
          </w:p>
        </w:tc>
        <w:tc>
          <w:tcPr>
            <w:tcW w:w="0" w:type="auto"/>
            <w:gridSpan w:val="3"/>
            <w:shd w:val="clear" w:color="auto" w:fill="auto"/>
          </w:tcPr>
          <w:p w14:paraId="40CB1F9D" w14:textId="77777777" w:rsidR="00584FB3" w:rsidRDefault="00584FB3">
            <w:pPr>
              <w:rPr>
                <w:rFonts w:ascii="宋体"/>
                <w:vanish/>
              </w:rPr>
            </w:pPr>
          </w:p>
        </w:tc>
        <w:tc>
          <w:tcPr>
            <w:tcW w:w="0" w:type="auto"/>
            <w:gridSpan w:val="3"/>
            <w:shd w:val="clear" w:color="auto" w:fill="auto"/>
          </w:tcPr>
          <w:p w14:paraId="40CB1F9E" w14:textId="77777777" w:rsidR="00584FB3" w:rsidRDefault="00584FB3">
            <w:pPr>
              <w:rPr>
                <w:rFonts w:ascii="宋体"/>
                <w:vanish/>
              </w:rPr>
            </w:pPr>
          </w:p>
        </w:tc>
      </w:tr>
      <w:tr w:rsidR="00584FB3" w14:paraId="40CB1FB9" w14:textId="77777777">
        <w:trPr>
          <w:jc w:val="center"/>
        </w:trPr>
        <w:tc>
          <w:tcPr>
            <w:tcW w:w="0" w:type="auto"/>
            <w:gridSpan w:val="3"/>
            <w:shd w:val="clear" w:color="auto" w:fill="FFFFFF"/>
            <w:tcMar>
              <w:top w:w="40" w:type="dxa"/>
              <w:left w:w="20" w:type="dxa"/>
              <w:bottom w:w="40" w:type="dxa"/>
              <w:right w:w="20" w:type="dxa"/>
            </w:tcMar>
          </w:tcPr>
          <w:p w14:paraId="40CB1FA0" w14:textId="77777777" w:rsidR="00584FB3" w:rsidRDefault="00786180">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40CB1FA1" w14:textId="77777777" w:rsidR="00584FB3" w:rsidRDefault="00786180">
            <w:pPr>
              <w:jc w:val="right"/>
              <w:textAlignment w:val="bottom"/>
            </w:pPr>
            <w:r>
              <w:rPr>
                <w:rFonts w:ascii="Times New Roman" w:eastAsia="宋体" w:hAnsi="Times New Roman"/>
                <w:color w:val="000000"/>
                <w:sz w:val="20"/>
                <w:szCs w:val="20"/>
              </w:rPr>
              <w:t>15.5 </w:t>
            </w:r>
          </w:p>
        </w:tc>
        <w:tc>
          <w:tcPr>
            <w:tcW w:w="0" w:type="auto"/>
            <w:shd w:val="clear" w:color="auto" w:fill="FFFFFF"/>
            <w:tcMar>
              <w:top w:w="40" w:type="dxa"/>
              <w:left w:w="0" w:type="dxa"/>
              <w:bottom w:w="40" w:type="dxa"/>
              <w:right w:w="20" w:type="dxa"/>
            </w:tcMar>
            <w:vAlign w:val="bottom"/>
          </w:tcPr>
          <w:p w14:paraId="40CB1FA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A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FA4" w14:textId="77777777" w:rsidR="00584FB3" w:rsidRDefault="00786180">
            <w:pPr>
              <w:jc w:val="right"/>
              <w:textAlignment w:val="bottom"/>
            </w:pPr>
            <w:r>
              <w:rPr>
                <w:rFonts w:ascii="Times New Roman" w:eastAsia="宋体" w:hAnsi="Times New Roman"/>
                <w:color w:val="000000"/>
                <w:sz w:val="20"/>
                <w:szCs w:val="20"/>
              </w:rPr>
              <w:t>15.9 </w:t>
            </w:r>
          </w:p>
        </w:tc>
        <w:tc>
          <w:tcPr>
            <w:tcW w:w="0" w:type="auto"/>
            <w:shd w:val="clear" w:color="auto" w:fill="FFFFFF"/>
            <w:tcMar>
              <w:top w:w="40" w:type="dxa"/>
              <w:left w:w="0" w:type="dxa"/>
              <w:bottom w:w="40" w:type="dxa"/>
              <w:right w:w="20" w:type="dxa"/>
            </w:tcMar>
            <w:vAlign w:val="bottom"/>
          </w:tcPr>
          <w:p w14:paraId="40CB1FA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A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FA7" w14:textId="77777777" w:rsidR="00584FB3" w:rsidRDefault="00786180">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40CB1FA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A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FAA" w14:textId="77777777" w:rsidR="00584FB3" w:rsidRDefault="00786180">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40CB1FA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A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1FAD" w14:textId="77777777" w:rsidR="00584FB3" w:rsidRDefault="00786180">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40CB1FAE" w14:textId="77777777" w:rsidR="00584FB3" w:rsidRDefault="00584FB3">
            <w:pPr>
              <w:jc w:val="right"/>
              <w:rPr>
                <w:rFonts w:ascii="宋体"/>
              </w:rPr>
            </w:pPr>
          </w:p>
        </w:tc>
        <w:tc>
          <w:tcPr>
            <w:tcW w:w="0" w:type="auto"/>
            <w:shd w:val="clear" w:color="auto" w:fill="auto"/>
          </w:tcPr>
          <w:p w14:paraId="40CB1FAF" w14:textId="77777777" w:rsidR="00584FB3" w:rsidRDefault="00584FB3">
            <w:pPr>
              <w:rPr>
                <w:rFonts w:ascii="宋体"/>
                <w:vanish/>
              </w:rPr>
            </w:pPr>
          </w:p>
        </w:tc>
        <w:tc>
          <w:tcPr>
            <w:tcW w:w="0" w:type="auto"/>
            <w:shd w:val="clear" w:color="auto" w:fill="auto"/>
          </w:tcPr>
          <w:p w14:paraId="40CB1FB0" w14:textId="77777777" w:rsidR="00584FB3" w:rsidRDefault="00584FB3">
            <w:pPr>
              <w:rPr>
                <w:rFonts w:ascii="宋体"/>
                <w:vanish/>
              </w:rPr>
            </w:pPr>
          </w:p>
        </w:tc>
        <w:tc>
          <w:tcPr>
            <w:tcW w:w="0" w:type="auto"/>
            <w:gridSpan w:val="3"/>
            <w:shd w:val="clear" w:color="auto" w:fill="auto"/>
          </w:tcPr>
          <w:p w14:paraId="40CB1FB1" w14:textId="77777777" w:rsidR="00584FB3" w:rsidRDefault="00584FB3">
            <w:pPr>
              <w:rPr>
                <w:rFonts w:ascii="宋体"/>
                <w:vanish/>
              </w:rPr>
            </w:pPr>
          </w:p>
        </w:tc>
        <w:tc>
          <w:tcPr>
            <w:tcW w:w="0" w:type="auto"/>
            <w:gridSpan w:val="3"/>
            <w:shd w:val="clear" w:color="auto" w:fill="auto"/>
          </w:tcPr>
          <w:p w14:paraId="40CB1FB2" w14:textId="77777777" w:rsidR="00584FB3" w:rsidRDefault="00584FB3">
            <w:pPr>
              <w:rPr>
                <w:rFonts w:ascii="宋体"/>
                <w:vanish/>
              </w:rPr>
            </w:pPr>
          </w:p>
        </w:tc>
        <w:tc>
          <w:tcPr>
            <w:tcW w:w="0" w:type="auto"/>
            <w:gridSpan w:val="3"/>
            <w:shd w:val="clear" w:color="auto" w:fill="auto"/>
          </w:tcPr>
          <w:p w14:paraId="40CB1FB3" w14:textId="77777777" w:rsidR="00584FB3" w:rsidRDefault="00584FB3">
            <w:pPr>
              <w:rPr>
                <w:rFonts w:ascii="宋体"/>
                <w:vanish/>
              </w:rPr>
            </w:pPr>
          </w:p>
        </w:tc>
        <w:tc>
          <w:tcPr>
            <w:tcW w:w="0" w:type="auto"/>
            <w:gridSpan w:val="3"/>
            <w:shd w:val="clear" w:color="auto" w:fill="auto"/>
          </w:tcPr>
          <w:p w14:paraId="40CB1FB4" w14:textId="77777777" w:rsidR="00584FB3" w:rsidRDefault="00584FB3">
            <w:pPr>
              <w:rPr>
                <w:rFonts w:ascii="宋体"/>
                <w:vanish/>
              </w:rPr>
            </w:pPr>
          </w:p>
        </w:tc>
        <w:tc>
          <w:tcPr>
            <w:tcW w:w="0" w:type="auto"/>
            <w:gridSpan w:val="3"/>
            <w:shd w:val="clear" w:color="auto" w:fill="auto"/>
          </w:tcPr>
          <w:p w14:paraId="40CB1FB5" w14:textId="77777777" w:rsidR="00584FB3" w:rsidRDefault="00584FB3">
            <w:pPr>
              <w:rPr>
                <w:rFonts w:ascii="宋体"/>
                <w:vanish/>
              </w:rPr>
            </w:pPr>
          </w:p>
        </w:tc>
        <w:tc>
          <w:tcPr>
            <w:tcW w:w="0" w:type="auto"/>
            <w:gridSpan w:val="3"/>
            <w:shd w:val="clear" w:color="auto" w:fill="auto"/>
          </w:tcPr>
          <w:p w14:paraId="40CB1FB6" w14:textId="77777777" w:rsidR="00584FB3" w:rsidRDefault="00584FB3">
            <w:pPr>
              <w:rPr>
                <w:rFonts w:ascii="宋体"/>
                <w:vanish/>
              </w:rPr>
            </w:pPr>
          </w:p>
        </w:tc>
        <w:tc>
          <w:tcPr>
            <w:tcW w:w="0" w:type="auto"/>
            <w:gridSpan w:val="3"/>
            <w:shd w:val="clear" w:color="auto" w:fill="auto"/>
          </w:tcPr>
          <w:p w14:paraId="40CB1FB7" w14:textId="77777777" w:rsidR="00584FB3" w:rsidRDefault="00584FB3">
            <w:pPr>
              <w:rPr>
                <w:rFonts w:ascii="宋体"/>
                <w:vanish/>
              </w:rPr>
            </w:pPr>
          </w:p>
        </w:tc>
        <w:tc>
          <w:tcPr>
            <w:tcW w:w="0" w:type="auto"/>
            <w:gridSpan w:val="3"/>
            <w:shd w:val="clear" w:color="auto" w:fill="auto"/>
          </w:tcPr>
          <w:p w14:paraId="40CB1FB8" w14:textId="77777777" w:rsidR="00584FB3" w:rsidRDefault="00584FB3">
            <w:pPr>
              <w:rPr>
                <w:rFonts w:ascii="宋体"/>
                <w:vanish/>
              </w:rPr>
            </w:pPr>
          </w:p>
        </w:tc>
      </w:tr>
      <w:tr w:rsidR="00584FB3" w14:paraId="40CB1FD3" w14:textId="77777777">
        <w:trPr>
          <w:jc w:val="center"/>
        </w:trPr>
        <w:tc>
          <w:tcPr>
            <w:tcW w:w="0" w:type="auto"/>
            <w:gridSpan w:val="3"/>
            <w:shd w:val="clear" w:color="auto" w:fill="D7E4BC"/>
            <w:tcMar>
              <w:top w:w="40" w:type="dxa"/>
              <w:left w:w="20" w:type="dxa"/>
              <w:bottom w:w="40" w:type="dxa"/>
              <w:right w:w="20" w:type="dxa"/>
            </w:tcMar>
          </w:tcPr>
          <w:p w14:paraId="40CB1FBA" w14:textId="77777777" w:rsidR="00584FB3" w:rsidRDefault="00786180">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40CB1FBB" w14:textId="77777777" w:rsidR="00584FB3" w:rsidRDefault="00786180">
            <w:pPr>
              <w:jc w:val="right"/>
              <w:textAlignment w:val="bottom"/>
            </w:pPr>
            <w:r>
              <w:rPr>
                <w:rFonts w:ascii="Times New Roman" w:eastAsia="宋体" w:hAnsi="Times New Roman"/>
                <w:color w:val="000000"/>
                <w:sz w:val="20"/>
                <w:szCs w:val="20"/>
              </w:rPr>
              <w:t>(120.7)</w:t>
            </w:r>
          </w:p>
        </w:tc>
        <w:tc>
          <w:tcPr>
            <w:tcW w:w="0" w:type="auto"/>
            <w:shd w:val="clear" w:color="auto" w:fill="D7E4BC"/>
            <w:tcMar>
              <w:top w:w="40" w:type="dxa"/>
              <w:left w:w="0" w:type="dxa"/>
              <w:bottom w:w="40" w:type="dxa"/>
              <w:right w:w="20" w:type="dxa"/>
            </w:tcMar>
            <w:vAlign w:val="bottom"/>
          </w:tcPr>
          <w:p w14:paraId="40CB1FB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B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BE" w14:textId="77777777" w:rsidR="00584FB3" w:rsidRDefault="00786180">
            <w:pPr>
              <w:jc w:val="right"/>
              <w:textAlignment w:val="bottom"/>
            </w:pPr>
            <w:r>
              <w:rPr>
                <w:rFonts w:ascii="Times New Roman" w:eastAsia="宋体" w:hAnsi="Times New Roman"/>
                <w:color w:val="000000"/>
                <w:sz w:val="20"/>
                <w:szCs w:val="20"/>
              </w:rPr>
              <w:t>(91.9)</w:t>
            </w:r>
          </w:p>
        </w:tc>
        <w:tc>
          <w:tcPr>
            <w:tcW w:w="0" w:type="auto"/>
            <w:shd w:val="clear" w:color="auto" w:fill="D7E4BC"/>
            <w:tcMar>
              <w:top w:w="40" w:type="dxa"/>
              <w:left w:w="0" w:type="dxa"/>
              <w:bottom w:w="40" w:type="dxa"/>
              <w:right w:w="20" w:type="dxa"/>
            </w:tcMar>
            <w:vAlign w:val="bottom"/>
          </w:tcPr>
          <w:p w14:paraId="40CB1FB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C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C1" w14:textId="77777777" w:rsidR="00584FB3" w:rsidRDefault="00786180">
            <w:pPr>
              <w:jc w:val="right"/>
              <w:textAlignment w:val="bottom"/>
            </w:pPr>
            <w:r>
              <w:rPr>
                <w:rFonts w:ascii="Times New Roman" w:eastAsia="宋体" w:hAnsi="Times New Roman"/>
                <w:color w:val="000000"/>
                <w:sz w:val="20"/>
                <w:szCs w:val="20"/>
              </w:rPr>
              <w:t>(28.8)</w:t>
            </w:r>
          </w:p>
        </w:tc>
        <w:tc>
          <w:tcPr>
            <w:tcW w:w="0" w:type="auto"/>
            <w:shd w:val="clear" w:color="auto" w:fill="D7E4BC"/>
            <w:tcMar>
              <w:top w:w="40" w:type="dxa"/>
              <w:left w:w="0" w:type="dxa"/>
              <w:bottom w:w="40" w:type="dxa"/>
              <w:right w:w="20" w:type="dxa"/>
            </w:tcMar>
            <w:vAlign w:val="bottom"/>
          </w:tcPr>
          <w:p w14:paraId="40CB1FC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C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C4" w14:textId="77777777" w:rsidR="00584FB3" w:rsidRDefault="00786180">
            <w:pPr>
              <w:jc w:val="right"/>
              <w:textAlignment w:val="bottom"/>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bottom"/>
          </w:tcPr>
          <w:p w14:paraId="40CB1FC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C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C7" w14:textId="77777777" w:rsidR="00584FB3" w:rsidRDefault="00786180">
            <w:pPr>
              <w:jc w:val="right"/>
              <w:textAlignment w:val="bottom"/>
            </w:pPr>
            <w:r>
              <w:rPr>
                <w:rFonts w:ascii="Times New Roman" w:eastAsia="宋体" w:hAnsi="Times New Roman"/>
                <w:color w:val="000000"/>
                <w:sz w:val="20"/>
                <w:szCs w:val="20"/>
              </w:rPr>
              <w:t>(1.3)</w:t>
            </w:r>
          </w:p>
        </w:tc>
        <w:tc>
          <w:tcPr>
            <w:tcW w:w="0" w:type="auto"/>
            <w:shd w:val="clear" w:color="auto" w:fill="D7E4BC"/>
            <w:tcMar>
              <w:top w:w="40" w:type="dxa"/>
              <w:left w:w="0" w:type="dxa"/>
              <w:bottom w:w="40" w:type="dxa"/>
              <w:right w:w="20" w:type="dxa"/>
            </w:tcMar>
            <w:vAlign w:val="bottom"/>
          </w:tcPr>
          <w:p w14:paraId="40CB1FC8" w14:textId="77777777" w:rsidR="00584FB3" w:rsidRDefault="00584FB3">
            <w:pPr>
              <w:jc w:val="right"/>
              <w:rPr>
                <w:rFonts w:ascii="宋体"/>
              </w:rPr>
            </w:pPr>
          </w:p>
        </w:tc>
        <w:tc>
          <w:tcPr>
            <w:tcW w:w="0" w:type="auto"/>
            <w:shd w:val="clear" w:color="auto" w:fill="auto"/>
          </w:tcPr>
          <w:p w14:paraId="40CB1FC9" w14:textId="77777777" w:rsidR="00584FB3" w:rsidRDefault="00584FB3">
            <w:pPr>
              <w:rPr>
                <w:rFonts w:ascii="宋体"/>
                <w:vanish/>
              </w:rPr>
            </w:pPr>
          </w:p>
        </w:tc>
        <w:tc>
          <w:tcPr>
            <w:tcW w:w="0" w:type="auto"/>
            <w:shd w:val="clear" w:color="auto" w:fill="auto"/>
          </w:tcPr>
          <w:p w14:paraId="40CB1FCA" w14:textId="77777777" w:rsidR="00584FB3" w:rsidRDefault="00584FB3">
            <w:pPr>
              <w:rPr>
                <w:rFonts w:ascii="宋体"/>
                <w:vanish/>
              </w:rPr>
            </w:pPr>
          </w:p>
        </w:tc>
        <w:tc>
          <w:tcPr>
            <w:tcW w:w="0" w:type="auto"/>
            <w:gridSpan w:val="3"/>
            <w:shd w:val="clear" w:color="auto" w:fill="auto"/>
          </w:tcPr>
          <w:p w14:paraId="40CB1FCB" w14:textId="77777777" w:rsidR="00584FB3" w:rsidRDefault="00584FB3">
            <w:pPr>
              <w:rPr>
                <w:rFonts w:ascii="宋体"/>
                <w:vanish/>
              </w:rPr>
            </w:pPr>
          </w:p>
        </w:tc>
        <w:tc>
          <w:tcPr>
            <w:tcW w:w="0" w:type="auto"/>
            <w:gridSpan w:val="3"/>
            <w:shd w:val="clear" w:color="auto" w:fill="auto"/>
          </w:tcPr>
          <w:p w14:paraId="40CB1FCC" w14:textId="77777777" w:rsidR="00584FB3" w:rsidRDefault="00584FB3">
            <w:pPr>
              <w:rPr>
                <w:rFonts w:ascii="宋体"/>
                <w:vanish/>
              </w:rPr>
            </w:pPr>
          </w:p>
        </w:tc>
        <w:tc>
          <w:tcPr>
            <w:tcW w:w="0" w:type="auto"/>
            <w:gridSpan w:val="3"/>
            <w:shd w:val="clear" w:color="auto" w:fill="auto"/>
          </w:tcPr>
          <w:p w14:paraId="40CB1FCD" w14:textId="77777777" w:rsidR="00584FB3" w:rsidRDefault="00584FB3">
            <w:pPr>
              <w:rPr>
                <w:rFonts w:ascii="宋体"/>
                <w:vanish/>
              </w:rPr>
            </w:pPr>
          </w:p>
        </w:tc>
        <w:tc>
          <w:tcPr>
            <w:tcW w:w="0" w:type="auto"/>
            <w:gridSpan w:val="3"/>
            <w:shd w:val="clear" w:color="auto" w:fill="auto"/>
          </w:tcPr>
          <w:p w14:paraId="40CB1FCE" w14:textId="77777777" w:rsidR="00584FB3" w:rsidRDefault="00584FB3">
            <w:pPr>
              <w:rPr>
                <w:rFonts w:ascii="宋体"/>
                <w:vanish/>
              </w:rPr>
            </w:pPr>
          </w:p>
        </w:tc>
        <w:tc>
          <w:tcPr>
            <w:tcW w:w="0" w:type="auto"/>
            <w:gridSpan w:val="3"/>
            <w:shd w:val="clear" w:color="auto" w:fill="auto"/>
          </w:tcPr>
          <w:p w14:paraId="40CB1FCF" w14:textId="77777777" w:rsidR="00584FB3" w:rsidRDefault="00584FB3">
            <w:pPr>
              <w:rPr>
                <w:rFonts w:ascii="宋体"/>
                <w:vanish/>
              </w:rPr>
            </w:pPr>
          </w:p>
        </w:tc>
        <w:tc>
          <w:tcPr>
            <w:tcW w:w="0" w:type="auto"/>
            <w:gridSpan w:val="3"/>
            <w:shd w:val="clear" w:color="auto" w:fill="auto"/>
          </w:tcPr>
          <w:p w14:paraId="40CB1FD0" w14:textId="77777777" w:rsidR="00584FB3" w:rsidRDefault="00584FB3">
            <w:pPr>
              <w:rPr>
                <w:rFonts w:ascii="宋体"/>
                <w:vanish/>
              </w:rPr>
            </w:pPr>
          </w:p>
        </w:tc>
        <w:tc>
          <w:tcPr>
            <w:tcW w:w="0" w:type="auto"/>
            <w:gridSpan w:val="3"/>
            <w:shd w:val="clear" w:color="auto" w:fill="auto"/>
          </w:tcPr>
          <w:p w14:paraId="40CB1FD1" w14:textId="77777777" w:rsidR="00584FB3" w:rsidRDefault="00584FB3">
            <w:pPr>
              <w:rPr>
                <w:rFonts w:ascii="宋体"/>
                <w:vanish/>
              </w:rPr>
            </w:pPr>
          </w:p>
        </w:tc>
        <w:tc>
          <w:tcPr>
            <w:tcW w:w="0" w:type="auto"/>
            <w:gridSpan w:val="3"/>
            <w:shd w:val="clear" w:color="auto" w:fill="auto"/>
          </w:tcPr>
          <w:p w14:paraId="40CB1FD2" w14:textId="77777777" w:rsidR="00584FB3" w:rsidRDefault="00584FB3">
            <w:pPr>
              <w:rPr>
                <w:rFonts w:ascii="宋体"/>
                <w:vanish/>
              </w:rPr>
            </w:pPr>
          </w:p>
        </w:tc>
      </w:tr>
      <w:tr w:rsidR="00584FB3" w14:paraId="40CB1FED" w14:textId="77777777">
        <w:trPr>
          <w:jc w:val="center"/>
        </w:trPr>
        <w:tc>
          <w:tcPr>
            <w:tcW w:w="0" w:type="auto"/>
            <w:gridSpan w:val="3"/>
            <w:shd w:val="clear" w:color="auto" w:fill="FFFFFF"/>
            <w:tcMar>
              <w:top w:w="40" w:type="dxa"/>
              <w:left w:w="380" w:type="dxa"/>
              <w:bottom w:w="40" w:type="dxa"/>
              <w:right w:w="20" w:type="dxa"/>
            </w:tcMar>
          </w:tcPr>
          <w:p w14:paraId="40CB1FD4" w14:textId="77777777" w:rsidR="00584FB3" w:rsidRDefault="00786180">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FD5" w14:textId="77777777" w:rsidR="00584FB3" w:rsidRDefault="00786180">
            <w:pPr>
              <w:jc w:val="right"/>
              <w:textAlignment w:val="bottom"/>
            </w:pPr>
            <w:r>
              <w:rPr>
                <w:rFonts w:ascii="Times New Roman" w:eastAsia="宋体" w:hAnsi="Times New Roman"/>
                <w:color w:val="000000"/>
                <w:sz w:val="20"/>
                <w:szCs w:val="20"/>
              </w:rPr>
              <w:t>808.3 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FD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D7"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FD8" w14:textId="77777777" w:rsidR="00584FB3" w:rsidRDefault="00786180">
            <w:pPr>
              <w:jc w:val="right"/>
              <w:textAlignment w:val="bottom"/>
            </w:pPr>
            <w:r>
              <w:rPr>
                <w:rFonts w:ascii="Times New Roman" w:eastAsia="宋体" w:hAnsi="Times New Roman"/>
                <w:color w:val="000000"/>
                <w:sz w:val="20"/>
                <w:szCs w:val="20"/>
              </w:rPr>
              <w:t>1,143.8 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FD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DA"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FDB" w14:textId="77777777" w:rsidR="00584FB3" w:rsidRDefault="00786180">
            <w:pPr>
              <w:jc w:val="right"/>
              <w:textAlignment w:val="bottom"/>
            </w:pPr>
            <w:r>
              <w:rPr>
                <w:rFonts w:ascii="Times New Roman" w:eastAsia="宋体" w:hAnsi="Times New Roman"/>
                <w:color w:val="000000"/>
                <w:sz w:val="20"/>
                <w:szCs w:val="20"/>
              </w:rPr>
              <w:t>(335.5)</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FD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DD"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FDE" w14:textId="77777777" w:rsidR="00584FB3" w:rsidRDefault="00786180">
            <w:pPr>
              <w:jc w:val="right"/>
              <w:textAlignment w:val="bottom"/>
            </w:pPr>
            <w:r>
              <w:rPr>
                <w:rFonts w:ascii="Times New Roman" w:eastAsia="宋体" w:hAnsi="Times New Roman"/>
                <w:color w:val="000000"/>
                <w:sz w:val="20"/>
                <w:szCs w:val="20"/>
              </w:rPr>
              <w:t>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FD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1FE0"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1FE1" w14:textId="77777777" w:rsidR="00584FB3" w:rsidRDefault="00786180">
            <w:pPr>
              <w:jc w:val="right"/>
              <w:textAlignment w:val="bottom"/>
            </w:pPr>
            <w:r>
              <w:rPr>
                <w:rFonts w:ascii="Times New Roman" w:eastAsia="宋体" w:hAnsi="Times New Roman"/>
                <w:color w:val="000000"/>
                <w:sz w:val="20"/>
                <w:szCs w:val="20"/>
              </w:rPr>
              <w:t>16.1 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1FE2" w14:textId="77777777" w:rsidR="00584FB3" w:rsidRDefault="00584FB3">
            <w:pPr>
              <w:jc w:val="right"/>
              <w:rPr>
                <w:rFonts w:ascii="宋体"/>
              </w:rPr>
            </w:pPr>
          </w:p>
        </w:tc>
        <w:tc>
          <w:tcPr>
            <w:tcW w:w="0" w:type="auto"/>
            <w:shd w:val="clear" w:color="auto" w:fill="auto"/>
          </w:tcPr>
          <w:p w14:paraId="40CB1FE3" w14:textId="77777777" w:rsidR="00584FB3" w:rsidRDefault="00584FB3">
            <w:pPr>
              <w:rPr>
                <w:rFonts w:ascii="宋体"/>
                <w:vanish/>
              </w:rPr>
            </w:pPr>
          </w:p>
        </w:tc>
        <w:tc>
          <w:tcPr>
            <w:tcW w:w="0" w:type="auto"/>
            <w:shd w:val="clear" w:color="auto" w:fill="auto"/>
          </w:tcPr>
          <w:p w14:paraId="40CB1FE4" w14:textId="77777777" w:rsidR="00584FB3" w:rsidRDefault="00584FB3">
            <w:pPr>
              <w:rPr>
                <w:rFonts w:ascii="宋体"/>
                <w:vanish/>
              </w:rPr>
            </w:pPr>
          </w:p>
        </w:tc>
        <w:tc>
          <w:tcPr>
            <w:tcW w:w="0" w:type="auto"/>
            <w:gridSpan w:val="3"/>
            <w:shd w:val="clear" w:color="auto" w:fill="auto"/>
          </w:tcPr>
          <w:p w14:paraId="40CB1FE5" w14:textId="77777777" w:rsidR="00584FB3" w:rsidRDefault="00584FB3">
            <w:pPr>
              <w:rPr>
                <w:rFonts w:ascii="宋体"/>
                <w:vanish/>
              </w:rPr>
            </w:pPr>
          </w:p>
        </w:tc>
        <w:tc>
          <w:tcPr>
            <w:tcW w:w="0" w:type="auto"/>
            <w:gridSpan w:val="3"/>
            <w:shd w:val="clear" w:color="auto" w:fill="auto"/>
          </w:tcPr>
          <w:p w14:paraId="40CB1FE6" w14:textId="77777777" w:rsidR="00584FB3" w:rsidRDefault="00584FB3">
            <w:pPr>
              <w:rPr>
                <w:rFonts w:ascii="宋体"/>
                <w:vanish/>
              </w:rPr>
            </w:pPr>
          </w:p>
        </w:tc>
        <w:tc>
          <w:tcPr>
            <w:tcW w:w="0" w:type="auto"/>
            <w:gridSpan w:val="3"/>
            <w:shd w:val="clear" w:color="auto" w:fill="auto"/>
          </w:tcPr>
          <w:p w14:paraId="40CB1FE7" w14:textId="77777777" w:rsidR="00584FB3" w:rsidRDefault="00584FB3">
            <w:pPr>
              <w:rPr>
                <w:rFonts w:ascii="宋体"/>
                <w:vanish/>
              </w:rPr>
            </w:pPr>
          </w:p>
        </w:tc>
        <w:tc>
          <w:tcPr>
            <w:tcW w:w="0" w:type="auto"/>
            <w:gridSpan w:val="3"/>
            <w:shd w:val="clear" w:color="auto" w:fill="auto"/>
          </w:tcPr>
          <w:p w14:paraId="40CB1FE8" w14:textId="77777777" w:rsidR="00584FB3" w:rsidRDefault="00584FB3">
            <w:pPr>
              <w:rPr>
                <w:rFonts w:ascii="宋体"/>
                <w:vanish/>
              </w:rPr>
            </w:pPr>
          </w:p>
        </w:tc>
        <w:tc>
          <w:tcPr>
            <w:tcW w:w="0" w:type="auto"/>
            <w:gridSpan w:val="3"/>
            <w:shd w:val="clear" w:color="auto" w:fill="auto"/>
          </w:tcPr>
          <w:p w14:paraId="40CB1FE9" w14:textId="77777777" w:rsidR="00584FB3" w:rsidRDefault="00584FB3">
            <w:pPr>
              <w:rPr>
                <w:rFonts w:ascii="宋体"/>
                <w:vanish/>
              </w:rPr>
            </w:pPr>
          </w:p>
        </w:tc>
        <w:tc>
          <w:tcPr>
            <w:tcW w:w="0" w:type="auto"/>
            <w:gridSpan w:val="3"/>
            <w:shd w:val="clear" w:color="auto" w:fill="auto"/>
          </w:tcPr>
          <w:p w14:paraId="40CB1FEA" w14:textId="77777777" w:rsidR="00584FB3" w:rsidRDefault="00584FB3">
            <w:pPr>
              <w:rPr>
                <w:rFonts w:ascii="宋体"/>
                <w:vanish/>
              </w:rPr>
            </w:pPr>
          </w:p>
        </w:tc>
        <w:tc>
          <w:tcPr>
            <w:tcW w:w="0" w:type="auto"/>
            <w:gridSpan w:val="3"/>
            <w:shd w:val="clear" w:color="auto" w:fill="auto"/>
          </w:tcPr>
          <w:p w14:paraId="40CB1FEB" w14:textId="77777777" w:rsidR="00584FB3" w:rsidRDefault="00584FB3">
            <w:pPr>
              <w:rPr>
                <w:rFonts w:ascii="宋体"/>
                <w:vanish/>
              </w:rPr>
            </w:pPr>
          </w:p>
        </w:tc>
        <w:tc>
          <w:tcPr>
            <w:tcW w:w="0" w:type="auto"/>
            <w:gridSpan w:val="3"/>
            <w:shd w:val="clear" w:color="auto" w:fill="auto"/>
          </w:tcPr>
          <w:p w14:paraId="40CB1FEC" w14:textId="77777777" w:rsidR="00584FB3" w:rsidRDefault="00584FB3">
            <w:pPr>
              <w:rPr>
                <w:rFonts w:ascii="宋体"/>
                <w:vanish/>
              </w:rPr>
            </w:pPr>
          </w:p>
        </w:tc>
      </w:tr>
      <w:tr w:rsidR="00584FB3" w14:paraId="40CB2007" w14:textId="77777777">
        <w:trPr>
          <w:jc w:val="center"/>
        </w:trPr>
        <w:tc>
          <w:tcPr>
            <w:tcW w:w="0" w:type="auto"/>
            <w:gridSpan w:val="3"/>
            <w:shd w:val="clear" w:color="auto" w:fill="D7E4BC"/>
            <w:tcMar>
              <w:top w:w="40" w:type="dxa"/>
              <w:left w:w="20" w:type="dxa"/>
              <w:bottom w:w="40" w:type="dxa"/>
              <w:right w:w="20" w:type="dxa"/>
            </w:tcMar>
          </w:tcPr>
          <w:p w14:paraId="40CB1FEE" w14:textId="77777777" w:rsidR="00584FB3" w:rsidRDefault="00786180">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40CB1FEF" w14:textId="77777777" w:rsidR="00584FB3" w:rsidRDefault="00786180">
            <w:pPr>
              <w:jc w:val="right"/>
              <w:textAlignment w:val="bottom"/>
            </w:pPr>
            <w:r>
              <w:rPr>
                <w:rFonts w:ascii="Times New Roman" w:eastAsia="宋体" w:hAnsi="Times New Roman"/>
                <w:color w:val="000000"/>
                <w:sz w:val="20"/>
                <w:szCs w:val="20"/>
              </w:rPr>
              <w:t>186.1 </w:t>
            </w:r>
          </w:p>
        </w:tc>
        <w:tc>
          <w:tcPr>
            <w:tcW w:w="0" w:type="auto"/>
            <w:shd w:val="clear" w:color="auto" w:fill="D7E4BC"/>
            <w:tcMar>
              <w:top w:w="40" w:type="dxa"/>
              <w:left w:w="0" w:type="dxa"/>
              <w:bottom w:w="40" w:type="dxa"/>
              <w:right w:w="20" w:type="dxa"/>
            </w:tcMar>
            <w:vAlign w:val="bottom"/>
          </w:tcPr>
          <w:p w14:paraId="40CB1FF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F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F2" w14:textId="77777777" w:rsidR="00584FB3" w:rsidRDefault="00786180">
            <w:pPr>
              <w:jc w:val="right"/>
              <w:textAlignment w:val="bottom"/>
            </w:pPr>
            <w:r>
              <w:rPr>
                <w:rFonts w:ascii="Times New Roman" w:eastAsia="宋体" w:hAnsi="Times New Roman"/>
                <w:color w:val="000000"/>
                <w:sz w:val="20"/>
                <w:szCs w:val="20"/>
              </w:rPr>
              <w:t>258.5 </w:t>
            </w:r>
          </w:p>
        </w:tc>
        <w:tc>
          <w:tcPr>
            <w:tcW w:w="0" w:type="auto"/>
            <w:shd w:val="clear" w:color="auto" w:fill="D7E4BC"/>
            <w:tcMar>
              <w:top w:w="40" w:type="dxa"/>
              <w:left w:w="0" w:type="dxa"/>
              <w:bottom w:w="40" w:type="dxa"/>
              <w:right w:w="20" w:type="dxa"/>
            </w:tcMar>
            <w:vAlign w:val="bottom"/>
          </w:tcPr>
          <w:p w14:paraId="40CB1FF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F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F5" w14:textId="77777777" w:rsidR="00584FB3" w:rsidRDefault="00786180">
            <w:pPr>
              <w:jc w:val="right"/>
              <w:textAlignment w:val="bottom"/>
            </w:pPr>
            <w:r>
              <w:rPr>
                <w:rFonts w:ascii="Times New Roman" w:eastAsia="宋体" w:hAnsi="Times New Roman"/>
                <w:color w:val="000000"/>
                <w:sz w:val="20"/>
                <w:szCs w:val="20"/>
              </w:rPr>
              <w:t>(72.4)</w:t>
            </w:r>
          </w:p>
        </w:tc>
        <w:tc>
          <w:tcPr>
            <w:tcW w:w="0" w:type="auto"/>
            <w:shd w:val="clear" w:color="auto" w:fill="D7E4BC"/>
            <w:tcMar>
              <w:top w:w="40" w:type="dxa"/>
              <w:left w:w="0" w:type="dxa"/>
              <w:bottom w:w="40" w:type="dxa"/>
              <w:right w:w="20" w:type="dxa"/>
            </w:tcMar>
            <w:vAlign w:val="bottom"/>
          </w:tcPr>
          <w:p w14:paraId="40CB1FF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F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F8" w14:textId="77777777" w:rsidR="00584FB3" w:rsidRDefault="00786180">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40CB1FF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1FF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1FFB" w14:textId="77777777" w:rsidR="00584FB3" w:rsidRDefault="00786180">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40CB1FFC" w14:textId="77777777" w:rsidR="00584FB3" w:rsidRDefault="00584FB3">
            <w:pPr>
              <w:jc w:val="right"/>
              <w:rPr>
                <w:rFonts w:ascii="宋体"/>
              </w:rPr>
            </w:pPr>
          </w:p>
        </w:tc>
        <w:tc>
          <w:tcPr>
            <w:tcW w:w="0" w:type="auto"/>
            <w:shd w:val="clear" w:color="auto" w:fill="auto"/>
          </w:tcPr>
          <w:p w14:paraId="40CB1FFD" w14:textId="77777777" w:rsidR="00584FB3" w:rsidRDefault="00584FB3">
            <w:pPr>
              <w:rPr>
                <w:rFonts w:ascii="宋体"/>
                <w:vanish/>
              </w:rPr>
            </w:pPr>
          </w:p>
        </w:tc>
        <w:tc>
          <w:tcPr>
            <w:tcW w:w="0" w:type="auto"/>
            <w:shd w:val="clear" w:color="auto" w:fill="auto"/>
          </w:tcPr>
          <w:p w14:paraId="40CB1FFE" w14:textId="77777777" w:rsidR="00584FB3" w:rsidRDefault="00584FB3">
            <w:pPr>
              <w:rPr>
                <w:rFonts w:ascii="宋体"/>
                <w:vanish/>
              </w:rPr>
            </w:pPr>
          </w:p>
        </w:tc>
        <w:tc>
          <w:tcPr>
            <w:tcW w:w="0" w:type="auto"/>
            <w:gridSpan w:val="3"/>
            <w:shd w:val="clear" w:color="auto" w:fill="auto"/>
          </w:tcPr>
          <w:p w14:paraId="40CB1FFF" w14:textId="77777777" w:rsidR="00584FB3" w:rsidRDefault="00584FB3">
            <w:pPr>
              <w:rPr>
                <w:rFonts w:ascii="宋体"/>
                <w:vanish/>
              </w:rPr>
            </w:pPr>
          </w:p>
        </w:tc>
        <w:tc>
          <w:tcPr>
            <w:tcW w:w="0" w:type="auto"/>
            <w:gridSpan w:val="3"/>
            <w:shd w:val="clear" w:color="auto" w:fill="auto"/>
          </w:tcPr>
          <w:p w14:paraId="40CB2000" w14:textId="77777777" w:rsidR="00584FB3" w:rsidRDefault="00584FB3">
            <w:pPr>
              <w:rPr>
                <w:rFonts w:ascii="宋体"/>
                <w:vanish/>
              </w:rPr>
            </w:pPr>
          </w:p>
        </w:tc>
        <w:tc>
          <w:tcPr>
            <w:tcW w:w="0" w:type="auto"/>
            <w:gridSpan w:val="3"/>
            <w:shd w:val="clear" w:color="auto" w:fill="auto"/>
          </w:tcPr>
          <w:p w14:paraId="40CB2001" w14:textId="77777777" w:rsidR="00584FB3" w:rsidRDefault="00584FB3">
            <w:pPr>
              <w:rPr>
                <w:rFonts w:ascii="宋体"/>
                <w:vanish/>
              </w:rPr>
            </w:pPr>
          </w:p>
        </w:tc>
        <w:tc>
          <w:tcPr>
            <w:tcW w:w="0" w:type="auto"/>
            <w:gridSpan w:val="3"/>
            <w:shd w:val="clear" w:color="auto" w:fill="auto"/>
          </w:tcPr>
          <w:p w14:paraId="40CB2002" w14:textId="77777777" w:rsidR="00584FB3" w:rsidRDefault="00584FB3">
            <w:pPr>
              <w:rPr>
                <w:rFonts w:ascii="宋体"/>
                <w:vanish/>
              </w:rPr>
            </w:pPr>
          </w:p>
        </w:tc>
        <w:tc>
          <w:tcPr>
            <w:tcW w:w="0" w:type="auto"/>
            <w:gridSpan w:val="3"/>
            <w:shd w:val="clear" w:color="auto" w:fill="auto"/>
          </w:tcPr>
          <w:p w14:paraId="40CB2003" w14:textId="77777777" w:rsidR="00584FB3" w:rsidRDefault="00584FB3">
            <w:pPr>
              <w:rPr>
                <w:rFonts w:ascii="宋体"/>
                <w:vanish/>
              </w:rPr>
            </w:pPr>
          </w:p>
        </w:tc>
        <w:tc>
          <w:tcPr>
            <w:tcW w:w="0" w:type="auto"/>
            <w:gridSpan w:val="3"/>
            <w:shd w:val="clear" w:color="auto" w:fill="auto"/>
          </w:tcPr>
          <w:p w14:paraId="40CB2004" w14:textId="77777777" w:rsidR="00584FB3" w:rsidRDefault="00584FB3">
            <w:pPr>
              <w:rPr>
                <w:rFonts w:ascii="宋体"/>
                <w:vanish/>
              </w:rPr>
            </w:pPr>
          </w:p>
        </w:tc>
        <w:tc>
          <w:tcPr>
            <w:tcW w:w="0" w:type="auto"/>
            <w:gridSpan w:val="3"/>
            <w:shd w:val="clear" w:color="auto" w:fill="auto"/>
          </w:tcPr>
          <w:p w14:paraId="40CB2005" w14:textId="77777777" w:rsidR="00584FB3" w:rsidRDefault="00584FB3">
            <w:pPr>
              <w:rPr>
                <w:rFonts w:ascii="宋体"/>
                <w:vanish/>
              </w:rPr>
            </w:pPr>
          </w:p>
        </w:tc>
        <w:tc>
          <w:tcPr>
            <w:tcW w:w="0" w:type="auto"/>
            <w:gridSpan w:val="3"/>
            <w:shd w:val="clear" w:color="auto" w:fill="auto"/>
          </w:tcPr>
          <w:p w14:paraId="40CB2006" w14:textId="77777777" w:rsidR="00584FB3" w:rsidRDefault="00584FB3">
            <w:pPr>
              <w:rPr>
                <w:rFonts w:ascii="宋体"/>
                <w:vanish/>
              </w:rPr>
            </w:pPr>
          </w:p>
        </w:tc>
      </w:tr>
      <w:tr w:rsidR="00584FB3" w14:paraId="40CB2021" w14:textId="77777777">
        <w:trPr>
          <w:jc w:val="center"/>
        </w:trPr>
        <w:tc>
          <w:tcPr>
            <w:tcW w:w="0" w:type="auto"/>
            <w:gridSpan w:val="3"/>
            <w:shd w:val="clear" w:color="auto" w:fill="FFFFFF"/>
            <w:tcMar>
              <w:top w:w="40" w:type="dxa"/>
              <w:left w:w="380" w:type="dxa"/>
              <w:bottom w:w="40" w:type="dxa"/>
              <w:right w:w="20" w:type="dxa"/>
            </w:tcMar>
          </w:tcPr>
          <w:p w14:paraId="40CB2008" w14:textId="77777777" w:rsidR="00584FB3" w:rsidRDefault="00786180">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009" w14:textId="77777777" w:rsidR="00584FB3" w:rsidRDefault="00786180">
            <w:pPr>
              <w:jc w:val="right"/>
              <w:textAlignment w:val="bottom"/>
            </w:pPr>
            <w:r>
              <w:rPr>
                <w:rFonts w:ascii="Times New Roman" w:eastAsia="宋体" w:hAnsi="Times New Roman"/>
                <w:color w:val="000000"/>
                <w:sz w:val="20"/>
                <w:szCs w:val="20"/>
              </w:rPr>
              <w:t>622.2 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0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00B"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00C" w14:textId="77777777" w:rsidR="00584FB3" w:rsidRDefault="00786180">
            <w:pPr>
              <w:jc w:val="right"/>
              <w:textAlignment w:val="bottom"/>
            </w:pPr>
            <w:r>
              <w:rPr>
                <w:rFonts w:ascii="Times New Roman" w:eastAsia="宋体" w:hAnsi="Times New Roman"/>
                <w:color w:val="000000"/>
                <w:sz w:val="20"/>
                <w:szCs w:val="20"/>
              </w:rPr>
              <w:t>885.3 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0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00E"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00F" w14:textId="77777777" w:rsidR="00584FB3" w:rsidRDefault="00786180">
            <w:pPr>
              <w:jc w:val="right"/>
              <w:textAlignment w:val="bottom"/>
            </w:pPr>
            <w:r>
              <w:rPr>
                <w:rFonts w:ascii="Times New Roman" w:eastAsia="宋体" w:hAnsi="Times New Roman"/>
                <w:color w:val="000000"/>
                <w:sz w:val="20"/>
                <w:szCs w:val="20"/>
              </w:rPr>
              <w:t>(263.1)</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1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011"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012" w14:textId="77777777" w:rsidR="00584FB3" w:rsidRDefault="00786180">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1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014"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015" w14:textId="77777777" w:rsidR="00584FB3" w:rsidRDefault="00786180">
            <w:pPr>
              <w:jc w:val="right"/>
              <w:textAlignment w:val="bottom"/>
            </w:pPr>
            <w:r>
              <w:rPr>
                <w:rFonts w:ascii="Times New Roman" w:eastAsia="宋体" w:hAnsi="Times New Roman"/>
                <w:color w:val="000000"/>
                <w:sz w:val="20"/>
                <w:szCs w:val="20"/>
              </w:rPr>
              <w:t>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16" w14:textId="77777777" w:rsidR="00584FB3" w:rsidRDefault="00584FB3">
            <w:pPr>
              <w:jc w:val="right"/>
              <w:rPr>
                <w:rFonts w:ascii="宋体"/>
              </w:rPr>
            </w:pPr>
          </w:p>
        </w:tc>
        <w:tc>
          <w:tcPr>
            <w:tcW w:w="0" w:type="auto"/>
            <w:shd w:val="clear" w:color="auto" w:fill="auto"/>
          </w:tcPr>
          <w:p w14:paraId="40CB2017" w14:textId="77777777" w:rsidR="00584FB3" w:rsidRDefault="00584FB3">
            <w:pPr>
              <w:rPr>
                <w:rFonts w:ascii="宋体"/>
                <w:vanish/>
              </w:rPr>
            </w:pPr>
          </w:p>
        </w:tc>
        <w:tc>
          <w:tcPr>
            <w:tcW w:w="0" w:type="auto"/>
            <w:shd w:val="clear" w:color="auto" w:fill="auto"/>
          </w:tcPr>
          <w:p w14:paraId="40CB2018" w14:textId="77777777" w:rsidR="00584FB3" w:rsidRDefault="00584FB3">
            <w:pPr>
              <w:rPr>
                <w:rFonts w:ascii="宋体"/>
                <w:vanish/>
              </w:rPr>
            </w:pPr>
          </w:p>
        </w:tc>
        <w:tc>
          <w:tcPr>
            <w:tcW w:w="0" w:type="auto"/>
            <w:gridSpan w:val="3"/>
            <w:shd w:val="clear" w:color="auto" w:fill="auto"/>
          </w:tcPr>
          <w:p w14:paraId="40CB2019" w14:textId="77777777" w:rsidR="00584FB3" w:rsidRDefault="00584FB3">
            <w:pPr>
              <w:rPr>
                <w:rFonts w:ascii="宋体"/>
                <w:vanish/>
              </w:rPr>
            </w:pPr>
          </w:p>
        </w:tc>
        <w:tc>
          <w:tcPr>
            <w:tcW w:w="0" w:type="auto"/>
            <w:gridSpan w:val="3"/>
            <w:shd w:val="clear" w:color="auto" w:fill="auto"/>
          </w:tcPr>
          <w:p w14:paraId="40CB201A" w14:textId="77777777" w:rsidR="00584FB3" w:rsidRDefault="00584FB3">
            <w:pPr>
              <w:rPr>
                <w:rFonts w:ascii="宋体"/>
                <w:vanish/>
              </w:rPr>
            </w:pPr>
          </w:p>
        </w:tc>
        <w:tc>
          <w:tcPr>
            <w:tcW w:w="0" w:type="auto"/>
            <w:gridSpan w:val="3"/>
            <w:shd w:val="clear" w:color="auto" w:fill="auto"/>
          </w:tcPr>
          <w:p w14:paraId="40CB201B" w14:textId="77777777" w:rsidR="00584FB3" w:rsidRDefault="00584FB3">
            <w:pPr>
              <w:rPr>
                <w:rFonts w:ascii="宋体"/>
                <w:vanish/>
              </w:rPr>
            </w:pPr>
          </w:p>
        </w:tc>
        <w:tc>
          <w:tcPr>
            <w:tcW w:w="0" w:type="auto"/>
            <w:gridSpan w:val="3"/>
            <w:shd w:val="clear" w:color="auto" w:fill="auto"/>
          </w:tcPr>
          <w:p w14:paraId="40CB201C" w14:textId="77777777" w:rsidR="00584FB3" w:rsidRDefault="00584FB3">
            <w:pPr>
              <w:rPr>
                <w:rFonts w:ascii="宋体"/>
                <w:vanish/>
              </w:rPr>
            </w:pPr>
          </w:p>
        </w:tc>
        <w:tc>
          <w:tcPr>
            <w:tcW w:w="0" w:type="auto"/>
            <w:gridSpan w:val="3"/>
            <w:shd w:val="clear" w:color="auto" w:fill="auto"/>
          </w:tcPr>
          <w:p w14:paraId="40CB201D" w14:textId="77777777" w:rsidR="00584FB3" w:rsidRDefault="00584FB3">
            <w:pPr>
              <w:rPr>
                <w:rFonts w:ascii="宋体"/>
                <w:vanish/>
              </w:rPr>
            </w:pPr>
          </w:p>
        </w:tc>
        <w:tc>
          <w:tcPr>
            <w:tcW w:w="0" w:type="auto"/>
            <w:gridSpan w:val="3"/>
            <w:shd w:val="clear" w:color="auto" w:fill="auto"/>
          </w:tcPr>
          <w:p w14:paraId="40CB201E" w14:textId="77777777" w:rsidR="00584FB3" w:rsidRDefault="00584FB3">
            <w:pPr>
              <w:rPr>
                <w:rFonts w:ascii="宋体"/>
                <w:vanish/>
              </w:rPr>
            </w:pPr>
          </w:p>
        </w:tc>
        <w:tc>
          <w:tcPr>
            <w:tcW w:w="0" w:type="auto"/>
            <w:gridSpan w:val="3"/>
            <w:shd w:val="clear" w:color="auto" w:fill="auto"/>
          </w:tcPr>
          <w:p w14:paraId="40CB201F" w14:textId="77777777" w:rsidR="00584FB3" w:rsidRDefault="00584FB3">
            <w:pPr>
              <w:rPr>
                <w:rFonts w:ascii="宋体"/>
                <w:vanish/>
              </w:rPr>
            </w:pPr>
          </w:p>
        </w:tc>
        <w:tc>
          <w:tcPr>
            <w:tcW w:w="0" w:type="auto"/>
            <w:gridSpan w:val="3"/>
            <w:shd w:val="clear" w:color="auto" w:fill="auto"/>
          </w:tcPr>
          <w:p w14:paraId="40CB2020" w14:textId="77777777" w:rsidR="00584FB3" w:rsidRDefault="00584FB3">
            <w:pPr>
              <w:rPr>
                <w:rFonts w:ascii="宋体"/>
                <w:vanish/>
              </w:rPr>
            </w:pPr>
          </w:p>
        </w:tc>
      </w:tr>
      <w:tr w:rsidR="00584FB3" w14:paraId="40CB203B" w14:textId="77777777">
        <w:trPr>
          <w:jc w:val="center"/>
        </w:trPr>
        <w:tc>
          <w:tcPr>
            <w:tcW w:w="0" w:type="auto"/>
            <w:gridSpan w:val="3"/>
            <w:shd w:val="clear" w:color="auto" w:fill="D7E4BC"/>
            <w:tcMar>
              <w:top w:w="40" w:type="dxa"/>
              <w:left w:w="380" w:type="dxa"/>
              <w:bottom w:w="40" w:type="dxa"/>
              <w:right w:w="20" w:type="dxa"/>
            </w:tcMar>
          </w:tcPr>
          <w:p w14:paraId="40CB2022" w14:textId="77777777" w:rsidR="00584FB3" w:rsidRDefault="00786180">
            <w:pPr>
              <w:textAlignment w:val="top"/>
            </w:pPr>
            <w:r>
              <w:rPr>
                <w:rFonts w:ascii="Times New Roman" w:eastAsia="宋体" w:hAnsi="Times New Roman"/>
                <w:color w:val="000000"/>
                <w:sz w:val="20"/>
                <w:szCs w:val="20"/>
              </w:rPr>
              <w:t>Net loss attributable to noncontrolling inte</w:t>
            </w:r>
            <w:r>
              <w:rPr>
                <w:rFonts w:ascii="Times New Roman" w:eastAsia="宋体" w:hAnsi="Times New Roman"/>
                <w:color w:val="000000"/>
                <w:sz w:val="20"/>
                <w:szCs w:val="20"/>
              </w:rPr>
              <w:t>rests</w:t>
            </w:r>
          </w:p>
        </w:tc>
        <w:tc>
          <w:tcPr>
            <w:tcW w:w="0" w:type="auto"/>
            <w:gridSpan w:val="2"/>
            <w:shd w:val="clear" w:color="auto" w:fill="D7E4BC"/>
            <w:tcMar>
              <w:top w:w="40" w:type="dxa"/>
              <w:left w:w="20" w:type="dxa"/>
              <w:bottom w:w="40" w:type="dxa"/>
              <w:right w:w="0" w:type="dxa"/>
            </w:tcMar>
            <w:vAlign w:val="bottom"/>
          </w:tcPr>
          <w:p w14:paraId="40CB2023"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202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02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026" w14:textId="77777777" w:rsidR="00584FB3" w:rsidRDefault="00786180">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bottom"/>
          </w:tcPr>
          <w:p w14:paraId="40CB202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02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029" w14:textId="77777777" w:rsidR="00584FB3" w:rsidRDefault="00786180">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40CB202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02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02C"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202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02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02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2030" w14:textId="77777777" w:rsidR="00584FB3" w:rsidRDefault="00584FB3">
            <w:pPr>
              <w:jc w:val="right"/>
              <w:rPr>
                <w:rFonts w:ascii="宋体"/>
              </w:rPr>
            </w:pPr>
          </w:p>
        </w:tc>
        <w:tc>
          <w:tcPr>
            <w:tcW w:w="0" w:type="auto"/>
            <w:shd w:val="clear" w:color="auto" w:fill="auto"/>
          </w:tcPr>
          <w:p w14:paraId="40CB2031" w14:textId="77777777" w:rsidR="00584FB3" w:rsidRDefault="00584FB3">
            <w:pPr>
              <w:rPr>
                <w:rFonts w:ascii="宋体"/>
                <w:vanish/>
              </w:rPr>
            </w:pPr>
          </w:p>
        </w:tc>
        <w:tc>
          <w:tcPr>
            <w:tcW w:w="0" w:type="auto"/>
            <w:shd w:val="clear" w:color="auto" w:fill="auto"/>
          </w:tcPr>
          <w:p w14:paraId="40CB2032" w14:textId="77777777" w:rsidR="00584FB3" w:rsidRDefault="00584FB3">
            <w:pPr>
              <w:rPr>
                <w:rFonts w:ascii="宋体"/>
                <w:vanish/>
              </w:rPr>
            </w:pPr>
          </w:p>
        </w:tc>
        <w:tc>
          <w:tcPr>
            <w:tcW w:w="0" w:type="auto"/>
            <w:gridSpan w:val="3"/>
            <w:shd w:val="clear" w:color="auto" w:fill="auto"/>
          </w:tcPr>
          <w:p w14:paraId="40CB2033" w14:textId="77777777" w:rsidR="00584FB3" w:rsidRDefault="00584FB3">
            <w:pPr>
              <w:rPr>
                <w:rFonts w:ascii="宋体"/>
                <w:vanish/>
              </w:rPr>
            </w:pPr>
          </w:p>
        </w:tc>
        <w:tc>
          <w:tcPr>
            <w:tcW w:w="0" w:type="auto"/>
            <w:gridSpan w:val="3"/>
            <w:shd w:val="clear" w:color="auto" w:fill="auto"/>
          </w:tcPr>
          <w:p w14:paraId="40CB2034" w14:textId="77777777" w:rsidR="00584FB3" w:rsidRDefault="00584FB3">
            <w:pPr>
              <w:rPr>
                <w:rFonts w:ascii="宋体"/>
                <w:vanish/>
              </w:rPr>
            </w:pPr>
          </w:p>
        </w:tc>
        <w:tc>
          <w:tcPr>
            <w:tcW w:w="0" w:type="auto"/>
            <w:gridSpan w:val="3"/>
            <w:shd w:val="clear" w:color="auto" w:fill="auto"/>
          </w:tcPr>
          <w:p w14:paraId="40CB2035" w14:textId="77777777" w:rsidR="00584FB3" w:rsidRDefault="00584FB3">
            <w:pPr>
              <w:rPr>
                <w:rFonts w:ascii="宋体"/>
                <w:vanish/>
              </w:rPr>
            </w:pPr>
          </w:p>
        </w:tc>
        <w:tc>
          <w:tcPr>
            <w:tcW w:w="0" w:type="auto"/>
            <w:gridSpan w:val="3"/>
            <w:shd w:val="clear" w:color="auto" w:fill="auto"/>
          </w:tcPr>
          <w:p w14:paraId="40CB2036" w14:textId="77777777" w:rsidR="00584FB3" w:rsidRDefault="00584FB3">
            <w:pPr>
              <w:rPr>
                <w:rFonts w:ascii="宋体"/>
                <w:vanish/>
              </w:rPr>
            </w:pPr>
          </w:p>
        </w:tc>
        <w:tc>
          <w:tcPr>
            <w:tcW w:w="0" w:type="auto"/>
            <w:gridSpan w:val="3"/>
            <w:shd w:val="clear" w:color="auto" w:fill="auto"/>
          </w:tcPr>
          <w:p w14:paraId="40CB2037" w14:textId="77777777" w:rsidR="00584FB3" w:rsidRDefault="00584FB3">
            <w:pPr>
              <w:rPr>
                <w:rFonts w:ascii="宋体"/>
                <w:vanish/>
              </w:rPr>
            </w:pPr>
          </w:p>
        </w:tc>
        <w:tc>
          <w:tcPr>
            <w:tcW w:w="0" w:type="auto"/>
            <w:gridSpan w:val="3"/>
            <w:shd w:val="clear" w:color="auto" w:fill="auto"/>
          </w:tcPr>
          <w:p w14:paraId="40CB2038" w14:textId="77777777" w:rsidR="00584FB3" w:rsidRDefault="00584FB3">
            <w:pPr>
              <w:rPr>
                <w:rFonts w:ascii="宋体"/>
                <w:vanish/>
              </w:rPr>
            </w:pPr>
          </w:p>
        </w:tc>
        <w:tc>
          <w:tcPr>
            <w:tcW w:w="0" w:type="auto"/>
            <w:gridSpan w:val="3"/>
            <w:shd w:val="clear" w:color="auto" w:fill="auto"/>
          </w:tcPr>
          <w:p w14:paraId="40CB2039" w14:textId="77777777" w:rsidR="00584FB3" w:rsidRDefault="00584FB3">
            <w:pPr>
              <w:rPr>
                <w:rFonts w:ascii="宋体"/>
                <w:vanish/>
              </w:rPr>
            </w:pPr>
          </w:p>
        </w:tc>
        <w:tc>
          <w:tcPr>
            <w:tcW w:w="0" w:type="auto"/>
            <w:gridSpan w:val="3"/>
            <w:shd w:val="clear" w:color="auto" w:fill="auto"/>
          </w:tcPr>
          <w:p w14:paraId="40CB203A" w14:textId="77777777" w:rsidR="00584FB3" w:rsidRDefault="00584FB3">
            <w:pPr>
              <w:rPr>
                <w:rFonts w:ascii="宋体"/>
                <w:vanish/>
              </w:rPr>
            </w:pPr>
          </w:p>
        </w:tc>
      </w:tr>
      <w:tr w:rsidR="00584FB3" w14:paraId="40CB2058" w14:textId="77777777">
        <w:trPr>
          <w:jc w:val="center"/>
        </w:trPr>
        <w:tc>
          <w:tcPr>
            <w:tcW w:w="0" w:type="auto"/>
            <w:gridSpan w:val="3"/>
            <w:shd w:val="clear" w:color="auto" w:fill="FFFFFF"/>
            <w:tcMar>
              <w:top w:w="40" w:type="dxa"/>
              <w:left w:w="380" w:type="dxa"/>
              <w:bottom w:w="40" w:type="dxa"/>
              <w:right w:w="20" w:type="dxa"/>
            </w:tcMar>
          </w:tcPr>
          <w:p w14:paraId="40CB203C" w14:textId="77777777" w:rsidR="00584FB3" w:rsidRDefault="00786180">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40CB203D"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03E" w14:textId="77777777" w:rsidR="00584FB3" w:rsidRDefault="00786180">
            <w:pPr>
              <w:jc w:val="right"/>
              <w:textAlignment w:val="bottom"/>
            </w:pPr>
            <w:r>
              <w:rPr>
                <w:rFonts w:ascii="Times New Roman" w:eastAsia="宋体" w:hAnsi="Times New Roman"/>
                <w:b/>
                <w:bCs/>
                <w:color w:val="000000"/>
                <w:sz w:val="20"/>
                <w:szCs w:val="20"/>
              </w:rPr>
              <w:t>622.2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3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040"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041"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042" w14:textId="77777777" w:rsidR="00584FB3" w:rsidRDefault="00786180">
            <w:pPr>
              <w:jc w:val="right"/>
              <w:textAlignment w:val="bottom"/>
            </w:pPr>
            <w:r>
              <w:rPr>
                <w:rFonts w:ascii="Times New Roman" w:eastAsia="宋体" w:hAnsi="Times New Roman"/>
                <w:b/>
                <w:bCs/>
                <w:color w:val="000000"/>
                <w:sz w:val="20"/>
                <w:szCs w:val="20"/>
              </w:rPr>
              <w:t>885.7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4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044"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045"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046" w14:textId="77777777" w:rsidR="00584FB3" w:rsidRDefault="00786180">
            <w:pPr>
              <w:jc w:val="right"/>
              <w:textAlignment w:val="bottom"/>
            </w:pPr>
            <w:r>
              <w:rPr>
                <w:rFonts w:ascii="Times New Roman" w:eastAsia="宋体" w:hAnsi="Times New Roman"/>
                <w:b/>
                <w:bCs/>
                <w:color w:val="000000"/>
                <w:sz w:val="20"/>
                <w:szCs w:val="20"/>
              </w:rPr>
              <w:t>(263.5)</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4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048"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049" w14:textId="77777777" w:rsidR="00584FB3" w:rsidRDefault="00786180">
            <w:pPr>
              <w:jc w:val="right"/>
              <w:textAlignment w:val="bottom"/>
            </w:pPr>
            <w:r>
              <w:rPr>
                <w:rFonts w:ascii="Times New Roman" w:eastAsia="宋体" w:hAnsi="Times New Roman"/>
                <w:b/>
                <w:bCs/>
                <w:color w:val="000000"/>
                <w:sz w:val="20"/>
                <w:szCs w:val="20"/>
              </w:rPr>
              <w:t>9.2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4A"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40CB204B"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04C" w14:textId="77777777" w:rsidR="00584FB3" w:rsidRDefault="00786180">
            <w:pPr>
              <w:jc w:val="right"/>
              <w:textAlignment w:val="bottom"/>
            </w:pPr>
            <w:r>
              <w:rPr>
                <w:rFonts w:ascii="Times New Roman" w:eastAsia="宋体" w:hAnsi="Times New Roman"/>
                <w:b/>
                <w:bCs/>
                <w:color w:val="000000"/>
                <w:sz w:val="20"/>
                <w:szCs w:val="20"/>
              </w:rPr>
              <w:t>12.5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04D"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40CB204E" w14:textId="77777777" w:rsidR="00584FB3" w:rsidRDefault="00584FB3">
            <w:pPr>
              <w:rPr>
                <w:rFonts w:ascii="宋体"/>
                <w:vanish/>
              </w:rPr>
            </w:pPr>
          </w:p>
        </w:tc>
        <w:tc>
          <w:tcPr>
            <w:tcW w:w="0" w:type="auto"/>
            <w:shd w:val="clear" w:color="auto" w:fill="auto"/>
          </w:tcPr>
          <w:p w14:paraId="40CB204F" w14:textId="77777777" w:rsidR="00584FB3" w:rsidRDefault="00584FB3">
            <w:pPr>
              <w:rPr>
                <w:rFonts w:ascii="宋体"/>
                <w:vanish/>
              </w:rPr>
            </w:pPr>
          </w:p>
        </w:tc>
        <w:tc>
          <w:tcPr>
            <w:tcW w:w="0" w:type="auto"/>
            <w:gridSpan w:val="3"/>
            <w:shd w:val="clear" w:color="auto" w:fill="auto"/>
          </w:tcPr>
          <w:p w14:paraId="40CB2050" w14:textId="77777777" w:rsidR="00584FB3" w:rsidRDefault="00584FB3">
            <w:pPr>
              <w:rPr>
                <w:rFonts w:ascii="宋体"/>
                <w:vanish/>
              </w:rPr>
            </w:pPr>
          </w:p>
        </w:tc>
        <w:tc>
          <w:tcPr>
            <w:tcW w:w="0" w:type="auto"/>
            <w:gridSpan w:val="3"/>
            <w:shd w:val="clear" w:color="auto" w:fill="auto"/>
          </w:tcPr>
          <w:p w14:paraId="40CB2051" w14:textId="77777777" w:rsidR="00584FB3" w:rsidRDefault="00584FB3">
            <w:pPr>
              <w:rPr>
                <w:rFonts w:ascii="宋体"/>
                <w:vanish/>
              </w:rPr>
            </w:pPr>
          </w:p>
        </w:tc>
        <w:tc>
          <w:tcPr>
            <w:tcW w:w="0" w:type="auto"/>
            <w:gridSpan w:val="3"/>
            <w:shd w:val="clear" w:color="auto" w:fill="auto"/>
          </w:tcPr>
          <w:p w14:paraId="40CB2052" w14:textId="77777777" w:rsidR="00584FB3" w:rsidRDefault="00584FB3">
            <w:pPr>
              <w:rPr>
                <w:rFonts w:ascii="宋体"/>
                <w:vanish/>
              </w:rPr>
            </w:pPr>
          </w:p>
        </w:tc>
        <w:tc>
          <w:tcPr>
            <w:tcW w:w="0" w:type="auto"/>
            <w:gridSpan w:val="3"/>
            <w:shd w:val="clear" w:color="auto" w:fill="auto"/>
          </w:tcPr>
          <w:p w14:paraId="40CB2053" w14:textId="77777777" w:rsidR="00584FB3" w:rsidRDefault="00584FB3">
            <w:pPr>
              <w:rPr>
                <w:rFonts w:ascii="宋体"/>
                <w:vanish/>
              </w:rPr>
            </w:pPr>
          </w:p>
        </w:tc>
        <w:tc>
          <w:tcPr>
            <w:tcW w:w="0" w:type="auto"/>
            <w:gridSpan w:val="3"/>
            <w:shd w:val="clear" w:color="auto" w:fill="auto"/>
          </w:tcPr>
          <w:p w14:paraId="40CB2054" w14:textId="77777777" w:rsidR="00584FB3" w:rsidRDefault="00584FB3">
            <w:pPr>
              <w:rPr>
                <w:rFonts w:ascii="宋体"/>
                <w:vanish/>
              </w:rPr>
            </w:pPr>
          </w:p>
        </w:tc>
        <w:tc>
          <w:tcPr>
            <w:tcW w:w="0" w:type="auto"/>
            <w:gridSpan w:val="3"/>
            <w:shd w:val="clear" w:color="auto" w:fill="auto"/>
          </w:tcPr>
          <w:p w14:paraId="40CB2055" w14:textId="77777777" w:rsidR="00584FB3" w:rsidRDefault="00584FB3">
            <w:pPr>
              <w:rPr>
                <w:rFonts w:ascii="宋体"/>
                <w:vanish/>
              </w:rPr>
            </w:pPr>
          </w:p>
        </w:tc>
        <w:tc>
          <w:tcPr>
            <w:tcW w:w="0" w:type="auto"/>
            <w:gridSpan w:val="3"/>
            <w:shd w:val="clear" w:color="auto" w:fill="auto"/>
          </w:tcPr>
          <w:p w14:paraId="40CB2056" w14:textId="77777777" w:rsidR="00584FB3" w:rsidRDefault="00584FB3">
            <w:pPr>
              <w:rPr>
                <w:rFonts w:ascii="宋体"/>
                <w:vanish/>
              </w:rPr>
            </w:pPr>
          </w:p>
        </w:tc>
        <w:tc>
          <w:tcPr>
            <w:tcW w:w="0" w:type="auto"/>
            <w:gridSpan w:val="3"/>
            <w:shd w:val="clear" w:color="auto" w:fill="auto"/>
          </w:tcPr>
          <w:p w14:paraId="40CB2057" w14:textId="77777777" w:rsidR="00584FB3" w:rsidRDefault="00584FB3">
            <w:pPr>
              <w:rPr>
                <w:rFonts w:ascii="宋体"/>
                <w:vanish/>
              </w:rPr>
            </w:pPr>
          </w:p>
        </w:tc>
      </w:tr>
      <w:tr w:rsidR="00584FB3" w14:paraId="40CB206F" w14:textId="77777777">
        <w:trPr>
          <w:jc w:val="center"/>
        </w:trPr>
        <w:tc>
          <w:tcPr>
            <w:tcW w:w="0" w:type="auto"/>
            <w:gridSpan w:val="3"/>
            <w:shd w:val="clear" w:color="auto" w:fill="D7E4BC"/>
            <w:tcMar>
              <w:top w:w="40" w:type="dxa"/>
              <w:left w:w="20" w:type="dxa"/>
              <w:bottom w:w="40" w:type="dxa"/>
              <w:right w:w="20" w:type="dxa"/>
            </w:tcMar>
          </w:tcPr>
          <w:p w14:paraId="40CB2059" w14:textId="77777777" w:rsidR="00584FB3" w:rsidRDefault="00786180">
            <w:pPr>
              <w:textAlignment w:val="top"/>
            </w:pPr>
            <w:r>
              <w:rPr>
                <w:rFonts w:ascii="Times New Roman" w:eastAsia="宋体" w:hAnsi="Times New Roman"/>
                <w:color w:val="000000"/>
                <w:sz w:val="20"/>
                <w:szCs w:val="20"/>
              </w:rPr>
              <w:t xml:space="preserve">Effective </w:t>
            </w:r>
            <w:r>
              <w:rPr>
                <w:rFonts w:ascii="Times New Roman" w:eastAsia="宋体" w:hAnsi="Times New Roman"/>
                <w:color w:val="000000"/>
                <w:sz w:val="20"/>
                <w:szCs w:val="20"/>
              </w:rPr>
              <w:t>tax rate including noncontrolling interests</w:t>
            </w:r>
          </w:p>
        </w:tc>
        <w:tc>
          <w:tcPr>
            <w:tcW w:w="0" w:type="auto"/>
            <w:gridSpan w:val="3"/>
            <w:shd w:val="clear" w:color="auto" w:fill="D7E4BC"/>
            <w:tcMar>
              <w:top w:w="0" w:type="dxa"/>
              <w:left w:w="20" w:type="dxa"/>
              <w:bottom w:w="0" w:type="dxa"/>
              <w:right w:w="20" w:type="dxa"/>
            </w:tcMar>
          </w:tcPr>
          <w:p w14:paraId="40CB205A"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5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5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5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5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5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060" w14:textId="77777777" w:rsidR="00584FB3" w:rsidRDefault="00786180">
            <w:pPr>
              <w:jc w:val="right"/>
              <w:textAlignment w:val="bottom"/>
            </w:pPr>
            <w:r>
              <w:rPr>
                <w:rFonts w:ascii="Times New Roman" w:eastAsia="宋体" w:hAnsi="Times New Roman"/>
                <w:color w:val="000000"/>
                <w:sz w:val="20"/>
                <w:szCs w:val="20"/>
              </w:rPr>
              <w:t>23.0 </w:t>
            </w:r>
          </w:p>
        </w:tc>
        <w:tc>
          <w:tcPr>
            <w:tcW w:w="0" w:type="auto"/>
            <w:shd w:val="clear" w:color="auto" w:fill="D7E4BC"/>
            <w:tcMar>
              <w:top w:w="40" w:type="dxa"/>
              <w:left w:w="0" w:type="dxa"/>
              <w:bottom w:w="40" w:type="dxa"/>
              <w:right w:w="20" w:type="dxa"/>
            </w:tcMar>
            <w:vAlign w:val="bottom"/>
          </w:tcPr>
          <w:p w14:paraId="40CB2061"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06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063" w14:textId="77777777" w:rsidR="00584FB3" w:rsidRDefault="00786180">
            <w:pPr>
              <w:jc w:val="right"/>
              <w:textAlignment w:val="bottom"/>
            </w:pPr>
            <w:r>
              <w:rPr>
                <w:rFonts w:ascii="Times New Roman" w:eastAsia="宋体" w:hAnsi="Times New Roman"/>
                <w:color w:val="000000"/>
                <w:sz w:val="20"/>
                <w:szCs w:val="20"/>
              </w:rPr>
              <w:t>22.6 </w:t>
            </w:r>
          </w:p>
        </w:tc>
        <w:tc>
          <w:tcPr>
            <w:tcW w:w="0" w:type="auto"/>
            <w:shd w:val="clear" w:color="auto" w:fill="D7E4BC"/>
            <w:tcMar>
              <w:top w:w="40" w:type="dxa"/>
              <w:left w:w="0" w:type="dxa"/>
              <w:bottom w:w="40" w:type="dxa"/>
              <w:right w:w="20" w:type="dxa"/>
            </w:tcMar>
            <w:vAlign w:val="bottom"/>
          </w:tcPr>
          <w:p w14:paraId="40CB2064"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2065" w14:textId="77777777" w:rsidR="00584FB3" w:rsidRDefault="00584FB3">
            <w:pPr>
              <w:rPr>
                <w:rFonts w:ascii="宋体"/>
                <w:vanish/>
              </w:rPr>
            </w:pPr>
          </w:p>
        </w:tc>
        <w:tc>
          <w:tcPr>
            <w:tcW w:w="0" w:type="auto"/>
            <w:shd w:val="clear" w:color="auto" w:fill="auto"/>
          </w:tcPr>
          <w:p w14:paraId="40CB2066" w14:textId="77777777" w:rsidR="00584FB3" w:rsidRDefault="00584FB3">
            <w:pPr>
              <w:rPr>
                <w:rFonts w:ascii="宋体"/>
                <w:vanish/>
              </w:rPr>
            </w:pPr>
          </w:p>
        </w:tc>
        <w:tc>
          <w:tcPr>
            <w:tcW w:w="0" w:type="auto"/>
            <w:gridSpan w:val="3"/>
            <w:shd w:val="clear" w:color="auto" w:fill="auto"/>
          </w:tcPr>
          <w:p w14:paraId="40CB2067" w14:textId="77777777" w:rsidR="00584FB3" w:rsidRDefault="00584FB3">
            <w:pPr>
              <w:rPr>
                <w:rFonts w:ascii="宋体"/>
                <w:vanish/>
              </w:rPr>
            </w:pPr>
          </w:p>
        </w:tc>
        <w:tc>
          <w:tcPr>
            <w:tcW w:w="0" w:type="auto"/>
            <w:gridSpan w:val="3"/>
            <w:shd w:val="clear" w:color="auto" w:fill="auto"/>
          </w:tcPr>
          <w:p w14:paraId="40CB2068" w14:textId="77777777" w:rsidR="00584FB3" w:rsidRDefault="00584FB3">
            <w:pPr>
              <w:rPr>
                <w:rFonts w:ascii="宋体"/>
                <w:vanish/>
              </w:rPr>
            </w:pPr>
          </w:p>
        </w:tc>
        <w:tc>
          <w:tcPr>
            <w:tcW w:w="0" w:type="auto"/>
            <w:gridSpan w:val="3"/>
            <w:shd w:val="clear" w:color="auto" w:fill="auto"/>
          </w:tcPr>
          <w:p w14:paraId="40CB2069" w14:textId="77777777" w:rsidR="00584FB3" w:rsidRDefault="00584FB3">
            <w:pPr>
              <w:rPr>
                <w:rFonts w:ascii="宋体"/>
                <w:vanish/>
              </w:rPr>
            </w:pPr>
          </w:p>
        </w:tc>
        <w:tc>
          <w:tcPr>
            <w:tcW w:w="0" w:type="auto"/>
            <w:gridSpan w:val="3"/>
            <w:shd w:val="clear" w:color="auto" w:fill="auto"/>
          </w:tcPr>
          <w:p w14:paraId="40CB206A" w14:textId="77777777" w:rsidR="00584FB3" w:rsidRDefault="00584FB3">
            <w:pPr>
              <w:rPr>
                <w:rFonts w:ascii="宋体"/>
                <w:vanish/>
              </w:rPr>
            </w:pPr>
          </w:p>
        </w:tc>
        <w:tc>
          <w:tcPr>
            <w:tcW w:w="0" w:type="auto"/>
            <w:gridSpan w:val="3"/>
            <w:shd w:val="clear" w:color="auto" w:fill="auto"/>
          </w:tcPr>
          <w:p w14:paraId="40CB206B" w14:textId="77777777" w:rsidR="00584FB3" w:rsidRDefault="00584FB3">
            <w:pPr>
              <w:rPr>
                <w:rFonts w:ascii="宋体"/>
                <w:vanish/>
              </w:rPr>
            </w:pPr>
          </w:p>
        </w:tc>
        <w:tc>
          <w:tcPr>
            <w:tcW w:w="0" w:type="auto"/>
            <w:gridSpan w:val="3"/>
            <w:shd w:val="clear" w:color="auto" w:fill="auto"/>
          </w:tcPr>
          <w:p w14:paraId="40CB206C" w14:textId="77777777" w:rsidR="00584FB3" w:rsidRDefault="00584FB3">
            <w:pPr>
              <w:rPr>
                <w:rFonts w:ascii="宋体"/>
                <w:vanish/>
              </w:rPr>
            </w:pPr>
          </w:p>
        </w:tc>
        <w:tc>
          <w:tcPr>
            <w:tcW w:w="0" w:type="auto"/>
            <w:gridSpan w:val="3"/>
            <w:shd w:val="clear" w:color="auto" w:fill="auto"/>
          </w:tcPr>
          <w:p w14:paraId="40CB206D" w14:textId="77777777" w:rsidR="00584FB3" w:rsidRDefault="00584FB3">
            <w:pPr>
              <w:rPr>
                <w:rFonts w:ascii="宋体"/>
                <w:vanish/>
              </w:rPr>
            </w:pPr>
          </w:p>
        </w:tc>
        <w:tc>
          <w:tcPr>
            <w:tcW w:w="0" w:type="auto"/>
            <w:gridSpan w:val="3"/>
            <w:shd w:val="clear" w:color="auto" w:fill="auto"/>
          </w:tcPr>
          <w:p w14:paraId="40CB206E" w14:textId="77777777" w:rsidR="00584FB3" w:rsidRDefault="00584FB3">
            <w:pPr>
              <w:rPr>
                <w:rFonts w:ascii="宋体"/>
                <w:vanish/>
              </w:rPr>
            </w:pPr>
          </w:p>
        </w:tc>
      </w:tr>
    </w:tbl>
    <w:p w14:paraId="40CB2070" w14:textId="77777777" w:rsidR="00584FB3" w:rsidRDefault="00786180">
      <w:pPr>
        <w:spacing w:before="120"/>
      </w:pPr>
      <w:r>
        <w:rPr>
          <w:rFonts w:ascii="Times New Roman" w:eastAsia="宋体" w:hAnsi="Times New Roman"/>
          <w:i/>
          <w:iCs/>
          <w:color w:val="000000"/>
          <w:sz w:val="20"/>
          <w:szCs w:val="20"/>
        </w:rPr>
        <w:t xml:space="preserve">For the quarter ended December 27, 2020 compared with the quarter ended December 29, 2019 </w:t>
      </w:r>
    </w:p>
    <w:p w14:paraId="40CB2071" w14:textId="77777777" w:rsidR="00584FB3" w:rsidRDefault="00786180">
      <w:pPr>
        <w:spacing w:before="120"/>
      </w:pPr>
      <w:r>
        <w:rPr>
          <w:rFonts w:ascii="Times New Roman" w:eastAsia="宋体" w:hAnsi="Times New Roman"/>
          <w:color w:val="000000"/>
          <w:sz w:val="20"/>
          <w:szCs w:val="20"/>
        </w:rPr>
        <w:t>Interest expense increased $29 million, primarily due to additional interest incurred on long-term debt issued in March 2020 and May 2020.</w:t>
      </w:r>
    </w:p>
    <w:p w14:paraId="40CB2072" w14:textId="77777777" w:rsidR="00584FB3" w:rsidRDefault="00786180">
      <w:pPr>
        <w:spacing w:before="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effective tax rate for the quarter ended December 27, 2020 was 23.0% compared to 22.6% for the same quarter in fiscal 2020. The increase was primarily due to the effect of lower pre-tax earnings and the proportionate impacts from certain permanent differen</w:t>
      </w:r>
      <w:r>
        <w:rPr>
          <w:rFonts w:ascii="Times New Roman" w:eastAsia="宋体" w:hAnsi="Times New Roman"/>
          <w:color w:val="000000"/>
          <w:sz w:val="20"/>
          <w:szCs w:val="20"/>
        </w:rPr>
        <w:t>ces and discrete items, as well as the foreign rate differential on our jurisdictional mix of earnings. This was partially offset by an increase in stock-based compensation excess tax benefits (approximately 190 basis points).</w:t>
      </w:r>
    </w:p>
    <w:p w14:paraId="40CB2073" w14:textId="77777777" w:rsidR="00584FB3" w:rsidRDefault="00786180">
      <w:pPr>
        <w:jc w:val="center"/>
      </w:pPr>
      <w:r>
        <w:rPr>
          <w:rFonts w:ascii="Times New Roman" w:eastAsia="宋体" w:hAnsi="Times New Roman"/>
          <w:color w:val="000000"/>
          <w:sz w:val="20"/>
          <w:szCs w:val="20"/>
        </w:rPr>
        <w:t>29</w:t>
      </w:r>
    </w:p>
    <w:p w14:paraId="40CB2074" w14:textId="77777777" w:rsidR="00584FB3" w:rsidRDefault="00786180">
      <w:r>
        <w:pict w14:anchorId="40CB2A52">
          <v:rect id="_x0000_i1053" style="width:415.3pt;height:1.5pt" o:hralign="center" o:hrstd="t" o:hr="t" fillcolor="#a0a0a0" stroked="f"/>
        </w:pict>
      </w:r>
    </w:p>
    <w:p w14:paraId="40CB2075" w14:textId="77777777" w:rsidR="00584FB3" w:rsidRDefault="00786180">
      <w:hyperlink r:id="rId106" w:anchor="i11706e4b673c41db9f2dcbdb897203bb_7" w:history="1">
        <w:r>
          <w:rPr>
            <w:rStyle w:val="a5"/>
            <w:rFonts w:ascii="Times New Roman" w:eastAsia="宋体" w:hAnsi="Times New Roman"/>
            <w:sz w:val="20"/>
            <w:szCs w:val="20"/>
          </w:rPr>
          <w:t>Table of Contents</w:t>
        </w:r>
      </w:hyperlink>
    </w:p>
    <w:p w14:paraId="40CB2076" w14:textId="77777777" w:rsidR="00584FB3" w:rsidRDefault="00584FB3">
      <w:pPr>
        <w:spacing w:before="120"/>
      </w:pPr>
    </w:p>
    <w:p w14:paraId="40CB2077" w14:textId="77777777" w:rsidR="00584FB3" w:rsidRDefault="00786180">
      <w:pPr>
        <w:spacing w:before="180"/>
      </w:pPr>
      <w:r>
        <w:rPr>
          <w:rFonts w:ascii="Times New Roman" w:eastAsia="宋体" w:hAnsi="Times New Roman"/>
          <w:b/>
          <w:bCs/>
          <w:color w:val="000000"/>
          <w:sz w:val="20"/>
          <w:szCs w:val="20"/>
        </w:rPr>
        <w:t>Segment Information</w:t>
      </w:r>
    </w:p>
    <w:p w14:paraId="40CB2078" w14:textId="77777777" w:rsidR="00584FB3" w:rsidRDefault="00786180">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40CB2079" w14:textId="77777777" w:rsidR="00584FB3" w:rsidRDefault="00786180">
      <w:pPr>
        <w:spacing w:before="180"/>
      </w:pPr>
      <w:r>
        <w:rPr>
          <w:rFonts w:ascii="Times New Roman" w:eastAsia="宋体" w:hAnsi="Times New Roman"/>
          <w:b/>
          <w:bCs/>
          <w:i/>
          <w:iCs/>
          <w:color w:val="000000"/>
          <w:sz w:val="20"/>
          <w:szCs w:val="20"/>
        </w:rPr>
        <w:t>Americas</w:t>
      </w:r>
      <w:r>
        <w:rPr>
          <w:rFonts w:ascii="Times New Roman" w:eastAsia="宋体" w:hAnsi="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38"/>
        <w:gridCol w:w="3025"/>
        <w:gridCol w:w="36"/>
        <w:gridCol w:w="120"/>
        <w:gridCol w:w="650"/>
        <w:gridCol w:w="36"/>
        <w:gridCol w:w="36"/>
        <w:gridCol w:w="36"/>
        <w:gridCol w:w="36"/>
        <w:gridCol w:w="120"/>
        <w:gridCol w:w="650"/>
        <w:gridCol w:w="36"/>
        <w:gridCol w:w="36"/>
        <w:gridCol w:w="36"/>
        <w:gridCol w:w="36"/>
        <w:gridCol w:w="120"/>
        <w:gridCol w:w="584"/>
        <w:gridCol w:w="36"/>
        <w:gridCol w:w="36"/>
        <w:gridCol w:w="36"/>
        <w:gridCol w:w="36"/>
        <w:gridCol w:w="62"/>
        <w:gridCol w:w="458"/>
        <w:gridCol w:w="220"/>
        <w:gridCol w:w="36"/>
        <w:gridCol w:w="36"/>
        <w:gridCol w:w="36"/>
        <w:gridCol w:w="62"/>
        <w:gridCol w:w="458"/>
        <w:gridCol w:w="22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20A2" w14:textId="77777777">
        <w:tc>
          <w:tcPr>
            <w:tcW w:w="50" w:type="pct"/>
            <w:shd w:val="clear" w:color="auto" w:fill="auto"/>
          </w:tcPr>
          <w:p w14:paraId="40CB207A" w14:textId="77777777" w:rsidR="00584FB3" w:rsidRDefault="00584FB3">
            <w:pPr>
              <w:rPr>
                <w:rFonts w:ascii="宋体"/>
              </w:rPr>
            </w:pPr>
          </w:p>
        </w:tc>
        <w:tc>
          <w:tcPr>
            <w:tcW w:w="2668" w:type="pct"/>
            <w:shd w:val="clear" w:color="auto" w:fill="auto"/>
          </w:tcPr>
          <w:p w14:paraId="40CB207B" w14:textId="77777777" w:rsidR="00584FB3" w:rsidRDefault="00584FB3">
            <w:pPr>
              <w:rPr>
                <w:rFonts w:ascii="宋体"/>
              </w:rPr>
            </w:pPr>
          </w:p>
        </w:tc>
        <w:tc>
          <w:tcPr>
            <w:tcW w:w="5" w:type="pct"/>
            <w:shd w:val="clear" w:color="auto" w:fill="auto"/>
          </w:tcPr>
          <w:p w14:paraId="40CB207C" w14:textId="77777777" w:rsidR="00584FB3" w:rsidRDefault="00584FB3">
            <w:pPr>
              <w:rPr>
                <w:rFonts w:ascii="宋体"/>
              </w:rPr>
            </w:pPr>
          </w:p>
        </w:tc>
        <w:tc>
          <w:tcPr>
            <w:tcW w:w="50" w:type="pct"/>
            <w:shd w:val="clear" w:color="auto" w:fill="auto"/>
          </w:tcPr>
          <w:p w14:paraId="40CB207D" w14:textId="77777777" w:rsidR="00584FB3" w:rsidRDefault="00584FB3">
            <w:pPr>
              <w:rPr>
                <w:rFonts w:ascii="宋体"/>
              </w:rPr>
            </w:pPr>
          </w:p>
        </w:tc>
        <w:tc>
          <w:tcPr>
            <w:tcW w:w="370" w:type="pct"/>
            <w:shd w:val="clear" w:color="auto" w:fill="auto"/>
          </w:tcPr>
          <w:p w14:paraId="40CB207E" w14:textId="77777777" w:rsidR="00584FB3" w:rsidRDefault="00584FB3">
            <w:pPr>
              <w:rPr>
                <w:rFonts w:ascii="宋体"/>
              </w:rPr>
            </w:pPr>
          </w:p>
        </w:tc>
        <w:tc>
          <w:tcPr>
            <w:tcW w:w="5" w:type="pct"/>
            <w:shd w:val="clear" w:color="auto" w:fill="auto"/>
          </w:tcPr>
          <w:p w14:paraId="40CB207F" w14:textId="77777777" w:rsidR="00584FB3" w:rsidRDefault="00584FB3">
            <w:pPr>
              <w:rPr>
                <w:rFonts w:ascii="宋体"/>
              </w:rPr>
            </w:pPr>
          </w:p>
        </w:tc>
        <w:tc>
          <w:tcPr>
            <w:tcW w:w="5" w:type="pct"/>
            <w:shd w:val="clear" w:color="auto" w:fill="auto"/>
          </w:tcPr>
          <w:p w14:paraId="40CB2080" w14:textId="77777777" w:rsidR="00584FB3" w:rsidRDefault="00584FB3">
            <w:pPr>
              <w:rPr>
                <w:rFonts w:ascii="宋体"/>
              </w:rPr>
            </w:pPr>
          </w:p>
        </w:tc>
        <w:tc>
          <w:tcPr>
            <w:tcW w:w="26" w:type="pct"/>
            <w:shd w:val="clear" w:color="auto" w:fill="auto"/>
          </w:tcPr>
          <w:p w14:paraId="40CB2081" w14:textId="77777777" w:rsidR="00584FB3" w:rsidRDefault="00584FB3">
            <w:pPr>
              <w:rPr>
                <w:rFonts w:ascii="宋体"/>
              </w:rPr>
            </w:pPr>
          </w:p>
        </w:tc>
        <w:tc>
          <w:tcPr>
            <w:tcW w:w="5" w:type="pct"/>
            <w:shd w:val="clear" w:color="auto" w:fill="auto"/>
          </w:tcPr>
          <w:p w14:paraId="40CB2082" w14:textId="77777777" w:rsidR="00584FB3" w:rsidRDefault="00584FB3">
            <w:pPr>
              <w:rPr>
                <w:rFonts w:ascii="宋体"/>
              </w:rPr>
            </w:pPr>
          </w:p>
        </w:tc>
        <w:tc>
          <w:tcPr>
            <w:tcW w:w="50" w:type="pct"/>
            <w:shd w:val="clear" w:color="auto" w:fill="auto"/>
          </w:tcPr>
          <w:p w14:paraId="40CB2083" w14:textId="77777777" w:rsidR="00584FB3" w:rsidRDefault="00584FB3">
            <w:pPr>
              <w:rPr>
                <w:rFonts w:ascii="宋体"/>
              </w:rPr>
            </w:pPr>
          </w:p>
        </w:tc>
        <w:tc>
          <w:tcPr>
            <w:tcW w:w="370" w:type="pct"/>
            <w:shd w:val="clear" w:color="auto" w:fill="auto"/>
          </w:tcPr>
          <w:p w14:paraId="40CB2084" w14:textId="77777777" w:rsidR="00584FB3" w:rsidRDefault="00584FB3">
            <w:pPr>
              <w:rPr>
                <w:rFonts w:ascii="宋体"/>
              </w:rPr>
            </w:pPr>
          </w:p>
        </w:tc>
        <w:tc>
          <w:tcPr>
            <w:tcW w:w="5" w:type="pct"/>
            <w:shd w:val="clear" w:color="auto" w:fill="auto"/>
          </w:tcPr>
          <w:p w14:paraId="40CB2085" w14:textId="77777777" w:rsidR="00584FB3" w:rsidRDefault="00584FB3">
            <w:pPr>
              <w:rPr>
                <w:rFonts w:ascii="宋体"/>
              </w:rPr>
            </w:pPr>
          </w:p>
        </w:tc>
        <w:tc>
          <w:tcPr>
            <w:tcW w:w="5" w:type="pct"/>
            <w:shd w:val="clear" w:color="auto" w:fill="auto"/>
          </w:tcPr>
          <w:p w14:paraId="40CB2086" w14:textId="77777777" w:rsidR="00584FB3" w:rsidRDefault="00584FB3">
            <w:pPr>
              <w:rPr>
                <w:rFonts w:ascii="宋体"/>
              </w:rPr>
            </w:pPr>
          </w:p>
        </w:tc>
        <w:tc>
          <w:tcPr>
            <w:tcW w:w="26" w:type="pct"/>
            <w:shd w:val="clear" w:color="auto" w:fill="auto"/>
          </w:tcPr>
          <w:p w14:paraId="40CB2087" w14:textId="77777777" w:rsidR="00584FB3" w:rsidRDefault="00584FB3">
            <w:pPr>
              <w:rPr>
                <w:rFonts w:ascii="宋体"/>
              </w:rPr>
            </w:pPr>
          </w:p>
        </w:tc>
        <w:tc>
          <w:tcPr>
            <w:tcW w:w="5" w:type="pct"/>
            <w:shd w:val="clear" w:color="auto" w:fill="auto"/>
          </w:tcPr>
          <w:p w14:paraId="40CB2088" w14:textId="77777777" w:rsidR="00584FB3" w:rsidRDefault="00584FB3">
            <w:pPr>
              <w:rPr>
                <w:rFonts w:ascii="宋体"/>
              </w:rPr>
            </w:pPr>
          </w:p>
        </w:tc>
        <w:tc>
          <w:tcPr>
            <w:tcW w:w="50" w:type="pct"/>
            <w:shd w:val="clear" w:color="auto" w:fill="auto"/>
          </w:tcPr>
          <w:p w14:paraId="40CB2089" w14:textId="77777777" w:rsidR="00584FB3" w:rsidRDefault="00584FB3">
            <w:pPr>
              <w:rPr>
                <w:rFonts w:ascii="宋体"/>
              </w:rPr>
            </w:pPr>
          </w:p>
        </w:tc>
        <w:tc>
          <w:tcPr>
            <w:tcW w:w="370" w:type="pct"/>
            <w:shd w:val="clear" w:color="auto" w:fill="auto"/>
          </w:tcPr>
          <w:p w14:paraId="40CB208A" w14:textId="77777777" w:rsidR="00584FB3" w:rsidRDefault="00584FB3">
            <w:pPr>
              <w:rPr>
                <w:rFonts w:ascii="宋体"/>
              </w:rPr>
            </w:pPr>
          </w:p>
        </w:tc>
        <w:tc>
          <w:tcPr>
            <w:tcW w:w="5" w:type="pct"/>
            <w:shd w:val="clear" w:color="auto" w:fill="auto"/>
          </w:tcPr>
          <w:p w14:paraId="40CB208B" w14:textId="77777777" w:rsidR="00584FB3" w:rsidRDefault="00584FB3">
            <w:pPr>
              <w:rPr>
                <w:rFonts w:ascii="宋体"/>
              </w:rPr>
            </w:pPr>
          </w:p>
        </w:tc>
        <w:tc>
          <w:tcPr>
            <w:tcW w:w="5" w:type="pct"/>
            <w:shd w:val="clear" w:color="auto" w:fill="auto"/>
          </w:tcPr>
          <w:p w14:paraId="40CB208C" w14:textId="77777777" w:rsidR="00584FB3" w:rsidRDefault="00584FB3">
            <w:pPr>
              <w:rPr>
                <w:rFonts w:ascii="宋体"/>
              </w:rPr>
            </w:pPr>
          </w:p>
        </w:tc>
        <w:tc>
          <w:tcPr>
            <w:tcW w:w="26" w:type="pct"/>
            <w:shd w:val="clear" w:color="auto" w:fill="auto"/>
          </w:tcPr>
          <w:p w14:paraId="40CB208D" w14:textId="77777777" w:rsidR="00584FB3" w:rsidRDefault="00584FB3">
            <w:pPr>
              <w:rPr>
                <w:rFonts w:ascii="宋体"/>
              </w:rPr>
            </w:pPr>
          </w:p>
        </w:tc>
        <w:tc>
          <w:tcPr>
            <w:tcW w:w="5" w:type="pct"/>
            <w:shd w:val="clear" w:color="auto" w:fill="auto"/>
          </w:tcPr>
          <w:p w14:paraId="40CB208E" w14:textId="77777777" w:rsidR="00584FB3" w:rsidRDefault="00584FB3">
            <w:pPr>
              <w:rPr>
                <w:rFonts w:ascii="宋体"/>
              </w:rPr>
            </w:pPr>
          </w:p>
        </w:tc>
        <w:tc>
          <w:tcPr>
            <w:tcW w:w="50" w:type="pct"/>
            <w:shd w:val="clear" w:color="auto" w:fill="auto"/>
          </w:tcPr>
          <w:p w14:paraId="40CB208F" w14:textId="77777777" w:rsidR="00584FB3" w:rsidRDefault="00584FB3">
            <w:pPr>
              <w:rPr>
                <w:rFonts w:ascii="宋体"/>
              </w:rPr>
            </w:pPr>
          </w:p>
        </w:tc>
        <w:tc>
          <w:tcPr>
            <w:tcW w:w="370" w:type="pct"/>
            <w:shd w:val="clear" w:color="auto" w:fill="auto"/>
          </w:tcPr>
          <w:p w14:paraId="40CB2090" w14:textId="77777777" w:rsidR="00584FB3" w:rsidRDefault="00584FB3">
            <w:pPr>
              <w:rPr>
                <w:rFonts w:ascii="宋体"/>
              </w:rPr>
            </w:pPr>
          </w:p>
        </w:tc>
        <w:tc>
          <w:tcPr>
            <w:tcW w:w="5" w:type="pct"/>
            <w:shd w:val="clear" w:color="auto" w:fill="auto"/>
          </w:tcPr>
          <w:p w14:paraId="40CB2091" w14:textId="77777777" w:rsidR="00584FB3" w:rsidRDefault="00584FB3">
            <w:pPr>
              <w:rPr>
                <w:rFonts w:ascii="宋体"/>
              </w:rPr>
            </w:pPr>
          </w:p>
        </w:tc>
        <w:tc>
          <w:tcPr>
            <w:tcW w:w="5" w:type="pct"/>
            <w:shd w:val="clear" w:color="auto" w:fill="auto"/>
          </w:tcPr>
          <w:p w14:paraId="40CB2092" w14:textId="77777777" w:rsidR="00584FB3" w:rsidRDefault="00584FB3">
            <w:pPr>
              <w:rPr>
                <w:rFonts w:ascii="宋体"/>
              </w:rPr>
            </w:pPr>
          </w:p>
        </w:tc>
        <w:tc>
          <w:tcPr>
            <w:tcW w:w="26" w:type="pct"/>
            <w:shd w:val="clear" w:color="auto" w:fill="auto"/>
          </w:tcPr>
          <w:p w14:paraId="40CB2093" w14:textId="77777777" w:rsidR="00584FB3" w:rsidRDefault="00584FB3">
            <w:pPr>
              <w:rPr>
                <w:rFonts w:ascii="宋体"/>
              </w:rPr>
            </w:pPr>
          </w:p>
        </w:tc>
        <w:tc>
          <w:tcPr>
            <w:tcW w:w="5" w:type="pct"/>
            <w:shd w:val="clear" w:color="auto" w:fill="auto"/>
          </w:tcPr>
          <w:p w14:paraId="40CB2094" w14:textId="77777777" w:rsidR="00584FB3" w:rsidRDefault="00584FB3">
            <w:pPr>
              <w:rPr>
                <w:rFonts w:ascii="宋体"/>
              </w:rPr>
            </w:pPr>
          </w:p>
        </w:tc>
        <w:tc>
          <w:tcPr>
            <w:tcW w:w="50" w:type="pct"/>
            <w:shd w:val="clear" w:color="auto" w:fill="auto"/>
          </w:tcPr>
          <w:p w14:paraId="40CB2095" w14:textId="77777777" w:rsidR="00584FB3" w:rsidRDefault="00584FB3">
            <w:pPr>
              <w:rPr>
                <w:rFonts w:ascii="宋体"/>
              </w:rPr>
            </w:pPr>
          </w:p>
        </w:tc>
        <w:tc>
          <w:tcPr>
            <w:tcW w:w="371" w:type="pct"/>
            <w:shd w:val="clear" w:color="auto" w:fill="auto"/>
          </w:tcPr>
          <w:p w14:paraId="40CB2096" w14:textId="77777777" w:rsidR="00584FB3" w:rsidRDefault="00584FB3">
            <w:pPr>
              <w:rPr>
                <w:rFonts w:ascii="宋体"/>
              </w:rPr>
            </w:pPr>
          </w:p>
        </w:tc>
        <w:tc>
          <w:tcPr>
            <w:tcW w:w="5" w:type="pct"/>
            <w:shd w:val="clear" w:color="auto" w:fill="auto"/>
          </w:tcPr>
          <w:p w14:paraId="40CB2097" w14:textId="77777777" w:rsidR="00584FB3" w:rsidRDefault="00584FB3">
            <w:pPr>
              <w:rPr>
                <w:rFonts w:ascii="宋体"/>
              </w:rPr>
            </w:pPr>
          </w:p>
        </w:tc>
        <w:tc>
          <w:tcPr>
            <w:tcW w:w="0" w:type="auto"/>
            <w:shd w:val="clear" w:color="auto" w:fill="auto"/>
          </w:tcPr>
          <w:p w14:paraId="40CB2098" w14:textId="77777777" w:rsidR="00584FB3" w:rsidRDefault="00584FB3">
            <w:pPr>
              <w:rPr>
                <w:rFonts w:ascii="宋体"/>
                <w:vanish/>
              </w:rPr>
            </w:pPr>
          </w:p>
        </w:tc>
        <w:tc>
          <w:tcPr>
            <w:tcW w:w="0" w:type="auto"/>
            <w:shd w:val="clear" w:color="auto" w:fill="auto"/>
          </w:tcPr>
          <w:p w14:paraId="40CB2099" w14:textId="77777777" w:rsidR="00584FB3" w:rsidRDefault="00584FB3">
            <w:pPr>
              <w:rPr>
                <w:rFonts w:ascii="宋体"/>
                <w:vanish/>
              </w:rPr>
            </w:pPr>
          </w:p>
        </w:tc>
        <w:tc>
          <w:tcPr>
            <w:tcW w:w="0" w:type="auto"/>
            <w:gridSpan w:val="3"/>
            <w:shd w:val="clear" w:color="auto" w:fill="auto"/>
          </w:tcPr>
          <w:p w14:paraId="40CB209A" w14:textId="77777777" w:rsidR="00584FB3" w:rsidRDefault="00584FB3">
            <w:pPr>
              <w:rPr>
                <w:rFonts w:ascii="宋体"/>
                <w:vanish/>
              </w:rPr>
            </w:pPr>
          </w:p>
        </w:tc>
        <w:tc>
          <w:tcPr>
            <w:tcW w:w="0" w:type="auto"/>
            <w:gridSpan w:val="3"/>
            <w:shd w:val="clear" w:color="auto" w:fill="auto"/>
          </w:tcPr>
          <w:p w14:paraId="40CB209B" w14:textId="77777777" w:rsidR="00584FB3" w:rsidRDefault="00584FB3">
            <w:pPr>
              <w:rPr>
                <w:rFonts w:ascii="宋体"/>
                <w:vanish/>
              </w:rPr>
            </w:pPr>
          </w:p>
        </w:tc>
        <w:tc>
          <w:tcPr>
            <w:tcW w:w="0" w:type="auto"/>
            <w:gridSpan w:val="3"/>
            <w:shd w:val="clear" w:color="auto" w:fill="auto"/>
          </w:tcPr>
          <w:p w14:paraId="40CB209C" w14:textId="77777777" w:rsidR="00584FB3" w:rsidRDefault="00584FB3">
            <w:pPr>
              <w:rPr>
                <w:rFonts w:ascii="宋体"/>
                <w:vanish/>
              </w:rPr>
            </w:pPr>
          </w:p>
        </w:tc>
        <w:tc>
          <w:tcPr>
            <w:tcW w:w="0" w:type="auto"/>
            <w:gridSpan w:val="3"/>
            <w:shd w:val="clear" w:color="auto" w:fill="auto"/>
          </w:tcPr>
          <w:p w14:paraId="40CB209D" w14:textId="77777777" w:rsidR="00584FB3" w:rsidRDefault="00584FB3">
            <w:pPr>
              <w:rPr>
                <w:rFonts w:ascii="宋体"/>
                <w:vanish/>
              </w:rPr>
            </w:pPr>
          </w:p>
        </w:tc>
        <w:tc>
          <w:tcPr>
            <w:tcW w:w="0" w:type="auto"/>
            <w:gridSpan w:val="3"/>
            <w:shd w:val="clear" w:color="auto" w:fill="auto"/>
          </w:tcPr>
          <w:p w14:paraId="40CB209E" w14:textId="77777777" w:rsidR="00584FB3" w:rsidRDefault="00584FB3">
            <w:pPr>
              <w:rPr>
                <w:rFonts w:ascii="宋体"/>
                <w:vanish/>
              </w:rPr>
            </w:pPr>
          </w:p>
        </w:tc>
        <w:tc>
          <w:tcPr>
            <w:tcW w:w="0" w:type="auto"/>
            <w:gridSpan w:val="3"/>
            <w:shd w:val="clear" w:color="auto" w:fill="auto"/>
          </w:tcPr>
          <w:p w14:paraId="40CB209F" w14:textId="77777777" w:rsidR="00584FB3" w:rsidRDefault="00584FB3">
            <w:pPr>
              <w:rPr>
                <w:rFonts w:ascii="宋体"/>
                <w:vanish/>
              </w:rPr>
            </w:pPr>
          </w:p>
        </w:tc>
        <w:tc>
          <w:tcPr>
            <w:tcW w:w="0" w:type="auto"/>
            <w:gridSpan w:val="3"/>
            <w:shd w:val="clear" w:color="auto" w:fill="auto"/>
          </w:tcPr>
          <w:p w14:paraId="40CB20A0" w14:textId="77777777" w:rsidR="00584FB3" w:rsidRDefault="00584FB3">
            <w:pPr>
              <w:rPr>
                <w:rFonts w:ascii="宋体"/>
                <w:vanish/>
              </w:rPr>
            </w:pPr>
          </w:p>
        </w:tc>
        <w:tc>
          <w:tcPr>
            <w:tcW w:w="0" w:type="auto"/>
            <w:gridSpan w:val="3"/>
            <w:shd w:val="clear" w:color="auto" w:fill="auto"/>
          </w:tcPr>
          <w:p w14:paraId="40CB20A1" w14:textId="77777777" w:rsidR="00584FB3" w:rsidRDefault="00584FB3">
            <w:pPr>
              <w:rPr>
                <w:rFonts w:ascii="宋体"/>
                <w:vanish/>
              </w:rPr>
            </w:pPr>
          </w:p>
        </w:tc>
      </w:tr>
      <w:tr w:rsidR="00584FB3" w14:paraId="40CB20BF" w14:textId="77777777">
        <w:tc>
          <w:tcPr>
            <w:tcW w:w="0" w:type="auto"/>
            <w:gridSpan w:val="3"/>
            <w:shd w:val="clear" w:color="auto" w:fill="auto"/>
            <w:tcMar>
              <w:top w:w="40" w:type="dxa"/>
              <w:left w:w="20" w:type="dxa"/>
              <w:bottom w:w="40" w:type="dxa"/>
              <w:right w:w="20" w:type="dxa"/>
            </w:tcMar>
            <w:vAlign w:val="bottom"/>
          </w:tcPr>
          <w:p w14:paraId="40CB20A3" w14:textId="77777777" w:rsidR="00584FB3" w:rsidRDefault="00786180">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0CB20A4"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20A5" w14:textId="77777777" w:rsidR="00584FB3" w:rsidRDefault="00584FB3">
            <w:pPr>
              <w:rPr>
                <w:rFonts w:ascii="宋体"/>
                <w:vanish/>
              </w:rPr>
            </w:pPr>
          </w:p>
        </w:tc>
        <w:tc>
          <w:tcPr>
            <w:tcW w:w="0" w:type="auto"/>
            <w:shd w:val="clear" w:color="auto" w:fill="auto"/>
          </w:tcPr>
          <w:p w14:paraId="40CB20A6" w14:textId="77777777" w:rsidR="00584FB3" w:rsidRDefault="00584FB3">
            <w:pPr>
              <w:rPr>
                <w:rFonts w:ascii="宋体"/>
                <w:vanish/>
              </w:rPr>
            </w:pPr>
          </w:p>
        </w:tc>
        <w:tc>
          <w:tcPr>
            <w:tcW w:w="0" w:type="auto"/>
            <w:shd w:val="clear" w:color="auto" w:fill="auto"/>
          </w:tcPr>
          <w:p w14:paraId="40CB20A7" w14:textId="77777777" w:rsidR="00584FB3" w:rsidRDefault="00584FB3">
            <w:pPr>
              <w:rPr>
                <w:rFonts w:ascii="宋体"/>
              </w:rPr>
            </w:pPr>
          </w:p>
        </w:tc>
        <w:tc>
          <w:tcPr>
            <w:tcW w:w="0" w:type="auto"/>
            <w:shd w:val="clear" w:color="auto" w:fill="auto"/>
          </w:tcPr>
          <w:p w14:paraId="40CB20A8" w14:textId="77777777" w:rsidR="00584FB3" w:rsidRDefault="00584FB3">
            <w:pPr>
              <w:rPr>
                <w:rFonts w:ascii="宋体"/>
              </w:rPr>
            </w:pPr>
          </w:p>
        </w:tc>
        <w:tc>
          <w:tcPr>
            <w:tcW w:w="0" w:type="auto"/>
            <w:shd w:val="clear" w:color="auto" w:fill="auto"/>
          </w:tcPr>
          <w:p w14:paraId="40CB20A9" w14:textId="77777777" w:rsidR="00584FB3" w:rsidRDefault="00584FB3">
            <w:pPr>
              <w:rPr>
                <w:rFonts w:ascii="宋体"/>
              </w:rPr>
            </w:pPr>
          </w:p>
        </w:tc>
        <w:tc>
          <w:tcPr>
            <w:tcW w:w="0" w:type="auto"/>
            <w:shd w:val="clear" w:color="auto" w:fill="auto"/>
          </w:tcPr>
          <w:p w14:paraId="40CB20AA" w14:textId="77777777" w:rsidR="00584FB3" w:rsidRDefault="00584FB3">
            <w:pPr>
              <w:rPr>
                <w:rFonts w:ascii="宋体"/>
              </w:rPr>
            </w:pPr>
          </w:p>
        </w:tc>
        <w:tc>
          <w:tcPr>
            <w:tcW w:w="0" w:type="auto"/>
            <w:shd w:val="clear" w:color="auto" w:fill="auto"/>
          </w:tcPr>
          <w:p w14:paraId="40CB20AB" w14:textId="77777777" w:rsidR="00584FB3" w:rsidRDefault="00584FB3">
            <w:pPr>
              <w:rPr>
                <w:rFonts w:ascii="宋体"/>
              </w:rPr>
            </w:pPr>
          </w:p>
        </w:tc>
        <w:tc>
          <w:tcPr>
            <w:tcW w:w="0" w:type="auto"/>
            <w:shd w:val="clear" w:color="auto" w:fill="auto"/>
          </w:tcPr>
          <w:p w14:paraId="40CB20AC" w14:textId="77777777" w:rsidR="00584FB3" w:rsidRDefault="00584FB3">
            <w:pPr>
              <w:rPr>
                <w:rFonts w:ascii="宋体"/>
              </w:rPr>
            </w:pPr>
          </w:p>
        </w:tc>
        <w:tc>
          <w:tcPr>
            <w:tcW w:w="0" w:type="auto"/>
            <w:shd w:val="clear" w:color="auto" w:fill="auto"/>
          </w:tcPr>
          <w:p w14:paraId="40CB20AD" w14:textId="77777777" w:rsidR="00584FB3" w:rsidRDefault="00584FB3">
            <w:pPr>
              <w:rPr>
                <w:rFonts w:ascii="宋体"/>
              </w:rPr>
            </w:pPr>
          </w:p>
        </w:tc>
        <w:tc>
          <w:tcPr>
            <w:tcW w:w="0" w:type="auto"/>
            <w:shd w:val="clear" w:color="auto" w:fill="auto"/>
          </w:tcPr>
          <w:p w14:paraId="40CB20AE" w14:textId="77777777" w:rsidR="00584FB3" w:rsidRDefault="00584FB3">
            <w:pPr>
              <w:rPr>
                <w:rFonts w:ascii="宋体"/>
              </w:rPr>
            </w:pPr>
          </w:p>
        </w:tc>
        <w:tc>
          <w:tcPr>
            <w:tcW w:w="0" w:type="auto"/>
            <w:shd w:val="clear" w:color="auto" w:fill="auto"/>
          </w:tcPr>
          <w:p w14:paraId="40CB20AF" w14:textId="77777777" w:rsidR="00584FB3" w:rsidRDefault="00584FB3">
            <w:pPr>
              <w:rPr>
                <w:rFonts w:ascii="宋体"/>
              </w:rPr>
            </w:pPr>
          </w:p>
        </w:tc>
        <w:tc>
          <w:tcPr>
            <w:tcW w:w="0" w:type="auto"/>
            <w:shd w:val="clear" w:color="auto" w:fill="auto"/>
          </w:tcPr>
          <w:p w14:paraId="40CB20B0" w14:textId="77777777" w:rsidR="00584FB3" w:rsidRDefault="00584FB3">
            <w:pPr>
              <w:rPr>
                <w:rFonts w:ascii="宋体"/>
              </w:rPr>
            </w:pPr>
          </w:p>
        </w:tc>
        <w:tc>
          <w:tcPr>
            <w:tcW w:w="0" w:type="auto"/>
            <w:shd w:val="clear" w:color="auto" w:fill="auto"/>
          </w:tcPr>
          <w:p w14:paraId="40CB20B1" w14:textId="77777777" w:rsidR="00584FB3" w:rsidRDefault="00584FB3">
            <w:pPr>
              <w:rPr>
                <w:rFonts w:ascii="宋体"/>
              </w:rPr>
            </w:pPr>
          </w:p>
        </w:tc>
        <w:tc>
          <w:tcPr>
            <w:tcW w:w="0" w:type="auto"/>
            <w:shd w:val="clear" w:color="auto" w:fill="auto"/>
          </w:tcPr>
          <w:p w14:paraId="40CB20B2" w14:textId="77777777" w:rsidR="00584FB3" w:rsidRDefault="00584FB3">
            <w:pPr>
              <w:rPr>
                <w:rFonts w:ascii="宋体"/>
              </w:rPr>
            </w:pPr>
          </w:p>
        </w:tc>
        <w:tc>
          <w:tcPr>
            <w:tcW w:w="0" w:type="auto"/>
            <w:shd w:val="clear" w:color="auto" w:fill="auto"/>
          </w:tcPr>
          <w:p w14:paraId="40CB20B3" w14:textId="77777777" w:rsidR="00584FB3" w:rsidRDefault="00584FB3">
            <w:pPr>
              <w:rPr>
                <w:rFonts w:ascii="宋体"/>
              </w:rPr>
            </w:pPr>
          </w:p>
        </w:tc>
        <w:tc>
          <w:tcPr>
            <w:tcW w:w="0" w:type="auto"/>
            <w:shd w:val="clear" w:color="auto" w:fill="auto"/>
          </w:tcPr>
          <w:p w14:paraId="40CB20B4" w14:textId="77777777" w:rsidR="00584FB3" w:rsidRDefault="00584FB3">
            <w:pPr>
              <w:rPr>
                <w:rFonts w:ascii="宋体"/>
              </w:rPr>
            </w:pPr>
          </w:p>
        </w:tc>
        <w:tc>
          <w:tcPr>
            <w:tcW w:w="0" w:type="auto"/>
            <w:shd w:val="clear" w:color="auto" w:fill="auto"/>
          </w:tcPr>
          <w:p w14:paraId="40CB20B5" w14:textId="77777777" w:rsidR="00584FB3" w:rsidRDefault="00584FB3">
            <w:pPr>
              <w:rPr>
                <w:rFonts w:ascii="宋体"/>
              </w:rPr>
            </w:pPr>
          </w:p>
        </w:tc>
        <w:tc>
          <w:tcPr>
            <w:tcW w:w="0" w:type="auto"/>
            <w:shd w:val="clear" w:color="auto" w:fill="auto"/>
          </w:tcPr>
          <w:p w14:paraId="40CB20B6" w14:textId="77777777" w:rsidR="00584FB3" w:rsidRDefault="00584FB3">
            <w:pPr>
              <w:rPr>
                <w:rFonts w:ascii="宋体"/>
              </w:rPr>
            </w:pPr>
          </w:p>
        </w:tc>
        <w:tc>
          <w:tcPr>
            <w:tcW w:w="0" w:type="auto"/>
            <w:shd w:val="clear" w:color="auto" w:fill="auto"/>
          </w:tcPr>
          <w:p w14:paraId="40CB20B7" w14:textId="77777777" w:rsidR="00584FB3" w:rsidRDefault="00584FB3">
            <w:pPr>
              <w:rPr>
                <w:rFonts w:ascii="宋体"/>
              </w:rPr>
            </w:pPr>
          </w:p>
        </w:tc>
        <w:tc>
          <w:tcPr>
            <w:tcW w:w="0" w:type="auto"/>
            <w:shd w:val="clear" w:color="auto" w:fill="auto"/>
          </w:tcPr>
          <w:p w14:paraId="40CB20B8" w14:textId="77777777" w:rsidR="00584FB3" w:rsidRDefault="00584FB3">
            <w:pPr>
              <w:rPr>
                <w:rFonts w:ascii="宋体"/>
              </w:rPr>
            </w:pPr>
          </w:p>
        </w:tc>
        <w:tc>
          <w:tcPr>
            <w:tcW w:w="0" w:type="auto"/>
            <w:shd w:val="clear" w:color="auto" w:fill="auto"/>
          </w:tcPr>
          <w:p w14:paraId="40CB20B9" w14:textId="77777777" w:rsidR="00584FB3" w:rsidRDefault="00584FB3">
            <w:pPr>
              <w:rPr>
                <w:rFonts w:ascii="宋体"/>
              </w:rPr>
            </w:pPr>
          </w:p>
        </w:tc>
        <w:tc>
          <w:tcPr>
            <w:tcW w:w="0" w:type="auto"/>
            <w:shd w:val="clear" w:color="auto" w:fill="auto"/>
          </w:tcPr>
          <w:p w14:paraId="40CB20BA" w14:textId="77777777" w:rsidR="00584FB3" w:rsidRDefault="00584FB3">
            <w:pPr>
              <w:rPr>
                <w:rFonts w:ascii="宋体"/>
              </w:rPr>
            </w:pPr>
          </w:p>
        </w:tc>
        <w:tc>
          <w:tcPr>
            <w:tcW w:w="0" w:type="auto"/>
            <w:shd w:val="clear" w:color="auto" w:fill="auto"/>
          </w:tcPr>
          <w:p w14:paraId="40CB20BB" w14:textId="77777777" w:rsidR="00584FB3" w:rsidRDefault="00584FB3">
            <w:pPr>
              <w:rPr>
                <w:rFonts w:ascii="宋体"/>
              </w:rPr>
            </w:pPr>
          </w:p>
        </w:tc>
        <w:tc>
          <w:tcPr>
            <w:tcW w:w="0" w:type="auto"/>
            <w:shd w:val="clear" w:color="auto" w:fill="auto"/>
          </w:tcPr>
          <w:p w14:paraId="40CB20BC" w14:textId="77777777" w:rsidR="00584FB3" w:rsidRDefault="00584FB3">
            <w:pPr>
              <w:rPr>
                <w:rFonts w:ascii="宋体"/>
              </w:rPr>
            </w:pPr>
          </w:p>
        </w:tc>
        <w:tc>
          <w:tcPr>
            <w:tcW w:w="0" w:type="auto"/>
            <w:shd w:val="clear" w:color="auto" w:fill="auto"/>
          </w:tcPr>
          <w:p w14:paraId="40CB20BD" w14:textId="77777777" w:rsidR="00584FB3" w:rsidRDefault="00584FB3">
            <w:pPr>
              <w:rPr>
                <w:rFonts w:ascii="宋体"/>
              </w:rPr>
            </w:pPr>
          </w:p>
        </w:tc>
        <w:tc>
          <w:tcPr>
            <w:tcW w:w="0" w:type="auto"/>
            <w:shd w:val="clear" w:color="auto" w:fill="auto"/>
          </w:tcPr>
          <w:p w14:paraId="40CB20BE" w14:textId="77777777" w:rsidR="00584FB3" w:rsidRDefault="00584FB3">
            <w:pPr>
              <w:rPr>
                <w:rFonts w:ascii="宋体"/>
              </w:rPr>
            </w:pPr>
          </w:p>
        </w:tc>
      </w:tr>
      <w:tr w:rsidR="00584FB3" w14:paraId="40CB20D5" w14:textId="77777777">
        <w:tc>
          <w:tcPr>
            <w:tcW w:w="0" w:type="auto"/>
            <w:gridSpan w:val="3"/>
            <w:shd w:val="clear" w:color="auto" w:fill="auto"/>
            <w:tcMar>
              <w:top w:w="0" w:type="dxa"/>
              <w:left w:w="20" w:type="dxa"/>
              <w:bottom w:w="0" w:type="dxa"/>
              <w:right w:w="20" w:type="dxa"/>
            </w:tcMar>
          </w:tcPr>
          <w:p w14:paraId="40CB20C0"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0C1"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0C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0C3"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20C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0C5" w14:textId="77777777" w:rsidR="00584FB3" w:rsidRDefault="00786180">
            <w:pPr>
              <w:jc w:val="center"/>
              <w:textAlignment w:val="bottom"/>
            </w:pPr>
            <w:r>
              <w:rPr>
                <w:rFonts w:ascii="Times New Roman" w:eastAsia="宋体" w:hAnsi="Times New Roman"/>
                <w:b/>
                <w:bCs/>
                <w:color w:val="FFFFFF"/>
                <w:sz w:val="16"/>
                <w:szCs w:val="16"/>
              </w:rPr>
              <w:t>$</w:t>
            </w:r>
          </w:p>
          <w:p w14:paraId="40CB20C6"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40CB20C7"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0C8" w14:textId="77777777" w:rsidR="00584FB3" w:rsidRDefault="00786180">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0C9"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20CA"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shd w:val="clear" w:color="auto" w:fill="auto"/>
          </w:tcPr>
          <w:p w14:paraId="40CB20CB" w14:textId="77777777" w:rsidR="00584FB3" w:rsidRDefault="00584FB3">
            <w:pPr>
              <w:rPr>
                <w:rFonts w:ascii="宋体"/>
                <w:vanish/>
              </w:rPr>
            </w:pPr>
          </w:p>
        </w:tc>
        <w:tc>
          <w:tcPr>
            <w:tcW w:w="0" w:type="auto"/>
            <w:shd w:val="clear" w:color="auto" w:fill="auto"/>
          </w:tcPr>
          <w:p w14:paraId="40CB20CC" w14:textId="77777777" w:rsidR="00584FB3" w:rsidRDefault="00584FB3">
            <w:pPr>
              <w:rPr>
                <w:rFonts w:ascii="宋体"/>
                <w:vanish/>
              </w:rPr>
            </w:pPr>
          </w:p>
        </w:tc>
        <w:tc>
          <w:tcPr>
            <w:tcW w:w="0" w:type="auto"/>
            <w:gridSpan w:val="3"/>
            <w:shd w:val="clear" w:color="auto" w:fill="auto"/>
          </w:tcPr>
          <w:p w14:paraId="40CB20CD" w14:textId="77777777" w:rsidR="00584FB3" w:rsidRDefault="00584FB3">
            <w:pPr>
              <w:rPr>
                <w:rFonts w:ascii="宋体"/>
                <w:vanish/>
              </w:rPr>
            </w:pPr>
          </w:p>
        </w:tc>
        <w:tc>
          <w:tcPr>
            <w:tcW w:w="0" w:type="auto"/>
            <w:gridSpan w:val="3"/>
            <w:shd w:val="clear" w:color="auto" w:fill="auto"/>
          </w:tcPr>
          <w:p w14:paraId="40CB20CE" w14:textId="77777777" w:rsidR="00584FB3" w:rsidRDefault="00584FB3">
            <w:pPr>
              <w:rPr>
                <w:rFonts w:ascii="宋体"/>
                <w:vanish/>
              </w:rPr>
            </w:pPr>
          </w:p>
        </w:tc>
        <w:tc>
          <w:tcPr>
            <w:tcW w:w="0" w:type="auto"/>
            <w:gridSpan w:val="3"/>
            <w:shd w:val="clear" w:color="auto" w:fill="auto"/>
          </w:tcPr>
          <w:p w14:paraId="40CB20CF" w14:textId="77777777" w:rsidR="00584FB3" w:rsidRDefault="00584FB3">
            <w:pPr>
              <w:rPr>
                <w:rFonts w:ascii="宋体"/>
                <w:vanish/>
              </w:rPr>
            </w:pPr>
          </w:p>
        </w:tc>
        <w:tc>
          <w:tcPr>
            <w:tcW w:w="0" w:type="auto"/>
            <w:gridSpan w:val="3"/>
            <w:shd w:val="clear" w:color="auto" w:fill="auto"/>
          </w:tcPr>
          <w:p w14:paraId="40CB20D0" w14:textId="77777777" w:rsidR="00584FB3" w:rsidRDefault="00584FB3">
            <w:pPr>
              <w:rPr>
                <w:rFonts w:ascii="宋体"/>
                <w:vanish/>
              </w:rPr>
            </w:pPr>
          </w:p>
        </w:tc>
        <w:tc>
          <w:tcPr>
            <w:tcW w:w="0" w:type="auto"/>
            <w:gridSpan w:val="3"/>
            <w:shd w:val="clear" w:color="auto" w:fill="auto"/>
          </w:tcPr>
          <w:p w14:paraId="40CB20D1" w14:textId="77777777" w:rsidR="00584FB3" w:rsidRDefault="00584FB3">
            <w:pPr>
              <w:rPr>
                <w:rFonts w:ascii="宋体"/>
                <w:vanish/>
              </w:rPr>
            </w:pPr>
          </w:p>
        </w:tc>
        <w:tc>
          <w:tcPr>
            <w:tcW w:w="0" w:type="auto"/>
            <w:gridSpan w:val="3"/>
            <w:shd w:val="clear" w:color="auto" w:fill="auto"/>
          </w:tcPr>
          <w:p w14:paraId="40CB20D2" w14:textId="77777777" w:rsidR="00584FB3" w:rsidRDefault="00584FB3">
            <w:pPr>
              <w:rPr>
                <w:rFonts w:ascii="宋体"/>
                <w:vanish/>
              </w:rPr>
            </w:pPr>
          </w:p>
        </w:tc>
        <w:tc>
          <w:tcPr>
            <w:tcW w:w="0" w:type="auto"/>
            <w:gridSpan w:val="3"/>
            <w:shd w:val="clear" w:color="auto" w:fill="auto"/>
          </w:tcPr>
          <w:p w14:paraId="40CB20D3" w14:textId="77777777" w:rsidR="00584FB3" w:rsidRDefault="00584FB3">
            <w:pPr>
              <w:rPr>
                <w:rFonts w:ascii="宋体"/>
                <w:vanish/>
              </w:rPr>
            </w:pPr>
          </w:p>
        </w:tc>
        <w:tc>
          <w:tcPr>
            <w:tcW w:w="0" w:type="auto"/>
            <w:gridSpan w:val="3"/>
            <w:shd w:val="clear" w:color="auto" w:fill="auto"/>
          </w:tcPr>
          <w:p w14:paraId="40CB20D4" w14:textId="77777777" w:rsidR="00584FB3" w:rsidRDefault="00584FB3">
            <w:pPr>
              <w:rPr>
                <w:rFonts w:ascii="宋体"/>
                <w:vanish/>
              </w:rPr>
            </w:pPr>
          </w:p>
        </w:tc>
      </w:tr>
      <w:tr w:rsidR="00584FB3" w14:paraId="40CB20ED" w14:textId="77777777">
        <w:tc>
          <w:tcPr>
            <w:tcW w:w="0" w:type="auto"/>
            <w:gridSpan w:val="3"/>
            <w:shd w:val="clear" w:color="auto" w:fill="auto"/>
            <w:tcMar>
              <w:top w:w="0" w:type="dxa"/>
              <w:left w:w="20" w:type="dxa"/>
              <w:bottom w:w="0" w:type="dxa"/>
              <w:right w:w="20" w:type="dxa"/>
            </w:tcMar>
          </w:tcPr>
          <w:p w14:paraId="40CB20D6"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0D7"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0D8"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0D9"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0DA"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0DB"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0DC" w14:textId="77777777" w:rsidR="00584FB3" w:rsidRDefault="00584FB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CB20DD" w14:textId="77777777" w:rsidR="00584FB3" w:rsidRDefault="00786180">
            <w:pPr>
              <w:jc w:val="center"/>
              <w:textAlignment w:val="bottom"/>
            </w:pPr>
            <w:r>
              <w:rPr>
                <w:rFonts w:ascii="Times New Roman" w:eastAsia="宋体" w:hAnsi="Times New Roman"/>
                <w:b/>
                <w:bCs/>
                <w:color w:val="000000"/>
                <w:sz w:val="16"/>
                <w:szCs w:val="16"/>
              </w:rPr>
              <w:t>As a % of Americas</w:t>
            </w:r>
          </w:p>
          <w:p w14:paraId="40CB20DE" w14:textId="77777777" w:rsidR="00584FB3" w:rsidRDefault="00786180">
            <w:pPr>
              <w:jc w:val="center"/>
              <w:textAlignment w:val="bottom"/>
            </w:pPr>
            <w:r>
              <w:rPr>
                <w:rFonts w:ascii="Times New Roman" w:eastAsia="宋体" w:hAnsi="Times New Roman"/>
                <w:b/>
                <w:bCs/>
                <w:color w:val="000000"/>
                <w:sz w:val="16"/>
                <w:szCs w:val="16"/>
              </w:rPr>
              <w:t>Total Net Revenues</w:t>
            </w:r>
          </w:p>
        </w:tc>
        <w:tc>
          <w:tcPr>
            <w:tcW w:w="0" w:type="auto"/>
            <w:shd w:val="clear" w:color="auto" w:fill="auto"/>
          </w:tcPr>
          <w:p w14:paraId="40CB20DF" w14:textId="77777777" w:rsidR="00584FB3" w:rsidRDefault="00584FB3">
            <w:pPr>
              <w:rPr>
                <w:rFonts w:ascii="宋体"/>
                <w:vanish/>
              </w:rPr>
            </w:pPr>
          </w:p>
        </w:tc>
        <w:tc>
          <w:tcPr>
            <w:tcW w:w="0" w:type="auto"/>
            <w:shd w:val="clear" w:color="auto" w:fill="auto"/>
          </w:tcPr>
          <w:p w14:paraId="40CB20E0" w14:textId="77777777" w:rsidR="00584FB3" w:rsidRDefault="00584FB3">
            <w:pPr>
              <w:rPr>
                <w:rFonts w:ascii="宋体"/>
                <w:vanish/>
              </w:rPr>
            </w:pPr>
          </w:p>
        </w:tc>
        <w:tc>
          <w:tcPr>
            <w:tcW w:w="0" w:type="auto"/>
            <w:gridSpan w:val="3"/>
            <w:shd w:val="clear" w:color="auto" w:fill="auto"/>
          </w:tcPr>
          <w:p w14:paraId="40CB20E1" w14:textId="77777777" w:rsidR="00584FB3" w:rsidRDefault="00584FB3">
            <w:pPr>
              <w:rPr>
                <w:rFonts w:ascii="宋体"/>
                <w:vanish/>
              </w:rPr>
            </w:pPr>
          </w:p>
        </w:tc>
        <w:tc>
          <w:tcPr>
            <w:tcW w:w="0" w:type="auto"/>
            <w:gridSpan w:val="3"/>
            <w:shd w:val="clear" w:color="auto" w:fill="auto"/>
          </w:tcPr>
          <w:p w14:paraId="40CB20E2" w14:textId="77777777" w:rsidR="00584FB3" w:rsidRDefault="00584FB3">
            <w:pPr>
              <w:rPr>
                <w:rFonts w:ascii="宋体"/>
                <w:vanish/>
              </w:rPr>
            </w:pPr>
          </w:p>
        </w:tc>
        <w:tc>
          <w:tcPr>
            <w:tcW w:w="0" w:type="auto"/>
            <w:gridSpan w:val="3"/>
            <w:shd w:val="clear" w:color="auto" w:fill="auto"/>
          </w:tcPr>
          <w:p w14:paraId="40CB20E3" w14:textId="77777777" w:rsidR="00584FB3" w:rsidRDefault="00584FB3">
            <w:pPr>
              <w:rPr>
                <w:rFonts w:ascii="宋体"/>
                <w:vanish/>
              </w:rPr>
            </w:pPr>
          </w:p>
        </w:tc>
        <w:tc>
          <w:tcPr>
            <w:tcW w:w="0" w:type="auto"/>
            <w:gridSpan w:val="3"/>
            <w:shd w:val="clear" w:color="auto" w:fill="auto"/>
          </w:tcPr>
          <w:p w14:paraId="40CB20E4" w14:textId="77777777" w:rsidR="00584FB3" w:rsidRDefault="00584FB3">
            <w:pPr>
              <w:rPr>
                <w:rFonts w:ascii="宋体"/>
                <w:vanish/>
              </w:rPr>
            </w:pPr>
          </w:p>
        </w:tc>
        <w:tc>
          <w:tcPr>
            <w:tcW w:w="0" w:type="auto"/>
            <w:gridSpan w:val="3"/>
            <w:shd w:val="clear" w:color="auto" w:fill="auto"/>
          </w:tcPr>
          <w:p w14:paraId="40CB20E5" w14:textId="77777777" w:rsidR="00584FB3" w:rsidRDefault="00584FB3">
            <w:pPr>
              <w:rPr>
                <w:rFonts w:ascii="宋体"/>
                <w:vanish/>
              </w:rPr>
            </w:pPr>
          </w:p>
        </w:tc>
        <w:tc>
          <w:tcPr>
            <w:tcW w:w="0" w:type="auto"/>
            <w:gridSpan w:val="3"/>
            <w:shd w:val="clear" w:color="auto" w:fill="auto"/>
          </w:tcPr>
          <w:p w14:paraId="40CB20E6" w14:textId="77777777" w:rsidR="00584FB3" w:rsidRDefault="00584FB3">
            <w:pPr>
              <w:rPr>
                <w:rFonts w:ascii="宋体"/>
                <w:vanish/>
              </w:rPr>
            </w:pPr>
          </w:p>
        </w:tc>
        <w:tc>
          <w:tcPr>
            <w:tcW w:w="0" w:type="auto"/>
            <w:shd w:val="clear" w:color="auto" w:fill="auto"/>
          </w:tcPr>
          <w:p w14:paraId="40CB20E7" w14:textId="77777777" w:rsidR="00584FB3" w:rsidRDefault="00584FB3">
            <w:pPr>
              <w:rPr>
                <w:rFonts w:ascii="宋体"/>
              </w:rPr>
            </w:pPr>
          </w:p>
        </w:tc>
        <w:tc>
          <w:tcPr>
            <w:tcW w:w="0" w:type="auto"/>
            <w:shd w:val="clear" w:color="auto" w:fill="auto"/>
          </w:tcPr>
          <w:p w14:paraId="40CB20E8" w14:textId="77777777" w:rsidR="00584FB3" w:rsidRDefault="00584FB3">
            <w:pPr>
              <w:rPr>
                <w:rFonts w:ascii="宋体"/>
              </w:rPr>
            </w:pPr>
          </w:p>
        </w:tc>
        <w:tc>
          <w:tcPr>
            <w:tcW w:w="0" w:type="auto"/>
            <w:shd w:val="clear" w:color="auto" w:fill="auto"/>
          </w:tcPr>
          <w:p w14:paraId="40CB20E9" w14:textId="77777777" w:rsidR="00584FB3" w:rsidRDefault="00584FB3">
            <w:pPr>
              <w:rPr>
                <w:rFonts w:ascii="宋体"/>
              </w:rPr>
            </w:pPr>
          </w:p>
        </w:tc>
        <w:tc>
          <w:tcPr>
            <w:tcW w:w="0" w:type="auto"/>
            <w:shd w:val="clear" w:color="auto" w:fill="auto"/>
          </w:tcPr>
          <w:p w14:paraId="40CB20EA" w14:textId="77777777" w:rsidR="00584FB3" w:rsidRDefault="00584FB3">
            <w:pPr>
              <w:rPr>
                <w:rFonts w:ascii="宋体"/>
              </w:rPr>
            </w:pPr>
          </w:p>
        </w:tc>
        <w:tc>
          <w:tcPr>
            <w:tcW w:w="0" w:type="auto"/>
            <w:shd w:val="clear" w:color="auto" w:fill="auto"/>
          </w:tcPr>
          <w:p w14:paraId="40CB20EB" w14:textId="77777777" w:rsidR="00584FB3" w:rsidRDefault="00584FB3">
            <w:pPr>
              <w:rPr>
                <w:rFonts w:ascii="宋体"/>
              </w:rPr>
            </w:pPr>
          </w:p>
        </w:tc>
        <w:tc>
          <w:tcPr>
            <w:tcW w:w="0" w:type="auto"/>
            <w:shd w:val="clear" w:color="auto" w:fill="auto"/>
          </w:tcPr>
          <w:p w14:paraId="40CB20EC" w14:textId="77777777" w:rsidR="00584FB3" w:rsidRDefault="00584FB3">
            <w:pPr>
              <w:rPr>
                <w:rFonts w:ascii="宋体"/>
              </w:rPr>
            </w:pPr>
          </w:p>
        </w:tc>
      </w:tr>
      <w:tr w:rsidR="00584FB3" w14:paraId="40CB2102" w14:textId="77777777">
        <w:tc>
          <w:tcPr>
            <w:tcW w:w="0" w:type="auto"/>
            <w:gridSpan w:val="3"/>
            <w:shd w:val="clear" w:color="auto" w:fill="D7E4BC"/>
            <w:tcMar>
              <w:top w:w="40" w:type="dxa"/>
              <w:left w:w="20" w:type="dxa"/>
              <w:bottom w:w="40" w:type="dxa"/>
              <w:right w:w="20" w:type="dxa"/>
            </w:tcMar>
          </w:tcPr>
          <w:p w14:paraId="40CB20EE" w14:textId="77777777" w:rsidR="00584FB3" w:rsidRDefault="00786180">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40CB20E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F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F1"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F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F3"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0F4"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0F5"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0F6"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0F7" w14:textId="77777777" w:rsidR="00584FB3" w:rsidRDefault="00584FB3">
            <w:pPr>
              <w:rPr>
                <w:rFonts w:ascii="宋体"/>
              </w:rPr>
            </w:pPr>
          </w:p>
        </w:tc>
        <w:tc>
          <w:tcPr>
            <w:tcW w:w="0" w:type="auto"/>
            <w:shd w:val="clear" w:color="auto" w:fill="auto"/>
          </w:tcPr>
          <w:p w14:paraId="40CB20F8" w14:textId="77777777" w:rsidR="00584FB3" w:rsidRDefault="00584FB3">
            <w:pPr>
              <w:rPr>
                <w:rFonts w:ascii="宋体"/>
                <w:vanish/>
              </w:rPr>
            </w:pPr>
          </w:p>
        </w:tc>
        <w:tc>
          <w:tcPr>
            <w:tcW w:w="0" w:type="auto"/>
            <w:shd w:val="clear" w:color="auto" w:fill="auto"/>
          </w:tcPr>
          <w:p w14:paraId="40CB20F9" w14:textId="77777777" w:rsidR="00584FB3" w:rsidRDefault="00584FB3">
            <w:pPr>
              <w:rPr>
                <w:rFonts w:ascii="宋体"/>
                <w:vanish/>
              </w:rPr>
            </w:pPr>
          </w:p>
        </w:tc>
        <w:tc>
          <w:tcPr>
            <w:tcW w:w="0" w:type="auto"/>
            <w:gridSpan w:val="3"/>
            <w:shd w:val="clear" w:color="auto" w:fill="auto"/>
          </w:tcPr>
          <w:p w14:paraId="40CB20FA" w14:textId="77777777" w:rsidR="00584FB3" w:rsidRDefault="00584FB3">
            <w:pPr>
              <w:rPr>
                <w:rFonts w:ascii="宋体"/>
                <w:vanish/>
              </w:rPr>
            </w:pPr>
          </w:p>
        </w:tc>
        <w:tc>
          <w:tcPr>
            <w:tcW w:w="0" w:type="auto"/>
            <w:gridSpan w:val="3"/>
            <w:shd w:val="clear" w:color="auto" w:fill="auto"/>
          </w:tcPr>
          <w:p w14:paraId="40CB20FB" w14:textId="77777777" w:rsidR="00584FB3" w:rsidRDefault="00584FB3">
            <w:pPr>
              <w:rPr>
                <w:rFonts w:ascii="宋体"/>
                <w:vanish/>
              </w:rPr>
            </w:pPr>
          </w:p>
        </w:tc>
        <w:tc>
          <w:tcPr>
            <w:tcW w:w="0" w:type="auto"/>
            <w:gridSpan w:val="3"/>
            <w:shd w:val="clear" w:color="auto" w:fill="auto"/>
          </w:tcPr>
          <w:p w14:paraId="40CB20FC" w14:textId="77777777" w:rsidR="00584FB3" w:rsidRDefault="00584FB3">
            <w:pPr>
              <w:rPr>
                <w:rFonts w:ascii="宋体"/>
                <w:vanish/>
              </w:rPr>
            </w:pPr>
          </w:p>
        </w:tc>
        <w:tc>
          <w:tcPr>
            <w:tcW w:w="0" w:type="auto"/>
            <w:gridSpan w:val="3"/>
            <w:shd w:val="clear" w:color="auto" w:fill="auto"/>
          </w:tcPr>
          <w:p w14:paraId="40CB20FD" w14:textId="77777777" w:rsidR="00584FB3" w:rsidRDefault="00584FB3">
            <w:pPr>
              <w:rPr>
                <w:rFonts w:ascii="宋体"/>
                <w:vanish/>
              </w:rPr>
            </w:pPr>
          </w:p>
        </w:tc>
        <w:tc>
          <w:tcPr>
            <w:tcW w:w="0" w:type="auto"/>
            <w:gridSpan w:val="3"/>
            <w:shd w:val="clear" w:color="auto" w:fill="auto"/>
          </w:tcPr>
          <w:p w14:paraId="40CB20FE" w14:textId="77777777" w:rsidR="00584FB3" w:rsidRDefault="00584FB3">
            <w:pPr>
              <w:rPr>
                <w:rFonts w:ascii="宋体"/>
                <w:vanish/>
              </w:rPr>
            </w:pPr>
          </w:p>
        </w:tc>
        <w:tc>
          <w:tcPr>
            <w:tcW w:w="0" w:type="auto"/>
            <w:gridSpan w:val="3"/>
            <w:shd w:val="clear" w:color="auto" w:fill="auto"/>
          </w:tcPr>
          <w:p w14:paraId="40CB20FF" w14:textId="77777777" w:rsidR="00584FB3" w:rsidRDefault="00584FB3">
            <w:pPr>
              <w:rPr>
                <w:rFonts w:ascii="宋体"/>
                <w:vanish/>
              </w:rPr>
            </w:pPr>
          </w:p>
        </w:tc>
        <w:tc>
          <w:tcPr>
            <w:tcW w:w="0" w:type="auto"/>
            <w:gridSpan w:val="3"/>
            <w:shd w:val="clear" w:color="auto" w:fill="auto"/>
          </w:tcPr>
          <w:p w14:paraId="40CB2100" w14:textId="77777777" w:rsidR="00584FB3" w:rsidRDefault="00584FB3">
            <w:pPr>
              <w:rPr>
                <w:rFonts w:ascii="宋体"/>
                <w:vanish/>
              </w:rPr>
            </w:pPr>
          </w:p>
        </w:tc>
        <w:tc>
          <w:tcPr>
            <w:tcW w:w="0" w:type="auto"/>
            <w:gridSpan w:val="3"/>
            <w:shd w:val="clear" w:color="auto" w:fill="auto"/>
          </w:tcPr>
          <w:p w14:paraId="40CB2101" w14:textId="77777777" w:rsidR="00584FB3" w:rsidRDefault="00584FB3">
            <w:pPr>
              <w:rPr>
                <w:rFonts w:ascii="宋体"/>
                <w:vanish/>
              </w:rPr>
            </w:pPr>
          </w:p>
        </w:tc>
      </w:tr>
      <w:tr w:rsidR="00584FB3" w14:paraId="40CB211F" w14:textId="77777777">
        <w:tc>
          <w:tcPr>
            <w:tcW w:w="0" w:type="auto"/>
            <w:gridSpan w:val="3"/>
            <w:shd w:val="clear" w:color="auto" w:fill="FFFFFF"/>
            <w:tcMar>
              <w:top w:w="40" w:type="dxa"/>
              <w:left w:w="155" w:type="dxa"/>
              <w:bottom w:w="40" w:type="dxa"/>
              <w:right w:w="20" w:type="dxa"/>
            </w:tcMar>
          </w:tcPr>
          <w:p w14:paraId="40CB2103" w14:textId="77777777" w:rsidR="00584FB3" w:rsidRDefault="00786180">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40CB2104"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105" w14:textId="77777777" w:rsidR="00584FB3" w:rsidRDefault="00786180">
            <w:pPr>
              <w:jc w:val="right"/>
              <w:textAlignment w:val="bottom"/>
            </w:pPr>
            <w:r>
              <w:rPr>
                <w:rFonts w:ascii="Times New Roman" w:eastAsia="宋体" w:hAnsi="Times New Roman"/>
                <w:color w:val="000000"/>
                <w:sz w:val="20"/>
                <w:szCs w:val="20"/>
              </w:rPr>
              <w:t>4,284.8 </w:t>
            </w:r>
          </w:p>
        </w:tc>
        <w:tc>
          <w:tcPr>
            <w:tcW w:w="0" w:type="auto"/>
            <w:shd w:val="clear" w:color="auto" w:fill="FFFFFF"/>
            <w:tcMar>
              <w:top w:w="40" w:type="dxa"/>
              <w:left w:w="0" w:type="dxa"/>
              <w:bottom w:w="40" w:type="dxa"/>
              <w:right w:w="20" w:type="dxa"/>
            </w:tcMar>
            <w:vAlign w:val="bottom"/>
          </w:tcPr>
          <w:p w14:paraId="40CB210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07"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210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109" w14:textId="77777777" w:rsidR="00584FB3" w:rsidRDefault="00786180">
            <w:pPr>
              <w:jc w:val="right"/>
              <w:textAlignment w:val="bottom"/>
            </w:pPr>
            <w:r>
              <w:rPr>
                <w:rFonts w:ascii="Times New Roman" w:eastAsia="宋体" w:hAnsi="Times New Roman"/>
                <w:color w:val="000000"/>
                <w:sz w:val="20"/>
                <w:szCs w:val="20"/>
              </w:rPr>
              <w:t>4,471.0 </w:t>
            </w:r>
          </w:p>
        </w:tc>
        <w:tc>
          <w:tcPr>
            <w:tcW w:w="0" w:type="auto"/>
            <w:shd w:val="clear" w:color="auto" w:fill="FFFFFF"/>
            <w:tcMar>
              <w:top w:w="40" w:type="dxa"/>
              <w:left w:w="0" w:type="dxa"/>
              <w:bottom w:w="40" w:type="dxa"/>
              <w:right w:w="20" w:type="dxa"/>
            </w:tcMar>
            <w:vAlign w:val="bottom"/>
          </w:tcPr>
          <w:p w14:paraId="40CB210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0B"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210C"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10D" w14:textId="77777777" w:rsidR="00584FB3" w:rsidRDefault="00786180">
            <w:pPr>
              <w:jc w:val="right"/>
              <w:textAlignment w:val="bottom"/>
            </w:pPr>
            <w:r>
              <w:rPr>
                <w:rFonts w:ascii="Times New Roman" w:eastAsia="宋体" w:hAnsi="Times New Roman"/>
                <w:color w:val="000000"/>
                <w:sz w:val="20"/>
                <w:szCs w:val="20"/>
              </w:rPr>
              <w:t>(186.2)</w:t>
            </w:r>
          </w:p>
        </w:tc>
        <w:tc>
          <w:tcPr>
            <w:tcW w:w="0" w:type="auto"/>
            <w:shd w:val="clear" w:color="auto" w:fill="FFFFFF"/>
            <w:tcMar>
              <w:top w:w="40" w:type="dxa"/>
              <w:left w:w="0" w:type="dxa"/>
              <w:bottom w:w="40" w:type="dxa"/>
              <w:right w:w="20" w:type="dxa"/>
            </w:tcMar>
            <w:vAlign w:val="bottom"/>
          </w:tcPr>
          <w:p w14:paraId="40CB210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0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10" w14:textId="77777777" w:rsidR="00584FB3" w:rsidRDefault="00786180">
            <w:pPr>
              <w:jc w:val="right"/>
              <w:textAlignment w:val="bottom"/>
            </w:pPr>
            <w:r>
              <w:rPr>
                <w:rFonts w:ascii="Times New Roman" w:eastAsia="宋体" w:hAnsi="Times New Roman"/>
                <w:color w:val="000000"/>
                <w:sz w:val="20"/>
                <w:szCs w:val="20"/>
              </w:rPr>
              <w:t>91.1 </w:t>
            </w:r>
          </w:p>
        </w:tc>
        <w:tc>
          <w:tcPr>
            <w:tcW w:w="0" w:type="auto"/>
            <w:shd w:val="clear" w:color="auto" w:fill="FFFFFF"/>
            <w:tcMar>
              <w:top w:w="40" w:type="dxa"/>
              <w:left w:w="0" w:type="dxa"/>
              <w:bottom w:w="40" w:type="dxa"/>
              <w:right w:w="20" w:type="dxa"/>
            </w:tcMar>
            <w:vAlign w:val="bottom"/>
          </w:tcPr>
          <w:p w14:paraId="40CB2111"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11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13" w14:textId="77777777" w:rsidR="00584FB3" w:rsidRDefault="00786180">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left w:w="0" w:type="dxa"/>
              <w:bottom w:w="40" w:type="dxa"/>
              <w:right w:w="20" w:type="dxa"/>
            </w:tcMar>
            <w:vAlign w:val="bottom"/>
          </w:tcPr>
          <w:p w14:paraId="40CB2114"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2115" w14:textId="77777777" w:rsidR="00584FB3" w:rsidRDefault="00584FB3">
            <w:pPr>
              <w:rPr>
                <w:rFonts w:ascii="宋体"/>
                <w:vanish/>
              </w:rPr>
            </w:pPr>
          </w:p>
        </w:tc>
        <w:tc>
          <w:tcPr>
            <w:tcW w:w="0" w:type="auto"/>
            <w:shd w:val="clear" w:color="auto" w:fill="auto"/>
          </w:tcPr>
          <w:p w14:paraId="40CB2116" w14:textId="77777777" w:rsidR="00584FB3" w:rsidRDefault="00584FB3">
            <w:pPr>
              <w:rPr>
                <w:rFonts w:ascii="宋体"/>
                <w:vanish/>
              </w:rPr>
            </w:pPr>
          </w:p>
        </w:tc>
        <w:tc>
          <w:tcPr>
            <w:tcW w:w="0" w:type="auto"/>
            <w:gridSpan w:val="3"/>
            <w:shd w:val="clear" w:color="auto" w:fill="auto"/>
          </w:tcPr>
          <w:p w14:paraId="40CB2117" w14:textId="77777777" w:rsidR="00584FB3" w:rsidRDefault="00584FB3">
            <w:pPr>
              <w:rPr>
                <w:rFonts w:ascii="宋体"/>
                <w:vanish/>
              </w:rPr>
            </w:pPr>
          </w:p>
        </w:tc>
        <w:tc>
          <w:tcPr>
            <w:tcW w:w="0" w:type="auto"/>
            <w:gridSpan w:val="3"/>
            <w:shd w:val="clear" w:color="auto" w:fill="auto"/>
          </w:tcPr>
          <w:p w14:paraId="40CB2118" w14:textId="77777777" w:rsidR="00584FB3" w:rsidRDefault="00584FB3">
            <w:pPr>
              <w:rPr>
                <w:rFonts w:ascii="宋体"/>
                <w:vanish/>
              </w:rPr>
            </w:pPr>
          </w:p>
        </w:tc>
        <w:tc>
          <w:tcPr>
            <w:tcW w:w="0" w:type="auto"/>
            <w:gridSpan w:val="3"/>
            <w:shd w:val="clear" w:color="auto" w:fill="auto"/>
          </w:tcPr>
          <w:p w14:paraId="40CB2119" w14:textId="77777777" w:rsidR="00584FB3" w:rsidRDefault="00584FB3">
            <w:pPr>
              <w:rPr>
                <w:rFonts w:ascii="宋体"/>
                <w:vanish/>
              </w:rPr>
            </w:pPr>
          </w:p>
        </w:tc>
        <w:tc>
          <w:tcPr>
            <w:tcW w:w="0" w:type="auto"/>
            <w:gridSpan w:val="3"/>
            <w:shd w:val="clear" w:color="auto" w:fill="auto"/>
          </w:tcPr>
          <w:p w14:paraId="40CB211A" w14:textId="77777777" w:rsidR="00584FB3" w:rsidRDefault="00584FB3">
            <w:pPr>
              <w:rPr>
                <w:rFonts w:ascii="宋体"/>
                <w:vanish/>
              </w:rPr>
            </w:pPr>
          </w:p>
        </w:tc>
        <w:tc>
          <w:tcPr>
            <w:tcW w:w="0" w:type="auto"/>
            <w:gridSpan w:val="3"/>
            <w:shd w:val="clear" w:color="auto" w:fill="auto"/>
          </w:tcPr>
          <w:p w14:paraId="40CB211B" w14:textId="77777777" w:rsidR="00584FB3" w:rsidRDefault="00584FB3">
            <w:pPr>
              <w:rPr>
                <w:rFonts w:ascii="宋体"/>
                <w:vanish/>
              </w:rPr>
            </w:pPr>
          </w:p>
        </w:tc>
        <w:tc>
          <w:tcPr>
            <w:tcW w:w="0" w:type="auto"/>
            <w:gridSpan w:val="3"/>
            <w:shd w:val="clear" w:color="auto" w:fill="auto"/>
          </w:tcPr>
          <w:p w14:paraId="40CB211C" w14:textId="77777777" w:rsidR="00584FB3" w:rsidRDefault="00584FB3">
            <w:pPr>
              <w:rPr>
                <w:rFonts w:ascii="宋体"/>
                <w:vanish/>
              </w:rPr>
            </w:pPr>
          </w:p>
        </w:tc>
        <w:tc>
          <w:tcPr>
            <w:tcW w:w="0" w:type="auto"/>
            <w:gridSpan w:val="3"/>
            <w:shd w:val="clear" w:color="auto" w:fill="auto"/>
          </w:tcPr>
          <w:p w14:paraId="40CB211D" w14:textId="77777777" w:rsidR="00584FB3" w:rsidRDefault="00584FB3">
            <w:pPr>
              <w:rPr>
                <w:rFonts w:ascii="宋体"/>
                <w:vanish/>
              </w:rPr>
            </w:pPr>
          </w:p>
        </w:tc>
        <w:tc>
          <w:tcPr>
            <w:tcW w:w="0" w:type="auto"/>
            <w:gridSpan w:val="3"/>
            <w:shd w:val="clear" w:color="auto" w:fill="auto"/>
          </w:tcPr>
          <w:p w14:paraId="40CB211E" w14:textId="77777777" w:rsidR="00584FB3" w:rsidRDefault="00584FB3">
            <w:pPr>
              <w:rPr>
                <w:rFonts w:ascii="宋体"/>
                <w:vanish/>
              </w:rPr>
            </w:pPr>
          </w:p>
        </w:tc>
      </w:tr>
      <w:tr w:rsidR="00584FB3" w14:paraId="40CB2139" w14:textId="77777777">
        <w:tc>
          <w:tcPr>
            <w:tcW w:w="0" w:type="auto"/>
            <w:gridSpan w:val="3"/>
            <w:shd w:val="clear" w:color="auto" w:fill="D7E4BC"/>
            <w:tcMar>
              <w:top w:w="40" w:type="dxa"/>
              <w:left w:w="155" w:type="dxa"/>
              <w:bottom w:w="40" w:type="dxa"/>
              <w:right w:w="20" w:type="dxa"/>
            </w:tcMar>
          </w:tcPr>
          <w:p w14:paraId="40CB2120" w14:textId="77777777" w:rsidR="00584FB3" w:rsidRDefault="00786180">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0CB2121" w14:textId="77777777" w:rsidR="00584FB3" w:rsidRDefault="00786180">
            <w:pPr>
              <w:jc w:val="right"/>
              <w:textAlignment w:val="bottom"/>
            </w:pPr>
            <w:r>
              <w:rPr>
                <w:rFonts w:ascii="Times New Roman" w:eastAsia="宋体" w:hAnsi="Times New Roman"/>
                <w:color w:val="000000"/>
                <w:sz w:val="20"/>
                <w:szCs w:val="20"/>
              </w:rPr>
              <w:t>416.2 </w:t>
            </w:r>
          </w:p>
        </w:tc>
        <w:tc>
          <w:tcPr>
            <w:tcW w:w="0" w:type="auto"/>
            <w:shd w:val="clear" w:color="auto" w:fill="D7E4BC"/>
            <w:tcMar>
              <w:top w:w="40" w:type="dxa"/>
              <w:left w:w="0" w:type="dxa"/>
              <w:bottom w:w="40" w:type="dxa"/>
              <w:right w:w="20" w:type="dxa"/>
            </w:tcMar>
            <w:vAlign w:val="bottom"/>
          </w:tcPr>
          <w:p w14:paraId="40CB212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2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24" w14:textId="77777777" w:rsidR="00584FB3" w:rsidRDefault="00786180">
            <w:pPr>
              <w:jc w:val="right"/>
              <w:textAlignment w:val="bottom"/>
            </w:pPr>
            <w:r>
              <w:rPr>
                <w:rFonts w:ascii="Times New Roman" w:eastAsia="宋体" w:hAnsi="Times New Roman"/>
                <w:color w:val="000000"/>
                <w:sz w:val="20"/>
                <w:szCs w:val="20"/>
              </w:rPr>
              <w:t>537.3 </w:t>
            </w:r>
          </w:p>
        </w:tc>
        <w:tc>
          <w:tcPr>
            <w:tcW w:w="0" w:type="auto"/>
            <w:shd w:val="clear" w:color="auto" w:fill="D7E4BC"/>
            <w:tcMar>
              <w:top w:w="40" w:type="dxa"/>
              <w:left w:w="0" w:type="dxa"/>
              <w:bottom w:w="40" w:type="dxa"/>
              <w:right w:w="20" w:type="dxa"/>
            </w:tcMar>
            <w:vAlign w:val="bottom"/>
          </w:tcPr>
          <w:p w14:paraId="40CB212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2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27" w14:textId="77777777" w:rsidR="00584FB3" w:rsidRDefault="00786180">
            <w:pPr>
              <w:jc w:val="right"/>
              <w:textAlignment w:val="bottom"/>
            </w:pPr>
            <w:r>
              <w:rPr>
                <w:rFonts w:ascii="Times New Roman" w:eastAsia="宋体" w:hAnsi="Times New Roman"/>
                <w:color w:val="000000"/>
                <w:sz w:val="20"/>
                <w:szCs w:val="20"/>
              </w:rPr>
              <w:t>(121.1)</w:t>
            </w:r>
          </w:p>
        </w:tc>
        <w:tc>
          <w:tcPr>
            <w:tcW w:w="0" w:type="auto"/>
            <w:shd w:val="clear" w:color="auto" w:fill="D7E4BC"/>
            <w:tcMar>
              <w:top w:w="40" w:type="dxa"/>
              <w:left w:w="0" w:type="dxa"/>
              <w:bottom w:w="40" w:type="dxa"/>
              <w:right w:w="20" w:type="dxa"/>
            </w:tcMar>
            <w:vAlign w:val="bottom"/>
          </w:tcPr>
          <w:p w14:paraId="40CB212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2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2A" w14:textId="77777777" w:rsidR="00584FB3" w:rsidRDefault="00786180">
            <w:pPr>
              <w:jc w:val="right"/>
              <w:textAlignment w:val="bottom"/>
            </w:pPr>
            <w:r>
              <w:rPr>
                <w:rFonts w:ascii="Times New Roman" w:eastAsia="宋体" w:hAnsi="Times New Roman"/>
                <w:color w:val="000000"/>
                <w:sz w:val="20"/>
                <w:szCs w:val="20"/>
              </w:rPr>
              <w:t>8.8</w:t>
            </w: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212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2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2D" w14:textId="77777777" w:rsidR="00584FB3" w:rsidRDefault="00786180">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vAlign w:val="bottom"/>
          </w:tcPr>
          <w:p w14:paraId="40CB212E" w14:textId="77777777" w:rsidR="00584FB3" w:rsidRDefault="00584FB3">
            <w:pPr>
              <w:jc w:val="right"/>
              <w:rPr>
                <w:rFonts w:ascii="宋体"/>
              </w:rPr>
            </w:pPr>
          </w:p>
        </w:tc>
        <w:tc>
          <w:tcPr>
            <w:tcW w:w="0" w:type="auto"/>
            <w:shd w:val="clear" w:color="auto" w:fill="auto"/>
          </w:tcPr>
          <w:p w14:paraId="40CB212F" w14:textId="77777777" w:rsidR="00584FB3" w:rsidRDefault="00584FB3">
            <w:pPr>
              <w:rPr>
                <w:rFonts w:ascii="宋体"/>
                <w:vanish/>
              </w:rPr>
            </w:pPr>
          </w:p>
        </w:tc>
        <w:tc>
          <w:tcPr>
            <w:tcW w:w="0" w:type="auto"/>
            <w:shd w:val="clear" w:color="auto" w:fill="auto"/>
          </w:tcPr>
          <w:p w14:paraId="40CB2130" w14:textId="77777777" w:rsidR="00584FB3" w:rsidRDefault="00584FB3">
            <w:pPr>
              <w:rPr>
                <w:rFonts w:ascii="宋体"/>
                <w:vanish/>
              </w:rPr>
            </w:pPr>
          </w:p>
        </w:tc>
        <w:tc>
          <w:tcPr>
            <w:tcW w:w="0" w:type="auto"/>
            <w:gridSpan w:val="3"/>
            <w:shd w:val="clear" w:color="auto" w:fill="auto"/>
          </w:tcPr>
          <w:p w14:paraId="40CB2131" w14:textId="77777777" w:rsidR="00584FB3" w:rsidRDefault="00584FB3">
            <w:pPr>
              <w:rPr>
                <w:rFonts w:ascii="宋体"/>
                <w:vanish/>
              </w:rPr>
            </w:pPr>
          </w:p>
        </w:tc>
        <w:tc>
          <w:tcPr>
            <w:tcW w:w="0" w:type="auto"/>
            <w:gridSpan w:val="3"/>
            <w:shd w:val="clear" w:color="auto" w:fill="auto"/>
          </w:tcPr>
          <w:p w14:paraId="40CB2132" w14:textId="77777777" w:rsidR="00584FB3" w:rsidRDefault="00584FB3">
            <w:pPr>
              <w:rPr>
                <w:rFonts w:ascii="宋体"/>
                <w:vanish/>
              </w:rPr>
            </w:pPr>
          </w:p>
        </w:tc>
        <w:tc>
          <w:tcPr>
            <w:tcW w:w="0" w:type="auto"/>
            <w:gridSpan w:val="3"/>
            <w:shd w:val="clear" w:color="auto" w:fill="auto"/>
          </w:tcPr>
          <w:p w14:paraId="40CB2133" w14:textId="77777777" w:rsidR="00584FB3" w:rsidRDefault="00584FB3">
            <w:pPr>
              <w:rPr>
                <w:rFonts w:ascii="宋体"/>
                <w:vanish/>
              </w:rPr>
            </w:pPr>
          </w:p>
        </w:tc>
        <w:tc>
          <w:tcPr>
            <w:tcW w:w="0" w:type="auto"/>
            <w:gridSpan w:val="3"/>
            <w:shd w:val="clear" w:color="auto" w:fill="auto"/>
          </w:tcPr>
          <w:p w14:paraId="40CB2134" w14:textId="77777777" w:rsidR="00584FB3" w:rsidRDefault="00584FB3">
            <w:pPr>
              <w:rPr>
                <w:rFonts w:ascii="宋体"/>
                <w:vanish/>
              </w:rPr>
            </w:pPr>
          </w:p>
        </w:tc>
        <w:tc>
          <w:tcPr>
            <w:tcW w:w="0" w:type="auto"/>
            <w:gridSpan w:val="3"/>
            <w:shd w:val="clear" w:color="auto" w:fill="auto"/>
          </w:tcPr>
          <w:p w14:paraId="40CB2135" w14:textId="77777777" w:rsidR="00584FB3" w:rsidRDefault="00584FB3">
            <w:pPr>
              <w:rPr>
                <w:rFonts w:ascii="宋体"/>
                <w:vanish/>
              </w:rPr>
            </w:pPr>
          </w:p>
        </w:tc>
        <w:tc>
          <w:tcPr>
            <w:tcW w:w="0" w:type="auto"/>
            <w:gridSpan w:val="3"/>
            <w:shd w:val="clear" w:color="auto" w:fill="auto"/>
          </w:tcPr>
          <w:p w14:paraId="40CB2136" w14:textId="77777777" w:rsidR="00584FB3" w:rsidRDefault="00584FB3">
            <w:pPr>
              <w:rPr>
                <w:rFonts w:ascii="宋体"/>
                <w:vanish/>
              </w:rPr>
            </w:pPr>
          </w:p>
        </w:tc>
        <w:tc>
          <w:tcPr>
            <w:tcW w:w="0" w:type="auto"/>
            <w:gridSpan w:val="3"/>
            <w:shd w:val="clear" w:color="auto" w:fill="auto"/>
          </w:tcPr>
          <w:p w14:paraId="40CB2137" w14:textId="77777777" w:rsidR="00584FB3" w:rsidRDefault="00584FB3">
            <w:pPr>
              <w:rPr>
                <w:rFonts w:ascii="宋体"/>
                <w:vanish/>
              </w:rPr>
            </w:pPr>
          </w:p>
        </w:tc>
        <w:tc>
          <w:tcPr>
            <w:tcW w:w="0" w:type="auto"/>
            <w:gridSpan w:val="3"/>
            <w:shd w:val="clear" w:color="auto" w:fill="auto"/>
          </w:tcPr>
          <w:p w14:paraId="40CB2138" w14:textId="77777777" w:rsidR="00584FB3" w:rsidRDefault="00584FB3">
            <w:pPr>
              <w:rPr>
                <w:rFonts w:ascii="宋体"/>
                <w:vanish/>
              </w:rPr>
            </w:pPr>
          </w:p>
        </w:tc>
      </w:tr>
      <w:tr w:rsidR="00584FB3" w14:paraId="40CB2153" w14:textId="77777777">
        <w:tc>
          <w:tcPr>
            <w:tcW w:w="0" w:type="auto"/>
            <w:gridSpan w:val="3"/>
            <w:shd w:val="clear" w:color="auto" w:fill="FFFFFF"/>
            <w:tcMar>
              <w:top w:w="40" w:type="dxa"/>
              <w:left w:w="155" w:type="dxa"/>
              <w:bottom w:w="40" w:type="dxa"/>
              <w:right w:w="20" w:type="dxa"/>
            </w:tcMar>
          </w:tcPr>
          <w:p w14:paraId="40CB213A" w14:textId="77777777" w:rsidR="00584FB3" w:rsidRDefault="00786180">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0CB213B" w14:textId="77777777" w:rsidR="00584FB3" w:rsidRDefault="00786180">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40CB213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3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3E" w14:textId="77777777" w:rsidR="00584FB3" w:rsidRDefault="00786180">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40CB213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4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41" w14:textId="77777777" w:rsidR="00584FB3" w:rsidRDefault="00786180">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40CB214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4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44"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214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4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47"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40CB2148" w14:textId="77777777" w:rsidR="00584FB3" w:rsidRDefault="00584FB3">
            <w:pPr>
              <w:jc w:val="right"/>
              <w:rPr>
                <w:rFonts w:ascii="宋体"/>
              </w:rPr>
            </w:pPr>
          </w:p>
        </w:tc>
        <w:tc>
          <w:tcPr>
            <w:tcW w:w="0" w:type="auto"/>
            <w:shd w:val="clear" w:color="auto" w:fill="auto"/>
          </w:tcPr>
          <w:p w14:paraId="40CB2149" w14:textId="77777777" w:rsidR="00584FB3" w:rsidRDefault="00584FB3">
            <w:pPr>
              <w:rPr>
                <w:rFonts w:ascii="宋体"/>
                <w:vanish/>
              </w:rPr>
            </w:pPr>
          </w:p>
        </w:tc>
        <w:tc>
          <w:tcPr>
            <w:tcW w:w="0" w:type="auto"/>
            <w:shd w:val="clear" w:color="auto" w:fill="auto"/>
          </w:tcPr>
          <w:p w14:paraId="40CB214A" w14:textId="77777777" w:rsidR="00584FB3" w:rsidRDefault="00584FB3">
            <w:pPr>
              <w:rPr>
                <w:rFonts w:ascii="宋体"/>
                <w:vanish/>
              </w:rPr>
            </w:pPr>
          </w:p>
        </w:tc>
        <w:tc>
          <w:tcPr>
            <w:tcW w:w="0" w:type="auto"/>
            <w:gridSpan w:val="3"/>
            <w:shd w:val="clear" w:color="auto" w:fill="auto"/>
          </w:tcPr>
          <w:p w14:paraId="40CB214B" w14:textId="77777777" w:rsidR="00584FB3" w:rsidRDefault="00584FB3">
            <w:pPr>
              <w:rPr>
                <w:rFonts w:ascii="宋体"/>
                <w:vanish/>
              </w:rPr>
            </w:pPr>
          </w:p>
        </w:tc>
        <w:tc>
          <w:tcPr>
            <w:tcW w:w="0" w:type="auto"/>
            <w:gridSpan w:val="3"/>
            <w:shd w:val="clear" w:color="auto" w:fill="auto"/>
          </w:tcPr>
          <w:p w14:paraId="40CB214C" w14:textId="77777777" w:rsidR="00584FB3" w:rsidRDefault="00584FB3">
            <w:pPr>
              <w:rPr>
                <w:rFonts w:ascii="宋体"/>
                <w:vanish/>
              </w:rPr>
            </w:pPr>
          </w:p>
        </w:tc>
        <w:tc>
          <w:tcPr>
            <w:tcW w:w="0" w:type="auto"/>
            <w:gridSpan w:val="3"/>
            <w:shd w:val="clear" w:color="auto" w:fill="auto"/>
          </w:tcPr>
          <w:p w14:paraId="40CB214D" w14:textId="77777777" w:rsidR="00584FB3" w:rsidRDefault="00584FB3">
            <w:pPr>
              <w:rPr>
                <w:rFonts w:ascii="宋体"/>
                <w:vanish/>
              </w:rPr>
            </w:pPr>
          </w:p>
        </w:tc>
        <w:tc>
          <w:tcPr>
            <w:tcW w:w="0" w:type="auto"/>
            <w:gridSpan w:val="3"/>
            <w:shd w:val="clear" w:color="auto" w:fill="auto"/>
          </w:tcPr>
          <w:p w14:paraId="40CB214E" w14:textId="77777777" w:rsidR="00584FB3" w:rsidRDefault="00584FB3">
            <w:pPr>
              <w:rPr>
                <w:rFonts w:ascii="宋体"/>
                <w:vanish/>
              </w:rPr>
            </w:pPr>
          </w:p>
        </w:tc>
        <w:tc>
          <w:tcPr>
            <w:tcW w:w="0" w:type="auto"/>
            <w:gridSpan w:val="3"/>
            <w:shd w:val="clear" w:color="auto" w:fill="auto"/>
          </w:tcPr>
          <w:p w14:paraId="40CB214F" w14:textId="77777777" w:rsidR="00584FB3" w:rsidRDefault="00584FB3">
            <w:pPr>
              <w:rPr>
                <w:rFonts w:ascii="宋体"/>
                <w:vanish/>
              </w:rPr>
            </w:pPr>
          </w:p>
        </w:tc>
        <w:tc>
          <w:tcPr>
            <w:tcW w:w="0" w:type="auto"/>
            <w:gridSpan w:val="3"/>
            <w:shd w:val="clear" w:color="auto" w:fill="auto"/>
          </w:tcPr>
          <w:p w14:paraId="40CB2150" w14:textId="77777777" w:rsidR="00584FB3" w:rsidRDefault="00584FB3">
            <w:pPr>
              <w:rPr>
                <w:rFonts w:ascii="宋体"/>
                <w:vanish/>
              </w:rPr>
            </w:pPr>
          </w:p>
        </w:tc>
        <w:tc>
          <w:tcPr>
            <w:tcW w:w="0" w:type="auto"/>
            <w:gridSpan w:val="3"/>
            <w:shd w:val="clear" w:color="auto" w:fill="auto"/>
          </w:tcPr>
          <w:p w14:paraId="40CB2151" w14:textId="77777777" w:rsidR="00584FB3" w:rsidRDefault="00584FB3">
            <w:pPr>
              <w:rPr>
                <w:rFonts w:ascii="宋体"/>
                <w:vanish/>
              </w:rPr>
            </w:pPr>
          </w:p>
        </w:tc>
        <w:tc>
          <w:tcPr>
            <w:tcW w:w="0" w:type="auto"/>
            <w:gridSpan w:val="3"/>
            <w:shd w:val="clear" w:color="auto" w:fill="auto"/>
          </w:tcPr>
          <w:p w14:paraId="40CB2152" w14:textId="77777777" w:rsidR="00584FB3" w:rsidRDefault="00584FB3">
            <w:pPr>
              <w:rPr>
                <w:rFonts w:ascii="宋体"/>
                <w:vanish/>
              </w:rPr>
            </w:pPr>
          </w:p>
        </w:tc>
      </w:tr>
      <w:tr w:rsidR="00584FB3" w14:paraId="40CB216D" w14:textId="77777777">
        <w:tc>
          <w:tcPr>
            <w:tcW w:w="0" w:type="auto"/>
            <w:gridSpan w:val="3"/>
            <w:shd w:val="clear" w:color="auto" w:fill="D7E4BC"/>
            <w:tcMar>
              <w:top w:w="40" w:type="dxa"/>
              <w:left w:w="20" w:type="dxa"/>
              <w:bottom w:w="40" w:type="dxa"/>
              <w:right w:w="20" w:type="dxa"/>
            </w:tcMar>
          </w:tcPr>
          <w:p w14:paraId="40CB2154" w14:textId="77777777" w:rsidR="00584FB3" w:rsidRDefault="00786180">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155" w14:textId="77777777" w:rsidR="00584FB3" w:rsidRDefault="00786180">
            <w:pPr>
              <w:jc w:val="right"/>
              <w:textAlignment w:val="bottom"/>
            </w:pPr>
            <w:r>
              <w:rPr>
                <w:rFonts w:ascii="Times New Roman" w:eastAsia="宋体" w:hAnsi="Times New Roman"/>
                <w:b/>
                <w:bCs/>
                <w:color w:val="000000"/>
                <w:sz w:val="20"/>
                <w:szCs w:val="20"/>
              </w:rPr>
              <w:t>4,703.2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15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57"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158" w14:textId="77777777" w:rsidR="00584FB3" w:rsidRDefault="00786180">
            <w:pPr>
              <w:jc w:val="right"/>
              <w:textAlignment w:val="bottom"/>
            </w:pPr>
            <w:r>
              <w:rPr>
                <w:rFonts w:ascii="Times New Roman" w:eastAsia="宋体" w:hAnsi="Times New Roman"/>
                <w:b/>
                <w:bCs/>
                <w:color w:val="000000"/>
                <w:sz w:val="20"/>
                <w:szCs w:val="20"/>
              </w:rPr>
              <w:t>5,010.9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15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5A"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15B" w14:textId="77777777" w:rsidR="00584FB3" w:rsidRDefault="00786180">
            <w:pPr>
              <w:jc w:val="right"/>
              <w:textAlignment w:val="bottom"/>
            </w:pPr>
            <w:r>
              <w:rPr>
                <w:rFonts w:ascii="Times New Roman" w:eastAsia="宋体" w:hAnsi="Times New Roman"/>
                <w:b/>
                <w:bCs/>
                <w:color w:val="000000"/>
                <w:sz w:val="20"/>
                <w:szCs w:val="20"/>
              </w:rPr>
              <w:t>(307.7)</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15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5D"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15E" w14:textId="77777777" w:rsidR="00584FB3" w:rsidRDefault="00786180">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15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60"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161" w14:textId="77777777" w:rsidR="00584FB3" w:rsidRDefault="00786180">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162" w14:textId="77777777" w:rsidR="00584FB3" w:rsidRDefault="00584FB3">
            <w:pPr>
              <w:jc w:val="right"/>
              <w:rPr>
                <w:rFonts w:ascii="宋体"/>
              </w:rPr>
            </w:pPr>
          </w:p>
        </w:tc>
        <w:tc>
          <w:tcPr>
            <w:tcW w:w="0" w:type="auto"/>
            <w:shd w:val="clear" w:color="auto" w:fill="auto"/>
          </w:tcPr>
          <w:p w14:paraId="40CB2163" w14:textId="77777777" w:rsidR="00584FB3" w:rsidRDefault="00584FB3">
            <w:pPr>
              <w:rPr>
                <w:rFonts w:ascii="宋体"/>
                <w:vanish/>
              </w:rPr>
            </w:pPr>
          </w:p>
        </w:tc>
        <w:tc>
          <w:tcPr>
            <w:tcW w:w="0" w:type="auto"/>
            <w:shd w:val="clear" w:color="auto" w:fill="auto"/>
          </w:tcPr>
          <w:p w14:paraId="40CB2164" w14:textId="77777777" w:rsidR="00584FB3" w:rsidRDefault="00584FB3">
            <w:pPr>
              <w:rPr>
                <w:rFonts w:ascii="宋体"/>
                <w:vanish/>
              </w:rPr>
            </w:pPr>
          </w:p>
        </w:tc>
        <w:tc>
          <w:tcPr>
            <w:tcW w:w="0" w:type="auto"/>
            <w:gridSpan w:val="3"/>
            <w:shd w:val="clear" w:color="auto" w:fill="auto"/>
          </w:tcPr>
          <w:p w14:paraId="40CB2165" w14:textId="77777777" w:rsidR="00584FB3" w:rsidRDefault="00584FB3">
            <w:pPr>
              <w:rPr>
                <w:rFonts w:ascii="宋体"/>
                <w:vanish/>
              </w:rPr>
            </w:pPr>
          </w:p>
        </w:tc>
        <w:tc>
          <w:tcPr>
            <w:tcW w:w="0" w:type="auto"/>
            <w:gridSpan w:val="3"/>
            <w:shd w:val="clear" w:color="auto" w:fill="auto"/>
          </w:tcPr>
          <w:p w14:paraId="40CB2166" w14:textId="77777777" w:rsidR="00584FB3" w:rsidRDefault="00584FB3">
            <w:pPr>
              <w:rPr>
                <w:rFonts w:ascii="宋体"/>
                <w:vanish/>
              </w:rPr>
            </w:pPr>
          </w:p>
        </w:tc>
        <w:tc>
          <w:tcPr>
            <w:tcW w:w="0" w:type="auto"/>
            <w:gridSpan w:val="3"/>
            <w:shd w:val="clear" w:color="auto" w:fill="auto"/>
          </w:tcPr>
          <w:p w14:paraId="40CB2167" w14:textId="77777777" w:rsidR="00584FB3" w:rsidRDefault="00584FB3">
            <w:pPr>
              <w:rPr>
                <w:rFonts w:ascii="宋体"/>
                <w:vanish/>
              </w:rPr>
            </w:pPr>
          </w:p>
        </w:tc>
        <w:tc>
          <w:tcPr>
            <w:tcW w:w="0" w:type="auto"/>
            <w:gridSpan w:val="3"/>
            <w:shd w:val="clear" w:color="auto" w:fill="auto"/>
          </w:tcPr>
          <w:p w14:paraId="40CB2168" w14:textId="77777777" w:rsidR="00584FB3" w:rsidRDefault="00584FB3">
            <w:pPr>
              <w:rPr>
                <w:rFonts w:ascii="宋体"/>
                <w:vanish/>
              </w:rPr>
            </w:pPr>
          </w:p>
        </w:tc>
        <w:tc>
          <w:tcPr>
            <w:tcW w:w="0" w:type="auto"/>
            <w:gridSpan w:val="3"/>
            <w:shd w:val="clear" w:color="auto" w:fill="auto"/>
          </w:tcPr>
          <w:p w14:paraId="40CB2169" w14:textId="77777777" w:rsidR="00584FB3" w:rsidRDefault="00584FB3">
            <w:pPr>
              <w:rPr>
                <w:rFonts w:ascii="宋体"/>
                <w:vanish/>
              </w:rPr>
            </w:pPr>
          </w:p>
        </w:tc>
        <w:tc>
          <w:tcPr>
            <w:tcW w:w="0" w:type="auto"/>
            <w:gridSpan w:val="3"/>
            <w:shd w:val="clear" w:color="auto" w:fill="auto"/>
          </w:tcPr>
          <w:p w14:paraId="40CB216A" w14:textId="77777777" w:rsidR="00584FB3" w:rsidRDefault="00584FB3">
            <w:pPr>
              <w:rPr>
                <w:rFonts w:ascii="宋体"/>
                <w:vanish/>
              </w:rPr>
            </w:pPr>
          </w:p>
        </w:tc>
        <w:tc>
          <w:tcPr>
            <w:tcW w:w="0" w:type="auto"/>
            <w:gridSpan w:val="3"/>
            <w:shd w:val="clear" w:color="auto" w:fill="auto"/>
          </w:tcPr>
          <w:p w14:paraId="40CB216B" w14:textId="77777777" w:rsidR="00584FB3" w:rsidRDefault="00584FB3">
            <w:pPr>
              <w:rPr>
                <w:rFonts w:ascii="宋体"/>
                <w:vanish/>
              </w:rPr>
            </w:pPr>
          </w:p>
        </w:tc>
        <w:tc>
          <w:tcPr>
            <w:tcW w:w="0" w:type="auto"/>
            <w:gridSpan w:val="3"/>
            <w:shd w:val="clear" w:color="auto" w:fill="auto"/>
          </w:tcPr>
          <w:p w14:paraId="40CB216C" w14:textId="77777777" w:rsidR="00584FB3" w:rsidRDefault="00584FB3">
            <w:pPr>
              <w:rPr>
                <w:rFonts w:ascii="宋体"/>
                <w:vanish/>
              </w:rPr>
            </w:pPr>
          </w:p>
        </w:tc>
      </w:tr>
      <w:tr w:rsidR="00584FB3" w14:paraId="40CB2187" w14:textId="77777777">
        <w:tc>
          <w:tcPr>
            <w:tcW w:w="0" w:type="auto"/>
            <w:gridSpan w:val="3"/>
            <w:shd w:val="clear" w:color="auto" w:fill="FFFFFF"/>
            <w:tcMar>
              <w:top w:w="40" w:type="dxa"/>
              <w:left w:w="20" w:type="dxa"/>
              <w:bottom w:w="40" w:type="dxa"/>
              <w:right w:w="20" w:type="dxa"/>
            </w:tcMar>
          </w:tcPr>
          <w:p w14:paraId="40CB216E" w14:textId="77777777" w:rsidR="00584FB3" w:rsidRDefault="00786180">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40CB216F" w14:textId="77777777" w:rsidR="00584FB3" w:rsidRDefault="00786180">
            <w:pPr>
              <w:jc w:val="right"/>
              <w:textAlignment w:val="bottom"/>
            </w:pPr>
            <w:r>
              <w:rPr>
                <w:rFonts w:ascii="Times New Roman" w:eastAsia="宋体" w:hAnsi="Times New Roman"/>
                <w:color w:val="000000"/>
                <w:sz w:val="20"/>
                <w:szCs w:val="20"/>
              </w:rPr>
              <w:t>1,276.2 </w:t>
            </w:r>
          </w:p>
        </w:tc>
        <w:tc>
          <w:tcPr>
            <w:tcW w:w="0" w:type="auto"/>
            <w:shd w:val="clear" w:color="auto" w:fill="FFFFFF"/>
            <w:tcMar>
              <w:top w:w="40" w:type="dxa"/>
              <w:left w:w="0" w:type="dxa"/>
              <w:bottom w:w="40" w:type="dxa"/>
              <w:right w:w="20" w:type="dxa"/>
            </w:tcMar>
            <w:vAlign w:val="bottom"/>
          </w:tcPr>
          <w:p w14:paraId="40CB217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7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72" w14:textId="77777777" w:rsidR="00584FB3" w:rsidRDefault="00786180">
            <w:pPr>
              <w:jc w:val="right"/>
              <w:textAlignment w:val="bottom"/>
            </w:pPr>
            <w:r>
              <w:rPr>
                <w:rFonts w:ascii="Times New Roman" w:eastAsia="宋体" w:hAnsi="Times New Roman"/>
                <w:color w:val="000000"/>
                <w:sz w:val="20"/>
                <w:szCs w:val="20"/>
              </w:rPr>
              <w:t>1,388.4 </w:t>
            </w:r>
          </w:p>
        </w:tc>
        <w:tc>
          <w:tcPr>
            <w:tcW w:w="0" w:type="auto"/>
            <w:shd w:val="clear" w:color="auto" w:fill="FFFFFF"/>
            <w:tcMar>
              <w:top w:w="40" w:type="dxa"/>
              <w:left w:w="0" w:type="dxa"/>
              <w:bottom w:w="40" w:type="dxa"/>
              <w:right w:w="20" w:type="dxa"/>
            </w:tcMar>
            <w:vAlign w:val="bottom"/>
          </w:tcPr>
          <w:p w14:paraId="40CB217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7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75" w14:textId="77777777" w:rsidR="00584FB3" w:rsidRDefault="00786180">
            <w:pPr>
              <w:jc w:val="right"/>
              <w:textAlignment w:val="bottom"/>
            </w:pPr>
            <w:r>
              <w:rPr>
                <w:rFonts w:ascii="Times New Roman" w:eastAsia="宋体" w:hAnsi="Times New Roman"/>
                <w:color w:val="000000"/>
                <w:sz w:val="20"/>
                <w:szCs w:val="20"/>
              </w:rPr>
              <w:t>(112.2)</w:t>
            </w:r>
          </w:p>
        </w:tc>
        <w:tc>
          <w:tcPr>
            <w:tcW w:w="0" w:type="auto"/>
            <w:shd w:val="clear" w:color="auto" w:fill="FFFFFF"/>
            <w:tcMar>
              <w:top w:w="40" w:type="dxa"/>
              <w:left w:w="0" w:type="dxa"/>
              <w:bottom w:w="40" w:type="dxa"/>
              <w:right w:w="20" w:type="dxa"/>
            </w:tcMar>
            <w:vAlign w:val="bottom"/>
          </w:tcPr>
          <w:p w14:paraId="40CB217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7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78" w14:textId="77777777" w:rsidR="00584FB3" w:rsidRDefault="00786180">
            <w:pPr>
              <w:jc w:val="right"/>
              <w:textAlignment w:val="bottom"/>
            </w:pPr>
            <w:r>
              <w:rPr>
                <w:rFonts w:ascii="Times New Roman" w:eastAsia="宋体" w:hAnsi="Times New Roman"/>
                <w:color w:val="000000"/>
                <w:sz w:val="20"/>
                <w:szCs w:val="20"/>
              </w:rPr>
              <w:t>27.1 </w:t>
            </w:r>
          </w:p>
        </w:tc>
        <w:tc>
          <w:tcPr>
            <w:tcW w:w="0" w:type="auto"/>
            <w:shd w:val="clear" w:color="auto" w:fill="FFFFFF"/>
            <w:tcMar>
              <w:top w:w="40" w:type="dxa"/>
              <w:left w:w="0" w:type="dxa"/>
              <w:bottom w:w="40" w:type="dxa"/>
              <w:right w:w="20" w:type="dxa"/>
            </w:tcMar>
            <w:vAlign w:val="bottom"/>
          </w:tcPr>
          <w:p w14:paraId="40CB217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7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7B" w14:textId="77777777" w:rsidR="00584FB3" w:rsidRDefault="00786180">
            <w:pPr>
              <w:jc w:val="right"/>
              <w:textAlignment w:val="bottom"/>
            </w:pPr>
            <w:r>
              <w:rPr>
                <w:rFonts w:ascii="Times New Roman" w:eastAsia="宋体" w:hAnsi="Times New Roman"/>
                <w:color w:val="000000"/>
                <w:sz w:val="20"/>
                <w:szCs w:val="20"/>
              </w:rPr>
              <w:t>27.7 </w:t>
            </w:r>
          </w:p>
        </w:tc>
        <w:tc>
          <w:tcPr>
            <w:tcW w:w="0" w:type="auto"/>
            <w:shd w:val="clear" w:color="auto" w:fill="FFFFFF"/>
            <w:tcMar>
              <w:top w:w="40" w:type="dxa"/>
              <w:left w:w="0" w:type="dxa"/>
              <w:bottom w:w="40" w:type="dxa"/>
              <w:right w:w="20" w:type="dxa"/>
            </w:tcMar>
            <w:vAlign w:val="bottom"/>
          </w:tcPr>
          <w:p w14:paraId="40CB217C" w14:textId="77777777" w:rsidR="00584FB3" w:rsidRDefault="00584FB3">
            <w:pPr>
              <w:jc w:val="right"/>
              <w:rPr>
                <w:rFonts w:ascii="宋体"/>
              </w:rPr>
            </w:pPr>
          </w:p>
        </w:tc>
        <w:tc>
          <w:tcPr>
            <w:tcW w:w="0" w:type="auto"/>
            <w:shd w:val="clear" w:color="auto" w:fill="auto"/>
          </w:tcPr>
          <w:p w14:paraId="40CB217D" w14:textId="77777777" w:rsidR="00584FB3" w:rsidRDefault="00584FB3">
            <w:pPr>
              <w:rPr>
                <w:rFonts w:ascii="宋体"/>
                <w:vanish/>
              </w:rPr>
            </w:pPr>
          </w:p>
        </w:tc>
        <w:tc>
          <w:tcPr>
            <w:tcW w:w="0" w:type="auto"/>
            <w:shd w:val="clear" w:color="auto" w:fill="auto"/>
          </w:tcPr>
          <w:p w14:paraId="40CB217E" w14:textId="77777777" w:rsidR="00584FB3" w:rsidRDefault="00584FB3">
            <w:pPr>
              <w:rPr>
                <w:rFonts w:ascii="宋体"/>
                <w:vanish/>
              </w:rPr>
            </w:pPr>
          </w:p>
        </w:tc>
        <w:tc>
          <w:tcPr>
            <w:tcW w:w="0" w:type="auto"/>
            <w:gridSpan w:val="3"/>
            <w:shd w:val="clear" w:color="auto" w:fill="auto"/>
          </w:tcPr>
          <w:p w14:paraId="40CB217F" w14:textId="77777777" w:rsidR="00584FB3" w:rsidRDefault="00584FB3">
            <w:pPr>
              <w:rPr>
                <w:rFonts w:ascii="宋体"/>
                <w:vanish/>
              </w:rPr>
            </w:pPr>
          </w:p>
        </w:tc>
        <w:tc>
          <w:tcPr>
            <w:tcW w:w="0" w:type="auto"/>
            <w:gridSpan w:val="3"/>
            <w:shd w:val="clear" w:color="auto" w:fill="auto"/>
          </w:tcPr>
          <w:p w14:paraId="40CB2180" w14:textId="77777777" w:rsidR="00584FB3" w:rsidRDefault="00584FB3">
            <w:pPr>
              <w:rPr>
                <w:rFonts w:ascii="宋体"/>
                <w:vanish/>
              </w:rPr>
            </w:pPr>
          </w:p>
        </w:tc>
        <w:tc>
          <w:tcPr>
            <w:tcW w:w="0" w:type="auto"/>
            <w:gridSpan w:val="3"/>
            <w:shd w:val="clear" w:color="auto" w:fill="auto"/>
          </w:tcPr>
          <w:p w14:paraId="40CB2181" w14:textId="77777777" w:rsidR="00584FB3" w:rsidRDefault="00584FB3">
            <w:pPr>
              <w:rPr>
                <w:rFonts w:ascii="宋体"/>
                <w:vanish/>
              </w:rPr>
            </w:pPr>
          </w:p>
        </w:tc>
        <w:tc>
          <w:tcPr>
            <w:tcW w:w="0" w:type="auto"/>
            <w:gridSpan w:val="3"/>
            <w:shd w:val="clear" w:color="auto" w:fill="auto"/>
          </w:tcPr>
          <w:p w14:paraId="40CB2182" w14:textId="77777777" w:rsidR="00584FB3" w:rsidRDefault="00584FB3">
            <w:pPr>
              <w:rPr>
                <w:rFonts w:ascii="宋体"/>
                <w:vanish/>
              </w:rPr>
            </w:pPr>
          </w:p>
        </w:tc>
        <w:tc>
          <w:tcPr>
            <w:tcW w:w="0" w:type="auto"/>
            <w:gridSpan w:val="3"/>
            <w:shd w:val="clear" w:color="auto" w:fill="auto"/>
          </w:tcPr>
          <w:p w14:paraId="40CB2183" w14:textId="77777777" w:rsidR="00584FB3" w:rsidRDefault="00584FB3">
            <w:pPr>
              <w:rPr>
                <w:rFonts w:ascii="宋体"/>
                <w:vanish/>
              </w:rPr>
            </w:pPr>
          </w:p>
        </w:tc>
        <w:tc>
          <w:tcPr>
            <w:tcW w:w="0" w:type="auto"/>
            <w:gridSpan w:val="3"/>
            <w:shd w:val="clear" w:color="auto" w:fill="auto"/>
          </w:tcPr>
          <w:p w14:paraId="40CB2184" w14:textId="77777777" w:rsidR="00584FB3" w:rsidRDefault="00584FB3">
            <w:pPr>
              <w:rPr>
                <w:rFonts w:ascii="宋体"/>
                <w:vanish/>
              </w:rPr>
            </w:pPr>
          </w:p>
        </w:tc>
        <w:tc>
          <w:tcPr>
            <w:tcW w:w="0" w:type="auto"/>
            <w:gridSpan w:val="3"/>
            <w:shd w:val="clear" w:color="auto" w:fill="auto"/>
          </w:tcPr>
          <w:p w14:paraId="40CB2185" w14:textId="77777777" w:rsidR="00584FB3" w:rsidRDefault="00584FB3">
            <w:pPr>
              <w:rPr>
                <w:rFonts w:ascii="宋体"/>
                <w:vanish/>
              </w:rPr>
            </w:pPr>
          </w:p>
        </w:tc>
        <w:tc>
          <w:tcPr>
            <w:tcW w:w="0" w:type="auto"/>
            <w:gridSpan w:val="3"/>
            <w:shd w:val="clear" w:color="auto" w:fill="auto"/>
          </w:tcPr>
          <w:p w14:paraId="40CB2186" w14:textId="77777777" w:rsidR="00584FB3" w:rsidRDefault="00584FB3">
            <w:pPr>
              <w:rPr>
                <w:rFonts w:ascii="宋体"/>
                <w:vanish/>
              </w:rPr>
            </w:pPr>
          </w:p>
        </w:tc>
      </w:tr>
      <w:tr w:rsidR="00584FB3" w14:paraId="40CB21A1" w14:textId="77777777">
        <w:tc>
          <w:tcPr>
            <w:tcW w:w="0" w:type="auto"/>
            <w:gridSpan w:val="3"/>
            <w:shd w:val="clear" w:color="auto" w:fill="D7E4BC"/>
            <w:tcMar>
              <w:top w:w="40" w:type="dxa"/>
              <w:left w:w="20" w:type="dxa"/>
              <w:bottom w:w="40" w:type="dxa"/>
              <w:right w:w="20" w:type="dxa"/>
            </w:tcMar>
          </w:tcPr>
          <w:p w14:paraId="40CB2188" w14:textId="77777777" w:rsidR="00584FB3" w:rsidRDefault="00786180">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40CB2189" w14:textId="77777777" w:rsidR="00584FB3" w:rsidRDefault="00786180">
            <w:pPr>
              <w:jc w:val="right"/>
              <w:textAlignment w:val="bottom"/>
            </w:pPr>
            <w:r>
              <w:rPr>
                <w:rFonts w:ascii="Times New Roman" w:eastAsia="宋体" w:hAnsi="Times New Roman"/>
                <w:color w:val="000000"/>
                <w:sz w:val="20"/>
                <w:szCs w:val="20"/>
              </w:rPr>
              <w:t>2,238.8 </w:t>
            </w:r>
          </w:p>
        </w:tc>
        <w:tc>
          <w:tcPr>
            <w:tcW w:w="0" w:type="auto"/>
            <w:shd w:val="clear" w:color="auto" w:fill="D7E4BC"/>
            <w:tcMar>
              <w:top w:w="40" w:type="dxa"/>
              <w:left w:w="0" w:type="dxa"/>
              <w:bottom w:w="40" w:type="dxa"/>
              <w:right w:w="20" w:type="dxa"/>
            </w:tcMar>
            <w:vAlign w:val="bottom"/>
          </w:tcPr>
          <w:p w14:paraId="40CB218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8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8C" w14:textId="77777777" w:rsidR="00584FB3" w:rsidRDefault="00786180">
            <w:pPr>
              <w:jc w:val="right"/>
              <w:textAlignment w:val="bottom"/>
            </w:pPr>
            <w:r>
              <w:rPr>
                <w:rFonts w:ascii="Times New Roman" w:eastAsia="宋体" w:hAnsi="Times New Roman"/>
                <w:color w:val="000000"/>
                <w:sz w:val="20"/>
                <w:szCs w:val="20"/>
              </w:rPr>
              <w:t>2,214.4 </w:t>
            </w:r>
          </w:p>
        </w:tc>
        <w:tc>
          <w:tcPr>
            <w:tcW w:w="0" w:type="auto"/>
            <w:shd w:val="clear" w:color="auto" w:fill="D7E4BC"/>
            <w:tcMar>
              <w:top w:w="40" w:type="dxa"/>
              <w:left w:w="0" w:type="dxa"/>
              <w:bottom w:w="40" w:type="dxa"/>
              <w:right w:w="20" w:type="dxa"/>
            </w:tcMar>
            <w:vAlign w:val="bottom"/>
          </w:tcPr>
          <w:p w14:paraId="40CB218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8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8F" w14:textId="77777777" w:rsidR="00584FB3" w:rsidRDefault="00786180">
            <w:pPr>
              <w:jc w:val="right"/>
              <w:textAlignment w:val="bottom"/>
            </w:pPr>
            <w:r>
              <w:rPr>
                <w:rFonts w:ascii="Times New Roman" w:eastAsia="宋体" w:hAnsi="Times New Roman"/>
                <w:color w:val="000000"/>
                <w:sz w:val="20"/>
                <w:szCs w:val="20"/>
              </w:rPr>
              <w:t>24.4 </w:t>
            </w:r>
          </w:p>
        </w:tc>
        <w:tc>
          <w:tcPr>
            <w:tcW w:w="0" w:type="auto"/>
            <w:shd w:val="clear" w:color="auto" w:fill="D7E4BC"/>
            <w:tcMar>
              <w:top w:w="40" w:type="dxa"/>
              <w:left w:w="0" w:type="dxa"/>
              <w:bottom w:w="40" w:type="dxa"/>
              <w:right w:w="20" w:type="dxa"/>
            </w:tcMar>
            <w:vAlign w:val="bottom"/>
          </w:tcPr>
          <w:p w14:paraId="40CB219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9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92" w14:textId="77777777" w:rsidR="00584FB3" w:rsidRDefault="00786180">
            <w:pPr>
              <w:jc w:val="right"/>
              <w:textAlignment w:val="bottom"/>
            </w:pPr>
            <w:r>
              <w:rPr>
                <w:rFonts w:ascii="Times New Roman" w:eastAsia="宋体" w:hAnsi="Times New Roman"/>
                <w:color w:val="000000"/>
                <w:sz w:val="20"/>
                <w:szCs w:val="20"/>
              </w:rPr>
              <w:t>47.6 </w:t>
            </w:r>
          </w:p>
        </w:tc>
        <w:tc>
          <w:tcPr>
            <w:tcW w:w="0" w:type="auto"/>
            <w:shd w:val="clear" w:color="auto" w:fill="D7E4BC"/>
            <w:tcMar>
              <w:top w:w="40" w:type="dxa"/>
              <w:left w:w="0" w:type="dxa"/>
              <w:bottom w:w="40" w:type="dxa"/>
              <w:right w:w="20" w:type="dxa"/>
            </w:tcMar>
            <w:vAlign w:val="bottom"/>
          </w:tcPr>
          <w:p w14:paraId="40CB219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9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95" w14:textId="77777777" w:rsidR="00584FB3" w:rsidRDefault="00786180">
            <w:pPr>
              <w:jc w:val="right"/>
              <w:textAlignment w:val="bottom"/>
            </w:pPr>
            <w:r>
              <w:rPr>
                <w:rFonts w:ascii="Times New Roman" w:eastAsia="宋体" w:hAnsi="Times New Roman"/>
                <w:color w:val="000000"/>
                <w:sz w:val="20"/>
                <w:szCs w:val="20"/>
              </w:rPr>
              <w:t>44.2 </w:t>
            </w:r>
          </w:p>
        </w:tc>
        <w:tc>
          <w:tcPr>
            <w:tcW w:w="0" w:type="auto"/>
            <w:shd w:val="clear" w:color="auto" w:fill="D7E4BC"/>
            <w:tcMar>
              <w:top w:w="40" w:type="dxa"/>
              <w:left w:w="0" w:type="dxa"/>
              <w:bottom w:w="40" w:type="dxa"/>
              <w:right w:w="20" w:type="dxa"/>
            </w:tcMar>
            <w:vAlign w:val="bottom"/>
          </w:tcPr>
          <w:p w14:paraId="40CB2196" w14:textId="77777777" w:rsidR="00584FB3" w:rsidRDefault="00584FB3">
            <w:pPr>
              <w:jc w:val="right"/>
              <w:rPr>
                <w:rFonts w:ascii="宋体"/>
              </w:rPr>
            </w:pPr>
          </w:p>
        </w:tc>
        <w:tc>
          <w:tcPr>
            <w:tcW w:w="0" w:type="auto"/>
            <w:shd w:val="clear" w:color="auto" w:fill="auto"/>
          </w:tcPr>
          <w:p w14:paraId="40CB2197" w14:textId="77777777" w:rsidR="00584FB3" w:rsidRDefault="00584FB3">
            <w:pPr>
              <w:rPr>
                <w:rFonts w:ascii="宋体"/>
                <w:vanish/>
              </w:rPr>
            </w:pPr>
          </w:p>
        </w:tc>
        <w:tc>
          <w:tcPr>
            <w:tcW w:w="0" w:type="auto"/>
            <w:shd w:val="clear" w:color="auto" w:fill="auto"/>
          </w:tcPr>
          <w:p w14:paraId="40CB2198" w14:textId="77777777" w:rsidR="00584FB3" w:rsidRDefault="00584FB3">
            <w:pPr>
              <w:rPr>
                <w:rFonts w:ascii="宋体"/>
                <w:vanish/>
              </w:rPr>
            </w:pPr>
          </w:p>
        </w:tc>
        <w:tc>
          <w:tcPr>
            <w:tcW w:w="0" w:type="auto"/>
            <w:gridSpan w:val="3"/>
            <w:shd w:val="clear" w:color="auto" w:fill="auto"/>
          </w:tcPr>
          <w:p w14:paraId="40CB2199" w14:textId="77777777" w:rsidR="00584FB3" w:rsidRDefault="00584FB3">
            <w:pPr>
              <w:rPr>
                <w:rFonts w:ascii="宋体"/>
                <w:vanish/>
              </w:rPr>
            </w:pPr>
          </w:p>
        </w:tc>
        <w:tc>
          <w:tcPr>
            <w:tcW w:w="0" w:type="auto"/>
            <w:gridSpan w:val="3"/>
            <w:shd w:val="clear" w:color="auto" w:fill="auto"/>
          </w:tcPr>
          <w:p w14:paraId="40CB219A" w14:textId="77777777" w:rsidR="00584FB3" w:rsidRDefault="00584FB3">
            <w:pPr>
              <w:rPr>
                <w:rFonts w:ascii="宋体"/>
                <w:vanish/>
              </w:rPr>
            </w:pPr>
          </w:p>
        </w:tc>
        <w:tc>
          <w:tcPr>
            <w:tcW w:w="0" w:type="auto"/>
            <w:gridSpan w:val="3"/>
            <w:shd w:val="clear" w:color="auto" w:fill="auto"/>
          </w:tcPr>
          <w:p w14:paraId="40CB219B" w14:textId="77777777" w:rsidR="00584FB3" w:rsidRDefault="00584FB3">
            <w:pPr>
              <w:rPr>
                <w:rFonts w:ascii="宋体"/>
                <w:vanish/>
              </w:rPr>
            </w:pPr>
          </w:p>
        </w:tc>
        <w:tc>
          <w:tcPr>
            <w:tcW w:w="0" w:type="auto"/>
            <w:gridSpan w:val="3"/>
            <w:shd w:val="clear" w:color="auto" w:fill="auto"/>
          </w:tcPr>
          <w:p w14:paraId="40CB219C" w14:textId="77777777" w:rsidR="00584FB3" w:rsidRDefault="00584FB3">
            <w:pPr>
              <w:rPr>
                <w:rFonts w:ascii="宋体"/>
                <w:vanish/>
              </w:rPr>
            </w:pPr>
          </w:p>
        </w:tc>
        <w:tc>
          <w:tcPr>
            <w:tcW w:w="0" w:type="auto"/>
            <w:gridSpan w:val="3"/>
            <w:shd w:val="clear" w:color="auto" w:fill="auto"/>
          </w:tcPr>
          <w:p w14:paraId="40CB219D" w14:textId="77777777" w:rsidR="00584FB3" w:rsidRDefault="00584FB3">
            <w:pPr>
              <w:rPr>
                <w:rFonts w:ascii="宋体"/>
                <w:vanish/>
              </w:rPr>
            </w:pPr>
          </w:p>
        </w:tc>
        <w:tc>
          <w:tcPr>
            <w:tcW w:w="0" w:type="auto"/>
            <w:gridSpan w:val="3"/>
            <w:shd w:val="clear" w:color="auto" w:fill="auto"/>
          </w:tcPr>
          <w:p w14:paraId="40CB219E" w14:textId="77777777" w:rsidR="00584FB3" w:rsidRDefault="00584FB3">
            <w:pPr>
              <w:rPr>
                <w:rFonts w:ascii="宋体"/>
                <w:vanish/>
              </w:rPr>
            </w:pPr>
          </w:p>
        </w:tc>
        <w:tc>
          <w:tcPr>
            <w:tcW w:w="0" w:type="auto"/>
            <w:gridSpan w:val="3"/>
            <w:shd w:val="clear" w:color="auto" w:fill="auto"/>
          </w:tcPr>
          <w:p w14:paraId="40CB219F" w14:textId="77777777" w:rsidR="00584FB3" w:rsidRDefault="00584FB3">
            <w:pPr>
              <w:rPr>
                <w:rFonts w:ascii="宋体"/>
                <w:vanish/>
              </w:rPr>
            </w:pPr>
          </w:p>
        </w:tc>
        <w:tc>
          <w:tcPr>
            <w:tcW w:w="0" w:type="auto"/>
            <w:gridSpan w:val="3"/>
            <w:shd w:val="clear" w:color="auto" w:fill="auto"/>
          </w:tcPr>
          <w:p w14:paraId="40CB21A0" w14:textId="77777777" w:rsidR="00584FB3" w:rsidRDefault="00584FB3">
            <w:pPr>
              <w:rPr>
                <w:rFonts w:ascii="宋体"/>
                <w:vanish/>
              </w:rPr>
            </w:pPr>
          </w:p>
        </w:tc>
      </w:tr>
      <w:tr w:rsidR="00584FB3" w14:paraId="40CB21BB" w14:textId="77777777">
        <w:tc>
          <w:tcPr>
            <w:tcW w:w="0" w:type="auto"/>
            <w:gridSpan w:val="3"/>
            <w:shd w:val="clear" w:color="auto" w:fill="FFFFFF"/>
            <w:tcMar>
              <w:top w:w="40" w:type="dxa"/>
              <w:left w:w="20" w:type="dxa"/>
              <w:bottom w:w="40" w:type="dxa"/>
              <w:right w:w="20" w:type="dxa"/>
            </w:tcMar>
          </w:tcPr>
          <w:p w14:paraId="40CB21A2" w14:textId="77777777" w:rsidR="00584FB3" w:rsidRDefault="00786180">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40CB21A3" w14:textId="77777777" w:rsidR="00584FB3" w:rsidRDefault="00786180">
            <w:pPr>
              <w:jc w:val="right"/>
              <w:textAlignment w:val="bottom"/>
            </w:pPr>
            <w:r>
              <w:rPr>
                <w:rFonts w:ascii="Times New Roman" w:eastAsia="宋体" w:hAnsi="Times New Roman"/>
                <w:color w:val="000000"/>
                <w:sz w:val="20"/>
                <w:szCs w:val="20"/>
              </w:rPr>
              <w:t>42.8 </w:t>
            </w:r>
          </w:p>
        </w:tc>
        <w:tc>
          <w:tcPr>
            <w:tcW w:w="0" w:type="auto"/>
            <w:shd w:val="clear" w:color="auto" w:fill="FFFFFF"/>
            <w:tcMar>
              <w:top w:w="40" w:type="dxa"/>
              <w:left w:w="0" w:type="dxa"/>
              <w:bottom w:w="40" w:type="dxa"/>
              <w:right w:w="20" w:type="dxa"/>
            </w:tcMar>
            <w:vAlign w:val="bottom"/>
          </w:tcPr>
          <w:p w14:paraId="40CB21A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A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A6" w14:textId="77777777" w:rsidR="00584FB3" w:rsidRDefault="00786180">
            <w:pPr>
              <w:jc w:val="right"/>
              <w:textAlignment w:val="bottom"/>
            </w:pPr>
            <w:r>
              <w:rPr>
                <w:rFonts w:ascii="Times New Roman" w:eastAsia="宋体" w:hAnsi="Times New Roman"/>
                <w:color w:val="000000"/>
                <w:sz w:val="20"/>
                <w:szCs w:val="20"/>
              </w:rPr>
              <w:t>42.5 </w:t>
            </w:r>
          </w:p>
        </w:tc>
        <w:tc>
          <w:tcPr>
            <w:tcW w:w="0" w:type="auto"/>
            <w:shd w:val="clear" w:color="auto" w:fill="FFFFFF"/>
            <w:tcMar>
              <w:top w:w="40" w:type="dxa"/>
              <w:left w:w="0" w:type="dxa"/>
              <w:bottom w:w="40" w:type="dxa"/>
              <w:right w:w="20" w:type="dxa"/>
            </w:tcMar>
            <w:vAlign w:val="bottom"/>
          </w:tcPr>
          <w:p w14:paraId="40CB21A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A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A9" w14:textId="77777777" w:rsidR="00584FB3" w:rsidRDefault="00786180">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40CB21A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A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AC" w14:textId="77777777" w:rsidR="00584FB3" w:rsidRDefault="00786180">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40CB21A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A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AF" w14:textId="77777777" w:rsidR="00584FB3" w:rsidRDefault="00786180">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40CB21B0" w14:textId="77777777" w:rsidR="00584FB3" w:rsidRDefault="00584FB3">
            <w:pPr>
              <w:jc w:val="right"/>
              <w:rPr>
                <w:rFonts w:ascii="宋体"/>
              </w:rPr>
            </w:pPr>
          </w:p>
        </w:tc>
        <w:tc>
          <w:tcPr>
            <w:tcW w:w="0" w:type="auto"/>
            <w:shd w:val="clear" w:color="auto" w:fill="auto"/>
          </w:tcPr>
          <w:p w14:paraId="40CB21B1" w14:textId="77777777" w:rsidR="00584FB3" w:rsidRDefault="00584FB3">
            <w:pPr>
              <w:rPr>
                <w:rFonts w:ascii="宋体"/>
                <w:vanish/>
              </w:rPr>
            </w:pPr>
          </w:p>
        </w:tc>
        <w:tc>
          <w:tcPr>
            <w:tcW w:w="0" w:type="auto"/>
            <w:shd w:val="clear" w:color="auto" w:fill="auto"/>
          </w:tcPr>
          <w:p w14:paraId="40CB21B2" w14:textId="77777777" w:rsidR="00584FB3" w:rsidRDefault="00584FB3">
            <w:pPr>
              <w:rPr>
                <w:rFonts w:ascii="宋体"/>
                <w:vanish/>
              </w:rPr>
            </w:pPr>
          </w:p>
        </w:tc>
        <w:tc>
          <w:tcPr>
            <w:tcW w:w="0" w:type="auto"/>
            <w:gridSpan w:val="3"/>
            <w:shd w:val="clear" w:color="auto" w:fill="auto"/>
          </w:tcPr>
          <w:p w14:paraId="40CB21B3" w14:textId="77777777" w:rsidR="00584FB3" w:rsidRDefault="00584FB3">
            <w:pPr>
              <w:rPr>
                <w:rFonts w:ascii="宋体"/>
                <w:vanish/>
              </w:rPr>
            </w:pPr>
          </w:p>
        </w:tc>
        <w:tc>
          <w:tcPr>
            <w:tcW w:w="0" w:type="auto"/>
            <w:gridSpan w:val="3"/>
            <w:shd w:val="clear" w:color="auto" w:fill="auto"/>
          </w:tcPr>
          <w:p w14:paraId="40CB21B4" w14:textId="77777777" w:rsidR="00584FB3" w:rsidRDefault="00584FB3">
            <w:pPr>
              <w:rPr>
                <w:rFonts w:ascii="宋体"/>
                <w:vanish/>
              </w:rPr>
            </w:pPr>
          </w:p>
        </w:tc>
        <w:tc>
          <w:tcPr>
            <w:tcW w:w="0" w:type="auto"/>
            <w:gridSpan w:val="3"/>
            <w:shd w:val="clear" w:color="auto" w:fill="auto"/>
          </w:tcPr>
          <w:p w14:paraId="40CB21B5" w14:textId="77777777" w:rsidR="00584FB3" w:rsidRDefault="00584FB3">
            <w:pPr>
              <w:rPr>
                <w:rFonts w:ascii="宋体"/>
                <w:vanish/>
              </w:rPr>
            </w:pPr>
          </w:p>
        </w:tc>
        <w:tc>
          <w:tcPr>
            <w:tcW w:w="0" w:type="auto"/>
            <w:gridSpan w:val="3"/>
            <w:shd w:val="clear" w:color="auto" w:fill="auto"/>
          </w:tcPr>
          <w:p w14:paraId="40CB21B6" w14:textId="77777777" w:rsidR="00584FB3" w:rsidRDefault="00584FB3">
            <w:pPr>
              <w:rPr>
                <w:rFonts w:ascii="宋体"/>
                <w:vanish/>
              </w:rPr>
            </w:pPr>
          </w:p>
        </w:tc>
        <w:tc>
          <w:tcPr>
            <w:tcW w:w="0" w:type="auto"/>
            <w:gridSpan w:val="3"/>
            <w:shd w:val="clear" w:color="auto" w:fill="auto"/>
          </w:tcPr>
          <w:p w14:paraId="40CB21B7" w14:textId="77777777" w:rsidR="00584FB3" w:rsidRDefault="00584FB3">
            <w:pPr>
              <w:rPr>
                <w:rFonts w:ascii="宋体"/>
                <w:vanish/>
              </w:rPr>
            </w:pPr>
          </w:p>
        </w:tc>
        <w:tc>
          <w:tcPr>
            <w:tcW w:w="0" w:type="auto"/>
            <w:gridSpan w:val="3"/>
            <w:shd w:val="clear" w:color="auto" w:fill="auto"/>
          </w:tcPr>
          <w:p w14:paraId="40CB21B8" w14:textId="77777777" w:rsidR="00584FB3" w:rsidRDefault="00584FB3">
            <w:pPr>
              <w:rPr>
                <w:rFonts w:ascii="宋体"/>
                <w:vanish/>
              </w:rPr>
            </w:pPr>
          </w:p>
        </w:tc>
        <w:tc>
          <w:tcPr>
            <w:tcW w:w="0" w:type="auto"/>
            <w:gridSpan w:val="3"/>
            <w:shd w:val="clear" w:color="auto" w:fill="auto"/>
          </w:tcPr>
          <w:p w14:paraId="40CB21B9" w14:textId="77777777" w:rsidR="00584FB3" w:rsidRDefault="00584FB3">
            <w:pPr>
              <w:rPr>
                <w:rFonts w:ascii="宋体"/>
                <w:vanish/>
              </w:rPr>
            </w:pPr>
          </w:p>
        </w:tc>
        <w:tc>
          <w:tcPr>
            <w:tcW w:w="0" w:type="auto"/>
            <w:gridSpan w:val="3"/>
            <w:shd w:val="clear" w:color="auto" w:fill="auto"/>
          </w:tcPr>
          <w:p w14:paraId="40CB21BA" w14:textId="77777777" w:rsidR="00584FB3" w:rsidRDefault="00584FB3">
            <w:pPr>
              <w:rPr>
                <w:rFonts w:ascii="宋体"/>
                <w:vanish/>
              </w:rPr>
            </w:pPr>
          </w:p>
        </w:tc>
      </w:tr>
      <w:tr w:rsidR="00584FB3" w14:paraId="40CB21D5" w14:textId="77777777">
        <w:tc>
          <w:tcPr>
            <w:tcW w:w="0" w:type="auto"/>
            <w:gridSpan w:val="3"/>
            <w:shd w:val="clear" w:color="auto" w:fill="D7E4BC"/>
            <w:tcMar>
              <w:top w:w="40" w:type="dxa"/>
              <w:left w:w="20" w:type="dxa"/>
              <w:bottom w:w="40" w:type="dxa"/>
              <w:right w:w="20" w:type="dxa"/>
            </w:tcMar>
          </w:tcPr>
          <w:p w14:paraId="40CB21BC"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0CB21BD" w14:textId="77777777" w:rsidR="00584FB3" w:rsidRDefault="00786180">
            <w:pPr>
              <w:jc w:val="right"/>
              <w:textAlignment w:val="bottom"/>
            </w:pPr>
            <w:r>
              <w:rPr>
                <w:rFonts w:ascii="Times New Roman" w:eastAsia="宋体" w:hAnsi="Times New Roman"/>
                <w:color w:val="000000"/>
                <w:sz w:val="20"/>
                <w:szCs w:val="20"/>
              </w:rPr>
              <w:t>188.9 </w:t>
            </w:r>
          </w:p>
        </w:tc>
        <w:tc>
          <w:tcPr>
            <w:tcW w:w="0" w:type="auto"/>
            <w:shd w:val="clear" w:color="auto" w:fill="D7E4BC"/>
            <w:tcMar>
              <w:top w:w="40" w:type="dxa"/>
              <w:left w:w="0" w:type="dxa"/>
              <w:bottom w:w="40" w:type="dxa"/>
              <w:right w:w="20" w:type="dxa"/>
            </w:tcMar>
            <w:vAlign w:val="bottom"/>
          </w:tcPr>
          <w:p w14:paraId="40CB21B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B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C0" w14:textId="77777777" w:rsidR="00584FB3" w:rsidRDefault="00786180">
            <w:pPr>
              <w:jc w:val="right"/>
              <w:textAlignment w:val="bottom"/>
            </w:pPr>
            <w:r>
              <w:rPr>
                <w:rFonts w:ascii="Times New Roman" w:eastAsia="宋体" w:hAnsi="Times New Roman"/>
                <w:color w:val="000000"/>
                <w:sz w:val="20"/>
                <w:szCs w:val="20"/>
              </w:rPr>
              <w:t>189.2 </w:t>
            </w:r>
          </w:p>
        </w:tc>
        <w:tc>
          <w:tcPr>
            <w:tcW w:w="0" w:type="auto"/>
            <w:shd w:val="clear" w:color="auto" w:fill="D7E4BC"/>
            <w:tcMar>
              <w:top w:w="40" w:type="dxa"/>
              <w:left w:w="0" w:type="dxa"/>
              <w:bottom w:w="40" w:type="dxa"/>
              <w:right w:w="20" w:type="dxa"/>
            </w:tcMar>
            <w:vAlign w:val="bottom"/>
          </w:tcPr>
          <w:p w14:paraId="40CB21C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C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C3" w14:textId="77777777" w:rsidR="00584FB3" w:rsidRDefault="00786180">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40CB21C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C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C6" w14:textId="77777777" w:rsidR="00584FB3" w:rsidRDefault="00786180">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40CB21C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C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C9" w14:textId="77777777" w:rsidR="00584FB3" w:rsidRDefault="00786180">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40CB21CA" w14:textId="77777777" w:rsidR="00584FB3" w:rsidRDefault="00584FB3">
            <w:pPr>
              <w:jc w:val="right"/>
              <w:rPr>
                <w:rFonts w:ascii="宋体"/>
              </w:rPr>
            </w:pPr>
          </w:p>
        </w:tc>
        <w:tc>
          <w:tcPr>
            <w:tcW w:w="0" w:type="auto"/>
            <w:shd w:val="clear" w:color="auto" w:fill="auto"/>
          </w:tcPr>
          <w:p w14:paraId="40CB21CB" w14:textId="77777777" w:rsidR="00584FB3" w:rsidRDefault="00584FB3">
            <w:pPr>
              <w:rPr>
                <w:rFonts w:ascii="宋体"/>
                <w:vanish/>
              </w:rPr>
            </w:pPr>
          </w:p>
        </w:tc>
        <w:tc>
          <w:tcPr>
            <w:tcW w:w="0" w:type="auto"/>
            <w:shd w:val="clear" w:color="auto" w:fill="auto"/>
          </w:tcPr>
          <w:p w14:paraId="40CB21CC" w14:textId="77777777" w:rsidR="00584FB3" w:rsidRDefault="00584FB3">
            <w:pPr>
              <w:rPr>
                <w:rFonts w:ascii="宋体"/>
                <w:vanish/>
              </w:rPr>
            </w:pPr>
          </w:p>
        </w:tc>
        <w:tc>
          <w:tcPr>
            <w:tcW w:w="0" w:type="auto"/>
            <w:gridSpan w:val="3"/>
            <w:shd w:val="clear" w:color="auto" w:fill="auto"/>
          </w:tcPr>
          <w:p w14:paraId="40CB21CD" w14:textId="77777777" w:rsidR="00584FB3" w:rsidRDefault="00584FB3">
            <w:pPr>
              <w:rPr>
                <w:rFonts w:ascii="宋体"/>
                <w:vanish/>
              </w:rPr>
            </w:pPr>
          </w:p>
        </w:tc>
        <w:tc>
          <w:tcPr>
            <w:tcW w:w="0" w:type="auto"/>
            <w:gridSpan w:val="3"/>
            <w:shd w:val="clear" w:color="auto" w:fill="auto"/>
          </w:tcPr>
          <w:p w14:paraId="40CB21CE" w14:textId="77777777" w:rsidR="00584FB3" w:rsidRDefault="00584FB3">
            <w:pPr>
              <w:rPr>
                <w:rFonts w:ascii="宋体"/>
                <w:vanish/>
              </w:rPr>
            </w:pPr>
          </w:p>
        </w:tc>
        <w:tc>
          <w:tcPr>
            <w:tcW w:w="0" w:type="auto"/>
            <w:gridSpan w:val="3"/>
            <w:shd w:val="clear" w:color="auto" w:fill="auto"/>
          </w:tcPr>
          <w:p w14:paraId="40CB21CF" w14:textId="77777777" w:rsidR="00584FB3" w:rsidRDefault="00584FB3">
            <w:pPr>
              <w:rPr>
                <w:rFonts w:ascii="宋体"/>
                <w:vanish/>
              </w:rPr>
            </w:pPr>
          </w:p>
        </w:tc>
        <w:tc>
          <w:tcPr>
            <w:tcW w:w="0" w:type="auto"/>
            <w:gridSpan w:val="3"/>
            <w:shd w:val="clear" w:color="auto" w:fill="auto"/>
          </w:tcPr>
          <w:p w14:paraId="40CB21D0" w14:textId="77777777" w:rsidR="00584FB3" w:rsidRDefault="00584FB3">
            <w:pPr>
              <w:rPr>
                <w:rFonts w:ascii="宋体"/>
                <w:vanish/>
              </w:rPr>
            </w:pPr>
          </w:p>
        </w:tc>
        <w:tc>
          <w:tcPr>
            <w:tcW w:w="0" w:type="auto"/>
            <w:gridSpan w:val="3"/>
            <w:shd w:val="clear" w:color="auto" w:fill="auto"/>
          </w:tcPr>
          <w:p w14:paraId="40CB21D1" w14:textId="77777777" w:rsidR="00584FB3" w:rsidRDefault="00584FB3">
            <w:pPr>
              <w:rPr>
                <w:rFonts w:ascii="宋体"/>
                <w:vanish/>
              </w:rPr>
            </w:pPr>
          </w:p>
        </w:tc>
        <w:tc>
          <w:tcPr>
            <w:tcW w:w="0" w:type="auto"/>
            <w:gridSpan w:val="3"/>
            <w:shd w:val="clear" w:color="auto" w:fill="auto"/>
          </w:tcPr>
          <w:p w14:paraId="40CB21D2" w14:textId="77777777" w:rsidR="00584FB3" w:rsidRDefault="00584FB3">
            <w:pPr>
              <w:rPr>
                <w:rFonts w:ascii="宋体"/>
                <w:vanish/>
              </w:rPr>
            </w:pPr>
          </w:p>
        </w:tc>
        <w:tc>
          <w:tcPr>
            <w:tcW w:w="0" w:type="auto"/>
            <w:gridSpan w:val="3"/>
            <w:shd w:val="clear" w:color="auto" w:fill="auto"/>
          </w:tcPr>
          <w:p w14:paraId="40CB21D3" w14:textId="77777777" w:rsidR="00584FB3" w:rsidRDefault="00584FB3">
            <w:pPr>
              <w:rPr>
                <w:rFonts w:ascii="宋体"/>
                <w:vanish/>
              </w:rPr>
            </w:pPr>
          </w:p>
        </w:tc>
        <w:tc>
          <w:tcPr>
            <w:tcW w:w="0" w:type="auto"/>
            <w:gridSpan w:val="3"/>
            <w:shd w:val="clear" w:color="auto" w:fill="auto"/>
          </w:tcPr>
          <w:p w14:paraId="40CB21D4" w14:textId="77777777" w:rsidR="00584FB3" w:rsidRDefault="00584FB3">
            <w:pPr>
              <w:rPr>
                <w:rFonts w:ascii="宋体"/>
                <w:vanish/>
              </w:rPr>
            </w:pPr>
          </w:p>
        </w:tc>
      </w:tr>
      <w:tr w:rsidR="00584FB3" w14:paraId="40CB21EF" w14:textId="77777777">
        <w:tc>
          <w:tcPr>
            <w:tcW w:w="0" w:type="auto"/>
            <w:gridSpan w:val="3"/>
            <w:shd w:val="clear" w:color="auto" w:fill="FFFFFF"/>
            <w:tcMar>
              <w:top w:w="40" w:type="dxa"/>
              <w:left w:w="20" w:type="dxa"/>
              <w:bottom w:w="40" w:type="dxa"/>
              <w:right w:w="20" w:type="dxa"/>
            </w:tcMar>
          </w:tcPr>
          <w:p w14:paraId="40CB21D6" w14:textId="77777777" w:rsidR="00584FB3" w:rsidRDefault="00786180">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40CB21D7" w14:textId="77777777" w:rsidR="00584FB3" w:rsidRDefault="00786180">
            <w:pPr>
              <w:jc w:val="right"/>
              <w:textAlignment w:val="bottom"/>
            </w:pPr>
            <w:r>
              <w:rPr>
                <w:rFonts w:ascii="Times New Roman" w:eastAsia="宋体" w:hAnsi="Times New Roman"/>
                <w:color w:val="000000"/>
                <w:sz w:val="20"/>
                <w:szCs w:val="20"/>
              </w:rPr>
              <w:t>70.8 </w:t>
            </w:r>
          </w:p>
        </w:tc>
        <w:tc>
          <w:tcPr>
            <w:tcW w:w="0" w:type="auto"/>
            <w:shd w:val="clear" w:color="auto" w:fill="FFFFFF"/>
            <w:tcMar>
              <w:top w:w="40" w:type="dxa"/>
              <w:left w:w="0" w:type="dxa"/>
              <w:bottom w:w="40" w:type="dxa"/>
              <w:right w:w="20" w:type="dxa"/>
            </w:tcMar>
            <w:vAlign w:val="bottom"/>
          </w:tcPr>
          <w:p w14:paraId="40CB21D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D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DA" w14:textId="77777777" w:rsidR="00584FB3" w:rsidRDefault="00786180">
            <w:pPr>
              <w:jc w:val="right"/>
              <w:textAlignment w:val="bottom"/>
            </w:pPr>
            <w:r>
              <w:rPr>
                <w:rFonts w:ascii="Times New Roman" w:eastAsia="宋体" w:hAnsi="Times New Roman"/>
                <w:color w:val="000000"/>
                <w:sz w:val="20"/>
                <w:szCs w:val="20"/>
              </w:rPr>
              <w:t>72.4 </w:t>
            </w:r>
          </w:p>
        </w:tc>
        <w:tc>
          <w:tcPr>
            <w:tcW w:w="0" w:type="auto"/>
            <w:shd w:val="clear" w:color="auto" w:fill="FFFFFF"/>
            <w:tcMar>
              <w:top w:w="40" w:type="dxa"/>
              <w:left w:w="0" w:type="dxa"/>
              <w:bottom w:w="40" w:type="dxa"/>
              <w:right w:w="20" w:type="dxa"/>
            </w:tcMar>
            <w:vAlign w:val="bottom"/>
          </w:tcPr>
          <w:p w14:paraId="40CB21D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D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DD" w14:textId="77777777" w:rsidR="00584FB3" w:rsidRDefault="00786180">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40CB21D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D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E0" w14:textId="77777777" w:rsidR="00584FB3" w:rsidRDefault="00786180">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40CB21E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1E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1E3" w14:textId="77777777" w:rsidR="00584FB3" w:rsidRDefault="00786180">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40CB21E4" w14:textId="77777777" w:rsidR="00584FB3" w:rsidRDefault="00584FB3">
            <w:pPr>
              <w:jc w:val="right"/>
              <w:rPr>
                <w:rFonts w:ascii="宋体"/>
              </w:rPr>
            </w:pPr>
          </w:p>
        </w:tc>
        <w:tc>
          <w:tcPr>
            <w:tcW w:w="0" w:type="auto"/>
            <w:shd w:val="clear" w:color="auto" w:fill="auto"/>
          </w:tcPr>
          <w:p w14:paraId="40CB21E5" w14:textId="77777777" w:rsidR="00584FB3" w:rsidRDefault="00584FB3">
            <w:pPr>
              <w:rPr>
                <w:rFonts w:ascii="宋体"/>
                <w:vanish/>
              </w:rPr>
            </w:pPr>
          </w:p>
        </w:tc>
        <w:tc>
          <w:tcPr>
            <w:tcW w:w="0" w:type="auto"/>
            <w:shd w:val="clear" w:color="auto" w:fill="auto"/>
          </w:tcPr>
          <w:p w14:paraId="40CB21E6" w14:textId="77777777" w:rsidR="00584FB3" w:rsidRDefault="00584FB3">
            <w:pPr>
              <w:rPr>
                <w:rFonts w:ascii="宋体"/>
                <w:vanish/>
              </w:rPr>
            </w:pPr>
          </w:p>
        </w:tc>
        <w:tc>
          <w:tcPr>
            <w:tcW w:w="0" w:type="auto"/>
            <w:gridSpan w:val="3"/>
            <w:shd w:val="clear" w:color="auto" w:fill="auto"/>
          </w:tcPr>
          <w:p w14:paraId="40CB21E7" w14:textId="77777777" w:rsidR="00584FB3" w:rsidRDefault="00584FB3">
            <w:pPr>
              <w:rPr>
                <w:rFonts w:ascii="宋体"/>
                <w:vanish/>
              </w:rPr>
            </w:pPr>
          </w:p>
        </w:tc>
        <w:tc>
          <w:tcPr>
            <w:tcW w:w="0" w:type="auto"/>
            <w:gridSpan w:val="3"/>
            <w:shd w:val="clear" w:color="auto" w:fill="auto"/>
          </w:tcPr>
          <w:p w14:paraId="40CB21E8" w14:textId="77777777" w:rsidR="00584FB3" w:rsidRDefault="00584FB3">
            <w:pPr>
              <w:rPr>
                <w:rFonts w:ascii="宋体"/>
                <w:vanish/>
              </w:rPr>
            </w:pPr>
          </w:p>
        </w:tc>
        <w:tc>
          <w:tcPr>
            <w:tcW w:w="0" w:type="auto"/>
            <w:gridSpan w:val="3"/>
            <w:shd w:val="clear" w:color="auto" w:fill="auto"/>
          </w:tcPr>
          <w:p w14:paraId="40CB21E9" w14:textId="77777777" w:rsidR="00584FB3" w:rsidRDefault="00584FB3">
            <w:pPr>
              <w:rPr>
                <w:rFonts w:ascii="宋体"/>
                <w:vanish/>
              </w:rPr>
            </w:pPr>
          </w:p>
        </w:tc>
        <w:tc>
          <w:tcPr>
            <w:tcW w:w="0" w:type="auto"/>
            <w:gridSpan w:val="3"/>
            <w:shd w:val="clear" w:color="auto" w:fill="auto"/>
          </w:tcPr>
          <w:p w14:paraId="40CB21EA" w14:textId="77777777" w:rsidR="00584FB3" w:rsidRDefault="00584FB3">
            <w:pPr>
              <w:rPr>
                <w:rFonts w:ascii="宋体"/>
                <w:vanish/>
              </w:rPr>
            </w:pPr>
          </w:p>
        </w:tc>
        <w:tc>
          <w:tcPr>
            <w:tcW w:w="0" w:type="auto"/>
            <w:gridSpan w:val="3"/>
            <w:shd w:val="clear" w:color="auto" w:fill="auto"/>
          </w:tcPr>
          <w:p w14:paraId="40CB21EB" w14:textId="77777777" w:rsidR="00584FB3" w:rsidRDefault="00584FB3">
            <w:pPr>
              <w:rPr>
                <w:rFonts w:ascii="宋体"/>
                <w:vanish/>
              </w:rPr>
            </w:pPr>
          </w:p>
        </w:tc>
        <w:tc>
          <w:tcPr>
            <w:tcW w:w="0" w:type="auto"/>
            <w:gridSpan w:val="3"/>
            <w:shd w:val="clear" w:color="auto" w:fill="auto"/>
          </w:tcPr>
          <w:p w14:paraId="40CB21EC" w14:textId="77777777" w:rsidR="00584FB3" w:rsidRDefault="00584FB3">
            <w:pPr>
              <w:rPr>
                <w:rFonts w:ascii="宋体"/>
                <w:vanish/>
              </w:rPr>
            </w:pPr>
          </w:p>
        </w:tc>
        <w:tc>
          <w:tcPr>
            <w:tcW w:w="0" w:type="auto"/>
            <w:gridSpan w:val="3"/>
            <w:shd w:val="clear" w:color="auto" w:fill="auto"/>
          </w:tcPr>
          <w:p w14:paraId="40CB21ED" w14:textId="77777777" w:rsidR="00584FB3" w:rsidRDefault="00584FB3">
            <w:pPr>
              <w:rPr>
                <w:rFonts w:ascii="宋体"/>
                <w:vanish/>
              </w:rPr>
            </w:pPr>
          </w:p>
        </w:tc>
        <w:tc>
          <w:tcPr>
            <w:tcW w:w="0" w:type="auto"/>
            <w:gridSpan w:val="3"/>
            <w:shd w:val="clear" w:color="auto" w:fill="auto"/>
          </w:tcPr>
          <w:p w14:paraId="40CB21EE" w14:textId="77777777" w:rsidR="00584FB3" w:rsidRDefault="00584FB3">
            <w:pPr>
              <w:rPr>
                <w:rFonts w:ascii="宋体"/>
                <w:vanish/>
              </w:rPr>
            </w:pPr>
          </w:p>
        </w:tc>
      </w:tr>
      <w:tr w:rsidR="00584FB3" w14:paraId="40CB2209" w14:textId="77777777">
        <w:tc>
          <w:tcPr>
            <w:tcW w:w="0" w:type="auto"/>
            <w:gridSpan w:val="3"/>
            <w:shd w:val="clear" w:color="auto" w:fill="D7E4BC"/>
            <w:tcMar>
              <w:top w:w="40" w:type="dxa"/>
              <w:left w:w="20" w:type="dxa"/>
              <w:bottom w:w="40" w:type="dxa"/>
              <w:right w:w="20" w:type="dxa"/>
            </w:tcMar>
          </w:tcPr>
          <w:p w14:paraId="40CB21F0" w14:textId="77777777" w:rsidR="00584FB3" w:rsidRDefault="00786180">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40CB21F1" w14:textId="77777777" w:rsidR="00584FB3" w:rsidRDefault="00786180">
            <w:pPr>
              <w:jc w:val="right"/>
              <w:textAlignment w:val="bottom"/>
            </w:pPr>
            <w:r>
              <w:rPr>
                <w:rFonts w:ascii="Times New Roman" w:eastAsia="宋体" w:hAnsi="Times New Roman"/>
                <w:color w:val="000000"/>
                <w:sz w:val="20"/>
                <w:szCs w:val="20"/>
              </w:rPr>
              <w:t>72.2 </w:t>
            </w:r>
          </w:p>
        </w:tc>
        <w:tc>
          <w:tcPr>
            <w:tcW w:w="0" w:type="auto"/>
            <w:shd w:val="clear" w:color="auto" w:fill="D7E4BC"/>
            <w:tcMar>
              <w:top w:w="40" w:type="dxa"/>
              <w:left w:w="0" w:type="dxa"/>
              <w:bottom w:w="40" w:type="dxa"/>
              <w:right w:w="20" w:type="dxa"/>
            </w:tcMar>
            <w:vAlign w:val="bottom"/>
          </w:tcPr>
          <w:p w14:paraId="40CB21F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F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F4" w14:textId="77777777" w:rsidR="00584FB3" w:rsidRDefault="00786180">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bottom"/>
          </w:tcPr>
          <w:p w14:paraId="40CB21F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F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F7" w14:textId="77777777" w:rsidR="00584FB3" w:rsidRDefault="00786180">
            <w:pPr>
              <w:jc w:val="right"/>
              <w:textAlignment w:val="bottom"/>
            </w:pPr>
            <w:r>
              <w:rPr>
                <w:rFonts w:ascii="Times New Roman" w:eastAsia="宋体" w:hAnsi="Times New Roman"/>
                <w:color w:val="000000"/>
                <w:sz w:val="20"/>
                <w:szCs w:val="20"/>
              </w:rPr>
              <w:t>67.0 </w:t>
            </w:r>
          </w:p>
        </w:tc>
        <w:tc>
          <w:tcPr>
            <w:tcW w:w="0" w:type="auto"/>
            <w:shd w:val="clear" w:color="auto" w:fill="D7E4BC"/>
            <w:tcMar>
              <w:top w:w="40" w:type="dxa"/>
              <w:left w:w="0" w:type="dxa"/>
              <w:bottom w:w="40" w:type="dxa"/>
              <w:right w:w="20" w:type="dxa"/>
            </w:tcMar>
            <w:vAlign w:val="bottom"/>
          </w:tcPr>
          <w:p w14:paraId="40CB21F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F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FA" w14:textId="77777777" w:rsidR="00584FB3" w:rsidRDefault="00786180">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40CB21F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1F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1FD"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40CB21FE" w14:textId="77777777" w:rsidR="00584FB3" w:rsidRDefault="00584FB3">
            <w:pPr>
              <w:jc w:val="right"/>
              <w:rPr>
                <w:rFonts w:ascii="宋体"/>
              </w:rPr>
            </w:pPr>
          </w:p>
        </w:tc>
        <w:tc>
          <w:tcPr>
            <w:tcW w:w="0" w:type="auto"/>
            <w:shd w:val="clear" w:color="auto" w:fill="auto"/>
          </w:tcPr>
          <w:p w14:paraId="40CB21FF" w14:textId="77777777" w:rsidR="00584FB3" w:rsidRDefault="00584FB3">
            <w:pPr>
              <w:rPr>
                <w:rFonts w:ascii="宋体"/>
                <w:vanish/>
              </w:rPr>
            </w:pPr>
          </w:p>
        </w:tc>
        <w:tc>
          <w:tcPr>
            <w:tcW w:w="0" w:type="auto"/>
            <w:shd w:val="clear" w:color="auto" w:fill="auto"/>
          </w:tcPr>
          <w:p w14:paraId="40CB2200" w14:textId="77777777" w:rsidR="00584FB3" w:rsidRDefault="00584FB3">
            <w:pPr>
              <w:rPr>
                <w:rFonts w:ascii="宋体"/>
                <w:vanish/>
              </w:rPr>
            </w:pPr>
          </w:p>
        </w:tc>
        <w:tc>
          <w:tcPr>
            <w:tcW w:w="0" w:type="auto"/>
            <w:gridSpan w:val="3"/>
            <w:shd w:val="clear" w:color="auto" w:fill="auto"/>
          </w:tcPr>
          <w:p w14:paraId="40CB2201" w14:textId="77777777" w:rsidR="00584FB3" w:rsidRDefault="00584FB3">
            <w:pPr>
              <w:rPr>
                <w:rFonts w:ascii="宋体"/>
                <w:vanish/>
              </w:rPr>
            </w:pPr>
          </w:p>
        </w:tc>
        <w:tc>
          <w:tcPr>
            <w:tcW w:w="0" w:type="auto"/>
            <w:gridSpan w:val="3"/>
            <w:shd w:val="clear" w:color="auto" w:fill="auto"/>
          </w:tcPr>
          <w:p w14:paraId="40CB2202" w14:textId="77777777" w:rsidR="00584FB3" w:rsidRDefault="00584FB3">
            <w:pPr>
              <w:rPr>
                <w:rFonts w:ascii="宋体"/>
                <w:vanish/>
              </w:rPr>
            </w:pPr>
          </w:p>
        </w:tc>
        <w:tc>
          <w:tcPr>
            <w:tcW w:w="0" w:type="auto"/>
            <w:gridSpan w:val="3"/>
            <w:shd w:val="clear" w:color="auto" w:fill="auto"/>
          </w:tcPr>
          <w:p w14:paraId="40CB2203" w14:textId="77777777" w:rsidR="00584FB3" w:rsidRDefault="00584FB3">
            <w:pPr>
              <w:rPr>
                <w:rFonts w:ascii="宋体"/>
                <w:vanish/>
              </w:rPr>
            </w:pPr>
          </w:p>
        </w:tc>
        <w:tc>
          <w:tcPr>
            <w:tcW w:w="0" w:type="auto"/>
            <w:gridSpan w:val="3"/>
            <w:shd w:val="clear" w:color="auto" w:fill="auto"/>
          </w:tcPr>
          <w:p w14:paraId="40CB2204" w14:textId="77777777" w:rsidR="00584FB3" w:rsidRDefault="00584FB3">
            <w:pPr>
              <w:rPr>
                <w:rFonts w:ascii="宋体"/>
                <w:vanish/>
              </w:rPr>
            </w:pPr>
          </w:p>
        </w:tc>
        <w:tc>
          <w:tcPr>
            <w:tcW w:w="0" w:type="auto"/>
            <w:gridSpan w:val="3"/>
            <w:shd w:val="clear" w:color="auto" w:fill="auto"/>
          </w:tcPr>
          <w:p w14:paraId="40CB2205" w14:textId="77777777" w:rsidR="00584FB3" w:rsidRDefault="00584FB3">
            <w:pPr>
              <w:rPr>
                <w:rFonts w:ascii="宋体"/>
                <w:vanish/>
              </w:rPr>
            </w:pPr>
          </w:p>
        </w:tc>
        <w:tc>
          <w:tcPr>
            <w:tcW w:w="0" w:type="auto"/>
            <w:gridSpan w:val="3"/>
            <w:shd w:val="clear" w:color="auto" w:fill="auto"/>
          </w:tcPr>
          <w:p w14:paraId="40CB2206" w14:textId="77777777" w:rsidR="00584FB3" w:rsidRDefault="00584FB3">
            <w:pPr>
              <w:rPr>
                <w:rFonts w:ascii="宋体"/>
                <w:vanish/>
              </w:rPr>
            </w:pPr>
          </w:p>
        </w:tc>
        <w:tc>
          <w:tcPr>
            <w:tcW w:w="0" w:type="auto"/>
            <w:gridSpan w:val="3"/>
            <w:shd w:val="clear" w:color="auto" w:fill="auto"/>
          </w:tcPr>
          <w:p w14:paraId="40CB2207" w14:textId="77777777" w:rsidR="00584FB3" w:rsidRDefault="00584FB3">
            <w:pPr>
              <w:rPr>
                <w:rFonts w:ascii="宋体"/>
                <w:vanish/>
              </w:rPr>
            </w:pPr>
          </w:p>
        </w:tc>
        <w:tc>
          <w:tcPr>
            <w:tcW w:w="0" w:type="auto"/>
            <w:gridSpan w:val="3"/>
            <w:shd w:val="clear" w:color="auto" w:fill="auto"/>
          </w:tcPr>
          <w:p w14:paraId="40CB2208" w14:textId="77777777" w:rsidR="00584FB3" w:rsidRDefault="00584FB3">
            <w:pPr>
              <w:rPr>
                <w:rFonts w:ascii="宋体"/>
                <w:vanish/>
              </w:rPr>
            </w:pPr>
          </w:p>
        </w:tc>
      </w:tr>
      <w:tr w:rsidR="00584FB3" w14:paraId="40CB2223" w14:textId="77777777">
        <w:tc>
          <w:tcPr>
            <w:tcW w:w="0" w:type="auto"/>
            <w:gridSpan w:val="3"/>
            <w:shd w:val="clear" w:color="auto" w:fill="FFFFFF"/>
            <w:tcMar>
              <w:top w:w="40" w:type="dxa"/>
              <w:left w:w="20" w:type="dxa"/>
              <w:bottom w:w="40" w:type="dxa"/>
              <w:right w:w="20" w:type="dxa"/>
            </w:tcMar>
          </w:tcPr>
          <w:p w14:paraId="40CB220A" w14:textId="77777777" w:rsidR="00584FB3" w:rsidRDefault="00786180">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20B" w14:textId="77777777" w:rsidR="00584FB3" w:rsidRDefault="00786180">
            <w:pPr>
              <w:jc w:val="right"/>
              <w:textAlignment w:val="bottom"/>
            </w:pPr>
            <w:r>
              <w:rPr>
                <w:rFonts w:ascii="Times New Roman" w:eastAsia="宋体" w:hAnsi="Times New Roman"/>
                <w:color w:val="000000"/>
                <w:sz w:val="20"/>
                <w:szCs w:val="20"/>
              </w:rPr>
              <w:t>3,889.7 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20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20D"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20E" w14:textId="77777777" w:rsidR="00584FB3" w:rsidRDefault="00786180">
            <w:pPr>
              <w:jc w:val="right"/>
              <w:textAlignment w:val="bottom"/>
            </w:pPr>
            <w:r>
              <w:rPr>
                <w:rFonts w:ascii="Times New Roman" w:eastAsia="宋体" w:hAnsi="Times New Roman"/>
                <w:color w:val="000000"/>
                <w:sz w:val="20"/>
                <w:szCs w:val="20"/>
              </w:rPr>
              <w:t>3,912.1 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20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210"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211" w14:textId="77777777" w:rsidR="00584FB3" w:rsidRDefault="00786180">
            <w:pPr>
              <w:jc w:val="right"/>
              <w:textAlignment w:val="bottom"/>
            </w:pPr>
            <w:r>
              <w:rPr>
                <w:rFonts w:ascii="Times New Roman" w:eastAsia="宋体" w:hAnsi="Times New Roman"/>
                <w:color w:val="000000"/>
                <w:sz w:val="20"/>
                <w:szCs w:val="20"/>
              </w:rPr>
              <w:t>(22.4)</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21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213"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214" w14:textId="77777777" w:rsidR="00584FB3" w:rsidRDefault="00786180">
            <w:pPr>
              <w:jc w:val="right"/>
              <w:textAlignment w:val="bottom"/>
            </w:pPr>
            <w:r>
              <w:rPr>
                <w:rFonts w:ascii="Times New Roman" w:eastAsia="宋体" w:hAnsi="Times New Roman"/>
                <w:color w:val="000000"/>
                <w:sz w:val="20"/>
                <w:szCs w:val="20"/>
              </w:rPr>
              <w:t>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21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216"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217" w14:textId="77777777" w:rsidR="00584FB3" w:rsidRDefault="00786180">
            <w:pPr>
              <w:jc w:val="right"/>
              <w:textAlignment w:val="bottom"/>
            </w:pPr>
            <w:r>
              <w:rPr>
                <w:rFonts w:ascii="Times New Roman" w:eastAsia="宋体" w:hAnsi="Times New Roman"/>
                <w:color w:val="000000"/>
                <w:sz w:val="20"/>
                <w:szCs w:val="20"/>
              </w:rPr>
              <w:t>78.1 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218" w14:textId="77777777" w:rsidR="00584FB3" w:rsidRDefault="00584FB3">
            <w:pPr>
              <w:jc w:val="right"/>
              <w:rPr>
                <w:rFonts w:ascii="宋体"/>
              </w:rPr>
            </w:pPr>
          </w:p>
        </w:tc>
        <w:tc>
          <w:tcPr>
            <w:tcW w:w="0" w:type="auto"/>
            <w:shd w:val="clear" w:color="auto" w:fill="auto"/>
          </w:tcPr>
          <w:p w14:paraId="40CB2219" w14:textId="77777777" w:rsidR="00584FB3" w:rsidRDefault="00584FB3">
            <w:pPr>
              <w:rPr>
                <w:rFonts w:ascii="宋体"/>
                <w:vanish/>
              </w:rPr>
            </w:pPr>
          </w:p>
        </w:tc>
        <w:tc>
          <w:tcPr>
            <w:tcW w:w="0" w:type="auto"/>
            <w:shd w:val="clear" w:color="auto" w:fill="auto"/>
          </w:tcPr>
          <w:p w14:paraId="40CB221A" w14:textId="77777777" w:rsidR="00584FB3" w:rsidRDefault="00584FB3">
            <w:pPr>
              <w:rPr>
                <w:rFonts w:ascii="宋体"/>
                <w:vanish/>
              </w:rPr>
            </w:pPr>
          </w:p>
        </w:tc>
        <w:tc>
          <w:tcPr>
            <w:tcW w:w="0" w:type="auto"/>
            <w:gridSpan w:val="3"/>
            <w:shd w:val="clear" w:color="auto" w:fill="auto"/>
          </w:tcPr>
          <w:p w14:paraId="40CB221B" w14:textId="77777777" w:rsidR="00584FB3" w:rsidRDefault="00584FB3">
            <w:pPr>
              <w:rPr>
                <w:rFonts w:ascii="宋体"/>
                <w:vanish/>
              </w:rPr>
            </w:pPr>
          </w:p>
        </w:tc>
        <w:tc>
          <w:tcPr>
            <w:tcW w:w="0" w:type="auto"/>
            <w:gridSpan w:val="3"/>
            <w:shd w:val="clear" w:color="auto" w:fill="auto"/>
          </w:tcPr>
          <w:p w14:paraId="40CB221C" w14:textId="77777777" w:rsidR="00584FB3" w:rsidRDefault="00584FB3">
            <w:pPr>
              <w:rPr>
                <w:rFonts w:ascii="宋体"/>
                <w:vanish/>
              </w:rPr>
            </w:pPr>
          </w:p>
        </w:tc>
        <w:tc>
          <w:tcPr>
            <w:tcW w:w="0" w:type="auto"/>
            <w:gridSpan w:val="3"/>
            <w:shd w:val="clear" w:color="auto" w:fill="auto"/>
          </w:tcPr>
          <w:p w14:paraId="40CB221D" w14:textId="77777777" w:rsidR="00584FB3" w:rsidRDefault="00584FB3">
            <w:pPr>
              <w:rPr>
                <w:rFonts w:ascii="宋体"/>
                <w:vanish/>
              </w:rPr>
            </w:pPr>
          </w:p>
        </w:tc>
        <w:tc>
          <w:tcPr>
            <w:tcW w:w="0" w:type="auto"/>
            <w:gridSpan w:val="3"/>
            <w:shd w:val="clear" w:color="auto" w:fill="auto"/>
          </w:tcPr>
          <w:p w14:paraId="40CB221E" w14:textId="77777777" w:rsidR="00584FB3" w:rsidRDefault="00584FB3">
            <w:pPr>
              <w:rPr>
                <w:rFonts w:ascii="宋体"/>
                <w:vanish/>
              </w:rPr>
            </w:pPr>
          </w:p>
        </w:tc>
        <w:tc>
          <w:tcPr>
            <w:tcW w:w="0" w:type="auto"/>
            <w:gridSpan w:val="3"/>
            <w:shd w:val="clear" w:color="auto" w:fill="auto"/>
          </w:tcPr>
          <w:p w14:paraId="40CB221F" w14:textId="77777777" w:rsidR="00584FB3" w:rsidRDefault="00584FB3">
            <w:pPr>
              <w:rPr>
                <w:rFonts w:ascii="宋体"/>
                <w:vanish/>
              </w:rPr>
            </w:pPr>
          </w:p>
        </w:tc>
        <w:tc>
          <w:tcPr>
            <w:tcW w:w="0" w:type="auto"/>
            <w:gridSpan w:val="3"/>
            <w:shd w:val="clear" w:color="auto" w:fill="auto"/>
          </w:tcPr>
          <w:p w14:paraId="40CB2220" w14:textId="77777777" w:rsidR="00584FB3" w:rsidRDefault="00584FB3">
            <w:pPr>
              <w:rPr>
                <w:rFonts w:ascii="宋体"/>
                <w:vanish/>
              </w:rPr>
            </w:pPr>
          </w:p>
        </w:tc>
        <w:tc>
          <w:tcPr>
            <w:tcW w:w="0" w:type="auto"/>
            <w:gridSpan w:val="3"/>
            <w:shd w:val="clear" w:color="auto" w:fill="auto"/>
          </w:tcPr>
          <w:p w14:paraId="40CB2221" w14:textId="77777777" w:rsidR="00584FB3" w:rsidRDefault="00584FB3">
            <w:pPr>
              <w:rPr>
                <w:rFonts w:ascii="宋体"/>
                <w:vanish/>
              </w:rPr>
            </w:pPr>
          </w:p>
        </w:tc>
        <w:tc>
          <w:tcPr>
            <w:tcW w:w="0" w:type="auto"/>
            <w:gridSpan w:val="3"/>
            <w:shd w:val="clear" w:color="auto" w:fill="auto"/>
          </w:tcPr>
          <w:p w14:paraId="40CB2222" w14:textId="77777777" w:rsidR="00584FB3" w:rsidRDefault="00584FB3">
            <w:pPr>
              <w:rPr>
                <w:rFonts w:ascii="宋体"/>
                <w:vanish/>
              </w:rPr>
            </w:pPr>
          </w:p>
        </w:tc>
      </w:tr>
      <w:tr w:rsidR="00584FB3" w14:paraId="40CB2238" w14:textId="77777777">
        <w:trPr>
          <w:hidden/>
        </w:trPr>
        <w:tc>
          <w:tcPr>
            <w:tcW w:w="0" w:type="auto"/>
            <w:gridSpan w:val="3"/>
            <w:shd w:val="clear" w:color="auto" w:fill="auto"/>
          </w:tcPr>
          <w:p w14:paraId="40CB2224" w14:textId="77777777" w:rsidR="00584FB3" w:rsidRDefault="00584FB3">
            <w:pPr>
              <w:rPr>
                <w:rFonts w:ascii="宋体"/>
                <w:vanish/>
              </w:rPr>
            </w:pPr>
          </w:p>
        </w:tc>
        <w:tc>
          <w:tcPr>
            <w:tcW w:w="0" w:type="auto"/>
            <w:gridSpan w:val="3"/>
            <w:shd w:val="clear" w:color="auto" w:fill="auto"/>
          </w:tcPr>
          <w:p w14:paraId="40CB2225" w14:textId="77777777" w:rsidR="00584FB3" w:rsidRDefault="00584FB3">
            <w:pPr>
              <w:rPr>
                <w:rFonts w:ascii="宋体"/>
                <w:vanish/>
              </w:rPr>
            </w:pPr>
          </w:p>
        </w:tc>
        <w:tc>
          <w:tcPr>
            <w:tcW w:w="0" w:type="auto"/>
            <w:gridSpan w:val="3"/>
            <w:shd w:val="clear" w:color="auto" w:fill="auto"/>
          </w:tcPr>
          <w:p w14:paraId="40CB2226" w14:textId="77777777" w:rsidR="00584FB3" w:rsidRDefault="00584FB3">
            <w:pPr>
              <w:rPr>
                <w:rFonts w:ascii="宋体"/>
                <w:vanish/>
              </w:rPr>
            </w:pPr>
          </w:p>
        </w:tc>
        <w:tc>
          <w:tcPr>
            <w:tcW w:w="0" w:type="auto"/>
            <w:gridSpan w:val="3"/>
            <w:shd w:val="clear" w:color="auto" w:fill="auto"/>
          </w:tcPr>
          <w:p w14:paraId="40CB2227" w14:textId="77777777" w:rsidR="00584FB3" w:rsidRDefault="00584FB3">
            <w:pPr>
              <w:rPr>
                <w:rFonts w:ascii="宋体"/>
                <w:vanish/>
              </w:rPr>
            </w:pPr>
          </w:p>
        </w:tc>
        <w:tc>
          <w:tcPr>
            <w:tcW w:w="0" w:type="auto"/>
            <w:gridSpan w:val="3"/>
            <w:shd w:val="clear" w:color="auto" w:fill="auto"/>
          </w:tcPr>
          <w:p w14:paraId="40CB2228" w14:textId="77777777" w:rsidR="00584FB3" w:rsidRDefault="00584FB3">
            <w:pPr>
              <w:rPr>
                <w:rFonts w:ascii="宋体"/>
                <w:vanish/>
              </w:rPr>
            </w:pPr>
          </w:p>
        </w:tc>
        <w:tc>
          <w:tcPr>
            <w:tcW w:w="0" w:type="auto"/>
            <w:gridSpan w:val="3"/>
            <w:shd w:val="clear" w:color="auto" w:fill="auto"/>
          </w:tcPr>
          <w:p w14:paraId="40CB2229" w14:textId="77777777" w:rsidR="00584FB3" w:rsidRDefault="00584FB3">
            <w:pPr>
              <w:rPr>
                <w:rFonts w:ascii="宋体"/>
                <w:vanish/>
              </w:rPr>
            </w:pPr>
          </w:p>
        </w:tc>
        <w:tc>
          <w:tcPr>
            <w:tcW w:w="0" w:type="auto"/>
            <w:gridSpan w:val="3"/>
            <w:shd w:val="clear" w:color="auto" w:fill="auto"/>
          </w:tcPr>
          <w:p w14:paraId="40CB222A" w14:textId="77777777" w:rsidR="00584FB3" w:rsidRDefault="00584FB3">
            <w:pPr>
              <w:rPr>
                <w:rFonts w:ascii="宋体"/>
                <w:vanish/>
              </w:rPr>
            </w:pPr>
          </w:p>
        </w:tc>
        <w:tc>
          <w:tcPr>
            <w:tcW w:w="0" w:type="auto"/>
            <w:gridSpan w:val="3"/>
            <w:shd w:val="clear" w:color="auto" w:fill="auto"/>
          </w:tcPr>
          <w:p w14:paraId="40CB222B" w14:textId="77777777" w:rsidR="00584FB3" w:rsidRDefault="00584FB3">
            <w:pPr>
              <w:rPr>
                <w:rFonts w:ascii="宋体"/>
                <w:vanish/>
              </w:rPr>
            </w:pPr>
          </w:p>
        </w:tc>
        <w:tc>
          <w:tcPr>
            <w:tcW w:w="0" w:type="auto"/>
            <w:gridSpan w:val="3"/>
            <w:shd w:val="clear" w:color="auto" w:fill="auto"/>
          </w:tcPr>
          <w:p w14:paraId="40CB222C" w14:textId="77777777" w:rsidR="00584FB3" w:rsidRDefault="00584FB3">
            <w:pPr>
              <w:rPr>
                <w:rFonts w:ascii="宋体"/>
                <w:vanish/>
              </w:rPr>
            </w:pPr>
          </w:p>
        </w:tc>
        <w:tc>
          <w:tcPr>
            <w:tcW w:w="0" w:type="auto"/>
            <w:gridSpan w:val="3"/>
            <w:shd w:val="clear" w:color="auto" w:fill="auto"/>
          </w:tcPr>
          <w:p w14:paraId="40CB222D" w14:textId="77777777" w:rsidR="00584FB3" w:rsidRDefault="00584FB3">
            <w:pPr>
              <w:rPr>
                <w:rFonts w:ascii="宋体"/>
                <w:vanish/>
              </w:rPr>
            </w:pPr>
          </w:p>
        </w:tc>
        <w:tc>
          <w:tcPr>
            <w:tcW w:w="0" w:type="auto"/>
            <w:shd w:val="clear" w:color="auto" w:fill="auto"/>
          </w:tcPr>
          <w:p w14:paraId="40CB222E" w14:textId="77777777" w:rsidR="00584FB3" w:rsidRDefault="00584FB3">
            <w:pPr>
              <w:rPr>
                <w:rFonts w:ascii="宋体"/>
                <w:vanish/>
              </w:rPr>
            </w:pPr>
          </w:p>
        </w:tc>
        <w:tc>
          <w:tcPr>
            <w:tcW w:w="0" w:type="auto"/>
            <w:shd w:val="clear" w:color="auto" w:fill="auto"/>
          </w:tcPr>
          <w:p w14:paraId="40CB222F" w14:textId="77777777" w:rsidR="00584FB3" w:rsidRDefault="00584FB3">
            <w:pPr>
              <w:rPr>
                <w:rFonts w:ascii="宋体"/>
                <w:vanish/>
              </w:rPr>
            </w:pPr>
          </w:p>
        </w:tc>
        <w:tc>
          <w:tcPr>
            <w:tcW w:w="0" w:type="auto"/>
            <w:gridSpan w:val="3"/>
            <w:shd w:val="clear" w:color="auto" w:fill="auto"/>
          </w:tcPr>
          <w:p w14:paraId="40CB2230" w14:textId="77777777" w:rsidR="00584FB3" w:rsidRDefault="00584FB3">
            <w:pPr>
              <w:rPr>
                <w:rFonts w:ascii="宋体"/>
                <w:vanish/>
              </w:rPr>
            </w:pPr>
          </w:p>
        </w:tc>
        <w:tc>
          <w:tcPr>
            <w:tcW w:w="0" w:type="auto"/>
            <w:gridSpan w:val="3"/>
            <w:shd w:val="clear" w:color="auto" w:fill="auto"/>
          </w:tcPr>
          <w:p w14:paraId="40CB2231" w14:textId="77777777" w:rsidR="00584FB3" w:rsidRDefault="00584FB3">
            <w:pPr>
              <w:rPr>
                <w:rFonts w:ascii="宋体"/>
                <w:vanish/>
              </w:rPr>
            </w:pPr>
          </w:p>
        </w:tc>
        <w:tc>
          <w:tcPr>
            <w:tcW w:w="0" w:type="auto"/>
            <w:gridSpan w:val="3"/>
            <w:shd w:val="clear" w:color="auto" w:fill="auto"/>
          </w:tcPr>
          <w:p w14:paraId="40CB2232" w14:textId="77777777" w:rsidR="00584FB3" w:rsidRDefault="00584FB3">
            <w:pPr>
              <w:rPr>
                <w:rFonts w:ascii="宋体"/>
                <w:vanish/>
              </w:rPr>
            </w:pPr>
          </w:p>
        </w:tc>
        <w:tc>
          <w:tcPr>
            <w:tcW w:w="0" w:type="auto"/>
            <w:gridSpan w:val="3"/>
            <w:shd w:val="clear" w:color="auto" w:fill="auto"/>
          </w:tcPr>
          <w:p w14:paraId="40CB2233" w14:textId="77777777" w:rsidR="00584FB3" w:rsidRDefault="00584FB3">
            <w:pPr>
              <w:rPr>
                <w:rFonts w:ascii="宋体"/>
                <w:vanish/>
              </w:rPr>
            </w:pPr>
          </w:p>
        </w:tc>
        <w:tc>
          <w:tcPr>
            <w:tcW w:w="0" w:type="auto"/>
            <w:gridSpan w:val="3"/>
            <w:shd w:val="clear" w:color="auto" w:fill="auto"/>
          </w:tcPr>
          <w:p w14:paraId="40CB2234" w14:textId="77777777" w:rsidR="00584FB3" w:rsidRDefault="00584FB3">
            <w:pPr>
              <w:rPr>
                <w:rFonts w:ascii="宋体"/>
                <w:vanish/>
              </w:rPr>
            </w:pPr>
          </w:p>
        </w:tc>
        <w:tc>
          <w:tcPr>
            <w:tcW w:w="0" w:type="auto"/>
            <w:gridSpan w:val="3"/>
            <w:shd w:val="clear" w:color="auto" w:fill="auto"/>
          </w:tcPr>
          <w:p w14:paraId="40CB2235" w14:textId="77777777" w:rsidR="00584FB3" w:rsidRDefault="00584FB3">
            <w:pPr>
              <w:rPr>
                <w:rFonts w:ascii="宋体"/>
                <w:vanish/>
              </w:rPr>
            </w:pPr>
          </w:p>
        </w:tc>
        <w:tc>
          <w:tcPr>
            <w:tcW w:w="0" w:type="auto"/>
            <w:gridSpan w:val="3"/>
            <w:shd w:val="clear" w:color="auto" w:fill="auto"/>
          </w:tcPr>
          <w:p w14:paraId="40CB2236" w14:textId="77777777" w:rsidR="00584FB3" w:rsidRDefault="00584FB3">
            <w:pPr>
              <w:rPr>
                <w:rFonts w:ascii="宋体"/>
                <w:vanish/>
              </w:rPr>
            </w:pPr>
          </w:p>
        </w:tc>
        <w:tc>
          <w:tcPr>
            <w:tcW w:w="0" w:type="auto"/>
            <w:gridSpan w:val="3"/>
            <w:shd w:val="clear" w:color="auto" w:fill="auto"/>
          </w:tcPr>
          <w:p w14:paraId="40CB2237" w14:textId="77777777" w:rsidR="00584FB3" w:rsidRDefault="00584FB3">
            <w:pPr>
              <w:rPr>
                <w:rFonts w:ascii="宋体"/>
                <w:vanish/>
              </w:rPr>
            </w:pPr>
          </w:p>
        </w:tc>
      </w:tr>
      <w:tr w:rsidR="00584FB3" w14:paraId="40CB2255" w14:textId="77777777">
        <w:tc>
          <w:tcPr>
            <w:tcW w:w="0" w:type="auto"/>
            <w:gridSpan w:val="3"/>
            <w:shd w:val="clear" w:color="auto" w:fill="D7E4BC"/>
            <w:tcMar>
              <w:top w:w="40" w:type="dxa"/>
              <w:left w:w="245" w:type="dxa"/>
              <w:bottom w:w="40" w:type="dxa"/>
              <w:right w:w="20" w:type="dxa"/>
            </w:tcMar>
          </w:tcPr>
          <w:p w14:paraId="40CB2239" w14:textId="77777777" w:rsidR="00584FB3" w:rsidRDefault="00786180">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40CB223A"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223B" w14:textId="77777777" w:rsidR="00584FB3" w:rsidRDefault="00786180">
            <w:pPr>
              <w:jc w:val="right"/>
              <w:textAlignment w:val="bottom"/>
            </w:pPr>
            <w:r>
              <w:rPr>
                <w:rFonts w:ascii="Times New Roman" w:eastAsia="宋体" w:hAnsi="Times New Roman"/>
                <w:b/>
                <w:bCs/>
                <w:color w:val="000000"/>
                <w:sz w:val="20"/>
                <w:szCs w:val="20"/>
              </w:rPr>
              <w:t>813.5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23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23D"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223E"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223F" w14:textId="77777777" w:rsidR="00584FB3" w:rsidRDefault="00786180">
            <w:pPr>
              <w:jc w:val="right"/>
              <w:textAlignment w:val="bottom"/>
            </w:pPr>
            <w:r>
              <w:rPr>
                <w:rFonts w:ascii="Times New Roman" w:eastAsia="宋体" w:hAnsi="Times New Roman"/>
                <w:b/>
                <w:bCs/>
                <w:color w:val="000000"/>
                <w:sz w:val="20"/>
                <w:szCs w:val="20"/>
              </w:rPr>
              <w:t>1,098.8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24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241" w14:textId="77777777" w:rsidR="00584FB3" w:rsidRDefault="00584FB3">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40CB2242"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40CB2243" w14:textId="77777777" w:rsidR="00584FB3" w:rsidRDefault="00786180">
            <w:pPr>
              <w:jc w:val="right"/>
              <w:textAlignment w:val="bottom"/>
            </w:pPr>
            <w:r>
              <w:rPr>
                <w:rFonts w:ascii="Times New Roman" w:eastAsia="宋体" w:hAnsi="Times New Roman"/>
                <w:b/>
                <w:bCs/>
                <w:color w:val="000000"/>
                <w:sz w:val="20"/>
                <w:szCs w:val="20"/>
              </w:rPr>
              <w:t>(285.3)</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24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245"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246" w14:textId="77777777" w:rsidR="00584FB3" w:rsidRDefault="00786180">
            <w:pPr>
              <w:jc w:val="right"/>
              <w:textAlignment w:val="bottom"/>
            </w:pPr>
            <w:r>
              <w:rPr>
                <w:rFonts w:ascii="Times New Roman" w:eastAsia="宋体" w:hAnsi="Times New Roman"/>
                <w:b/>
                <w:bCs/>
                <w:color w:val="000000"/>
                <w:sz w:val="20"/>
                <w:szCs w:val="20"/>
              </w:rPr>
              <w:t>17.3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247"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40CB2248"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249" w14:textId="77777777" w:rsidR="00584FB3" w:rsidRDefault="00786180">
            <w:pPr>
              <w:jc w:val="right"/>
              <w:textAlignment w:val="bottom"/>
            </w:pPr>
            <w:r>
              <w:rPr>
                <w:rFonts w:ascii="Times New Roman" w:eastAsia="宋体" w:hAnsi="Times New Roman"/>
                <w:b/>
                <w:bCs/>
                <w:color w:val="000000"/>
                <w:sz w:val="20"/>
                <w:szCs w:val="20"/>
              </w:rPr>
              <w:t>21.9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24A"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40CB224B" w14:textId="77777777" w:rsidR="00584FB3" w:rsidRDefault="00584FB3">
            <w:pPr>
              <w:rPr>
                <w:rFonts w:ascii="宋体"/>
                <w:vanish/>
              </w:rPr>
            </w:pPr>
          </w:p>
        </w:tc>
        <w:tc>
          <w:tcPr>
            <w:tcW w:w="0" w:type="auto"/>
            <w:shd w:val="clear" w:color="auto" w:fill="auto"/>
          </w:tcPr>
          <w:p w14:paraId="40CB224C" w14:textId="77777777" w:rsidR="00584FB3" w:rsidRDefault="00584FB3">
            <w:pPr>
              <w:rPr>
                <w:rFonts w:ascii="宋体"/>
                <w:vanish/>
              </w:rPr>
            </w:pPr>
          </w:p>
        </w:tc>
        <w:tc>
          <w:tcPr>
            <w:tcW w:w="0" w:type="auto"/>
            <w:gridSpan w:val="3"/>
            <w:shd w:val="clear" w:color="auto" w:fill="auto"/>
          </w:tcPr>
          <w:p w14:paraId="40CB224D" w14:textId="77777777" w:rsidR="00584FB3" w:rsidRDefault="00584FB3">
            <w:pPr>
              <w:rPr>
                <w:rFonts w:ascii="宋体"/>
                <w:vanish/>
              </w:rPr>
            </w:pPr>
          </w:p>
        </w:tc>
        <w:tc>
          <w:tcPr>
            <w:tcW w:w="0" w:type="auto"/>
            <w:gridSpan w:val="3"/>
            <w:shd w:val="clear" w:color="auto" w:fill="auto"/>
          </w:tcPr>
          <w:p w14:paraId="40CB224E" w14:textId="77777777" w:rsidR="00584FB3" w:rsidRDefault="00584FB3">
            <w:pPr>
              <w:rPr>
                <w:rFonts w:ascii="宋体"/>
                <w:vanish/>
              </w:rPr>
            </w:pPr>
          </w:p>
        </w:tc>
        <w:tc>
          <w:tcPr>
            <w:tcW w:w="0" w:type="auto"/>
            <w:gridSpan w:val="3"/>
            <w:shd w:val="clear" w:color="auto" w:fill="auto"/>
          </w:tcPr>
          <w:p w14:paraId="40CB224F" w14:textId="77777777" w:rsidR="00584FB3" w:rsidRDefault="00584FB3">
            <w:pPr>
              <w:rPr>
                <w:rFonts w:ascii="宋体"/>
                <w:vanish/>
              </w:rPr>
            </w:pPr>
          </w:p>
        </w:tc>
        <w:tc>
          <w:tcPr>
            <w:tcW w:w="0" w:type="auto"/>
            <w:gridSpan w:val="3"/>
            <w:shd w:val="clear" w:color="auto" w:fill="auto"/>
          </w:tcPr>
          <w:p w14:paraId="40CB2250" w14:textId="77777777" w:rsidR="00584FB3" w:rsidRDefault="00584FB3">
            <w:pPr>
              <w:rPr>
                <w:rFonts w:ascii="宋体"/>
                <w:vanish/>
              </w:rPr>
            </w:pPr>
          </w:p>
        </w:tc>
        <w:tc>
          <w:tcPr>
            <w:tcW w:w="0" w:type="auto"/>
            <w:gridSpan w:val="3"/>
            <w:shd w:val="clear" w:color="auto" w:fill="auto"/>
          </w:tcPr>
          <w:p w14:paraId="40CB2251" w14:textId="77777777" w:rsidR="00584FB3" w:rsidRDefault="00584FB3">
            <w:pPr>
              <w:rPr>
                <w:rFonts w:ascii="宋体"/>
                <w:vanish/>
              </w:rPr>
            </w:pPr>
          </w:p>
        </w:tc>
        <w:tc>
          <w:tcPr>
            <w:tcW w:w="0" w:type="auto"/>
            <w:gridSpan w:val="3"/>
            <w:shd w:val="clear" w:color="auto" w:fill="auto"/>
          </w:tcPr>
          <w:p w14:paraId="40CB2252" w14:textId="77777777" w:rsidR="00584FB3" w:rsidRDefault="00584FB3">
            <w:pPr>
              <w:rPr>
                <w:rFonts w:ascii="宋体"/>
                <w:vanish/>
              </w:rPr>
            </w:pPr>
          </w:p>
        </w:tc>
        <w:tc>
          <w:tcPr>
            <w:tcW w:w="0" w:type="auto"/>
            <w:gridSpan w:val="3"/>
            <w:shd w:val="clear" w:color="auto" w:fill="auto"/>
          </w:tcPr>
          <w:p w14:paraId="40CB2253" w14:textId="77777777" w:rsidR="00584FB3" w:rsidRDefault="00584FB3">
            <w:pPr>
              <w:rPr>
                <w:rFonts w:ascii="宋体"/>
                <w:vanish/>
              </w:rPr>
            </w:pPr>
          </w:p>
        </w:tc>
        <w:tc>
          <w:tcPr>
            <w:tcW w:w="0" w:type="auto"/>
            <w:gridSpan w:val="3"/>
            <w:shd w:val="clear" w:color="auto" w:fill="auto"/>
          </w:tcPr>
          <w:p w14:paraId="40CB2254" w14:textId="77777777" w:rsidR="00584FB3" w:rsidRDefault="00584FB3">
            <w:pPr>
              <w:rPr>
                <w:rFonts w:ascii="宋体"/>
                <w:vanish/>
              </w:rPr>
            </w:pPr>
          </w:p>
        </w:tc>
      </w:tr>
      <w:tr w:rsidR="00584FB3" w14:paraId="40CB226B" w14:textId="77777777">
        <w:tc>
          <w:tcPr>
            <w:tcW w:w="0" w:type="auto"/>
            <w:gridSpan w:val="6"/>
            <w:shd w:val="clear" w:color="auto" w:fill="FFFFFF"/>
            <w:tcMar>
              <w:top w:w="40" w:type="dxa"/>
              <w:left w:w="20" w:type="dxa"/>
              <w:bottom w:w="40" w:type="dxa"/>
              <w:right w:w="20" w:type="dxa"/>
            </w:tcMar>
          </w:tcPr>
          <w:p w14:paraId="40CB2256" w14:textId="77777777" w:rsidR="00584FB3" w:rsidRDefault="00786180">
            <w:pPr>
              <w:textAlignment w:val="top"/>
            </w:pPr>
            <w:r>
              <w:rPr>
                <w:rFonts w:ascii="Times New Roman" w:eastAsia="宋体" w:hAnsi="Times New Roman"/>
                <w:color w:val="000000"/>
                <w:sz w:val="20"/>
                <w:szCs w:val="20"/>
              </w:rPr>
              <w:t>Store operat</w:t>
            </w:r>
            <w:r>
              <w:rPr>
                <w:rFonts w:ascii="Times New Roman" w:eastAsia="宋体" w:hAnsi="Times New Roman"/>
                <w:color w:val="000000"/>
                <w:sz w:val="20"/>
                <w:szCs w:val="20"/>
              </w:rPr>
              <w:t>ing expenses as a % of company-operated store revenues</w:t>
            </w:r>
          </w:p>
        </w:tc>
        <w:tc>
          <w:tcPr>
            <w:tcW w:w="0" w:type="auto"/>
            <w:gridSpan w:val="3"/>
            <w:shd w:val="clear" w:color="auto" w:fill="FFFFFF"/>
            <w:tcMar>
              <w:top w:w="0" w:type="dxa"/>
              <w:left w:w="20" w:type="dxa"/>
              <w:bottom w:w="0" w:type="dxa"/>
              <w:right w:w="20" w:type="dxa"/>
            </w:tcMar>
          </w:tcPr>
          <w:p w14:paraId="40CB2257"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2258"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2259"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225A" w14:textId="77777777" w:rsidR="00584FB3" w:rsidRDefault="00584FB3">
            <w:pPr>
              <w:rPr>
                <w:rFonts w:ascii="宋体"/>
              </w:rPr>
            </w:pPr>
          </w:p>
        </w:tc>
        <w:tc>
          <w:tcPr>
            <w:tcW w:w="0" w:type="auto"/>
            <w:gridSpan w:val="3"/>
            <w:shd w:val="clear" w:color="auto" w:fill="FFFFFF"/>
            <w:tcMar>
              <w:top w:w="0" w:type="dxa"/>
              <w:left w:w="20" w:type="dxa"/>
              <w:bottom w:w="0" w:type="dxa"/>
              <w:right w:w="20" w:type="dxa"/>
            </w:tcMar>
          </w:tcPr>
          <w:p w14:paraId="40CB225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225C" w14:textId="77777777" w:rsidR="00584FB3" w:rsidRDefault="00786180">
            <w:pPr>
              <w:jc w:val="right"/>
              <w:textAlignment w:val="top"/>
            </w:pPr>
            <w:r>
              <w:rPr>
                <w:rFonts w:ascii="Times New Roman" w:eastAsia="宋体" w:hAnsi="Times New Roman"/>
                <w:color w:val="000000"/>
                <w:sz w:val="20"/>
                <w:szCs w:val="20"/>
              </w:rPr>
              <w:t>52.2 </w:t>
            </w:r>
          </w:p>
        </w:tc>
        <w:tc>
          <w:tcPr>
            <w:tcW w:w="0" w:type="auto"/>
            <w:shd w:val="clear" w:color="auto" w:fill="FFFFFF"/>
            <w:tcMar>
              <w:top w:w="40" w:type="dxa"/>
              <w:left w:w="0" w:type="dxa"/>
              <w:bottom w:w="40" w:type="dxa"/>
              <w:right w:w="20" w:type="dxa"/>
            </w:tcMar>
          </w:tcPr>
          <w:p w14:paraId="40CB225D" w14:textId="77777777" w:rsidR="00584FB3" w:rsidRDefault="00786180">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25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tcPr>
          <w:p w14:paraId="40CB225F" w14:textId="77777777" w:rsidR="00584FB3" w:rsidRDefault="00786180">
            <w:pPr>
              <w:jc w:val="right"/>
              <w:textAlignment w:val="top"/>
            </w:pPr>
            <w:r>
              <w:rPr>
                <w:rFonts w:ascii="Times New Roman" w:eastAsia="宋体" w:hAnsi="Times New Roman"/>
                <w:color w:val="000000"/>
                <w:sz w:val="20"/>
                <w:szCs w:val="20"/>
              </w:rPr>
              <w:t>49.5 </w:t>
            </w:r>
          </w:p>
        </w:tc>
        <w:tc>
          <w:tcPr>
            <w:tcW w:w="0" w:type="auto"/>
            <w:shd w:val="clear" w:color="auto" w:fill="FFFFFF"/>
            <w:tcMar>
              <w:top w:w="40" w:type="dxa"/>
              <w:left w:w="0" w:type="dxa"/>
              <w:bottom w:w="40" w:type="dxa"/>
              <w:right w:w="20" w:type="dxa"/>
            </w:tcMar>
          </w:tcPr>
          <w:p w14:paraId="40CB2260" w14:textId="77777777" w:rsidR="00584FB3" w:rsidRDefault="00786180">
            <w:pPr>
              <w:jc w:val="right"/>
              <w:textAlignment w:val="top"/>
            </w:pPr>
            <w:r>
              <w:rPr>
                <w:rFonts w:ascii="Times New Roman" w:eastAsia="宋体" w:hAnsi="Times New Roman"/>
                <w:color w:val="000000"/>
                <w:sz w:val="20"/>
                <w:szCs w:val="20"/>
              </w:rPr>
              <w:t>%</w:t>
            </w:r>
          </w:p>
        </w:tc>
        <w:tc>
          <w:tcPr>
            <w:tcW w:w="0" w:type="auto"/>
            <w:shd w:val="clear" w:color="auto" w:fill="auto"/>
          </w:tcPr>
          <w:p w14:paraId="40CB2261" w14:textId="77777777" w:rsidR="00584FB3" w:rsidRDefault="00584FB3">
            <w:pPr>
              <w:rPr>
                <w:rFonts w:ascii="宋体"/>
                <w:vanish/>
              </w:rPr>
            </w:pPr>
          </w:p>
        </w:tc>
        <w:tc>
          <w:tcPr>
            <w:tcW w:w="0" w:type="auto"/>
            <w:shd w:val="clear" w:color="auto" w:fill="auto"/>
          </w:tcPr>
          <w:p w14:paraId="40CB2262" w14:textId="77777777" w:rsidR="00584FB3" w:rsidRDefault="00584FB3">
            <w:pPr>
              <w:rPr>
                <w:rFonts w:ascii="宋体"/>
                <w:vanish/>
              </w:rPr>
            </w:pPr>
          </w:p>
        </w:tc>
        <w:tc>
          <w:tcPr>
            <w:tcW w:w="0" w:type="auto"/>
            <w:gridSpan w:val="3"/>
            <w:shd w:val="clear" w:color="auto" w:fill="auto"/>
          </w:tcPr>
          <w:p w14:paraId="40CB2263" w14:textId="77777777" w:rsidR="00584FB3" w:rsidRDefault="00584FB3">
            <w:pPr>
              <w:rPr>
                <w:rFonts w:ascii="宋体"/>
                <w:vanish/>
              </w:rPr>
            </w:pPr>
          </w:p>
        </w:tc>
        <w:tc>
          <w:tcPr>
            <w:tcW w:w="0" w:type="auto"/>
            <w:gridSpan w:val="3"/>
            <w:shd w:val="clear" w:color="auto" w:fill="auto"/>
          </w:tcPr>
          <w:p w14:paraId="40CB2264" w14:textId="77777777" w:rsidR="00584FB3" w:rsidRDefault="00584FB3">
            <w:pPr>
              <w:rPr>
                <w:rFonts w:ascii="宋体"/>
                <w:vanish/>
              </w:rPr>
            </w:pPr>
          </w:p>
        </w:tc>
        <w:tc>
          <w:tcPr>
            <w:tcW w:w="0" w:type="auto"/>
            <w:gridSpan w:val="3"/>
            <w:shd w:val="clear" w:color="auto" w:fill="auto"/>
          </w:tcPr>
          <w:p w14:paraId="40CB2265" w14:textId="77777777" w:rsidR="00584FB3" w:rsidRDefault="00584FB3">
            <w:pPr>
              <w:rPr>
                <w:rFonts w:ascii="宋体"/>
                <w:vanish/>
              </w:rPr>
            </w:pPr>
          </w:p>
        </w:tc>
        <w:tc>
          <w:tcPr>
            <w:tcW w:w="0" w:type="auto"/>
            <w:gridSpan w:val="3"/>
            <w:shd w:val="clear" w:color="auto" w:fill="auto"/>
          </w:tcPr>
          <w:p w14:paraId="40CB2266" w14:textId="77777777" w:rsidR="00584FB3" w:rsidRDefault="00584FB3">
            <w:pPr>
              <w:rPr>
                <w:rFonts w:ascii="宋体"/>
                <w:vanish/>
              </w:rPr>
            </w:pPr>
          </w:p>
        </w:tc>
        <w:tc>
          <w:tcPr>
            <w:tcW w:w="0" w:type="auto"/>
            <w:gridSpan w:val="3"/>
            <w:shd w:val="clear" w:color="auto" w:fill="auto"/>
          </w:tcPr>
          <w:p w14:paraId="40CB2267" w14:textId="77777777" w:rsidR="00584FB3" w:rsidRDefault="00584FB3">
            <w:pPr>
              <w:rPr>
                <w:rFonts w:ascii="宋体"/>
                <w:vanish/>
              </w:rPr>
            </w:pPr>
          </w:p>
        </w:tc>
        <w:tc>
          <w:tcPr>
            <w:tcW w:w="0" w:type="auto"/>
            <w:gridSpan w:val="3"/>
            <w:shd w:val="clear" w:color="auto" w:fill="auto"/>
          </w:tcPr>
          <w:p w14:paraId="40CB2268" w14:textId="77777777" w:rsidR="00584FB3" w:rsidRDefault="00584FB3">
            <w:pPr>
              <w:rPr>
                <w:rFonts w:ascii="宋体"/>
                <w:vanish/>
              </w:rPr>
            </w:pPr>
          </w:p>
        </w:tc>
        <w:tc>
          <w:tcPr>
            <w:tcW w:w="0" w:type="auto"/>
            <w:gridSpan w:val="3"/>
            <w:shd w:val="clear" w:color="auto" w:fill="auto"/>
          </w:tcPr>
          <w:p w14:paraId="40CB2269" w14:textId="77777777" w:rsidR="00584FB3" w:rsidRDefault="00584FB3">
            <w:pPr>
              <w:rPr>
                <w:rFonts w:ascii="宋体"/>
                <w:vanish/>
              </w:rPr>
            </w:pPr>
          </w:p>
        </w:tc>
        <w:tc>
          <w:tcPr>
            <w:tcW w:w="0" w:type="auto"/>
            <w:gridSpan w:val="3"/>
            <w:shd w:val="clear" w:color="auto" w:fill="auto"/>
          </w:tcPr>
          <w:p w14:paraId="40CB226A" w14:textId="77777777" w:rsidR="00584FB3" w:rsidRDefault="00584FB3">
            <w:pPr>
              <w:rPr>
                <w:rFonts w:ascii="宋体"/>
                <w:vanish/>
              </w:rPr>
            </w:pPr>
          </w:p>
        </w:tc>
      </w:tr>
    </w:tbl>
    <w:p w14:paraId="40CB226C" w14:textId="77777777" w:rsidR="00584FB3" w:rsidRDefault="00786180">
      <w:pPr>
        <w:spacing w:before="120"/>
      </w:pPr>
      <w:r>
        <w:rPr>
          <w:rFonts w:ascii="Times New Roman" w:eastAsia="宋体" w:hAnsi="Times New Roman"/>
          <w:i/>
          <w:iCs/>
          <w:color w:val="000000"/>
          <w:sz w:val="20"/>
          <w:szCs w:val="20"/>
        </w:rPr>
        <w:t xml:space="preserve">For the quarter ended December 27, 2020 compared with the quarter ended December 29, 2019 </w:t>
      </w:r>
    </w:p>
    <w:p w14:paraId="40CB226D" w14:textId="77777777" w:rsidR="00584FB3" w:rsidRDefault="00786180">
      <w:pPr>
        <w:spacing w:before="120"/>
      </w:pPr>
      <w:r>
        <w:rPr>
          <w:rFonts w:ascii="Times New Roman" w:eastAsia="宋体" w:hAnsi="Times New Roman"/>
          <w:color w:val="000000"/>
          <w:sz w:val="20"/>
          <w:szCs w:val="20"/>
          <w:u w:val="single"/>
        </w:rPr>
        <w:t>Revenues</w:t>
      </w:r>
    </w:p>
    <w:p w14:paraId="40CB226E" w14:textId="77777777" w:rsidR="00584FB3" w:rsidRDefault="00786180">
      <w:pPr>
        <w:spacing w:before="120"/>
      </w:pPr>
      <w:r>
        <w:rPr>
          <w:rFonts w:ascii="Times New Roman" w:eastAsia="宋体" w:hAnsi="Times New Roman"/>
          <w:color w:val="000000"/>
          <w:sz w:val="20"/>
          <w:szCs w:val="20"/>
        </w:rPr>
        <w:t>Americas total net revenues for the first quarter of fiscal 2021 decreased $308 million, or 6%, primarily due to a 6% decrease in comparable store sales ($2</w:t>
      </w:r>
      <w:r>
        <w:rPr>
          <w:rFonts w:ascii="Times New Roman" w:eastAsia="宋体" w:hAnsi="Times New Roman"/>
          <w:color w:val="000000"/>
          <w:sz w:val="20"/>
          <w:szCs w:val="20"/>
        </w:rPr>
        <w:t>42 million) driven by a 21% decrease in transactions, partially offset by a 20% increase in average ticket. These declines were slightly offset by the opening of new company-operated stores ($62 million).</w:t>
      </w:r>
    </w:p>
    <w:p w14:paraId="40CB226F" w14:textId="77777777" w:rsidR="00584FB3" w:rsidRDefault="00786180">
      <w:pPr>
        <w:spacing w:before="120"/>
      </w:pPr>
      <w:r>
        <w:rPr>
          <w:rFonts w:ascii="Times New Roman" w:eastAsia="宋体" w:hAnsi="Times New Roman"/>
          <w:color w:val="000000"/>
          <w:sz w:val="20"/>
          <w:szCs w:val="20"/>
        </w:rPr>
        <w:t>Licensed stores revenues declined by $121.1 million</w:t>
      </w:r>
      <w:r>
        <w:rPr>
          <w:rFonts w:ascii="Times New Roman" w:eastAsia="宋体" w:hAnsi="Times New Roman"/>
          <w:color w:val="000000"/>
          <w:sz w:val="20"/>
          <w:szCs w:val="20"/>
        </w:rPr>
        <w:t>, primarily due to lower product and equipment sales to and royalty revenues from our licensees.</w:t>
      </w:r>
    </w:p>
    <w:p w14:paraId="40CB2270" w14:textId="77777777" w:rsidR="00584FB3" w:rsidRDefault="00786180">
      <w:pPr>
        <w:spacing w:before="120"/>
      </w:pPr>
      <w:r>
        <w:rPr>
          <w:rFonts w:ascii="Times New Roman" w:eastAsia="宋体" w:hAnsi="Times New Roman"/>
          <w:color w:val="000000"/>
          <w:sz w:val="20"/>
          <w:szCs w:val="20"/>
          <w:u w:val="single"/>
        </w:rPr>
        <w:t>Operating Margin</w:t>
      </w:r>
    </w:p>
    <w:p w14:paraId="40CB2271" w14:textId="77777777" w:rsidR="00584FB3" w:rsidRDefault="00786180">
      <w:pPr>
        <w:spacing w:before="120"/>
      </w:pPr>
      <w:r>
        <w:rPr>
          <w:rFonts w:ascii="Times New Roman" w:eastAsia="宋体" w:hAnsi="Times New Roman"/>
          <w:color w:val="000000"/>
          <w:sz w:val="20"/>
          <w:szCs w:val="20"/>
        </w:rPr>
        <w:t>Americas operating income for the first quarter of fiscal 2021 decreased 26% to $814 million, compared to $1.1 billion in the first quarter of</w:t>
      </w:r>
      <w:r>
        <w:rPr>
          <w:rFonts w:ascii="Times New Roman" w:eastAsia="宋体" w:hAnsi="Times New Roman"/>
          <w:color w:val="000000"/>
          <w:sz w:val="20"/>
          <w:szCs w:val="20"/>
        </w:rPr>
        <w:t xml:space="preserve"> fiscal 2020. Operating margin decreased 460 basis points to 17.3%, primarily due to sales deleverage attributed to COVID-19 impacts. In addition, we also incurred additional costs, primarily catastrophe pay programs for retail store partners incurred, net</w:t>
      </w:r>
      <w:r>
        <w:rPr>
          <w:rFonts w:ascii="Times New Roman" w:eastAsia="宋体" w:hAnsi="Times New Roman"/>
          <w:color w:val="000000"/>
          <w:sz w:val="20"/>
          <w:szCs w:val="20"/>
        </w:rPr>
        <w:t xml:space="preserve"> of benefits provided by the CARES Act and CEWS (approximately 40 basis points), and growth in wages and benefits (approximately 200 basis points). Higher restructuring expenses relating to our Americas portfolio optimization (approximately 140 basis point</w:t>
      </w:r>
      <w:r>
        <w:rPr>
          <w:rFonts w:ascii="Times New Roman" w:eastAsia="宋体" w:hAnsi="Times New Roman"/>
          <w:color w:val="000000"/>
          <w:sz w:val="20"/>
          <w:szCs w:val="20"/>
        </w:rPr>
        <w:t>s) also contributed to the decrease. Partially offsetting these decreases were improved labor efficiencies (approximately 260 basis points) and pricing (approximately 110 basis points).</w:t>
      </w:r>
    </w:p>
    <w:p w14:paraId="40CB2272" w14:textId="77777777" w:rsidR="00584FB3" w:rsidRDefault="00584FB3">
      <w:pPr>
        <w:spacing w:before="120"/>
      </w:pPr>
    </w:p>
    <w:p w14:paraId="40CB2273" w14:textId="77777777" w:rsidR="00584FB3" w:rsidRDefault="00786180">
      <w:pPr>
        <w:jc w:val="center"/>
      </w:pPr>
      <w:r>
        <w:rPr>
          <w:rFonts w:ascii="Times New Roman" w:eastAsia="宋体" w:hAnsi="Times New Roman"/>
          <w:color w:val="000000"/>
          <w:sz w:val="20"/>
          <w:szCs w:val="20"/>
        </w:rPr>
        <w:t>30</w:t>
      </w:r>
    </w:p>
    <w:p w14:paraId="40CB2274" w14:textId="77777777" w:rsidR="00584FB3" w:rsidRDefault="00786180">
      <w:r>
        <w:pict w14:anchorId="40CB2A53">
          <v:rect id="_x0000_i1054" style="width:415.3pt;height:1.5pt" o:hralign="center" o:hrstd="t" o:hr="t" fillcolor="#a0a0a0" stroked="f"/>
        </w:pict>
      </w:r>
    </w:p>
    <w:p w14:paraId="40CB2275" w14:textId="77777777" w:rsidR="00584FB3" w:rsidRDefault="00786180">
      <w:hyperlink r:id="rId107" w:anchor="i11706e4b673c41db9f2dcbdb897203bb_7" w:history="1">
        <w:r>
          <w:rPr>
            <w:rStyle w:val="a5"/>
            <w:rFonts w:ascii="Times New Roman" w:eastAsia="宋体" w:hAnsi="Times New Roman"/>
            <w:sz w:val="20"/>
            <w:szCs w:val="20"/>
          </w:rPr>
          <w:t>Table of Contents</w:t>
        </w:r>
      </w:hyperlink>
    </w:p>
    <w:p w14:paraId="40CB2276" w14:textId="77777777" w:rsidR="00584FB3" w:rsidRDefault="00786180">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39"/>
        <w:gridCol w:w="3120"/>
        <w:gridCol w:w="36"/>
        <w:gridCol w:w="120"/>
        <w:gridCol w:w="650"/>
        <w:gridCol w:w="36"/>
        <w:gridCol w:w="36"/>
        <w:gridCol w:w="36"/>
        <w:gridCol w:w="36"/>
        <w:gridCol w:w="120"/>
        <w:gridCol w:w="650"/>
        <w:gridCol w:w="36"/>
        <w:gridCol w:w="36"/>
        <w:gridCol w:w="36"/>
        <w:gridCol w:w="36"/>
        <w:gridCol w:w="120"/>
        <w:gridCol w:w="500"/>
        <w:gridCol w:w="36"/>
        <w:gridCol w:w="36"/>
        <w:gridCol w:w="36"/>
        <w:gridCol w:w="36"/>
        <w:gridCol w:w="62"/>
        <w:gridCol w:w="458"/>
        <w:gridCol w:w="220"/>
        <w:gridCol w:w="36"/>
        <w:gridCol w:w="36"/>
        <w:gridCol w:w="36"/>
        <w:gridCol w:w="62"/>
        <w:gridCol w:w="458"/>
        <w:gridCol w:w="22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229F" w14:textId="77777777">
        <w:tc>
          <w:tcPr>
            <w:tcW w:w="50" w:type="pct"/>
            <w:shd w:val="clear" w:color="auto" w:fill="auto"/>
          </w:tcPr>
          <w:p w14:paraId="40CB2277" w14:textId="77777777" w:rsidR="00584FB3" w:rsidRDefault="00584FB3">
            <w:pPr>
              <w:rPr>
                <w:rFonts w:ascii="宋体"/>
              </w:rPr>
            </w:pPr>
          </w:p>
        </w:tc>
        <w:tc>
          <w:tcPr>
            <w:tcW w:w="2664" w:type="pct"/>
            <w:shd w:val="clear" w:color="auto" w:fill="auto"/>
          </w:tcPr>
          <w:p w14:paraId="40CB2278" w14:textId="77777777" w:rsidR="00584FB3" w:rsidRDefault="00584FB3">
            <w:pPr>
              <w:rPr>
                <w:rFonts w:ascii="宋体"/>
              </w:rPr>
            </w:pPr>
          </w:p>
        </w:tc>
        <w:tc>
          <w:tcPr>
            <w:tcW w:w="5" w:type="pct"/>
            <w:shd w:val="clear" w:color="auto" w:fill="auto"/>
          </w:tcPr>
          <w:p w14:paraId="40CB2279" w14:textId="77777777" w:rsidR="00584FB3" w:rsidRDefault="00584FB3">
            <w:pPr>
              <w:rPr>
                <w:rFonts w:ascii="宋体"/>
              </w:rPr>
            </w:pPr>
          </w:p>
        </w:tc>
        <w:tc>
          <w:tcPr>
            <w:tcW w:w="50" w:type="pct"/>
            <w:shd w:val="clear" w:color="auto" w:fill="auto"/>
          </w:tcPr>
          <w:p w14:paraId="40CB227A" w14:textId="77777777" w:rsidR="00584FB3" w:rsidRDefault="00584FB3">
            <w:pPr>
              <w:rPr>
                <w:rFonts w:ascii="宋体"/>
              </w:rPr>
            </w:pPr>
          </w:p>
        </w:tc>
        <w:tc>
          <w:tcPr>
            <w:tcW w:w="377" w:type="pct"/>
            <w:shd w:val="clear" w:color="auto" w:fill="auto"/>
          </w:tcPr>
          <w:p w14:paraId="40CB227B" w14:textId="77777777" w:rsidR="00584FB3" w:rsidRDefault="00584FB3">
            <w:pPr>
              <w:rPr>
                <w:rFonts w:ascii="宋体"/>
              </w:rPr>
            </w:pPr>
          </w:p>
        </w:tc>
        <w:tc>
          <w:tcPr>
            <w:tcW w:w="5" w:type="pct"/>
            <w:shd w:val="clear" w:color="auto" w:fill="auto"/>
          </w:tcPr>
          <w:p w14:paraId="40CB227C" w14:textId="77777777" w:rsidR="00584FB3" w:rsidRDefault="00584FB3">
            <w:pPr>
              <w:rPr>
                <w:rFonts w:ascii="宋体"/>
              </w:rPr>
            </w:pPr>
          </w:p>
        </w:tc>
        <w:tc>
          <w:tcPr>
            <w:tcW w:w="5" w:type="pct"/>
            <w:shd w:val="clear" w:color="auto" w:fill="auto"/>
          </w:tcPr>
          <w:p w14:paraId="40CB227D" w14:textId="77777777" w:rsidR="00584FB3" w:rsidRDefault="00584FB3">
            <w:pPr>
              <w:rPr>
                <w:rFonts w:ascii="宋体"/>
              </w:rPr>
            </w:pPr>
          </w:p>
        </w:tc>
        <w:tc>
          <w:tcPr>
            <w:tcW w:w="26" w:type="pct"/>
            <w:shd w:val="clear" w:color="auto" w:fill="auto"/>
          </w:tcPr>
          <w:p w14:paraId="40CB227E" w14:textId="77777777" w:rsidR="00584FB3" w:rsidRDefault="00584FB3">
            <w:pPr>
              <w:rPr>
                <w:rFonts w:ascii="宋体"/>
              </w:rPr>
            </w:pPr>
          </w:p>
        </w:tc>
        <w:tc>
          <w:tcPr>
            <w:tcW w:w="5" w:type="pct"/>
            <w:shd w:val="clear" w:color="auto" w:fill="auto"/>
          </w:tcPr>
          <w:p w14:paraId="40CB227F" w14:textId="77777777" w:rsidR="00584FB3" w:rsidRDefault="00584FB3">
            <w:pPr>
              <w:rPr>
                <w:rFonts w:ascii="宋体"/>
              </w:rPr>
            </w:pPr>
          </w:p>
        </w:tc>
        <w:tc>
          <w:tcPr>
            <w:tcW w:w="50" w:type="pct"/>
            <w:shd w:val="clear" w:color="auto" w:fill="auto"/>
          </w:tcPr>
          <w:p w14:paraId="40CB2280" w14:textId="77777777" w:rsidR="00584FB3" w:rsidRDefault="00584FB3">
            <w:pPr>
              <w:rPr>
                <w:rFonts w:ascii="宋体"/>
              </w:rPr>
            </w:pPr>
          </w:p>
        </w:tc>
        <w:tc>
          <w:tcPr>
            <w:tcW w:w="370" w:type="pct"/>
            <w:shd w:val="clear" w:color="auto" w:fill="auto"/>
          </w:tcPr>
          <w:p w14:paraId="40CB2281" w14:textId="77777777" w:rsidR="00584FB3" w:rsidRDefault="00584FB3">
            <w:pPr>
              <w:rPr>
                <w:rFonts w:ascii="宋体"/>
              </w:rPr>
            </w:pPr>
          </w:p>
        </w:tc>
        <w:tc>
          <w:tcPr>
            <w:tcW w:w="5" w:type="pct"/>
            <w:shd w:val="clear" w:color="auto" w:fill="auto"/>
          </w:tcPr>
          <w:p w14:paraId="40CB2282" w14:textId="77777777" w:rsidR="00584FB3" w:rsidRDefault="00584FB3">
            <w:pPr>
              <w:rPr>
                <w:rFonts w:ascii="宋体"/>
              </w:rPr>
            </w:pPr>
          </w:p>
        </w:tc>
        <w:tc>
          <w:tcPr>
            <w:tcW w:w="5" w:type="pct"/>
            <w:shd w:val="clear" w:color="auto" w:fill="auto"/>
          </w:tcPr>
          <w:p w14:paraId="40CB2283" w14:textId="77777777" w:rsidR="00584FB3" w:rsidRDefault="00584FB3">
            <w:pPr>
              <w:rPr>
                <w:rFonts w:ascii="宋体"/>
              </w:rPr>
            </w:pPr>
          </w:p>
        </w:tc>
        <w:tc>
          <w:tcPr>
            <w:tcW w:w="26" w:type="pct"/>
            <w:shd w:val="clear" w:color="auto" w:fill="auto"/>
          </w:tcPr>
          <w:p w14:paraId="40CB2284" w14:textId="77777777" w:rsidR="00584FB3" w:rsidRDefault="00584FB3">
            <w:pPr>
              <w:rPr>
                <w:rFonts w:ascii="宋体"/>
              </w:rPr>
            </w:pPr>
          </w:p>
        </w:tc>
        <w:tc>
          <w:tcPr>
            <w:tcW w:w="5" w:type="pct"/>
            <w:shd w:val="clear" w:color="auto" w:fill="auto"/>
          </w:tcPr>
          <w:p w14:paraId="40CB2285" w14:textId="77777777" w:rsidR="00584FB3" w:rsidRDefault="00584FB3">
            <w:pPr>
              <w:rPr>
                <w:rFonts w:ascii="宋体"/>
              </w:rPr>
            </w:pPr>
          </w:p>
        </w:tc>
        <w:tc>
          <w:tcPr>
            <w:tcW w:w="50" w:type="pct"/>
            <w:shd w:val="clear" w:color="auto" w:fill="auto"/>
          </w:tcPr>
          <w:p w14:paraId="40CB2286" w14:textId="77777777" w:rsidR="00584FB3" w:rsidRDefault="00584FB3">
            <w:pPr>
              <w:rPr>
                <w:rFonts w:ascii="宋体"/>
              </w:rPr>
            </w:pPr>
          </w:p>
        </w:tc>
        <w:tc>
          <w:tcPr>
            <w:tcW w:w="370" w:type="pct"/>
            <w:shd w:val="clear" w:color="auto" w:fill="auto"/>
          </w:tcPr>
          <w:p w14:paraId="40CB2287" w14:textId="77777777" w:rsidR="00584FB3" w:rsidRDefault="00584FB3">
            <w:pPr>
              <w:rPr>
                <w:rFonts w:ascii="宋体"/>
              </w:rPr>
            </w:pPr>
          </w:p>
        </w:tc>
        <w:tc>
          <w:tcPr>
            <w:tcW w:w="5" w:type="pct"/>
            <w:shd w:val="clear" w:color="auto" w:fill="auto"/>
          </w:tcPr>
          <w:p w14:paraId="40CB2288" w14:textId="77777777" w:rsidR="00584FB3" w:rsidRDefault="00584FB3">
            <w:pPr>
              <w:rPr>
                <w:rFonts w:ascii="宋体"/>
              </w:rPr>
            </w:pPr>
          </w:p>
        </w:tc>
        <w:tc>
          <w:tcPr>
            <w:tcW w:w="5" w:type="pct"/>
            <w:shd w:val="clear" w:color="auto" w:fill="auto"/>
          </w:tcPr>
          <w:p w14:paraId="40CB2289" w14:textId="77777777" w:rsidR="00584FB3" w:rsidRDefault="00584FB3">
            <w:pPr>
              <w:rPr>
                <w:rFonts w:ascii="宋体"/>
              </w:rPr>
            </w:pPr>
          </w:p>
        </w:tc>
        <w:tc>
          <w:tcPr>
            <w:tcW w:w="26" w:type="pct"/>
            <w:shd w:val="clear" w:color="auto" w:fill="auto"/>
          </w:tcPr>
          <w:p w14:paraId="40CB228A" w14:textId="77777777" w:rsidR="00584FB3" w:rsidRDefault="00584FB3">
            <w:pPr>
              <w:rPr>
                <w:rFonts w:ascii="宋体"/>
              </w:rPr>
            </w:pPr>
          </w:p>
        </w:tc>
        <w:tc>
          <w:tcPr>
            <w:tcW w:w="5" w:type="pct"/>
            <w:shd w:val="clear" w:color="auto" w:fill="auto"/>
          </w:tcPr>
          <w:p w14:paraId="40CB228B" w14:textId="77777777" w:rsidR="00584FB3" w:rsidRDefault="00584FB3">
            <w:pPr>
              <w:rPr>
                <w:rFonts w:ascii="宋体"/>
              </w:rPr>
            </w:pPr>
          </w:p>
        </w:tc>
        <w:tc>
          <w:tcPr>
            <w:tcW w:w="50" w:type="pct"/>
            <w:shd w:val="clear" w:color="auto" w:fill="auto"/>
          </w:tcPr>
          <w:p w14:paraId="40CB228C" w14:textId="77777777" w:rsidR="00584FB3" w:rsidRDefault="00584FB3">
            <w:pPr>
              <w:rPr>
                <w:rFonts w:ascii="宋体"/>
              </w:rPr>
            </w:pPr>
          </w:p>
        </w:tc>
        <w:tc>
          <w:tcPr>
            <w:tcW w:w="370" w:type="pct"/>
            <w:shd w:val="clear" w:color="auto" w:fill="auto"/>
          </w:tcPr>
          <w:p w14:paraId="40CB228D" w14:textId="77777777" w:rsidR="00584FB3" w:rsidRDefault="00584FB3">
            <w:pPr>
              <w:rPr>
                <w:rFonts w:ascii="宋体"/>
              </w:rPr>
            </w:pPr>
          </w:p>
        </w:tc>
        <w:tc>
          <w:tcPr>
            <w:tcW w:w="5" w:type="pct"/>
            <w:shd w:val="clear" w:color="auto" w:fill="auto"/>
          </w:tcPr>
          <w:p w14:paraId="40CB228E" w14:textId="77777777" w:rsidR="00584FB3" w:rsidRDefault="00584FB3">
            <w:pPr>
              <w:rPr>
                <w:rFonts w:ascii="宋体"/>
              </w:rPr>
            </w:pPr>
          </w:p>
        </w:tc>
        <w:tc>
          <w:tcPr>
            <w:tcW w:w="5" w:type="pct"/>
            <w:shd w:val="clear" w:color="auto" w:fill="auto"/>
          </w:tcPr>
          <w:p w14:paraId="40CB228F" w14:textId="77777777" w:rsidR="00584FB3" w:rsidRDefault="00584FB3">
            <w:pPr>
              <w:rPr>
                <w:rFonts w:ascii="宋体"/>
              </w:rPr>
            </w:pPr>
          </w:p>
        </w:tc>
        <w:tc>
          <w:tcPr>
            <w:tcW w:w="26" w:type="pct"/>
            <w:shd w:val="clear" w:color="auto" w:fill="auto"/>
          </w:tcPr>
          <w:p w14:paraId="40CB2290" w14:textId="77777777" w:rsidR="00584FB3" w:rsidRDefault="00584FB3">
            <w:pPr>
              <w:rPr>
                <w:rFonts w:ascii="宋体"/>
              </w:rPr>
            </w:pPr>
          </w:p>
        </w:tc>
        <w:tc>
          <w:tcPr>
            <w:tcW w:w="5" w:type="pct"/>
            <w:shd w:val="clear" w:color="auto" w:fill="auto"/>
          </w:tcPr>
          <w:p w14:paraId="40CB2291" w14:textId="77777777" w:rsidR="00584FB3" w:rsidRDefault="00584FB3">
            <w:pPr>
              <w:rPr>
                <w:rFonts w:ascii="宋体"/>
              </w:rPr>
            </w:pPr>
          </w:p>
        </w:tc>
        <w:tc>
          <w:tcPr>
            <w:tcW w:w="50" w:type="pct"/>
            <w:shd w:val="clear" w:color="auto" w:fill="auto"/>
          </w:tcPr>
          <w:p w14:paraId="40CB2292" w14:textId="77777777" w:rsidR="00584FB3" w:rsidRDefault="00584FB3">
            <w:pPr>
              <w:rPr>
                <w:rFonts w:ascii="宋体"/>
              </w:rPr>
            </w:pPr>
          </w:p>
        </w:tc>
        <w:tc>
          <w:tcPr>
            <w:tcW w:w="370" w:type="pct"/>
            <w:shd w:val="clear" w:color="auto" w:fill="auto"/>
          </w:tcPr>
          <w:p w14:paraId="40CB2293" w14:textId="77777777" w:rsidR="00584FB3" w:rsidRDefault="00584FB3">
            <w:pPr>
              <w:rPr>
                <w:rFonts w:ascii="宋体"/>
              </w:rPr>
            </w:pPr>
          </w:p>
        </w:tc>
        <w:tc>
          <w:tcPr>
            <w:tcW w:w="5" w:type="pct"/>
            <w:shd w:val="clear" w:color="auto" w:fill="auto"/>
          </w:tcPr>
          <w:p w14:paraId="40CB2294" w14:textId="77777777" w:rsidR="00584FB3" w:rsidRDefault="00584FB3">
            <w:pPr>
              <w:rPr>
                <w:rFonts w:ascii="宋体"/>
              </w:rPr>
            </w:pPr>
          </w:p>
        </w:tc>
        <w:tc>
          <w:tcPr>
            <w:tcW w:w="0" w:type="auto"/>
            <w:shd w:val="clear" w:color="auto" w:fill="auto"/>
          </w:tcPr>
          <w:p w14:paraId="40CB2295" w14:textId="77777777" w:rsidR="00584FB3" w:rsidRDefault="00584FB3">
            <w:pPr>
              <w:rPr>
                <w:rFonts w:ascii="宋体"/>
                <w:vanish/>
              </w:rPr>
            </w:pPr>
          </w:p>
        </w:tc>
        <w:tc>
          <w:tcPr>
            <w:tcW w:w="0" w:type="auto"/>
            <w:shd w:val="clear" w:color="auto" w:fill="auto"/>
          </w:tcPr>
          <w:p w14:paraId="40CB2296" w14:textId="77777777" w:rsidR="00584FB3" w:rsidRDefault="00584FB3">
            <w:pPr>
              <w:rPr>
                <w:rFonts w:ascii="宋体"/>
                <w:vanish/>
              </w:rPr>
            </w:pPr>
          </w:p>
        </w:tc>
        <w:tc>
          <w:tcPr>
            <w:tcW w:w="0" w:type="auto"/>
            <w:gridSpan w:val="3"/>
            <w:shd w:val="clear" w:color="auto" w:fill="auto"/>
          </w:tcPr>
          <w:p w14:paraId="40CB2297" w14:textId="77777777" w:rsidR="00584FB3" w:rsidRDefault="00584FB3">
            <w:pPr>
              <w:rPr>
                <w:rFonts w:ascii="宋体"/>
                <w:vanish/>
              </w:rPr>
            </w:pPr>
          </w:p>
        </w:tc>
        <w:tc>
          <w:tcPr>
            <w:tcW w:w="0" w:type="auto"/>
            <w:gridSpan w:val="3"/>
            <w:shd w:val="clear" w:color="auto" w:fill="auto"/>
          </w:tcPr>
          <w:p w14:paraId="40CB2298" w14:textId="77777777" w:rsidR="00584FB3" w:rsidRDefault="00584FB3">
            <w:pPr>
              <w:rPr>
                <w:rFonts w:ascii="宋体"/>
                <w:vanish/>
              </w:rPr>
            </w:pPr>
          </w:p>
        </w:tc>
        <w:tc>
          <w:tcPr>
            <w:tcW w:w="0" w:type="auto"/>
            <w:gridSpan w:val="3"/>
            <w:shd w:val="clear" w:color="auto" w:fill="auto"/>
          </w:tcPr>
          <w:p w14:paraId="40CB2299" w14:textId="77777777" w:rsidR="00584FB3" w:rsidRDefault="00584FB3">
            <w:pPr>
              <w:rPr>
                <w:rFonts w:ascii="宋体"/>
                <w:vanish/>
              </w:rPr>
            </w:pPr>
          </w:p>
        </w:tc>
        <w:tc>
          <w:tcPr>
            <w:tcW w:w="0" w:type="auto"/>
            <w:gridSpan w:val="3"/>
            <w:shd w:val="clear" w:color="auto" w:fill="auto"/>
          </w:tcPr>
          <w:p w14:paraId="40CB229A" w14:textId="77777777" w:rsidR="00584FB3" w:rsidRDefault="00584FB3">
            <w:pPr>
              <w:rPr>
                <w:rFonts w:ascii="宋体"/>
                <w:vanish/>
              </w:rPr>
            </w:pPr>
          </w:p>
        </w:tc>
        <w:tc>
          <w:tcPr>
            <w:tcW w:w="0" w:type="auto"/>
            <w:gridSpan w:val="3"/>
            <w:shd w:val="clear" w:color="auto" w:fill="auto"/>
          </w:tcPr>
          <w:p w14:paraId="40CB229B" w14:textId="77777777" w:rsidR="00584FB3" w:rsidRDefault="00584FB3">
            <w:pPr>
              <w:rPr>
                <w:rFonts w:ascii="宋体"/>
                <w:vanish/>
              </w:rPr>
            </w:pPr>
          </w:p>
        </w:tc>
        <w:tc>
          <w:tcPr>
            <w:tcW w:w="0" w:type="auto"/>
            <w:gridSpan w:val="3"/>
            <w:shd w:val="clear" w:color="auto" w:fill="auto"/>
          </w:tcPr>
          <w:p w14:paraId="40CB229C" w14:textId="77777777" w:rsidR="00584FB3" w:rsidRDefault="00584FB3">
            <w:pPr>
              <w:rPr>
                <w:rFonts w:ascii="宋体"/>
                <w:vanish/>
              </w:rPr>
            </w:pPr>
          </w:p>
        </w:tc>
        <w:tc>
          <w:tcPr>
            <w:tcW w:w="0" w:type="auto"/>
            <w:gridSpan w:val="3"/>
            <w:shd w:val="clear" w:color="auto" w:fill="auto"/>
          </w:tcPr>
          <w:p w14:paraId="40CB229D" w14:textId="77777777" w:rsidR="00584FB3" w:rsidRDefault="00584FB3">
            <w:pPr>
              <w:rPr>
                <w:rFonts w:ascii="宋体"/>
                <w:vanish/>
              </w:rPr>
            </w:pPr>
          </w:p>
        </w:tc>
        <w:tc>
          <w:tcPr>
            <w:tcW w:w="0" w:type="auto"/>
            <w:gridSpan w:val="3"/>
            <w:shd w:val="clear" w:color="auto" w:fill="auto"/>
          </w:tcPr>
          <w:p w14:paraId="40CB229E" w14:textId="77777777" w:rsidR="00584FB3" w:rsidRDefault="00584FB3">
            <w:pPr>
              <w:rPr>
                <w:rFonts w:ascii="宋体"/>
                <w:vanish/>
              </w:rPr>
            </w:pPr>
          </w:p>
        </w:tc>
      </w:tr>
      <w:tr w:rsidR="00584FB3" w14:paraId="40CB22BC" w14:textId="77777777">
        <w:tc>
          <w:tcPr>
            <w:tcW w:w="0" w:type="auto"/>
            <w:gridSpan w:val="3"/>
            <w:shd w:val="clear" w:color="auto" w:fill="auto"/>
            <w:tcMar>
              <w:top w:w="40" w:type="dxa"/>
              <w:left w:w="380" w:type="dxa"/>
              <w:bottom w:w="40" w:type="dxa"/>
              <w:right w:w="20" w:type="dxa"/>
            </w:tcMar>
            <w:vAlign w:val="bottom"/>
          </w:tcPr>
          <w:p w14:paraId="40CB22A0" w14:textId="77777777" w:rsidR="00584FB3" w:rsidRDefault="00786180">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0CB22A1"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22A2" w14:textId="77777777" w:rsidR="00584FB3" w:rsidRDefault="00584FB3">
            <w:pPr>
              <w:rPr>
                <w:rFonts w:ascii="宋体"/>
                <w:vanish/>
              </w:rPr>
            </w:pPr>
          </w:p>
        </w:tc>
        <w:tc>
          <w:tcPr>
            <w:tcW w:w="0" w:type="auto"/>
            <w:shd w:val="clear" w:color="auto" w:fill="auto"/>
          </w:tcPr>
          <w:p w14:paraId="40CB22A3" w14:textId="77777777" w:rsidR="00584FB3" w:rsidRDefault="00584FB3">
            <w:pPr>
              <w:rPr>
                <w:rFonts w:ascii="宋体"/>
                <w:vanish/>
              </w:rPr>
            </w:pPr>
          </w:p>
        </w:tc>
        <w:tc>
          <w:tcPr>
            <w:tcW w:w="0" w:type="auto"/>
            <w:shd w:val="clear" w:color="auto" w:fill="auto"/>
          </w:tcPr>
          <w:p w14:paraId="40CB22A4" w14:textId="77777777" w:rsidR="00584FB3" w:rsidRDefault="00584FB3">
            <w:pPr>
              <w:rPr>
                <w:rFonts w:ascii="宋体"/>
              </w:rPr>
            </w:pPr>
          </w:p>
        </w:tc>
        <w:tc>
          <w:tcPr>
            <w:tcW w:w="0" w:type="auto"/>
            <w:shd w:val="clear" w:color="auto" w:fill="auto"/>
          </w:tcPr>
          <w:p w14:paraId="40CB22A5" w14:textId="77777777" w:rsidR="00584FB3" w:rsidRDefault="00584FB3">
            <w:pPr>
              <w:rPr>
                <w:rFonts w:ascii="宋体"/>
              </w:rPr>
            </w:pPr>
          </w:p>
        </w:tc>
        <w:tc>
          <w:tcPr>
            <w:tcW w:w="0" w:type="auto"/>
            <w:shd w:val="clear" w:color="auto" w:fill="auto"/>
          </w:tcPr>
          <w:p w14:paraId="40CB22A6" w14:textId="77777777" w:rsidR="00584FB3" w:rsidRDefault="00584FB3">
            <w:pPr>
              <w:rPr>
                <w:rFonts w:ascii="宋体"/>
              </w:rPr>
            </w:pPr>
          </w:p>
        </w:tc>
        <w:tc>
          <w:tcPr>
            <w:tcW w:w="0" w:type="auto"/>
            <w:shd w:val="clear" w:color="auto" w:fill="auto"/>
          </w:tcPr>
          <w:p w14:paraId="40CB22A7" w14:textId="77777777" w:rsidR="00584FB3" w:rsidRDefault="00584FB3">
            <w:pPr>
              <w:rPr>
                <w:rFonts w:ascii="宋体"/>
              </w:rPr>
            </w:pPr>
          </w:p>
        </w:tc>
        <w:tc>
          <w:tcPr>
            <w:tcW w:w="0" w:type="auto"/>
            <w:shd w:val="clear" w:color="auto" w:fill="auto"/>
          </w:tcPr>
          <w:p w14:paraId="40CB22A8" w14:textId="77777777" w:rsidR="00584FB3" w:rsidRDefault="00584FB3">
            <w:pPr>
              <w:rPr>
                <w:rFonts w:ascii="宋体"/>
              </w:rPr>
            </w:pPr>
          </w:p>
        </w:tc>
        <w:tc>
          <w:tcPr>
            <w:tcW w:w="0" w:type="auto"/>
            <w:shd w:val="clear" w:color="auto" w:fill="auto"/>
          </w:tcPr>
          <w:p w14:paraId="40CB22A9" w14:textId="77777777" w:rsidR="00584FB3" w:rsidRDefault="00584FB3">
            <w:pPr>
              <w:rPr>
                <w:rFonts w:ascii="宋体"/>
              </w:rPr>
            </w:pPr>
          </w:p>
        </w:tc>
        <w:tc>
          <w:tcPr>
            <w:tcW w:w="0" w:type="auto"/>
            <w:shd w:val="clear" w:color="auto" w:fill="auto"/>
          </w:tcPr>
          <w:p w14:paraId="40CB22AA" w14:textId="77777777" w:rsidR="00584FB3" w:rsidRDefault="00584FB3">
            <w:pPr>
              <w:rPr>
                <w:rFonts w:ascii="宋体"/>
              </w:rPr>
            </w:pPr>
          </w:p>
        </w:tc>
        <w:tc>
          <w:tcPr>
            <w:tcW w:w="0" w:type="auto"/>
            <w:shd w:val="clear" w:color="auto" w:fill="auto"/>
          </w:tcPr>
          <w:p w14:paraId="40CB22AB" w14:textId="77777777" w:rsidR="00584FB3" w:rsidRDefault="00584FB3">
            <w:pPr>
              <w:rPr>
                <w:rFonts w:ascii="宋体"/>
              </w:rPr>
            </w:pPr>
          </w:p>
        </w:tc>
        <w:tc>
          <w:tcPr>
            <w:tcW w:w="0" w:type="auto"/>
            <w:shd w:val="clear" w:color="auto" w:fill="auto"/>
          </w:tcPr>
          <w:p w14:paraId="40CB22AC" w14:textId="77777777" w:rsidR="00584FB3" w:rsidRDefault="00584FB3">
            <w:pPr>
              <w:rPr>
                <w:rFonts w:ascii="宋体"/>
              </w:rPr>
            </w:pPr>
          </w:p>
        </w:tc>
        <w:tc>
          <w:tcPr>
            <w:tcW w:w="0" w:type="auto"/>
            <w:shd w:val="clear" w:color="auto" w:fill="auto"/>
          </w:tcPr>
          <w:p w14:paraId="40CB22AD" w14:textId="77777777" w:rsidR="00584FB3" w:rsidRDefault="00584FB3">
            <w:pPr>
              <w:rPr>
                <w:rFonts w:ascii="宋体"/>
              </w:rPr>
            </w:pPr>
          </w:p>
        </w:tc>
        <w:tc>
          <w:tcPr>
            <w:tcW w:w="0" w:type="auto"/>
            <w:shd w:val="clear" w:color="auto" w:fill="auto"/>
          </w:tcPr>
          <w:p w14:paraId="40CB22AE" w14:textId="77777777" w:rsidR="00584FB3" w:rsidRDefault="00584FB3">
            <w:pPr>
              <w:rPr>
                <w:rFonts w:ascii="宋体"/>
              </w:rPr>
            </w:pPr>
          </w:p>
        </w:tc>
        <w:tc>
          <w:tcPr>
            <w:tcW w:w="0" w:type="auto"/>
            <w:shd w:val="clear" w:color="auto" w:fill="auto"/>
          </w:tcPr>
          <w:p w14:paraId="40CB22AF" w14:textId="77777777" w:rsidR="00584FB3" w:rsidRDefault="00584FB3">
            <w:pPr>
              <w:rPr>
                <w:rFonts w:ascii="宋体"/>
              </w:rPr>
            </w:pPr>
          </w:p>
        </w:tc>
        <w:tc>
          <w:tcPr>
            <w:tcW w:w="0" w:type="auto"/>
            <w:shd w:val="clear" w:color="auto" w:fill="auto"/>
          </w:tcPr>
          <w:p w14:paraId="40CB22B0" w14:textId="77777777" w:rsidR="00584FB3" w:rsidRDefault="00584FB3">
            <w:pPr>
              <w:rPr>
                <w:rFonts w:ascii="宋体"/>
              </w:rPr>
            </w:pPr>
          </w:p>
        </w:tc>
        <w:tc>
          <w:tcPr>
            <w:tcW w:w="0" w:type="auto"/>
            <w:shd w:val="clear" w:color="auto" w:fill="auto"/>
          </w:tcPr>
          <w:p w14:paraId="40CB22B1" w14:textId="77777777" w:rsidR="00584FB3" w:rsidRDefault="00584FB3">
            <w:pPr>
              <w:rPr>
                <w:rFonts w:ascii="宋体"/>
              </w:rPr>
            </w:pPr>
          </w:p>
        </w:tc>
        <w:tc>
          <w:tcPr>
            <w:tcW w:w="0" w:type="auto"/>
            <w:shd w:val="clear" w:color="auto" w:fill="auto"/>
          </w:tcPr>
          <w:p w14:paraId="40CB22B2" w14:textId="77777777" w:rsidR="00584FB3" w:rsidRDefault="00584FB3">
            <w:pPr>
              <w:rPr>
                <w:rFonts w:ascii="宋体"/>
              </w:rPr>
            </w:pPr>
          </w:p>
        </w:tc>
        <w:tc>
          <w:tcPr>
            <w:tcW w:w="0" w:type="auto"/>
            <w:shd w:val="clear" w:color="auto" w:fill="auto"/>
          </w:tcPr>
          <w:p w14:paraId="40CB22B3" w14:textId="77777777" w:rsidR="00584FB3" w:rsidRDefault="00584FB3">
            <w:pPr>
              <w:rPr>
                <w:rFonts w:ascii="宋体"/>
              </w:rPr>
            </w:pPr>
          </w:p>
        </w:tc>
        <w:tc>
          <w:tcPr>
            <w:tcW w:w="0" w:type="auto"/>
            <w:shd w:val="clear" w:color="auto" w:fill="auto"/>
          </w:tcPr>
          <w:p w14:paraId="40CB22B4" w14:textId="77777777" w:rsidR="00584FB3" w:rsidRDefault="00584FB3">
            <w:pPr>
              <w:rPr>
                <w:rFonts w:ascii="宋体"/>
              </w:rPr>
            </w:pPr>
          </w:p>
        </w:tc>
        <w:tc>
          <w:tcPr>
            <w:tcW w:w="0" w:type="auto"/>
            <w:shd w:val="clear" w:color="auto" w:fill="auto"/>
          </w:tcPr>
          <w:p w14:paraId="40CB22B5" w14:textId="77777777" w:rsidR="00584FB3" w:rsidRDefault="00584FB3">
            <w:pPr>
              <w:rPr>
                <w:rFonts w:ascii="宋体"/>
              </w:rPr>
            </w:pPr>
          </w:p>
        </w:tc>
        <w:tc>
          <w:tcPr>
            <w:tcW w:w="0" w:type="auto"/>
            <w:shd w:val="clear" w:color="auto" w:fill="auto"/>
          </w:tcPr>
          <w:p w14:paraId="40CB22B6" w14:textId="77777777" w:rsidR="00584FB3" w:rsidRDefault="00584FB3">
            <w:pPr>
              <w:rPr>
                <w:rFonts w:ascii="宋体"/>
              </w:rPr>
            </w:pPr>
          </w:p>
        </w:tc>
        <w:tc>
          <w:tcPr>
            <w:tcW w:w="0" w:type="auto"/>
            <w:shd w:val="clear" w:color="auto" w:fill="auto"/>
          </w:tcPr>
          <w:p w14:paraId="40CB22B7" w14:textId="77777777" w:rsidR="00584FB3" w:rsidRDefault="00584FB3">
            <w:pPr>
              <w:rPr>
                <w:rFonts w:ascii="宋体"/>
              </w:rPr>
            </w:pPr>
          </w:p>
        </w:tc>
        <w:tc>
          <w:tcPr>
            <w:tcW w:w="0" w:type="auto"/>
            <w:shd w:val="clear" w:color="auto" w:fill="auto"/>
          </w:tcPr>
          <w:p w14:paraId="40CB22B8" w14:textId="77777777" w:rsidR="00584FB3" w:rsidRDefault="00584FB3">
            <w:pPr>
              <w:rPr>
                <w:rFonts w:ascii="宋体"/>
              </w:rPr>
            </w:pPr>
          </w:p>
        </w:tc>
        <w:tc>
          <w:tcPr>
            <w:tcW w:w="0" w:type="auto"/>
            <w:shd w:val="clear" w:color="auto" w:fill="auto"/>
          </w:tcPr>
          <w:p w14:paraId="40CB22B9" w14:textId="77777777" w:rsidR="00584FB3" w:rsidRDefault="00584FB3">
            <w:pPr>
              <w:rPr>
                <w:rFonts w:ascii="宋体"/>
              </w:rPr>
            </w:pPr>
          </w:p>
        </w:tc>
        <w:tc>
          <w:tcPr>
            <w:tcW w:w="0" w:type="auto"/>
            <w:shd w:val="clear" w:color="auto" w:fill="auto"/>
          </w:tcPr>
          <w:p w14:paraId="40CB22BA" w14:textId="77777777" w:rsidR="00584FB3" w:rsidRDefault="00584FB3">
            <w:pPr>
              <w:rPr>
                <w:rFonts w:ascii="宋体"/>
              </w:rPr>
            </w:pPr>
          </w:p>
        </w:tc>
        <w:tc>
          <w:tcPr>
            <w:tcW w:w="0" w:type="auto"/>
            <w:shd w:val="clear" w:color="auto" w:fill="auto"/>
          </w:tcPr>
          <w:p w14:paraId="40CB22BB" w14:textId="77777777" w:rsidR="00584FB3" w:rsidRDefault="00584FB3">
            <w:pPr>
              <w:rPr>
                <w:rFonts w:ascii="宋体"/>
              </w:rPr>
            </w:pPr>
          </w:p>
        </w:tc>
      </w:tr>
      <w:tr w:rsidR="00584FB3" w14:paraId="40CB22D2" w14:textId="77777777">
        <w:tc>
          <w:tcPr>
            <w:tcW w:w="0" w:type="auto"/>
            <w:gridSpan w:val="3"/>
            <w:shd w:val="clear" w:color="auto" w:fill="auto"/>
            <w:tcMar>
              <w:top w:w="40" w:type="dxa"/>
              <w:left w:w="20" w:type="dxa"/>
              <w:bottom w:w="40" w:type="dxa"/>
              <w:right w:w="20" w:type="dxa"/>
            </w:tcMar>
            <w:vAlign w:val="bottom"/>
          </w:tcPr>
          <w:p w14:paraId="40CB22BD"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22BE"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2BF"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2C0"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22C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2C2" w14:textId="77777777" w:rsidR="00584FB3" w:rsidRDefault="00786180">
            <w:pPr>
              <w:jc w:val="center"/>
              <w:textAlignment w:val="bottom"/>
            </w:pPr>
            <w:r>
              <w:rPr>
                <w:rFonts w:ascii="Times New Roman" w:eastAsia="宋体" w:hAnsi="Times New Roman"/>
                <w:b/>
                <w:bCs/>
                <w:color w:val="FFFFFF"/>
                <w:sz w:val="16"/>
                <w:szCs w:val="16"/>
              </w:rPr>
              <w:t>$</w:t>
            </w:r>
          </w:p>
          <w:p w14:paraId="40CB22C3"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40CB22C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2C5"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40CB22C6"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22C7" w14:textId="77777777" w:rsidR="00584FB3" w:rsidRDefault="00786180">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w:t>
            </w:r>
            <w:r>
              <w:rPr>
                <w:rFonts w:ascii="Times New Roman" w:eastAsia="宋体" w:hAnsi="Times New Roman"/>
                <w:b/>
                <w:bCs/>
                <w:color w:val="FFFFFF"/>
                <w:sz w:val="16"/>
                <w:szCs w:val="16"/>
              </w:rPr>
              <w:br/>
              <w:t>2019</w:t>
            </w:r>
          </w:p>
        </w:tc>
        <w:tc>
          <w:tcPr>
            <w:tcW w:w="0" w:type="auto"/>
            <w:shd w:val="clear" w:color="auto" w:fill="auto"/>
          </w:tcPr>
          <w:p w14:paraId="40CB22C8" w14:textId="77777777" w:rsidR="00584FB3" w:rsidRDefault="00584FB3">
            <w:pPr>
              <w:rPr>
                <w:rFonts w:ascii="宋体"/>
                <w:vanish/>
              </w:rPr>
            </w:pPr>
          </w:p>
        </w:tc>
        <w:tc>
          <w:tcPr>
            <w:tcW w:w="0" w:type="auto"/>
            <w:shd w:val="clear" w:color="auto" w:fill="auto"/>
          </w:tcPr>
          <w:p w14:paraId="40CB22C9" w14:textId="77777777" w:rsidR="00584FB3" w:rsidRDefault="00584FB3">
            <w:pPr>
              <w:rPr>
                <w:rFonts w:ascii="宋体"/>
                <w:vanish/>
              </w:rPr>
            </w:pPr>
          </w:p>
        </w:tc>
        <w:tc>
          <w:tcPr>
            <w:tcW w:w="0" w:type="auto"/>
            <w:gridSpan w:val="3"/>
            <w:shd w:val="clear" w:color="auto" w:fill="auto"/>
          </w:tcPr>
          <w:p w14:paraId="40CB22CA" w14:textId="77777777" w:rsidR="00584FB3" w:rsidRDefault="00584FB3">
            <w:pPr>
              <w:rPr>
                <w:rFonts w:ascii="宋体"/>
                <w:vanish/>
              </w:rPr>
            </w:pPr>
          </w:p>
        </w:tc>
        <w:tc>
          <w:tcPr>
            <w:tcW w:w="0" w:type="auto"/>
            <w:gridSpan w:val="3"/>
            <w:shd w:val="clear" w:color="auto" w:fill="auto"/>
          </w:tcPr>
          <w:p w14:paraId="40CB22CB" w14:textId="77777777" w:rsidR="00584FB3" w:rsidRDefault="00584FB3">
            <w:pPr>
              <w:rPr>
                <w:rFonts w:ascii="宋体"/>
                <w:vanish/>
              </w:rPr>
            </w:pPr>
          </w:p>
        </w:tc>
        <w:tc>
          <w:tcPr>
            <w:tcW w:w="0" w:type="auto"/>
            <w:gridSpan w:val="3"/>
            <w:shd w:val="clear" w:color="auto" w:fill="auto"/>
          </w:tcPr>
          <w:p w14:paraId="40CB22CC" w14:textId="77777777" w:rsidR="00584FB3" w:rsidRDefault="00584FB3">
            <w:pPr>
              <w:rPr>
                <w:rFonts w:ascii="宋体"/>
                <w:vanish/>
              </w:rPr>
            </w:pPr>
          </w:p>
        </w:tc>
        <w:tc>
          <w:tcPr>
            <w:tcW w:w="0" w:type="auto"/>
            <w:gridSpan w:val="3"/>
            <w:shd w:val="clear" w:color="auto" w:fill="auto"/>
          </w:tcPr>
          <w:p w14:paraId="40CB22CD" w14:textId="77777777" w:rsidR="00584FB3" w:rsidRDefault="00584FB3">
            <w:pPr>
              <w:rPr>
                <w:rFonts w:ascii="宋体"/>
                <w:vanish/>
              </w:rPr>
            </w:pPr>
          </w:p>
        </w:tc>
        <w:tc>
          <w:tcPr>
            <w:tcW w:w="0" w:type="auto"/>
            <w:gridSpan w:val="3"/>
            <w:shd w:val="clear" w:color="auto" w:fill="auto"/>
          </w:tcPr>
          <w:p w14:paraId="40CB22CE" w14:textId="77777777" w:rsidR="00584FB3" w:rsidRDefault="00584FB3">
            <w:pPr>
              <w:rPr>
                <w:rFonts w:ascii="宋体"/>
                <w:vanish/>
              </w:rPr>
            </w:pPr>
          </w:p>
        </w:tc>
        <w:tc>
          <w:tcPr>
            <w:tcW w:w="0" w:type="auto"/>
            <w:gridSpan w:val="3"/>
            <w:shd w:val="clear" w:color="auto" w:fill="auto"/>
          </w:tcPr>
          <w:p w14:paraId="40CB22CF" w14:textId="77777777" w:rsidR="00584FB3" w:rsidRDefault="00584FB3">
            <w:pPr>
              <w:rPr>
                <w:rFonts w:ascii="宋体"/>
                <w:vanish/>
              </w:rPr>
            </w:pPr>
          </w:p>
        </w:tc>
        <w:tc>
          <w:tcPr>
            <w:tcW w:w="0" w:type="auto"/>
            <w:gridSpan w:val="3"/>
            <w:shd w:val="clear" w:color="auto" w:fill="auto"/>
          </w:tcPr>
          <w:p w14:paraId="40CB22D0" w14:textId="77777777" w:rsidR="00584FB3" w:rsidRDefault="00584FB3">
            <w:pPr>
              <w:rPr>
                <w:rFonts w:ascii="宋体"/>
                <w:vanish/>
              </w:rPr>
            </w:pPr>
          </w:p>
        </w:tc>
        <w:tc>
          <w:tcPr>
            <w:tcW w:w="0" w:type="auto"/>
            <w:gridSpan w:val="3"/>
            <w:shd w:val="clear" w:color="auto" w:fill="auto"/>
          </w:tcPr>
          <w:p w14:paraId="40CB22D1" w14:textId="77777777" w:rsidR="00584FB3" w:rsidRDefault="00584FB3">
            <w:pPr>
              <w:rPr>
                <w:rFonts w:ascii="宋体"/>
                <w:vanish/>
              </w:rPr>
            </w:pPr>
          </w:p>
        </w:tc>
      </w:tr>
      <w:tr w:rsidR="00584FB3" w14:paraId="40CB22E9" w14:textId="77777777">
        <w:tc>
          <w:tcPr>
            <w:tcW w:w="0" w:type="auto"/>
            <w:gridSpan w:val="3"/>
            <w:shd w:val="clear" w:color="auto" w:fill="auto"/>
            <w:tcMar>
              <w:top w:w="0" w:type="dxa"/>
              <w:left w:w="20" w:type="dxa"/>
              <w:bottom w:w="0" w:type="dxa"/>
              <w:right w:w="20" w:type="dxa"/>
            </w:tcMar>
          </w:tcPr>
          <w:p w14:paraId="40CB22D3"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2D4"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2D5"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2D6"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2D7"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2D8"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2D9" w14:textId="77777777" w:rsidR="00584FB3" w:rsidRDefault="00584FB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CB22DA" w14:textId="77777777" w:rsidR="00584FB3" w:rsidRDefault="00786180">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shd w:val="clear" w:color="auto" w:fill="auto"/>
          </w:tcPr>
          <w:p w14:paraId="40CB22DB" w14:textId="77777777" w:rsidR="00584FB3" w:rsidRDefault="00584FB3">
            <w:pPr>
              <w:rPr>
                <w:rFonts w:ascii="宋体"/>
                <w:vanish/>
              </w:rPr>
            </w:pPr>
          </w:p>
        </w:tc>
        <w:tc>
          <w:tcPr>
            <w:tcW w:w="0" w:type="auto"/>
            <w:shd w:val="clear" w:color="auto" w:fill="auto"/>
          </w:tcPr>
          <w:p w14:paraId="40CB22DC" w14:textId="77777777" w:rsidR="00584FB3" w:rsidRDefault="00584FB3">
            <w:pPr>
              <w:rPr>
                <w:rFonts w:ascii="宋体"/>
                <w:vanish/>
              </w:rPr>
            </w:pPr>
          </w:p>
        </w:tc>
        <w:tc>
          <w:tcPr>
            <w:tcW w:w="0" w:type="auto"/>
            <w:gridSpan w:val="3"/>
            <w:shd w:val="clear" w:color="auto" w:fill="auto"/>
          </w:tcPr>
          <w:p w14:paraId="40CB22DD" w14:textId="77777777" w:rsidR="00584FB3" w:rsidRDefault="00584FB3">
            <w:pPr>
              <w:rPr>
                <w:rFonts w:ascii="宋体"/>
                <w:vanish/>
              </w:rPr>
            </w:pPr>
          </w:p>
        </w:tc>
        <w:tc>
          <w:tcPr>
            <w:tcW w:w="0" w:type="auto"/>
            <w:gridSpan w:val="3"/>
            <w:shd w:val="clear" w:color="auto" w:fill="auto"/>
          </w:tcPr>
          <w:p w14:paraId="40CB22DE" w14:textId="77777777" w:rsidR="00584FB3" w:rsidRDefault="00584FB3">
            <w:pPr>
              <w:rPr>
                <w:rFonts w:ascii="宋体"/>
                <w:vanish/>
              </w:rPr>
            </w:pPr>
          </w:p>
        </w:tc>
        <w:tc>
          <w:tcPr>
            <w:tcW w:w="0" w:type="auto"/>
            <w:gridSpan w:val="3"/>
            <w:shd w:val="clear" w:color="auto" w:fill="auto"/>
          </w:tcPr>
          <w:p w14:paraId="40CB22DF" w14:textId="77777777" w:rsidR="00584FB3" w:rsidRDefault="00584FB3">
            <w:pPr>
              <w:rPr>
                <w:rFonts w:ascii="宋体"/>
                <w:vanish/>
              </w:rPr>
            </w:pPr>
          </w:p>
        </w:tc>
        <w:tc>
          <w:tcPr>
            <w:tcW w:w="0" w:type="auto"/>
            <w:gridSpan w:val="3"/>
            <w:shd w:val="clear" w:color="auto" w:fill="auto"/>
          </w:tcPr>
          <w:p w14:paraId="40CB22E0" w14:textId="77777777" w:rsidR="00584FB3" w:rsidRDefault="00584FB3">
            <w:pPr>
              <w:rPr>
                <w:rFonts w:ascii="宋体"/>
                <w:vanish/>
              </w:rPr>
            </w:pPr>
          </w:p>
        </w:tc>
        <w:tc>
          <w:tcPr>
            <w:tcW w:w="0" w:type="auto"/>
            <w:gridSpan w:val="3"/>
            <w:shd w:val="clear" w:color="auto" w:fill="auto"/>
          </w:tcPr>
          <w:p w14:paraId="40CB22E1" w14:textId="77777777" w:rsidR="00584FB3" w:rsidRDefault="00584FB3">
            <w:pPr>
              <w:rPr>
                <w:rFonts w:ascii="宋体"/>
                <w:vanish/>
              </w:rPr>
            </w:pPr>
          </w:p>
        </w:tc>
        <w:tc>
          <w:tcPr>
            <w:tcW w:w="0" w:type="auto"/>
            <w:gridSpan w:val="3"/>
            <w:shd w:val="clear" w:color="auto" w:fill="auto"/>
          </w:tcPr>
          <w:p w14:paraId="40CB22E2" w14:textId="77777777" w:rsidR="00584FB3" w:rsidRDefault="00584FB3">
            <w:pPr>
              <w:rPr>
                <w:rFonts w:ascii="宋体"/>
                <w:vanish/>
              </w:rPr>
            </w:pPr>
          </w:p>
        </w:tc>
        <w:tc>
          <w:tcPr>
            <w:tcW w:w="0" w:type="auto"/>
            <w:shd w:val="clear" w:color="auto" w:fill="auto"/>
          </w:tcPr>
          <w:p w14:paraId="40CB22E3" w14:textId="77777777" w:rsidR="00584FB3" w:rsidRDefault="00584FB3">
            <w:pPr>
              <w:rPr>
                <w:rFonts w:ascii="宋体"/>
              </w:rPr>
            </w:pPr>
          </w:p>
        </w:tc>
        <w:tc>
          <w:tcPr>
            <w:tcW w:w="0" w:type="auto"/>
            <w:shd w:val="clear" w:color="auto" w:fill="auto"/>
          </w:tcPr>
          <w:p w14:paraId="40CB22E4" w14:textId="77777777" w:rsidR="00584FB3" w:rsidRDefault="00584FB3">
            <w:pPr>
              <w:rPr>
                <w:rFonts w:ascii="宋体"/>
              </w:rPr>
            </w:pPr>
          </w:p>
        </w:tc>
        <w:tc>
          <w:tcPr>
            <w:tcW w:w="0" w:type="auto"/>
            <w:shd w:val="clear" w:color="auto" w:fill="auto"/>
          </w:tcPr>
          <w:p w14:paraId="40CB22E5" w14:textId="77777777" w:rsidR="00584FB3" w:rsidRDefault="00584FB3">
            <w:pPr>
              <w:rPr>
                <w:rFonts w:ascii="宋体"/>
              </w:rPr>
            </w:pPr>
          </w:p>
        </w:tc>
        <w:tc>
          <w:tcPr>
            <w:tcW w:w="0" w:type="auto"/>
            <w:shd w:val="clear" w:color="auto" w:fill="auto"/>
          </w:tcPr>
          <w:p w14:paraId="40CB22E6" w14:textId="77777777" w:rsidR="00584FB3" w:rsidRDefault="00584FB3">
            <w:pPr>
              <w:rPr>
                <w:rFonts w:ascii="宋体"/>
              </w:rPr>
            </w:pPr>
          </w:p>
        </w:tc>
        <w:tc>
          <w:tcPr>
            <w:tcW w:w="0" w:type="auto"/>
            <w:shd w:val="clear" w:color="auto" w:fill="auto"/>
          </w:tcPr>
          <w:p w14:paraId="40CB22E7" w14:textId="77777777" w:rsidR="00584FB3" w:rsidRDefault="00584FB3">
            <w:pPr>
              <w:rPr>
                <w:rFonts w:ascii="宋体"/>
              </w:rPr>
            </w:pPr>
          </w:p>
        </w:tc>
        <w:tc>
          <w:tcPr>
            <w:tcW w:w="0" w:type="auto"/>
            <w:shd w:val="clear" w:color="auto" w:fill="auto"/>
          </w:tcPr>
          <w:p w14:paraId="40CB22E8" w14:textId="77777777" w:rsidR="00584FB3" w:rsidRDefault="00584FB3">
            <w:pPr>
              <w:rPr>
                <w:rFonts w:ascii="宋体"/>
              </w:rPr>
            </w:pPr>
          </w:p>
        </w:tc>
      </w:tr>
      <w:tr w:rsidR="00584FB3" w14:paraId="40CB22FE" w14:textId="77777777">
        <w:tc>
          <w:tcPr>
            <w:tcW w:w="0" w:type="auto"/>
            <w:gridSpan w:val="3"/>
            <w:shd w:val="clear" w:color="auto" w:fill="D7E4BC"/>
            <w:tcMar>
              <w:top w:w="40" w:type="dxa"/>
              <w:left w:w="20" w:type="dxa"/>
              <w:bottom w:w="40" w:type="dxa"/>
              <w:right w:w="20" w:type="dxa"/>
            </w:tcMar>
          </w:tcPr>
          <w:p w14:paraId="40CB22EA" w14:textId="77777777" w:rsidR="00584FB3" w:rsidRDefault="00786180">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40CB22E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2EC"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2ED"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2EE"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2EF"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2F0"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2F1"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2F2"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2F3" w14:textId="77777777" w:rsidR="00584FB3" w:rsidRDefault="00584FB3">
            <w:pPr>
              <w:rPr>
                <w:rFonts w:ascii="宋体"/>
              </w:rPr>
            </w:pPr>
          </w:p>
        </w:tc>
        <w:tc>
          <w:tcPr>
            <w:tcW w:w="0" w:type="auto"/>
            <w:shd w:val="clear" w:color="auto" w:fill="auto"/>
          </w:tcPr>
          <w:p w14:paraId="40CB22F4" w14:textId="77777777" w:rsidR="00584FB3" w:rsidRDefault="00584FB3">
            <w:pPr>
              <w:rPr>
                <w:rFonts w:ascii="宋体"/>
                <w:vanish/>
              </w:rPr>
            </w:pPr>
          </w:p>
        </w:tc>
        <w:tc>
          <w:tcPr>
            <w:tcW w:w="0" w:type="auto"/>
            <w:shd w:val="clear" w:color="auto" w:fill="auto"/>
          </w:tcPr>
          <w:p w14:paraId="40CB22F5" w14:textId="77777777" w:rsidR="00584FB3" w:rsidRDefault="00584FB3">
            <w:pPr>
              <w:rPr>
                <w:rFonts w:ascii="宋体"/>
                <w:vanish/>
              </w:rPr>
            </w:pPr>
          </w:p>
        </w:tc>
        <w:tc>
          <w:tcPr>
            <w:tcW w:w="0" w:type="auto"/>
            <w:gridSpan w:val="3"/>
            <w:shd w:val="clear" w:color="auto" w:fill="auto"/>
          </w:tcPr>
          <w:p w14:paraId="40CB22F6" w14:textId="77777777" w:rsidR="00584FB3" w:rsidRDefault="00584FB3">
            <w:pPr>
              <w:rPr>
                <w:rFonts w:ascii="宋体"/>
                <w:vanish/>
              </w:rPr>
            </w:pPr>
          </w:p>
        </w:tc>
        <w:tc>
          <w:tcPr>
            <w:tcW w:w="0" w:type="auto"/>
            <w:gridSpan w:val="3"/>
            <w:shd w:val="clear" w:color="auto" w:fill="auto"/>
          </w:tcPr>
          <w:p w14:paraId="40CB22F7" w14:textId="77777777" w:rsidR="00584FB3" w:rsidRDefault="00584FB3">
            <w:pPr>
              <w:rPr>
                <w:rFonts w:ascii="宋体"/>
                <w:vanish/>
              </w:rPr>
            </w:pPr>
          </w:p>
        </w:tc>
        <w:tc>
          <w:tcPr>
            <w:tcW w:w="0" w:type="auto"/>
            <w:gridSpan w:val="3"/>
            <w:shd w:val="clear" w:color="auto" w:fill="auto"/>
          </w:tcPr>
          <w:p w14:paraId="40CB22F8" w14:textId="77777777" w:rsidR="00584FB3" w:rsidRDefault="00584FB3">
            <w:pPr>
              <w:rPr>
                <w:rFonts w:ascii="宋体"/>
                <w:vanish/>
              </w:rPr>
            </w:pPr>
          </w:p>
        </w:tc>
        <w:tc>
          <w:tcPr>
            <w:tcW w:w="0" w:type="auto"/>
            <w:gridSpan w:val="3"/>
            <w:shd w:val="clear" w:color="auto" w:fill="auto"/>
          </w:tcPr>
          <w:p w14:paraId="40CB22F9" w14:textId="77777777" w:rsidR="00584FB3" w:rsidRDefault="00584FB3">
            <w:pPr>
              <w:rPr>
                <w:rFonts w:ascii="宋体"/>
                <w:vanish/>
              </w:rPr>
            </w:pPr>
          </w:p>
        </w:tc>
        <w:tc>
          <w:tcPr>
            <w:tcW w:w="0" w:type="auto"/>
            <w:gridSpan w:val="3"/>
            <w:shd w:val="clear" w:color="auto" w:fill="auto"/>
          </w:tcPr>
          <w:p w14:paraId="40CB22FA" w14:textId="77777777" w:rsidR="00584FB3" w:rsidRDefault="00584FB3">
            <w:pPr>
              <w:rPr>
                <w:rFonts w:ascii="宋体"/>
                <w:vanish/>
              </w:rPr>
            </w:pPr>
          </w:p>
        </w:tc>
        <w:tc>
          <w:tcPr>
            <w:tcW w:w="0" w:type="auto"/>
            <w:gridSpan w:val="3"/>
            <w:shd w:val="clear" w:color="auto" w:fill="auto"/>
          </w:tcPr>
          <w:p w14:paraId="40CB22FB" w14:textId="77777777" w:rsidR="00584FB3" w:rsidRDefault="00584FB3">
            <w:pPr>
              <w:rPr>
                <w:rFonts w:ascii="宋体"/>
                <w:vanish/>
              </w:rPr>
            </w:pPr>
          </w:p>
        </w:tc>
        <w:tc>
          <w:tcPr>
            <w:tcW w:w="0" w:type="auto"/>
            <w:gridSpan w:val="3"/>
            <w:shd w:val="clear" w:color="auto" w:fill="auto"/>
          </w:tcPr>
          <w:p w14:paraId="40CB22FC" w14:textId="77777777" w:rsidR="00584FB3" w:rsidRDefault="00584FB3">
            <w:pPr>
              <w:rPr>
                <w:rFonts w:ascii="宋体"/>
                <w:vanish/>
              </w:rPr>
            </w:pPr>
          </w:p>
        </w:tc>
        <w:tc>
          <w:tcPr>
            <w:tcW w:w="0" w:type="auto"/>
            <w:gridSpan w:val="3"/>
            <w:shd w:val="clear" w:color="auto" w:fill="auto"/>
          </w:tcPr>
          <w:p w14:paraId="40CB22FD" w14:textId="77777777" w:rsidR="00584FB3" w:rsidRDefault="00584FB3">
            <w:pPr>
              <w:rPr>
                <w:rFonts w:ascii="宋体"/>
                <w:vanish/>
              </w:rPr>
            </w:pPr>
          </w:p>
        </w:tc>
      </w:tr>
      <w:tr w:rsidR="00584FB3" w14:paraId="40CB231B" w14:textId="77777777">
        <w:tc>
          <w:tcPr>
            <w:tcW w:w="0" w:type="auto"/>
            <w:gridSpan w:val="3"/>
            <w:shd w:val="clear" w:color="auto" w:fill="FFFFFF"/>
            <w:tcMar>
              <w:top w:w="40" w:type="dxa"/>
              <w:left w:w="155" w:type="dxa"/>
              <w:bottom w:w="40" w:type="dxa"/>
              <w:right w:w="20" w:type="dxa"/>
            </w:tcMar>
          </w:tcPr>
          <w:p w14:paraId="40CB22FF" w14:textId="77777777" w:rsidR="00584FB3" w:rsidRDefault="00786180">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40CB2300"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301" w14:textId="77777777" w:rsidR="00584FB3" w:rsidRDefault="00786180">
            <w:pPr>
              <w:jc w:val="right"/>
              <w:textAlignment w:val="bottom"/>
            </w:pPr>
            <w:r>
              <w:rPr>
                <w:rFonts w:ascii="Times New Roman" w:eastAsia="宋体" w:hAnsi="Times New Roman"/>
                <w:color w:val="000000"/>
                <w:sz w:val="20"/>
                <w:szCs w:val="20"/>
              </w:rPr>
              <w:t>1,441.7 </w:t>
            </w:r>
          </w:p>
        </w:tc>
        <w:tc>
          <w:tcPr>
            <w:tcW w:w="0" w:type="auto"/>
            <w:shd w:val="clear" w:color="auto" w:fill="FFFFFF"/>
            <w:tcMar>
              <w:top w:w="40" w:type="dxa"/>
              <w:left w:w="0" w:type="dxa"/>
              <w:bottom w:w="40" w:type="dxa"/>
              <w:right w:w="20" w:type="dxa"/>
            </w:tcMar>
            <w:vAlign w:val="bottom"/>
          </w:tcPr>
          <w:p w14:paraId="40CB230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03"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2304"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305" w14:textId="77777777" w:rsidR="00584FB3" w:rsidRDefault="00786180">
            <w:pPr>
              <w:jc w:val="right"/>
              <w:textAlignment w:val="bottom"/>
            </w:pPr>
            <w:r>
              <w:rPr>
                <w:rFonts w:ascii="Times New Roman" w:eastAsia="宋体" w:hAnsi="Times New Roman"/>
                <w:color w:val="000000"/>
                <w:sz w:val="20"/>
                <w:szCs w:val="20"/>
              </w:rPr>
              <w:t>1,309.7 </w:t>
            </w:r>
          </w:p>
        </w:tc>
        <w:tc>
          <w:tcPr>
            <w:tcW w:w="0" w:type="auto"/>
            <w:shd w:val="clear" w:color="auto" w:fill="FFFFFF"/>
            <w:tcMar>
              <w:top w:w="40" w:type="dxa"/>
              <w:left w:w="0" w:type="dxa"/>
              <w:bottom w:w="40" w:type="dxa"/>
              <w:right w:w="20" w:type="dxa"/>
            </w:tcMar>
            <w:vAlign w:val="bottom"/>
          </w:tcPr>
          <w:p w14:paraId="40CB230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07"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2308"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309" w14:textId="77777777" w:rsidR="00584FB3" w:rsidRDefault="00786180">
            <w:pPr>
              <w:jc w:val="right"/>
              <w:textAlignment w:val="bottom"/>
            </w:pPr>
            <w:r>
              <w:rPr>
                <w:rFonts w:ascii="Times New Roman" w:eastAsia="宋体" w:hAnsi="Times New Roman"/>
                <w:color w:val="000000"/>
                <w:sz w:val="20"/>
                <w:szCs w:val="20"/>
              </w:rPr>
              <w:t>132.0 </w:t>
            </w:r>
          </w:p>
        </w:tc>
        <w:tc>
          <w:tcPr>
            <w:tcW w:w="0" w:type="auto"/>
            <w:shd w:val="clear" w:color="auto" w:fill="FFFFFF"/>
            <w:tcMar>
              <w:top w:w="40" w:type="dxa"/>
              <w:left w:w="0" w:type="dxa"/>
              <w:bottom w:w="40" w:type="dxa"/>
              <w:right w:w="20" w:type="dxa"/>
            </w:tcMar>
            <w:vAlign w:val="bottom"/>
          </w:tcPr>
          <w:p w14:paraId="40CB230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0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0C" w14:textId="77777777" w:rsidR="00584FB3" w:rsidRDefault="00786180">
            <w:pPr>
              <w:jc w:val="right"/>
              <w:textAlignment w:val="bottom"/>
            </w:pPr>
            <w:r>
              <w:rPr>
                <w:rFonts w:ascii="Times New Roman" w:eastAsia="宋体" w:hAnsi="Times New Roman"/>
                <w:color w:val="000000"/>
                <w:sz w:val="20"/>
                <w:szCs w:val="20"/>
              </w:rPr>
              <w:t>87.1 </w:t>
            </w:r>
          </w:p>
        </w:tc>
        <w:tc>
          <w:tcPr>
            <w:tcW w:w="0" w:type="auto"/>
            <w:shd w:val="clear" w:color="auto" w:fill="FFFFFF"/>
            <w:tcMar>
              <w:top w:w="40" w:type="dxa"/>
              <w:left w:w="0" w:type="dxa"/>
              <w:bottom w:w="40" w:type="dxa"/>
              <w:right w:w="20" w:type="dxa"/>
            </w:tcMar>
            <w:vAlign w:val="bottom"/>
          </w:tcPr>
          <w:p w14:paraId="40CB230D"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30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0F" w14:textId="77777777" w:rsidR="00584FB3" w:rsidRDefault="00786180">
            <w:pPr>
              <w:jc w:val="right"/>
              <w:textAlignment w:val="bottom"/>
            </w:pPr>
            <w:r>
              <w:rPr>
                <w:rFonts w:ascii="Times New Roman" w:eastAsia="宋体" w:hAnsi="Times New Roman"/>
                <w:color w:val="000000"/>
                <w:sz w:val="20"/>
                <w:szCs w:val="20"/>
              </w:rPr>
              <w:t>83.4 </w:t>
            </w:r>
          </w:p>
        </w:tc>
        <w:tc>
          <w:tcPr>
            <w:tcW w:w="0" w:type="auto"/>
            <w:shd w:val="clear" w:color="auto" w:fill="FFFFFF"/>
            <w:tcMar>
              <w:top w:w="40" w:type="dxa"/>
              <w:left w:w="0" w:type="dxa"/>
              <w:bottom w:w="40" w:type="dxa"/>
              <w:right w:w="20" w:type="dxa"/>
            </w:tcMar>
            <w:vAlign w:val="bottom"/>
          </w:tcPr>
          <w:p w14:paraId="40CB2310"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2311" w14:textId="77777777" w:rsidR="00584FB3" w:rsidRDefault="00584FB3">
            <w:pPr>
              <w:rPr>
                <w:rFonts w:ascii="宋体"/>
                <w:vanish/>
              </w:rPr>
            </w:pPr>
          </w:p>
        </w:tc>
        <w:tc>
          <w:tcPr>
            <w:tcW w:w="0" w:type="auto"/>
            <w:shd w:val="clear" w:color="auto" w:fill="auto"/>
          </w:tcPr>
          <w:p w14:paraId="40CB2312" w14:textId="77777777" w:rsidR="00584FB3" w:rsidRDefault="00584FB3">
            <w:pPr>
              <w:rPr>
                <w:rFonts w:ascii="宋体"/>
                <w:vanish/>
              </w:rPr>
            </w:pPr>
          </w:p>
        </w:tc>
        <w:tc>
          <w:tcPr>
            <w:tcW w:w="0" w:type="auto"/>
            <w:gridSpan w:val="3"/>
            <w:shd w:val="clear" w:color="auto" w:fill="auto"/>
          </w:tcPr>
          <w:p w14:paraId="40CB2313" w14:textId="77777777" w:rsidR="00584FB3" w:rsidRDefault="00584FB3">
            <w:pPr>
              <w:rPr>
                <w:rFonts w:ascii="宋体"/>
                <w:vanish/>
              </w:rPr>
            </w:pPr>
          </w:p>
        </w:tc>
        <w:tc>
          <w:tcPr>
            <w:tcW w:w="0" w:type="auto"/>
            <w:gridSpan w:val="3"/>
            <w:shd w:val="clear" w:color="auto" w:fill="auto"/>
          </w:tcPr>
          <w:p w14:paraId="40CB2314" w14:textId="77777777" w:rsidR="00584FB3" w:rsidRDefault="00584FB3">
            <w:pPr>
              <w:rPr>
                <w:rFonts w:ascii="宋体"/>
                <w:vanish/>
              </w:rPr>
            </w:pPr>
          </w:p>
        </w:tc>
        <w:tc>
          <w:tcPr>
            <w:tcW w:w="0" w:type="auto"/>
            <w:gridSpan w:val="3"/>
            <w:shd w:val="clear" w:color="auto" w:fill="auto"/>
          </w:tcPr>
          <w:p w14:paraId="40CB2315" w14:textId="77777777" w:rsidR="00584FB3" w:rsidRDefault="00584FB3">
            <w:pPr>
              <w:rPr>
                <w:rFonts w:ascii="宋体"/>
                <w:vanish/>
              </w:rPr>
            </w:pPr>
          </w:p>
        </w:tc>
        <w:tc>
          <w:tcPr>
            <w:tcW w:w="0" w:type="auto"/>
            <w:gridSpan w:val="3"/>
            <w:shd w:val="clear" w:color="auto" w:fill="auto"/>
          </w:tcPr>
          <w:p w14:paraId="40CB2316" w14:textId="77777777" w:rsidR="00584FB3" w:rsidRDefault="00584FB3">
            <w:pPr>
              <w:rPr>
                <w:rFonts w:ascii="宋体"/>
                <w:vanish/>
              </w:rPr>
            </w:pPr>
          </w:p>
        </w:tc>
        <w:tc>
          <w:tcPr>
            <w:tcW w:w="0" w:type="auto"/>
            <w:gridSpan w:val="3"/>
            <w:shd w:val="clear" w:color="auto" w:fill="auto"/>
          </w:tcPr>
          <w:p w14:paraId="40CB2317" w14:textId="77777777" w:rsidR="00584FB3" w:rsidRDefault="00584FB3">
            <w:pPr>
              <w:rPr>
                <w:rFonts w:ascii="宋体"/>
                <w:vanish/>
              </w:rPr>
            </w:pPr>
          </w:p>
        </w:tc>
        <w:tc>
          <w:tcPr>
            <w:tcW w:w="0" w:type="auto"/>
            <w:gridSpan w:val="3"/>
            <w:shd w:val="clear" w:color="auto" w:fill="auto"/>
          </w:tcPr>
          <w:p w14:paraId="40CB2318" w14:textId="77777777" w:rsidR="00584FB3" w:rsidRDefault="00584FB3">
            <w:pPr>
              <w:rPr>
                <w:rFonts w:ascii="宋体"/>
                <w:vanish/>
              </w:rPr>
            </w:pPr>
          </w:p>
        </w:tc>
        <w:tc>
          <w:tcPr>
            <w:tcW w:w="0" w:type="auto"/>
            <w:gridSpan w:val="3"/>
            <w:shd w:val="clear" w:color="auto" w:fill="auto"/>
          </w:tcPr>
          <w:p w14:paraId="40CB2319" w14:textId="77777777" w:rsidR="00584FB3" w:rsidRDefault="00584FB3">
            <w:pPr>
              <w:rPr>
                <w:rFonts w:ascii="宋体"/>
                <w:vanish/>
              </w:rPr>
            </w:pPr>
          </w:p>
        </w:tc>
        <w:tc>
          <w:tcPr>
            <w:tcW w:w="0" w:type="auto"/>
            <w:gridSpan w:val="3"/>
            <w:shd w:val="clear" w:color="auto" w:fill="auto"/>
          </w:tcPr>
          <w:p w14:paraId="40CB231A" w14:textId="77777777" w:rsidR="00584FB3" w:rsidRDefault="00584FB3">
            <w:pPr>
              <w:rPr>
                <w:rFonts w:ascii="宋体"/>
                <w:vanish/>
              </w:rPr>
            </w:pPr>
          </w:p>
        </w:tc>
      </w:tr>
      <w:tr w:rsidR="00584FB3" w14:paraId="40CB2335" w14:textId="77777777">
        <w:tc>
          <w:tcPr>
            <w:tcW w:w="0" w:type="auto"/>
            <w:gridSpan w:val="3"/>
            <w:shd w:val="clear" w:color="auto" w:fill="D7E4BC"/>
            <w:tcMar>
              <w:top w:w="40" w:type="dxa"/>
              <w:left w:w="155" w:type="dxa"/>
              <w:bottom w:w="40" w:type="dxa"/>
              <w:right w:w="20" w:type="dxa"/>
            </w:tcMar>
          </w:tcPr>
          <w:p w14:paraId="40CB231C" w14:textId="77777777" w:rsidR="00584FB3" w:rsidRDefault="00786180">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0CB231D" w14:textId="77777777" w:rsidR="00584FB3" w:rsidRDefault="00786180">
            <w:pPr>
              <w:jc w:val="right"/>
              <w:textAlignment w:val="bottom"/>
            </w:pPr>
            <w:r>
              <w:rPr>
                <w:rFonts w:ascii="Times New Roman" w:eastAsia="宋体" w:hAnsi="Times New Roman"/>
                <w:color w:val="000000"/>
                <w:sz w:val="20"/>
                <w:szCs w:val="20"/>
              </w:rPr>
              <w:t>197.6 </w:t>
            </w:r>
          </w:p>
        </w:tc>
        <w:tc>
          <w:tcPr>
            <w:tcW w:w="0" w:type="auto"/>
            <w:shd w:val="clear" w:color="auto" w:fill="D7E4BC"/>
            <w:tcMar>
              <w:top w:w="40" w:type="dxa"/>
              <w:left w:w="0" w:type="dxa"/>
              <w:bottom w:w="40" w:type="dxa"/>
              <w:right w:w="20" w:type="dxa"/>
            </w:tcMar>
            <w:vAlign w:val="bottom"/>
          </w:tcPr>
          <w:p w14:paraId="40CB231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1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20" w14:textId="77777777" w:rsidR="00584FB3" w:rsidRDefault="00786180">
            <w:pPr>
              <w:jc w:val="right"/>
              <w:textAlignment w:val="bottom"/>
            </w:pPr>
            <w:r>
              <w:rPr>
                <w:rFonts w:ascii="Times New Roman" w:eastAsia="宋体" w:hAnsi="Times New Roman"/>
                <w:color w:val="000000"/>
                <w:sz w:val="20"/>
                <w:szCs w:val="20"/>
              </w:rPr>
              <w:t>254.7 </w:t>
            </w:r>
          </w:p>
        </w:tc>
        <w:tc>
          <w:tcPr>
            <w:tcW w:w="0" w:type="auto"/>
            <w:shd w:val="clear" w:color="auto" w:fill="D7E4BC"/>
            <w:tcMar>
              <w:top w:w="40" w:type="dxa"/>
              <w:left w:w="0" w:type="dxa"/>
              <w:bottom w:w="40" w:type="dxa"/>
              <w:right w:w="20" w:type="dxa"/>
            </w:tcMar>
            <w:vAlign w:val="bottom"/>
          </w:tcPr>
          <w:p w14:paraId="40CB232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2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23" w14:textId="77777777" w:rsidR="00584FB3" w:rsidRDefault="00786180">
            <w:pPr>
              <w:jc w:val="right"/>
              <w:textAlignment w:val="bottom"/>
            </w:pPr>
            <w:r>
              <w:rPr>
                <w:rFonts w:ascii="Times New Roman" w:eastAsia="宋体" w:hAnsi="Times New Roman"/>
                <w:color w:val="000000"/>
                <w:sz w:val="20"/>
                <w:szCs w:val="20"/>
              </w:rPr>
              <w:t>(57.1)</w:t>
            </w:r>
          </w:p>
        </w:tc>
        <w:tc>
          <w:tcPr>
            <w:tcW w:w="0" w:type="auto"/>
            <w:shd w:val="clear" w:color="auto" w:fill="D7E4BC"/>
            <w:tcMar>
              <w:top w:w="40" w:type="dxa"/>
              <w:left w:w="0" w:type="dxa"/>
              <w:bottom w:w="40" w:type="dxa"/>
              <w:right w:w="20" w:type="dxa"/>
            </w:tcMar>
            <w:vAlign w:val="bottom"/>
          </w:tcPr>
          <w:p w14:paraId="40CB232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2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26" w14:textId="77777777" w:rsidR="00584FB3" w:rsidRDefault="00786180">
            <w:pPr>
              <w:jc w:val="right"/>
              <w:textAlignment w:val="bottom"/>
            </w:pPr>
            <w:r>
              <w:rPr>
                <w:rFonts w:ascii="Times New Roman" w:eastAsia="宋体" w:hAnsi="Times New Roman"/>
                <w:color w:val="000000"/>
                <w:sz w:val="20"/>
                <w:szCs w:val="20"/>
              </w:rPr>
              <w:t>11.9</w:t>
            </w: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232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2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29" w14:textId="77777777" w:rsidR="00584FB3" w:rsidRDefault="00786180">
            <w:pPr>
              <w:jc w:val="right"/>
              <w:textAlignment w:val="bottom"/>
            </w:pPr>
            <w:r>
              <w:rPr>
                <w:rFonts w:ascii="Times New Roman" w:eastAsia="宋体" w:hAnsi="Times New Roman"/>
                <w:color w:val="000000"/>
                <w:sz w:val="20"/>
                <w:szCs w:val="20"/>
              </w:rPr>
              <w:t>16.2 </w:t>
            </w:r>
          </w:p>
        </w:tc>
        <w:tc>
          <w:tcPr>
            <w:tcW w:w="0" w:type="auto"/>
            <w:shd w:val="clear" w:color="auto" w:fill="D7E4BC"/>
            <w:tcMar>
              <w:top w:w="40" w:type="dxa"/>
              <w:left w:w="0" w:type="dxa"/>
              <w:bottom w:w="40" w:type="dxa"/>
              <w:right w:w="20" w:type="dxa"/>
            </w:tcMar>
            <w:vAlign w:val="bottom"/>
          </w:tcPr>
          <w:p w14:paraId="40CB232A" w14:textId="77777777" w:rsidR="00584FB3" w:rsidRDefault="00584FB3">
            <w:pPr>
              <w:jc w:val="right"/>
              <w:rPr>
                <w:rFonts w:ascii="宋体"/>
              </w:rPr>
            </w:pPr>
          </w:p>
        </w:tc>
        <w:tc>
          <w:tcPr>
            <w:tcW w:w="0" w:type="auto"/>
            <w:shd w:val="clear" w:color="auto" w:fill="auto"/>
          </w:tcPr>
          <w:p w14:paraId="40CB232B" w14:textId="77777777" w:rsidR="00584FB3" w:rsidRDefault="00584FB3">
            <w:pPr>
              <w:rPr>
                <w:rFonts w:ascii="宋体"/>
                <w:vanish/>
              </w:rPr>
            </w:pPr>
          </w:p>
        </w:tc>
        <w:tc>
          <w:tcPr>
            <w:tcW w:w="0" w:type="auto"/>
            <w:shd w:val="clear" w:color="auto" w:fill="auto"/>
          </w:tcPr>
          <w:p w14:paraId="40CB232C" w14:textId="77777777" w:rsidR="00584FB3" w:rsidRDefault="00584FB3">
            <w:pPr>
              <w:rPr>
                <w:rFonts w:ascii="宋体"/>
                <w:vanish/>
              </w:rPr>
            </w:pPr>
          </w:p>
        </w:tc>
        <w:tc>
          <w:tcPr>
            <w:tcW w:w="0" w:type="auto"/>
            <w:gridSpan w:val="3"/>
            <w:shd w:val="clear" w:color="auto" w:fill="auto"/>
          </w:tcPr>
          <w:p w14:paraId="40CB232D" w14:textId="77777777" w:rsidR="00584FB3" w:rsidRDefault="00584FB3">
            <w:pPr>
              <w:rPr>
                <w:rFonts w:ascii="宋体"/>
                <w:vanish/>
              </w:rPr>
            </w:pPr>
          </w:p>
        </w:tc>
        <w:tc>
          <w:tcPr>
            <w:tcW w:w="0" w:type="auto"/>
            <w:gridSpan w:val="3"/>
            <w:shd w:val="clear" w:color="auto" w:fill="auto"/>
          </w:tcPr>
          <w:p w14:paraId="40CB232E" w14:textId="77777777" w:rsidR="00584FB3" w:rsidRDefault="00584FB3">
            <w:pPr>
              <w:rPr>
                <w:rFonts w:ascii="宋体"/>
                <w:vanish/>
              </w:rPr>
            </w:pPr>
          </w:p>
        </w:tc>
        <w:tc>
          <w:tcPr>
            <w:tcW w:w="0" w:type="auto"/>
            <w:gridSpan w:val="3"/>
            <w:shd w:val="clear" w:color="auto" w:fill="auto"/>
          </w:tcPr>
          <w:p w14:paraId="40CB232F" w14:textId="77777777" w:rsidR="00584FB3" w:rsidRDefault="00584FB3">
            <w:pPr>
              <w:rPr>
                <w:rFonts w:ascii="宋体"/>
                <w:vanish/>
              </w:rPr>
            </w:pPr>
          </w:p>
        </w:tc>
        <w:tc>
          <w:tcPr>
            <w:tcW w:w="0" w:type="auto"/>
            <w:gridSpan w:val="3"/>
            <w:shd w:val="clear" w:color="auto" w:fill="auto"/>
          </w:tcPr>
          <w:p w14:paraId="40CB2330" w14:textId="77777777" w:rsidR="00584FB3" w:rsidRDefault="00584FB3">
            <w:pPr>
              <w:rPr>
                <w:rFonts w:ascii="宋体"/>
                <w:vanish/>
              </w:rPr>
            </w:pPr>
          </w:p>
        </w:tc>
        <w:tc>
          <w:tcPr>
            <w:tcW w:w="0" w:type="auto"/>
            <w:gridSpan w:val="3"/>
            <w:shd w:val="clear" w:color="auto" w:fill="auto"/>
          </w:tcPr>
          <w:p w14:paraId="40CB2331" w14:textId="77777777" w:rsidR="00584FB3" w:rsidRDefault="00584FB3">
            <w:pPr>
              <w:rPr>
                <w:rFonts w:ascii="宋体"/>
                <w:vanish/>
              </w:rPr>
            </w:pPr>
          </w:p>
        </w:tc>
        <w:tc>
          <w:tcPr>
            <w:tcW w:w="0" w:type="auto"/>
            <w:gridSpan w:val="3"/>
            <w:shd w:val="clear" w:color="auto" w:fill="auto"/>
          </w:tcPr>
          <w:p w14:paraId="40CB2332" w14:textId="77777777" w:rsidR="00584FB3" w:rsidRDefault="00584FB3">
            <w:pPr>
              <w:rPr>
                <w:rFonts w:ascii="宋体"/>
                <w:vanish/>
              </w:rPr>
            </w:pPr>
          </w:p>
        </w:tc>
        <w:tc>
          <w:tcPr>
            <w:tcW w:w="0" w:type="auto"/>
            <w:gridSpan w:val="3"/>
            <w:shd w:val="clear" w:color="auto" w:fill="auto"/>
          </w:tcPr>
          <w:p w14:paraId="40CB2333" w14:textId="77777777" w:rsidR="00584FB3" w:rsidRDefault="00584FB3">
            <w:pPr>
              <w:rPr>
                <w:rFonts w:ascii="宋体"/>
                <w:vanish/>
              </w:rPr>
            </w:pPr>
          </w:p>
        </w:tc>
        <w:tc>
          <w:tcPr>
            <w:tcW w:w="0" w:type="auto"/>
            <w:gridSpan w:val="3"/>
            <w:shd w:val="clear" w:color="auto" w:fill="auto"/>
          </w:tcPr>
          <w:p w14:paraId="40CB2334" w14:textId="77777777" w:rsidR="00584FB3" w:rsidRDefault="00584FB3">
            <w:pPr>
              <w:rPr>
                <w:rFonts w:ascii="宋体"/>
                <w:vanish/>
              </w:rPr>
            </w:pPr>
          </w:p>
        </w:tc>
      </w:tr>
      <w:tr w:rsidR="00584FB3" w14:paraId="40CB234F" w14:textId="77777777">
        <w:tc>
          <w:tcPr>
            <w:tcW w:w="0" w:type="auto"/>
            <w:gridSpan w:val="3"/>
            <w:shd w:val="clear" w:color="auto" w:fill="FFFFFF"/>
            <w:tcMar>
              <w:top w:w="40" w:type="dxa"/>
              <w:left w:w="155" w:type="dxa"/>
              <w:bottom w:w="40" w:type="dxa"/>
              <w:right w:w="20" w:type="dxa"/>
            </w:tcMar>
          </w:tcPr>
          <w:p w14:paraId="40CB2336" w14:textId="77777777" w:rsidR="00584FB3" w:rsidRDefault="00786180">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0CB2337" w14:textId="77777777" w:rsidR="00584FB3" w:rsidRDefault="00786180">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40CB233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3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3A" w14:textId="77777777" w:rsidR="00584FB3" w:rsidRDefault="00786180">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40CB233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3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3D" w14:textId="77777777" w:rsidR="00584FB3" w:rsidRDefault="00786180">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left w:w="0" w:type="dxa"/>
              <w:bottom w:w="40" w:type="dxa"/>
              <w:right w:w="20" w:type="dxa"/>
            </w:tcMar>
            <w:vAlign w:val="bottom"/>
          </w:tcPr>
          <w:p w14:paraId="40CB233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3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40" w14:textId="77777777" w:rsidR="00584FB3" w:rsidRDefault="00786180">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40CB234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4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43" w14:textId="77777777" w:rsidR="00584FB3" w:rsidRDefault="00786180">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40CB2344" w14:textId="77777777" w:rsidR="00584FB3" w:rsidRDefault="00584FB3">
            <w:pPr>
              <w:jc w:val="right"/>
              <w:rPr>
                <w:rFonts w:ascii="宋体"/>
              </w:rPr>
            </w:pPr>
          </w:p>
        </w:tc>
        <w:tc>
          <w:tcPr>
            <w:tcW w:w="0" w:type="auto"/>
            <w:shd w:val="clear" w:color="auto" w:fill="auto"/>
          </w:tcPr>
          <w:p w14:paraId="40CB2345" w14:textId="77777777" w:rsidR="00584FB3" w:rsidRDefault="00584FB3">
            <w:pPr>
              <w:rPr>
                <w:rFonts w:ascii="宋体"/>
                <w:vanish/>
              </w:rPr>
            </w:pPr>
          </w:p>
        </w:tc>
        <w:tc>
          <w:tcPr>
            <w:tcW w:w="0" w:type="auto"/>
            <w:shd w:val="clear" w:color="auto" w:fill="auto"/>
          </w:tcPr>
          <w:p w14:paraId="40CB2346" w14:textId="77777777" w:rsidR="00584FB3" w:rsidRDefault="00584FB3">
            <w:pPr>
              <w:rPr>
                <w:rFonts w:ascii="宋体"/>
                <w:vanish/>
              </w:rPr>
            </w:pPr>
          </w:p>
        </w:tc>
        <w:tc>
          <w:tcPr>
            <w:tcW w:w="0" w:type="auto"/>
            <w:gridSpan w:val="3"/>
            <w:shd w:val="clear" w:color="auto" w:fill="auto"/>
          </w:tcPr>
          <w:p w14:paraId="40CB2347" w14:textId="77777777" w:rsidR="00584FB3" w:rsidRDefault="00584FB3">
            <w:pPr>
              <w:rPr>
                <w:rFonts w:ascii="宋体"/>
                <w:vanish/>
              </w:rPr>
            </w:pPr>
          </w:p>
        </w:tc>
        <w:tc>
          <w:tcPr>
            <w:tcW w:w="0" w:type="auto"/>
            <w:gridSpan w:val="3"/>
            <w:shd w:val="clear" w:color="auto" w:fill="auto"/>
          </w:tcPr>
          <w:p w14:paraId="40CB2348" w14:textId="77777777" w:rsidR="00584FB3" w:rsidRDefault="00584FB3">
            <w:pPr>
              <w:rPr>
                <w:rFonts w:ascii="宋体"/>
                <w:vanish/>
              </w:rPr>
            </w:pPr>
          </w:p>
        </w:tc>
        <w:tc>
          <w:tcPr>
            <w:tcW w:w="0" w:type="auto"/>
            <w:gridSpan w:val="3"/>
            <w:shd w:val="clear" w:color="auto" w:fill="auto"/>
          </w:tcPr>
          <w:p w14:paraId="40CB2349" w14:textId="77777777" w:rsidR="00584FB3" w:rsidRDefault="00584FB3">
            <w:pPr>
              <w:rPr>
                <w:rFonts w:ascii="宋体"/>
                <w:vanish/>
              </w:rPr>
            </w:pPr>
          </w:p>
        </w:tc>
        <w:tc>
          <w:tcPr>
            <w:tcW w:w="0" w:type="auto"/>
            <w:gridSpan w:val="3"/>
            <w:shd w:val="clear" w:color="auto" w:fill="auto"/>
          </w:tcPr>
          <w:p w14:paraId="40CB234A" w14:textId="77777777" w:rsidR="00584FB3" w:rsidRDefault="00584FB3">
            <w:pPr>
              <w:rPr>
                <w:rFonts w:ascii="宋体"/>
                <w:vanish/>
              </w:rPr>
            </w:pPr>
          </w:p>
        </w:tc>
        <w:tc>
          <w:tcPr>
            <w:tcW w:w="0" w:type="auto"/>
            <w:gridSpan w:val="3"/>
            <w:shd w:val="clear" w:color="auto" w:fill="auto"/>
          </w:tcPr>
          <w:p w14:paraId="40CB234B" w14:textId="77777777" w:rsidR="00584FB3" w:rsidRDefault="00584FB3">
            <w:pPr>
              <w:rPr>
                <w:rFonts w:ascii="宋体"/>
                <w:vanish/>
              </w:rPr>
            </w:pPr>
          </w:p>
        </w:tc>
        <w:tc>
          <w:tcPr>
            <w:tcW w:w="0" w:type="auto"/>
            <w:gridSpan w:val="3"/>
            <w:shd w:val="clear" w:color="auto" w:fill="auto"/>
          </w:tcPr>
          <w:p w14:paraId="40CB234C" w14:textId="77777777" w:rsidR="00584FB3" w:rsidRDefault="00584FB3">
            <w:pPr>
              <w:rPr>
                <w:rFonts w:ascii="宋体"/>
                <w:vanish/>
              </w:rPr>
            </w:pPr>
          </w:p>
        </w:tc>
        <w:tc>
          <w:tcPr>
            <w:tcW w:w="0" w:type="auto"/>
            <w:gridSpan w:val="3"/>
            <w:shd w:val="clear" w:color="auto" w:fill="auto"/>
          </w:tcPr>
          <w:p w14:paraId="40CB234D" w14:textId="77777777" w:rsidR="00584FB3" w:rsidRDefault="00584FB3">
            <w:pPr>
              <w:rPr>
                <w:rFonts w:ascii="宋体"/>
                <w:vanish/>
              </w:rPr>
            </w:pPr>
          </w:p>
        </w:tc>
        <w:tc>
          <w:tcPr>
            <w:tcW w:w="0" w:type="auto"/>
            <w:gridSpan w:val="3"/>
            <w:shd w:val="clear" w:color="auto" w:fill="auto"/>
          </w:tcPr>
          <w:p w14:paraId="40CB234E" w14:textId="77777777" w:rsidR="00584FB3" w:rsidRDefault="00584FB3">
            <w:pPr>
              <w:rPr>
                <w:rFonts w:ascii="宋体"/>
                <w:vanish/>
              </w:rPr>
            </w:pPr>
          </w:p>
        </w:tc>
      </w:tr>
      <w:tr w:rsidR="00584FB3" w14:paraId="40CB2369" w14:textId="77777777">
        <w:tc>
          <w:tcPr>
            <w:tcW w:w="0" w:type="auto"/>
            <w:gridSpan w:val="3"/>
            <w:shd w:val="clear" w:color="auto" w:fill="D7E4BC"/>
            <w:tcMar>
              <w:top w:w="40" w:type="dxa"/>
              <w:left w:w="20" w:type="dxa"/>
              <w:bottom w:w="40" w:type="dxa"/>
              <w:right w:w="20" w:type="dxa"/>
            </w:tcMar>
          </w:tcPr>
          <w:p w14:paraId="40CB2350" w14:textId="77777777" w:rsidR="00584FB3" w:rsidRDefault="00786180">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351" w14:textId="77777777" w:rsidR="00584FB3" w:rsidRDefault="00786180">
            <w:pPr>
              <w:jc w:val="right"/>
              <w:textAlignment w:val="bottom"/>
            </w:pPr>
            <w:r>
              <w:rPr>
                <w:rFonts w:ascii="Times New Roman" w:eastAsia="宋体" w:hAnsi="Times New Roman"/>
                <w:b/>
                <w:bCs/>
                <w:color w:val="000000"/>
                <w:sz w:val="20"/>
                <w:szCs w:val="20"/>
              </w:rPr>
              <w:t>1,654.3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35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53"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354" w14:textId="77777777" w:rsidR="00584FB3" w:rsidRDefault="00786180">
            <w:pPr>
              <w:jc w:val="right"/>
              <w:textAlignment w:val="bottom"/>
            </w:pPr>
            <w:r>
              <w:rPr>
                <w:rFonts w:ascii="Times New Roman" w:eastAsia="宋体" w:hAnsi="Times New Roman"/>
                <w:b/>
                <w:bCs/>
                <w:color w:val="000000"/>
                <w:sz w:val="20"/>
                <w:szCs w:val="20"/>
              </w:rPr>
              <w:t>1,571.1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35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56"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357" w14:textId="77777777" w:rsidR="00584FB3" w:rsidRDefault="00786180">
            <w:pPr>
              <w:jc w:val="right"/>
              <w:textAlignment w:val="bottom"/>
            </w:pPr>
            <w:r>
              <w:rPr>
                <w:rFonts w:ascii="Times New Roman" w:eastAsia="宋体" w:hAnsi="Times New Roman"/>
                <w:b/>
                <w:bCs/>
                <w:color w:val="000000"/>
                <w:sz w:val="20"/>
                <w:szCs w:val="20"/>
              </w:rPr>
              <w:t>83.2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35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59"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35A" w14:textId="77777777" w:rsidR="00584FB3" w:rsidRDefault="00786180">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35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5C"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35D" w14:textId="77777777" w:rsidR="00584FB3" w:rsidRDefault="00786180">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35E" w14:textId="77777777" w:rsidR="00584FB3" w:rsidRDefault="00584FB3">
            <w:pPr>
              <w:jc w:val="right"/>
              <w:rPr>
                <w:rFonts w:ascii="宋体"/>
              </w:rPr>
            </w:pPr>
          </w:p>
        </w:tc>
        <w:tc>
          <w:tcPr>
            <w:tcW w:w="0" w:type="auto"/>
            <w:shd w:val="clear" w:color="auto" w:fill="auto"/>
          </w:tcPr>
          <w:p w14:paraId="40CB235F" w14:textId="77777777" w:rsidR="00584FB3" w:rsidRDefault="00584FB3">
            <w:pPr>
              <w:rPr>
                <w:rFonts w:ascii="宋体"/>
                <w:vanish/>
              </w:rPr>
            </w:pPr>
          </w:p>
        </w:tc>
        <w:tc>
          <w:tcPr>
            <w:tcW w:w="0" w:type="auto"/>
            <w:shd w:val="clear" w:color="auto" w:fill="auto"/>
          </w:tcPr>
          <w:p w14:paraId="40CB2360" w14:textId="77777777" w:rsidR="00584FB3" w:rsidRDefault="00584FB3">
            <w:pPr>
              <w:rPr>
                <w:rFonts w:ascii="宋体"/>
                <w:vanish/>
              </w:rPr>
            </w:pPr>
          </w:p>
        </w:tc>
        <w:tc>
          <w:tcPr>
            <w:tcW w:w="0" w:type="auto"/>
            <w:gridSpan w:val="3"/>
            <w:shd w:val="clear" w:color="auto" w:fill="auto"/>
          </w:tcPr>
          <w:p w14:paraId="40CB2361" w14:textId="77777777" w:rsidR="00584FB3" w:rsidRDefault="00584FB3">
            <w:pPr>
              <w:rPr>
                <w:rFonts w:ascii="宋体"/>
                <w:vanish/>
              </w:rPr>
            </w:pPr>
          </w:p>
        </w:tc>
        <w:tc>
          <w:tcPr>
            <w:tcW w:w="0" w:type="auto"/>
            <w:gridSpan w:val="3"/>
            <w:shd w:val="clear" w:color="auto" w:fill="auto"/>
          </w:tcPr>
          <w:p w14:paraId="40CB2362" w14:textId="77777777" w:rsidR="00584FB3" w:rsidRDefault="00584FB3">
            <w:pPr>
              <w:rPr>
                <w:rFonts w:ascii="宋体"/>
                <w:vanish/>
              </w:rPr>
            </w:pPr>
          </w:p>
        </w:tc>
        <w:tc>
          <w:tcPr>
            <w:tcW w:w="0" w:type="auto"/>
            <w:gridSpan w:val="3"/>
            <w:shd w:val="clear" w:color="auto" w:fill="auto"/>
          </w:tcPr>
          <w:p w14:paraId="40CB2363" w14:textId="77777777" w:rsidR="00584FB3" w:rsidRDefault="00584FB3">
            <w:pPr>
              <w:rPr>
                <w:rFonts w:ascii="宋体"/>
                <w:vanish/>
              </w:rPr>
            </w:pPr>
          </w:p>
        </w:tc>
        <w:tc>
          <w:tcPr>
            <w:tcW w:w="0" w:type="auto"/>
            <w:gridSpan w:val="3"/>
            <w:shd w:val="clear" w:color="auto" w:fill="auto"/>
          </w:tcPr>
          <w:p w14:paraId="40CB2364" w14:textId="77777777" w:rsidR="00584FB3" w:rsidRDefault="00584FB3">
            <w:pPr>
              <w:rPr>
                <w:rFonts w:ascii="宋体"/>
                <w:vanish/>
              </w:rPr>
            </w:pPr>
          </w:p>
        </w:tc>
        <w:tc>
          <w:tcPr>
            <w:tcW w:w="0" w:type="auto"/>
            <w:gridSpan w:val="3"/>
            <w:shd w:val="clear" w:color="auto" w:fill="auto"/>
          </w:tcPr>
          <w:p w14:paraId="40CB2365" w14:textId="77777777" w:rsidR="00584FB3" w:rsidRDefault="00584FB3">
            <w:pPr>
              <w:rPr>
                <w:rFonts w:ascii="宋体"/>
                <w:vanish/>
              </w:rPr>
            </w:pPr>
          </w:p>
        </w:tc>
        <w:tc>
          <w:tcPr>
            <w:tcW w:w="0" w:type="auto"/>
            <w:gridSpan w:val="3"/>
            <w:shd w:val="clear" w:color="auto" w:fill="auto"/>
          </w:tcPr>
          <w:p w14:paraId="40CB2366" w14:textId="77777777" w:rsidR="00584FB3" w:rsidRDefault="00584FB3">
            <w:pPr>
              <w:rPr>
                <w:rFonts w:ascii="宋体"/>
                <w:vanish/>
              </w:rPr>
            </w:pPr>
          </w:p>
        </w:tc>
        <w:tc>
          <w:tcPr>
            <w:tcW w:w="0" w:type="auto"/>
            <w:gridSpan w:val="3"/>
            <w:shd w:val="clear" w:color="auto" w:fill="auto"/>
          </w:tcPr>
          <w:p w14:paraId="40CB2367" w14:textId="77777777" w:rsidR="00584FB3" w:rsidRDefault="00584FB3">
            <w:pPr>
              <w:rPr>
                <w:rFonts w:ascii="宋体"/>
                <w:vanish/>
              </w:rPr>
            </w:pPr>
          </w:p>
        </w:tc>
        <w:tc>
          <w:tcPr>
            <w:tcW w:w="0" w:type="auto"/>
            <w:gridSpan w:val="3"/>
            <w:shd w:val="clear" w:color="auto" w:fill="auto"/>
          </w:tcPr>
          <w:p w14:paraId="40CB2368" w14:textId="77777777" w:rsidR="00584FB3" w:rsidRDefault="00584FB3">
            <w:pPr>
              <w:rPr>
                <w:rFonts w:ascii="宋体"/>
                <w:vanish/>
              </w:rPr>
            </w:pPr>
          </w:p>
        </w:tc>
      </w:tr>
      <w:tr w:rsidR="00584FB3" w14:paraId="40CB2383" w14:textId="77777777">
        <w:tc>
          <w:tcPr>
            <w:tcW w:w="0" w:type="auto"/>
            <w:gridSpan w:val="3"/>
            <w:shd w:val="clear" w:color="auto" w:fill="FFFFFF"/>
            <w:tcMar>
              <w:top w:w="40" w:type="dxa"/>
              <w:left w:w="20" w:type="dxa"/>
              <w:bottom w:w="40" w:type="dxa"/>
              <w:right w:w="20" w:type="dxa"/>
            </w:tcMar>
          </w:tcPr>
          <w:p w14:paraId="40CB236A" w14:textId="77777777" w:rsidR="00584FB3" w:rsidRDefault="00786180">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40CB236B" w14:textId="77777777" w:rsidR="00584FB3" w:rsidRDefault="00786180">
            <w:pPr>
              <w:jc w:val="right"/>
              <w:textAlignment w:val="bottom"/>
            </w:pPr>
            <w:r>
              <w:rPr>
                <w:rFonts w:ascii="Times New Roman" w:eastAsia="宋体" w:hAnsi="Times New Roman"/>
                <w:color w:val="000000"/>
                <w:sz w:val="20"/>
                <w:szCs w:val="20"/>
              </w:rPr>
              <w:t>520.4 </w:t>
            </w:r>
          </w:p>
        </w:tc>
        <w:tc>
          <w:tcPr>
            <w:tcW w:w="0" w:type="auto"/>
            <w:shd w:val="clear" w:color="auto" w:fill="FFFFFF"/>
            <w:tcMar>
              <w:top w:w="40" w:type="dxa"/>
              <w:left w:w="0" w:type="dxa"/>
              <w:bottom w:w="40" w:type="dxa"/>
              <w:right w:w="20" w:type="dxa"/>
            </w:tcMar>
            <w:vAlign w:val="bottom"/>
          </w:tcPr>
          <w:p w14:paraId="40CB236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6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6E" w14:textId="77777777" w:rsidR="00584FB3" w:rsidRDefault="00786180">
            <w:pPr>
              <w:jc w:val="right"/>
              <w:textAlignment w:val="bottom"/>
            </w:pPr>
            <w:r>
              <w:rPr>
                <w:rFonts w:ascii="Times New Roman" w:eastAsia="宋体" w:hAnsi="Times New Roman"/>
                <w:color w:val="000000"/>
                <w:sz w:val="20"/>
                <w:szCs w:val="20"/>
              </w:rPr>
              <w:t>488.5 </w:t>
            </w:r>
          </w:p>
        </w:tc>
        <w:tc>
          <w:tcPr>
            <w:tcW w:w="0" w:type="auto"/>
            <w:shd w:val="clear" w:color="auto" w:fill="FFFFFF"/>
            <w:tcMar>
              <w:top w:w="40" w:type="dxa"/>
              <w:left w:w="0" w:type="dxa"/>
              <w:bottom w:w="40" w:type="dxa"/>
              <w:right w:w="20" w:type="dxa"/>
            </w:tcMar>
            <w:vAlign w:val="bottom"/>
          </w:tcPr>
          <w:p w14:paraId="40CB236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7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71" w14:textId="77777777" w:rsidR="00584FB3" w:rsidRDefault="00786180">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40CB237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7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74" w14:textId="77777777" w:rsidR="00584FB3" w:rsidRDefault="00786180">
            <w:pPr>
              <w:jc w:val="right"/>
              <w:textAlignment w:val="bottom"/>
            </w:pPr>
            <w:r>
              <w:rPr>
                <w:rFonts w:ascii="Times New Roman" w:eastAsia="宋体" w:hAnsi="Times New Roman"/>
                <w:color w:val="000000"/>
                <w:sz w:val="20"/>
                <w:szCs w:val="20"/>
              </w:rPr>
              <w:t>31.5 </w:t>
            </w:r>
          </w:p>
        </w:tc>
        <w:tc>
          <w:tcPr>
            <w:tcW w:w="0" w:type="auto"/>
            <w:shd w:val="clear" w:color="auto" w:fill="FFFFFF"/>
            <w:tcMar>
              <w:top w:w="40" w:type="dxa"/>
              <w:left w:w="0" w:type="dxa"/>
              <w:bottom w:w="40" w:type="dxa"/>
              <w:right w:w="20" w:type="dxa"/>
            </w:tcMar>
            <w:vAlign w:val="bottom"/>
          </w:tcPr>
          <w:p w14:paraId="40CB237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76"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77" w14:textId="77777777" w:rsidR="00584FB3" w:rsidRDefault="00786180">
            <w:pPr>
              <w:jc w:val="right"/>
              <w:textAlignment w:val="bottom"/>
            </w:pPr>
            <w:r>
              <w:rPr>
                <w:rFonts w:ascii="Times New Roman" w:eastAsia="宋体" w:hAnsi="Times New Roman"/>
                <w:color w:val="000000"/>
                <w:sz w:val="20"/>
                <w:szCs w:val="20"/>
              </w:rPr>
              <w:t>31.1 </w:t>
            </w:r>
          </w:p>
        </w:tc>
        <w:tc>
          <w:tcPr>
            <w:tcW w:w="0" w:type="auto"/>
            <w:shd w:val="clear" w:color="auto" w:fill="FFFFFF"/>
            <w:tcMar>
              <w:top w:w="40" w:type="dxa"/>
              <w:left w:w="0" w:type="dxa"/>
              <w:bottom w:w="40" w:type="dxa"/>
              <w:right w:w="20" w:type="dxa"/>
            </w:tcMar>
            <w:vAlign w:val="bottom"/>
          </w:tcPr>
          <w:p w14:paraId="40CB2378" w14:textId="77777777" w:rsidR="00584FB3" w:rsidRDefault="00584FB3">
            <w:pPr>
              <w:jc w:val="right"/>
              <w:rPr>
                <w:rFonts w:ascii="宋体"/>
              </w:rPr>
            </w:pPr>
          </w:p>
        </w:tc>
        <w:tc>
          <w:tcPr>
            <w:tcW w:w="0" w:type="auto"/>
            <w:shd w:val="clear" w:color="auto" w:fill="auto"/>
          </w:tcPr>
          <w:p w14:paraId="40CB2379" w14:textId="77777777" w:rsidR="00584FB3" w:rsidRDefault="00584FB3">
            <w:pPr>
              <w:rPr>
                <w:rFonts w:ascii="宋体"/>
                <w:vanish/>
              </w:rPr>
            </w:pPr>
          </w:p>
        </w:tc>
        <w:tc>
          <w:tcPr>
            <w:tcW w:w="0" w:type="auto"/>
            <w:shd w:val="clear" w:color="auto" w:fill="auto"/>
          </w:tcPr>
          <w:p w14:paraId="40CB237A" w14:textId="77777777" w:rsidR="00584FB3" w:rsidRDefault="00584FB3">
            <w:pPr>
              <w:rPr>
                <w:rFonts w:ascii="宋体"/>
                <w:vanish/>
              </w:rPr>
            </w:pPr>
          </w:p>
        </w:tc>
        <w:tc>
          <w:tcPr>
            <w:tcW w:w="0" w:type="auto"/>
            <w:gridSpan w:val="3"/>
            <w:shd w:val="clear" w:color="auto" w:fill="auto"/>
          </w:tcPr>
          <w:p w14:paraId="40CB237B" w14:textId="77777777" w:rsidR="00584FB3" w:rsidRDefault="00584FB3">
            <w:pPr>
              <w:rPr>
                <w:rFonts w:ascii="宋体"/>
                <w:vanish/>
              </w:rPr>
            </w:pPr>
          </w:p>
        </w:tc>
        <w:tc>
          <w:tcPr>
            <w:tcW w:w="0" w:type="auto"/>
            <w:gridSpan w:val="3"/>
            <w:shd w:val="clear" w:color="auto" w:fill="auto"/>
          </w:tcPr>
          <w:p w14:paraId="40CB237C" w14:textId="77777777" w:rsidR="00584FB3" w:rsidRDefault="00584FB3">
            <w:pPr>
              <w:rPr>
                <w:rFonts w:ascii="宋体"/>
                <w:vanish/>
              </w:rPr>
            </w:pPr>
          </w:p>
        </w:tc>
        <w:tc>
          <w:tcPr>
            <w:tcW w:w="0" w:type="auto"/>
            <w:gridSpan w:val="3"/>
            <w:shd w:val="clear" w:color="auto" w:fill="auto"/>
          </w:tcPr>
          <w:p w14:paraId="40CB237D" w14:textId="77777777" w:rsidR="00584FB3" w:rsidRDefault="00584FB3">
            <w:pPr>
              <w:rPr>
                <w:rFonts w:ascii="宋体"/>
                <w:vanish/>
              </w:rPr>
            </w:pPr>
          </w:p>
        </w:tc>
        <w:tc>
          <w:tcPr>
            <w:tcW w:w="0" w:type="auto"/>
            <w:gridSpan w:val="3"/>
            <w:shd w:val="clear" w:color="auto" w:fill="auto"/>
          </w:tcPr>
          <w:p w14:paraId="40CB237E" w14:textId="77777777" w:rsidR="00584FB3" w:rsidRDefault="00584FB3">
            <w:pPr>
              <w:rPr>
                <w:rFonts w:ascii="宋体"/>
                <w:vanish/>
              </w:rPr>
            </w:pPr>
          </w:p>
        </w:tc>
        <w:tc>
          <w:tcPr>
            <w:tcW w:w="0" w:type="auto"/>
            <w:gridSpan w:val="3"/>
            <w:shd w:val="clear" w:color="auto" w:fill="auto"/>
          </w:tcPr>
          <w:p w14:paraId="40CB237F" w14:textId="77777777" w:rsidR="00584FB3" w:rsidRDefault="00584FB3">
            <w:pPr>
              <w:rPr>
                <w:rFonts w:ascii="宋体"/>
                <w:vanish/>
              </w:rPr>
            </w:pPr>
          </w:p>
        </w:tc>
        <w:tc>
          <w:tcPr>
            <w:tcW w:w="0" w:type="auto"/>
            <w:gridSpan w:val="3"/>
            <w:shd w:val="clear" w:color="auto" w:fill="auto"/>
          </w:tcPr>
          <w:p w14:paraId="40CB2380" w14:textId="77777777" w:rsidR="00584FB3" w:rsidRDefault="00584FB3">
            <w:pPr>
              <w:rPr>
                <w:rFonts w:ascii="宋体"/>
                <w:vanish/>
              </w:rPr>
            </w:pPr>
          </w:p>
        </w:tc>
        <w:tc>
          <w:tcPr>
            <w:tcW w:w="0" w:type="auto"/>
            <w:gridSpan w:val="3"/>
            <w:shd w:val="clear" w:color="auto" w:fill="auto"/>
          </w:tcPr>
          <w:p w14:paraId="40CB2381" w14:textId="77777777" w:rsidR="00584FB3" w:rsidRDefault="00584FB3">
            <w:pPr>
              <w:rPr>
                <w:rFonts w:ascii="宋体"/>
                <w:vanish/>
              </w:rPr>
            </w:pPr>
          </w:p>
        </w:tc>
        <w:tc>
          <w:tcPr>
            <w:tcW w:w="0" w:type="auto"/>
            <w:gridSpan w:val="3"/>
            <w:shd w:val="clear" w:color="auto" w:fill="auto"/>
          </w:tcPr>
          <w:p w14:paraId="40CB2382" w14:textId="77777777" w:rsidR="00584FB3" w:rsidRDefault="00584FB3">
            <w:pPr>
              <w:rPr>
                <w:rFonts w:ascii="宋体"/>
                <w:vanish/>
              </w:rPr>
            </w:pPr>
          </w:p>
        </w:tc>
      </w:tr>
      <w:tr w:rsidR="00584FB3" w14:paraId="40CB239D" w14:textId="77777777">
        <w:tc>
          <w:tcPr>
            <w:tcW w:w="0" w:type="auto"/>
            <w:gridSpan w:val="3"/>
            <w:shd w:val="clear" w:color="auto" w:fill="D7E4BC"/>
            <w:tcMar>
              <w:top w:w="40" w:type="dxa"/>
              <w:left w:w="20" w:type="dxa"/>
              <w:bottom w:w="40" w:type="dxa"/>
              <w:right w:w="20" w:type="dxa"/>
            </w:tcMar>
          </w:tcPr>
          <w:p w14:paraId="40CB2384" w14:textId="77777777" w:rsidR="00584FB3" w:rsidRDefault="00786180">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40CB2385" w14:textId="77777777" w:rsidR="00584FB3" w:rsidRDefault="00786180">
            <w:pPr>
              <w:jc w:val="right"/>
              <w:textAlignment w:val="bottom"/>
            </w:pPr>
            <w:r>
              <w:rPr>
                <w:rFonts w:ascii="Times New Roman" w:eastAsia="宋体" w:hAnsi="Times New Roman"/>
                <w:color w:val="000000"/>
                <w:sz w:val="20"/>
                <w:szCs w:val="20"/>
              </w:rPr>
              <w:t>628.5 </w:t>
            </w:r>
          </w:p>
        </w:tc>
        <w:tc>
          <w:tcPr>
            <w:tcW w:w="0" w:type="auto"/>
            <w:shd w:val="clear" w:color="auto" w:fill="D7E4BC"/>
            <w:tcMar>
              <w:top w:w="40" w:type="dxa"/>
              <w:left w:w="0" w:type="dxa"/>
              <w:bottom w:w="40" w:type="dxa"/>
              <w:right w:w="20" w:type="dxa"/>
            </w:tcMar>
            <w:vAlign w:val="bottom"/>
          </w:tcPr>
          <w:p w14:paraId="40CB2386"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87"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88" w14:textId="77777777" w:rsidR="00584FB3" w:rsidRDefault="00786180">
            <w:pPr>
              <w:jc w:val="right"/>
              <w:textAlignment w:val="bottom"/>
            </w:pPr>
            <w:r>
              <w:rPr>
                <w:rFonts w:ascii="Times New Roman" w:eastAsia="宋体" w:hAnsi="Times New Roman"/>
                <w:color w:val="000000"/>
                <w:sz w:val="20"/>
                <w:szCs w:val="20"/>
              </w:rPr>
              <w:t>607.1 </w:t>
            </w:r>
          </w:p>
        </w:tc>
        <w:tc>
          <w:tcPr>
            <w:tcW w:w="0" w:type="auto"/>
            <w:shd w:val="clear" w:color="auto" w:fill="D7E4BC"/>
            <w:tcMar>
              <w:top w:w="40" w:type="dxa"/>
              <w:left w:w="0" w:type="dxa"/>
              <w:bottom w:w="40" w:type="dxa"/>
              <w:right w:w="20" w:type="dxa"/>
            </w:tcMar>
            <w:vAlign w:val="bottom"/>
          </w:tcPr>
          <w:p w14:paraId="40CB238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8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8B" w14:textId="77777777" w:rsidR="00584FB3" w:rsidRDefault="00786180">
            <w:pPr>
              <w:jc w:val="right"/>
              <w:textAlignment w:val="bottom"/>
            </w:pPr>
            <w:r>
              <w:rPr>
                <w:rFonts w:ascii="Times New Roman" w:eastAsia="宋体" w:hAnsi="Times New Roman"/>
                <w:color w:val="000000"/>
                <w:sz w:val="20"/>
                <w:szCs w:val="20"/>
              </w:rPr>
              <w:t>21.4 </w:t>
            </w:r>
          </w:p>
        </w:tc>
        <w:tc>
          <w:tcPr>
            <w:tcW w:w="0" w:type="auto"/>
            <w:shd w:val="clear" w:color="auto" w:fill="D7E4BC"/>
            <w:tcMar>
              <w:top w:w="40" w:type="dxa"/>
              <w:left w:w="0" w:type="dxa"/>
              <w:bottom w:w="40" w:type="dxa"/>
              <w:right w:w="20" w:type="dxa"/>
            </w:tcMar>
            <w:vAlign w:val="bottom"/>
          </w:tcPr>
          <w:p w14:paraId="40CB238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8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8E" w14:textId="77777777" w:rsidR="00584FB3" w:rsidRDefault="00786180">
            <w:pPr>
              <w:jc w:val="right"/>
              <w:textAlignment w:val="bottom"/>
            </w:pPr>
            <w:r>
              <w:rPr>
                <w:rFonts w:ascii="Times New Roman" w:eastAsia="宋体" w:hAnsi="Times New Roman"/>
                <w:color w:val="000000"/>
                <w:sz w:val="20"/>
                <w:szCs w:val="20"/>
              </w:rPr>
              <w:t>38.0 </w:t>
            </w:r>
          </w:p>
        </w:tc>
        <w:tc>
          <w:tcPr>
            <w:tcW w:w="0" w:type="auto"/>
            <w:shd w:val="clear" w:color="auto" w:fill="D7E4BC"/>
            <w:tcMar>
              <w:top w:w="40" w:type="dxa"/>
              <w:left w:w="0" w:type="dxa"/>
              <w:bottom w:w="40" w:type="dxa"/>
              <w:right w:w="20" w:type="dxa"/>
            </w:tcMar>
            <w:vAlign w:val="bottom"/>
          </w:tcPr>
          <w:p w14:paraId="40CB238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9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91" w14:textId="77777777" w:rsidR="00584FB3" w:rsidRDefault="00786180">
            <w:pPr>
              <w:jc w:val="right"/>
              <w:textAlignment w:val="bottom"/>
            </w:pPr>
            <w:r>
              <w:rPr>
                <w:rFonts w:ascii="Times New Roman" w:eastAsia="宋体" w:hAnsi="Times New Roman"/>
                <w:color w:val="000000"/>
                <w:sz w:val="20"/>
                <w:szCs w:val="20"/>
              </w:rPr>
              <w:t>38.6 </w:t>
            </w:r>
          </w:p>
        </w:tc>
        <w:tc>
          <w:tcPr>
            <w:tcW w:w="0" w:type="auto"/>
            <w:shd w:val="clear" w:color="auto" w:fill="D7E4BC"/>
            <w:tcMar>
              <w:top w:w="40" w:type="dxa"/>
              <w:left w:w="0" w:type="dxa"/>
              <w:bottom w:w="40" w:type="dxa"/>
              <w:right w:w="20" w:type="dxa"/>
            </w:tcMar>
            <w:vAlign w:val="bottom"/>
          </w:tcPr>
          <w:p w14:paraId="40CB2392" w14:textId="77777777" w:rsidR="00584FB3" w:rsidRDefault="00584FB3">
            <w:pPr>
              <w:jc w:val="right"/>
              <w:rPr>
                <w:rFonts w:ascii="宋体"/>
              </w:rPr>
            </w:pPr>
          </w:p>
        </w:tc>
        <w:tc>
          <w:tcPr>
            <w:tcW w:w="0" w:type="auto"/>
            <w:shd w:val="clear" w:color="auto" w:fill="auto"/>
          </w:tcPr>
          <w:p w14:paraId="40CB2393" w14:textId="77777777" w:rsidR="00584FB3" w:rsidRDefault="00584FB3">
            <w:pPr>
              <w:rPr>
                <w:rFonts w:ascii="宋体"/>
                <w:vanish/>
              </w:rPr>
            </w:pPr>
          </w:p>
        </w:tc>
        <w:tc>
          <w:tcPr>
            <w:tcW w:w="0" w:type="auto"/>
            <w:shd w:val="clear" w:color="auto" w:fill="auto"/>
          </w:tcPr>
          <w:p w14:paraId="40CB2394" w14:textId="77777777" w:rsidR="00584FB3" w:rsidRDefault="00584FB3">
            <w:pPr>
              <w:rPr>
                <w:rFonts w:ascii="宋体"/>
                <w:vanish/>
              </w:rPr>
            </w:pPr>
          </w:p>
        </w:tc>
        <w:tc>
          <w:tcPr>
            <w:tcW w:w="0" w:type="auto"/>
            <w:gridSpan w:val="3"/>
            <w:shd w:val="clear" w:color="auto" w:fill="auto"/>
          </w:tcPr>
          <w:p w14:paraId="40CB2395" w14:textId="77777777" w:rsidR="00584FB3" w:rsidRDefault="00584FB3">
            <w:pPr>
              <w:rPr>
                <w:rFonts w:ascii="宋体"/>
                <w:vanish/>
              </w:rPr>
            </w:pPr>
          </w:p>
        </w:tc>
        <w:tc>
          <w:tcPr>
            <w:tcW w:w="0" w:type="auto"/>
            <w:gridSpan w:val="3"/>
            <w:shd w:val="clear" w:color="auto" w:fill="auto"/>
          </w:tcPr>
          <w:p w14:paraId="40CB2396" w14:textId="77777777" w:rsidR="00584FB3" w:rsidRDefault="00584FB3">
            <w:pPr>
              <w:rPr>
                <w:rFonts w:ascii="宋体"/>
                <w:vanish/>
              </w:rPr>
            </w:pPr>
          </w:p>
        </w:tc>
        <w:tc>
          <w:tcPr>
            <w:tcW w:w="0" w:type="auto"/>
            <w:gridSpan w:val="3"/>
            <w:shd w:val="clear" w:color="auto" w:fill="auto"/>
          </w:tcPr>
          <w:p w14:paraId="40CB2397" w14:textId="77777777" w:rsidR="00584FB3" w:rsidRDefault="00584FB3">
            <w:pPr>
              <w:rPr>
                <w:rFonts w:ascii="宋体"/>
                <w:vanish/>
              </w:rPr>
            </w:pPr>
          </w:p>
        </w:tc>
        <w:tc>
          <w:tcPr>
            <w:tcW w:w="0" w:type="auto"/>
            <w:gridSpan w:val="3"/>
            <w:shd w:val="clear" w:color="auto" w:fill="auto"/>
          </w:tcPr>
          <w:p w14:paraId="40CB2398" w14:textId="77777777" w:rsidR="00584FB3" w:rsidRDefault="00584FB3">
            <w:pPr>
              <w:rPr>
                <w:rFonts w:ascii="宋体"/>
                <w:vanish/>
              </w:rPr>
            </w:pPr>
          </w:p>
        </w:tc>
        <w:tc>
          <w:tcPr>
            <w:tcW w:w="0" w:type="auto"/>
            <w:gridSpan w:val="3"/>
            <w:shd w:val="clear" w:color="auto" w:fill="auto"/>
          </w:tcPr>
          <w:p w14:paraId="40CB2399" w14:textId="77777777" w:rsidR="00584FB3" w:rsidRDefault="00584FB3">
            <w:pPr>
              <w:rPr>
                <w:rFonts w:ascii="宋体"/>
                <w:vanish/>
              </w:rPr>
            </w:pPr>
          </w:p>
        </w:tc>
        <w:tc>
          <w:tcPr>
            <w:tcW w:w="0" w:type="auto"/>
            <w:gridSpan w:val="3"/>
            <w:shd w:val="clear" w:color="auto" w:fill="auto"/>
          </w:tcPr>
          <w:p w14:paraId="40CB239A" w14:textId="77777777" w:rsidR="00584FB3" w:rsidRDefault="00584FB3">
            <w:pPr>
              <w:rPr>
                <w:rFonts w:ascii="宋体"/>
                <w:vanish/>
              </w:rPr>
            </w:pPr>
          </w:p>
        </w:tc>
        <w:tc>
          <w:tcPr>
            <w:tcW w:w="0" w:type="auto"/>
            <w:gridSpan w:val="3"/>
            <w:shd w:val="clear" w:color="auto" w:fill="auto"/>
          </w:tcPr>
          <w:p w14:paraId="40CB239B" w14:textId="77777777" w:rsidR="00584FB3" w:rsidRDefault="00584FB3">
            <w:pPr>
              <w:rPr>
                <w:rFonts w:ascii="宋体"/>
                <w:vanish/>
              </w:rPr>
            </w:pPr>
          </w:p>
        </w:tc>
        <w:tc>
          <w:tcPr>
            <w:tcW w:w="0" w:type="auto"/>
            <w:gridSpan w:val="3"/>
            <w:shd w:val="clear" w:color="auto" w:fill="auto"/>
          </w:tcPr>
          <w:p w14:paraId="40CB239C" w14:textId="77777777" w:rsidR="00584FB3" w:rsidRDefault="00584FB3">
            <w:pPr>
              <w:rPr>
                <w:rFonts w:ascii="宋体"/>
                <w:vanish/>
              </w:rPr>
            </w:pPr>
          </w:p>
        </w:tc>
      </w:tr>
      <w:tr w:rsidR="00584FB3" w14:paraId="40CB23B7" w14:textId="77777777">
        <w:tc>
          <w:tcPr>
            <w:tcW w:w="0" w:type="auto"/>
            <w:gridSpan w:val="3"/>
            <w:shd w:val="clear" w:color="auto" w:fill="FFFFFF"/>
            <w:tcMar>
              <w:top w:w="40" w:type="dxa"/>
              <w:left w:w="20" w:type="dxa"/>
              <w:bottom w:w="40" w:type="dxa"/>
              <w:right w:w="20" w:type="dxa"/>
            </w:tcMar>
          </w:tcPr>
          <w:p w14:paraId="40CB239E" w14:textId="77777777" w:rsidR="00584FB3" w:rsidRDefault="00786180">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40CB239F" w14:textId="77777777" w:rsidR="00584FB3" w:rsidRDefault="00786180">
            <w:pPr>
              <w:jc w:val="right"/>
              <w:textAlignment w:val="bottom"/>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bottom"/>
          </w:tcPr>
          <w:p w14:paraId="40CB23A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A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A2" w14:textId="77777777" w:rsidR="00584FB3" w:rsidRDefault="00786180">
            <w:pPr>
              <w:jc w:val="right"/>
              <w:textAlignment w:val="bottom"/>
            </w:pPr>
            <w:r>
              <w:rPr>
                <w:rFonts w:ascii="Times New Roman" w:eastAsia="宋体" w:hAnsi="Times New Roman"/>
                <w:color w:val="000000"/>
                <w:sz w:val="20"/>
                <w:szCs w:val="20"/>
              </w:rPr>
              <w:t>35.9 </w:t>
            </w:r>
          </w:p>
        </w:tc>
        <w:tc>
          <w:tcPr>
            <w:tcW w:w="0" w:type="auto"/>
            <w:shd w:val="clear" w:color="auto" w:fill="FFFFFF"/>
            <w:tcMar>
              <w:top w:w="40" w:type="dxa"/>
              <w:left w:w="0" w:type="dxa"/>
              <w:bottom w:w="40" w:type="dxa"/>
              <w:right w:w="20" w:type="dxa"/>
            </w:tcMar>
            <w:vAlign w:val="bottom"/>
          </w:tcPr>
          <w:p w14:paraId="40CB23A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A4"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A5" w14:textId="77777777" w:rsidR="00584FB3" w:rsidRDefault="00786180">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40CB23A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A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A8" w14:textId="77777777" w:rsidR="00584FB3" w:rsidRDefault="00786180">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40CB23A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A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AB" w14:textId="77777777" w:rsidR="00584FB3" w:rsidRDefault="00786180">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40CB23AC" w14:textId="77777777" w:rsidR="00584FB3" w:rsidRDefault="00584FB3">
            <w:pPr>
              <w:jc w:val="right"/>
              <w:rPr>
                <w:rFonts w:ascii="宋体"/>
              </w:rPr>
            </w:pPr>
          </w:p>
        </w:tc>
        <w:tc>
          <w:tcPr>
            <w:tcW w:w="0" w:type="auto"/>
            <w:shd w:val="clear" w:color="auto" w:fill="auto"/>
          </w:tcPr>
          <w:p w14:paraId="40CB23AD" w14:textId="77777777" w:rsidR="00584FB3" w:rsidRDefault="00584FB3">
            <w:pPr>
              <w:rPr>
                <w:rFonts w:ascii="宋体"/>
                <w:vanish/>
              </w:rPr>
            </w:pPr>
          </w:p>
        </w:tc>
        <w:tc>
          <w:tcPr>
            <w:tcW w:w="0" w:type="auto"/>
            <w:shd w:val="clear" w:color="auto" w:fill="auto"/>
          </w:tcPr>
          <w:p w14:paraId="40CB23AE" w14:textId="77777777" w:rsidR="00584FB3" w:rsidRDefault="00584FB3">
            <w:pPr>
              <w:rPr>
                <w:rFonts w:ascii="宋体"/>
                <w:vanish/>
              </w:rPr>
            </w:pPr>
          </w:p>
        </w:tc>
        <w:tc>
          <w:tcPr>
            <w:tcW w:w="0" w:type="auto"/>
            <w:gridSpan w:val="3"/>
            <w:shd w:val="clear" w:color="auto" w:fill="auto"/>
          </w:tcPr>
          <w:p w14:paraId="40CB23AF" w14:textId="77777777" w:rsidR="00584FB3" w:rsidRDefault="00584FB3">
            <w:pPr>
              <w:rPr>
                <w:rFonts w:ascii="宋体"/>
                <w:vanish/>
              </w:rPr>
            </w:pPr>
          </w:p>
        </w:tc>
        <w:tc>
          <w:tcPr>
            <w:tcW w:w="0" w:type="auto"/>
            <w:gridSpan w:val="3"/>
            <w:shd w:val="clear" w:color="auto" w:fill="auto"/>
          </w:tcPr>
          <w:p w14:paraId="40CB23B0" w14:textId="77777777" w:rsidR="00584FB3" w:rsidRDefault="00584FB3">
            <w:pPr>
              <w:rPr>
                <w:rFonts w:ascii="宋体"/>
                <w:vanish/>
              </w:rPr>
            </w:pPr>
          </w:p>
        </w:tc>
        <w:tc>
          <w:tcPr>
            <w:tcW w:w="0" w:type="auto"/>
            <w:gridSpan w:val="3"/>
            <w:shd w:val="clear" w:color="auto" w:fill="auto"/>
          </w:tcPr>
          <w:p w14:paraId="40CB23B1" w14:textId="77777777" w:rsidR="00584FB3" w:rsidRDefault="00584FB3">
            <w:pPr>
              <w:rPr>
                <w:rFonts w:ascii="宋体"/>
                <w:vanish/>
              </w:rPr>
            </w:pPr>
          </w:p>
        </w:tc>
        <w:tc>
          <w:tcPr>
            <w:tcW w:w="0" w:type="auto"/>
            <w:gridSpan w:val="3"/>
            <w:shd w:val="clear" w:color="auto" w:fill="auto"/>
          </w:tcPr>
          <w:p w14:paraId="40CB23B2" w14:textId="77777777" w:rsidR="00584FB3" w:rsidRDefault="00584FB3">
            <w:pPr>
              <w:rPr>
                <w:rFonts w:ascii="宋体"/>
                <w:vanish/>
              </w:rPr>
            </w:pPr>
          </w:p>
        </w:tc>
        <w:tc>
          <w:tcPr>
            <w:tcW w:w="0" w:type="auto"/>
            <w:gridSpan w:val="3"/>
            <w:shd w:val="clear" w:color="auto" w:fill="auto"/>
          </w:tcPr>
          <w:p w14:paraId="40CB23B3" w14:textId="77777777" w:rsidR="00584FB3" w:rsidRDefault="00584FB3">
            <w:pPr>
              <w:rPr>
                <w:rFonts w:ascii="宋体"/>
                <w:vanish/>
              </w:rPr>
            </w:pPr>
          </w:p>
        </w:tc>
        <w:tc>
          <w:tcPr>
            <w:tcW w:w="0" w:type="auto"/>
            <w:gridSpan w:val="3"/>
            <w:shd w:val="clear" w:color="auto" w:fill="auto"/>
          </w:tcPr>
          <w:p w14:paraId="40CB23B4" w14:textId="77777777" w:rsidR="00584FB3" w:rsidRDefault="00584FB3">
            <w:pPr>
              <w:rPr>
                <w:rFonts w:ascii="宋体"/>
                <w:vanish/>
              </w:rPr>
            </w:pPr>
          </w:p>
        </w:tc>
        <w:tc>
          <w:tcPr>
            <w:tcW w:w="0" w:type="auto"/>
            <w:gridSpan w:val="3"/>
            <w:shd w:val="clear" w:color="auto" w:fill="auto"/>
          </w:tcPr>
          <w:p w14:paraId="40CB23B5" w14:textId="77777777" w:rsidR="00584FB3" w:rsidRDefault="00584FB3">
            <w:pPr>
              <w:rPr>
                <w:rFonts w:ascii="宋体"/>
                <w:vanish/>
              </w:rPr>
            </w:pPr>
          </w:p>
        </w:tc>
        <w:tc>
          <w:tcPr>
            <w:tcW w:w="0" w:type="auto"/>
            <w:gridSpan w:val="3"/>
            <w:shd w:val="clear" w:color="auto" w:fill="auto"/>
          </w:tcPr>
          <w:p w14:paraId="40CB23B6" w14:textId="77777777" w:rsidR="00584FB3" w:rsidRDefault="00584FB3">
            <w:pPr>
              <w:rPr>
                <w:rFonts w:ascii="宋体"/>
                <w:vanish/>
              </w:rPr>
            </w:pPr>
          </w:p>
        </w:tc>
      </w:tr>
      <w:tr w:rsidR="00584FB3" w14:paraId="40CB23D1" w14:textId="77777777">
        <w:tc>
          <w:tcPr>
            <w:tcW w:w="0" w:type="auto"/>
            <w:gridSpan w:val="3"/>
            <w:shd w:val="clear" w:color="auto" w:fill="D7E4BC"/>
            <w:tcMar>
              <w:top w:w="40" w:type="dxa"/>
              <w:left w:w="20" w:type="dxa"/>
              <w:bottom w:w="40" w:type="dxa"/>
              <w:right w:w="20" w:type="dxa"/>
            </w:tcMar>
          </w:tcPr>
          <w:p w14:paraId="40CB23B8"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0CB23B9" w14:textId="77777777" w:rsidR="00584FB3" w:rsidRDefault="00786180">
            <w:pPr>
              <w:jc w:val="right"/>
              <w:textAlignment w:val="bottom"/>
            </w:pPr>
            <w:r>
              <w:rPr>
                <w:rFonts w:ascii="Times New Roman" w:eastAsia="宋体" w:hAnsi="Times New Roman"/>
                <w:color w:val="000000"/>
                <w:sz w:val="20"/>
                <w:szCs w:val="20"/>
              </w:rPr>
              <w:t>140.0 </w:t>
            </w:r>
          </w:p>
        </w:tc>
        <w:tc>
          <w:tcPr>
            <w:tcW w:w="0" w:type="auto"/>
            <w:shd w:val="clear" w:color="auto" w:fill="D7E4BC"/>
            <w:tcMar>
              <w:top w:w="40" w:type="dxa"/>
              <w:left w:w="0" w:type="dxa"/>
              <w:bottom w:w="40" w:type="dxa"/>
              <w:right w:w="20" w:type="dxa"/>
            </w:tcMar>
            <w:vAlign w:val="bottom"/>
          </w:tcPr>
          <w:p w14:paraId="40CB23B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B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BC" w14:textId="77777777" w:rsidR="00584FB3" w:rsidRDefault="00786180">
            <w:pPr>
              <w:jc w:val="right"/>
              <w:textAlignment w:val="bottom"/>
            </w:pPr>
            <w:r>
              <w:rPr>
                <w:rFonts w:ascii="Times New Roman" w:eastAsia="宋体" w:hAnsi="Times New Roman"/>
                <w:color w:val="000000"/>
                <w:sz w:val="20"/>
                <w:szCs w:val="20"/>
              </w:rPr>
              <w:t>126.6 </w:t>
            </w:r>
          </w:p>
        </w:tc>
        <w:tc>
          <w:tcPr>
            <w:tcW w:w="0" w:type="auto"/>
            <w:shd w:val="clear" w:color="auto" w:fill="D7E4BC"/>
            <w:tcMar>
              <w:top w:w="40" w:type="dxa"/>
              <w:left w:w="0" w:type="dxa"/>
              <w:bottom w:w="40" w:type="dxa"/>
              <w:right w:w="20" w:type="dxa"/>
            </w:tcMar>
            <w:vAlign w:val="bottom"/>
          </w:tcPr>
          <w:p w14:paraId="40CB23B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B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BF" w14:textId="77777777" w:rsidR="00584FB3" w:rsidRDefault="00786180">
            <w:pPr>
              <w:jc w:val="right"/>
              <w:textAlignment w:val="bottom"/>
            </w:pPr>
            <w:r>
              <w:rPr>
                <w:rFonts w:ascii="Times New Roman" w:eastAsia="宋体" w:hAnsi="Times New Roman"/>
                <w:color w:val="000000"/>
                <w:sz w:val="20"/>
                <w:szCs w:val="20"/>
              </w:rPr>
              <w:t>13.4 </w:t>
            </w:r>
          </w:p>
        </w:tc>
        <w:tc>
          <w:tcPr>
            <w:tcW w:w="0" w:type="auto"/>
            <w:shd w:val="clear" w:color="auto" w:fill="D7E4BC"/>
            <w:tcMar>
              <w:top w:w="40" w:type="dxa"/>
              <w:left w:w="0" w:type="dxa"/>
              <w:bottom w:w="40" w:type="dxa"/>
              <w:right w:w="20" w:type="dxa"/>
            </w:tcMar>
            <w:vAlign w:val="bottom"/>
          </w:tcPr>
          <w:p w14:paraId="40CB23C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C1"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C2" w14:textId="77777777" w:rsidR="00584FB3" w:rsidRDefault="00786180">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left w:w="0" w:type="dxa"/>
              <w:bottom w:w="40" w:type="dxa"/>
              <w:right w:w="20" w:type="dxa"/>
            </w:tcMar>
            <w:vAlign w:val="bottom"/>
          </w:tcPr>
          <w:p w14:paraId="40CB23C3"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C4"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C5" w14:textId="77777777" w:rsidR="00584FB3" w:rsidRDefault="00786180">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left w:w="0" w:type="dxa"/>
              <w:bottom w:w="40" w:type="dxa"/>
              <w:right w:w="20" w:type="dxa"/>
            </w:tcMar>
            <w:vAlign w:val="bottom"/>
          </w:tcPr>
          <w:p w14:paraId="40CB23C6" w14:textId="77777777" w:rsidR="00584FB3" w:rsidRDefault="00584FB3">
            <w:pPr>
              <w:jc w:val="right"/>
              <w:rPr>
                <w:rFonts w:ascii="宋体"/>
              </w:rPr>
            </w:pPr>
          </w:p>
        </w:tc>
        <w:tc>
          <w:tcPr>
            <w:tcW w:w="0" w:type="auto"/>
            <w:shd w:val="clear" w:color="auto" w:fill="auto"/>
          </w:tcPr>
          <w:p w14:paraId="40CB23C7" w14:textId="77777777" w:rsidR="00584FB3" w:rsidRDefault="00584FB3">
            <w:pPr>
              <w:rPr>
                <w:rFonts w:ascii="宋体"/>
                <w:vanish/>
              </w:rPr>
            </w:pPr>
          </w:p>
        </w:tc>
        <w:tc>
          <w:tcPr>
            <w:tcW w:w="0" w:type="auto"/>
            <w:shd w:val="clear" w:color="auto" w:fill="auto"/>
          </w:tcPr>
          <w:p w14:paraId="40CB23C8" w14:textId="77777777" w:rsidR="00584FB3" w:rsidRDefault="00584FB3">
            <w:pPr>
              <w:rPr>
                <w:rFonts w:ascii="宋体"/>
                <w:vanish/>
              </w:rPr>
            </w:pPr>
          </w:p>
        </w:tc>
        <w:tc>
          <w:tcPr>
            <w:tcW w:w="0" w:type="auto"/>
            <w:gridSpan w:val="3"/>
            <w:shd w:val="clear" w:color="auto" w:fill="auto"/>
          </w:tcPr>
          <w:p w14:paraId="40CB23C9" w14:textId="77777777" w:rsidR="00584FB3" w:rsidRDefault="00584FB3">
            <w:pPr>
              <w:rPr>
                <w:rFonts w:ascii="宋体"/>
                <w:vanish/>
              </w:rPr>
            </w:pPr>
          </w:p>
        </w:tc>
        <w:tc>
          <w:tcPr>
            <w:tcW w:w="0" w:type="auto"/>
            <w:gridSpan w:val="3"/>
            <w:shd w:val="clear" w:color="auto" w:fill="auto"/>
          </w:tcPr>
          <w:p w14:paraId="40CB23CA" w14:textId="77777777" w:rsidR="00584FB3" w:rsidRDefault="00584FB3">
            <w:pPr>
              <w:rPr>
                <w:rFonts w:ascii="宋体"/>
                <w:vanish/>
              </w:rPr>
            </w:pPr>
          </w:p>
        </w:tc>
        <w:tc>
          <w:tcPr>
            <w:tcW w:w="0" w:type="auto"/>
            <w:gridSpan w:val="3"/>
            <w:shd w:val="clear" w:color="auto" w:fill="auto"/>
          </w:tcPr>
          <w:p w14:paraId="40CB23CB" w14:textId="77777777" w:rsidR="00584FB3" w:rsidRDefault="00584FB3">
            <w:pPr>
              <w:rPr>
                <w:rFonts w:ascii="宋体"/>
                <w:vanish/>
              </w:rPr>
            </w:pPr>
          </w:p>
        </w:tc>
        <w:tc>
          <w:tcPr>
            <w:tcW w:w="0" w:type="auto"/>
            <w:gridSpan w:val="3"/>
            <w:shd w:val="clear" w:color="auto" w:fill="auto"/>
          </w:tcPr>
          <w:p w14:paraId="40CB23CC" w14:textId="77777777" w:rsidR="00584FB3" w:rsidRDefault="00584FB3">
            <w:pPr>
              <w:rPr>
                <w:rFonts w:ascii="宋体"/>
                <w:vanish/>
              </w:rPr>
            </w:pPr>
          </w:p>
        </w:tc>
        <w:tc>
          <w:tcPr>
            <w:tcW w:w="0" w:type="auto"/>
            <w:gridSpan w:val="3"/>
            <w:shd w:val="clear" w:color="auto" w:fill="auto"/>
          </w:tcPr>
          <w:p w14:paraId="40CB23CD" w14:textId="77777777" w:rsidR="00584FB3" w:rsidRDefault="00584FB3">
            <w:pPr>
              <w:rPr>
                <w:rFonts w:ascii="宋体"/>
                <w:vanish/>
              </w:rPr>
            </w:pPr>
          </w:p>
        </w:tc>
        <w:tc>
          <w:tcPr>
            <w:tcW w:w="0" w:type="auto"/>
            <w:gridSpan w:val="3"/>
            <w:shd w:val="clear" w:color="auto" w:fill="auto"/>
          </w:tcPr>
          <w:p w14:paraId="40CB23CE" w14:textId="77777777" w:rsidR="00584FB3" w:rsidRDefault="00584FB3">
            <w:pPr>
              <w:rPr>
                <w:rFonts w:ascii="宋体"/>
                <w:vanish/>
              </w:rPr>
            </w:pPr>
          </w:p>
        </w:tc>
        <w:tc>
          <w:tcPr>
            <w:tcW w:w="0" w:type="auto"/>
            <w:gridSpan w:val="3"/>
            <w:shd w:val="clear" w:color="auto" w:fill="auto"/>
          </w:tcPr>
          <w:p w14:paraId="40CB23CF" w14:textId="77777777" w:rsidR="00584FB3" w:rsidRDefault="00584FB3">
            <w:pPr>
              <w:rPr>
                <w:rFonts w:ascii="宋体"/>
                <w:vanish/>
              </w:rPr>
            </w:pPr>
          </w:p>
        </w:tc>
        <w:tc>
          <w:tcPr>
            <w:tcW w:w="0" w:type="auto"/>
            <w:gridSpan w:val="3"/>
            <w:shd w:val="clear" w:color="auto" w:fill="auto"/>
          </w:tcPr>
          <w:p w14:paraId="40CB23D0" w14:textId="77777777" w:rsidR="00584FB3" w:rsidRDefault="00584FB3">
            <w:pPr>
              <w:rPr>
                <w:rFonts w:ascii="宋体"/>
                <w:vanish/>
              </w:rPr>
            </w:pPr>
          </w:p>
        </w:tc>
      </w:tr>
      <w:tr w:rsidR="00584FB3" w14:paraId="40CB23EB" w14:textId="77777777">
        <w:tc>
          <w:tcPr>
            <w:tcW w:w="0" w:type="auto"/>
            <w:gridSpan w:val="3"/>
            <w:shd w:val="clear" w:color="auto" w:fill="FFFFFF"/>
            <w:tcMar>
              <w:top w:w="40" w:type="dxa"/>
              <w:left w:w="20" w:type="dxa"/>
              <w:bottom w:w="40" w:type="dxa"/>
              <w:right w:w="20" w:type="dxa"/>
            </w:tcMar>
          </w:tcPr>
          <w:p w14:paraId="40CB23D2" w14:textId="77777777" w:rsidR="00584FB3" w:rsidRDefault="00786180">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40CB23D3" w14:textId="77777777" w:rsidR="00584FB3" w:rsidRDefault="00786180">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40CB23D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D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D6" w14:textId="77777777" w:rsidR="00584FB3" w:rsidRDefault="00786180">
            <w:pPr>
              <w:jc w:val="right"/>
              <w:textAlignment w:val="bottom"/>
            </w:pPr>
            <w:r>
              <w:rPr>
                <w:rFonts w:ascii="Times New Roman" w:eastAsia="宋体" w:hAnsi="Times New Roman"/>
                <w:color w:val="000000"/>
                <w:sz w:val="20"/>
                <w:szCs w:val="20"/>
              </w:rPr>
              <w:t>67.2 </w:t>
            </w:r>
          </w:p>
        </w:tc>
        <w:tc>
          <w:tcPr>
            <w:tcW w:w="0" w:type="auto"/>
            <w:shd w:val="clear" w:color="auto" w:fill="FFFFFF"/>
            <w:tcMar>
              <w:top w:w="40" w:type="dxa"/>
              <w:left w:w="0" w:type="dxa"/>
              <w:bottom w:w="40" w:type="dxa"/>
              <w:right w:w="20" w:type="dxa"/>
            </w:tcMar>
            <w:vAlign w:val="bottom"/>
          </w:tcPr>
          <w:p w14:paraId="40CB23D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D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D9" w14:textId="77777777" w:rsidR="00584FB3" w:rsidRDefault="00786180">
            <w:pPr>
              <w:jc w:val="right"/>
              <w:textAlignment w:val="bottom"/>
            </w:pPr>
            <w:r>
              <w:rPr>
                <w:rFonts w:ascii="Times New Roman" w:eastAsia="宋体" w:hAnsi="Times New Roman"/>
                <w:color w:val="000000"/>
                <w:sz w:val="20"/>
                <w:szCs w:val="20"/>
              </w:rPr>
              <w:t>15.4 </w:t>
            </w:r>
          </w:p>
        </w:tc>
        <w:tc>
          <w:tcPr>
            <w:tcW w:w="0" w:type="auto"/>
            <w:shd w:val="clear" w:color="auto" w:fill="FFFFFF"/>
            <w:tcMar>
              <w:top w:w="40" w:type="dxa"/>
              <w:left w:w="0" w:type="dxa"/>
              <w:bottom w:w="40" w:type="dxa"/>
              <w:right w:w="20" w:type="dxa"/>
            </w:tcMar>
            <w:vAlign w:val="bottom"/>
          </w:tcPr>
          <w:p w14:paraId="40CB23D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D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DC" w14:textId="77777777" w:rsidR="00584FB3" w:rsidRDefault="00786180">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40CB23D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3D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3DF" w14:textId="77777777" w:rsidR="00584FB3" w:rsidRDefault="00786180">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40CB23E0" w14:textId="77777777" w:rsidR="00584FB3" w:rsidRDefault="00584FB3">
            <w:pPr>
              <w:jc w:val="right"/>
              <w:rPr>
                <w:rFonts w:ascii="宋体"/>
              </w:rPr>
            </w:pPr>
          </w:p>
        </w:tc>
        <w:tc>
          <w:tcPr>
            <w:tcW w:w="0" w:type="auto"/>
            <w:shd w:val="clear" w:color="auto" w:fill="auto"/>
          </w:tcPr>
          <w:p w14:paraId="40CB23E1" w14:textId="77777777" w:rsidR="00584FB3" w:rsidRDefault="00584FB3">
            <w:pPr>
              <w:rPr>
                <w:rFonts w:ascii="宋体"/>
                <w:vanish/>
              </w:rPr>
            </w:pPr>
          </w:p>
        </w:tc>
        <w:tc>
          <w:tcPr>
            <w:tcW w:w="0" w:type="auto"/>
            <w:shd w:val="clear" w:color="auto" w:fill="auto"/>
          </w:tcPr>
          <w:p w14:paraId="40CB23E2" w14:textId="77777777" w:rsidR="00584FB3" w:rsidRDefault="00584FB3">
            <w:pPr>
              <w:rPr>
                <w:rFonts w:ascii="宋体"/>
                <w:vanish/>
              </w:rPr>
            </w:pPr>
          </w:p>
        </w:tc>
        <w:tc>
          <w:tcPr>
            <w:tcW w:w="0" w:type="auto"/>
            <w:gridSpan w:val="3"/>
            <w:shd w:val="clear" w:color="auto" w:fill="auto"/>
          </w:tcPr>
          <w:p w14:paraId="40CB23E3" w14:textId="77777777" w:rsidR="00584FB3" w:rsidRDefault="00584FB3">
            <w:pPr>
              <w:rPr>
                <w:rFonts w:ascii="宋体"/>
                <w:vanish/>
              </w:rPr>
            </w:pPr>
          </w:p>
        </w:tc>
        <w:tc>
          <w:tcPr>
            <w:tcW w:w="0" w:type="auto"/>
            <w:gridSpan w:val="3"/>
            <w:shd w:val="clear" w:color="auto" w:fill="auto"/>
          </w:tcPr>
          <w:p w14:paraId="40CB23E4" w14:textId="77777777" w:rsidR="00584FB3" w:rsidRDefault="00584FB3">
            <w:pPr>
              <w:rPr>
                <w:rFonts w:ascii="宋体"/>
                <w:vanish/>
              </w:rPr>
            </w:pPr>
          </w:p>
        </w:tc>
        <w:tc>
          <w:tcPr>
            <w:tcW w:w="0" w:type="auto"/>
            <w:gridSpan w:val="3"/>
            <w:shd w:val="clear" w:color="auto" w:fill="auto"/>
          </w:tcPr>
          <w:p w14:paraId="40CB23E5" w14:textId="77777777" w:rsidR="00584FB3" w:rsidRDefault="00584FB3">
            <w:pPr>
              <w:rPr>
                <w:rFonts w:ascii="宋体"/>
                <w:vanish/>
              </w:rPr>
            </w:pPr>
          </w:p>
        </w:tc>
        <w:tc>
          <w:tcPr>
            <w:tcW w:w="0" w:type="auto"/>
            <w:gridSpan w:val="3"/>
            <w:shd w:val="clear" w:color="auto" w:fill="auto"/>
          </w:tcPr>
          <w:p w14:paraId="40CB23E6" w14:textId="77777777" w:rsidR="00584FB3" w:rsidRDefault="00584FB3">
            <w:pPr>
              <w:rPr>
                <w:rFonts w:ascii="宋体"/>
                <w:vanish/>
              </w:rPr>
            </w:pPr>
          </w:p>
        </w:tc>
        <w:tc>
          <w:tcPr>
            <w:tcW w:w="0" w:type="auto"/>
            <w:gridSpan w:val="3"/>
            <w:shd w:val="clear" w:color="auto" w:fill="auto"/>
          </w:tcPr>
          <w:p w14:paraId="40CB23E7" w14:textId="77777777" w:rsidR="00584FB3" w:rsidRDefault="00584FB3">
            <w:pPr>
              <w:rPr>
                <w:rFonts w:ascii="宋体"/>
                <w:vanish/>
              </w:rPr>
            </w:pPr>
          </w:p>
        </w:tc>
        <w:tc>
          <w:tcPr>
            <w:tcW w:w="0" w:type="auto"/>
            <w:gridSpan w:val="3"/>
            <w:shd w:val="clear" w:color="auto" w:fill="auto"/>
          </w:tcPr>
          <w:p w14:paraId="40CB23E8" w14:textId="77777777" w:rsidR="00584FB3" w:rsidRDefault="00584FB3">
            <w:pPr>
              <w:rPr>
                <w:rFonts w:ascii="宋体"/>
                <w:vanish/>
              </w:rPr>
            </w:pPr>
          </w:p>
        </w:tc>
        <w:tc>
          <w:tcPr>
            <w:tcW w:w="0" w:type="auto"/>
            <w:gridSpan w:val="3"/>
            <w:shd w:val="clear" w:color="auto" w:fill="auto"/>
          </w:tcPr>
          <w:p w14:paraId="40CB23E9" w14:textId="77777777" w:rsidR="00584FB3" w:rsidRDefault="00584FB3">
            <w:pPr>
              <w:rPr>
                <w:rFonts w:ascii="宋体"/>
                <w:vanish/>
              </w:rPr>
            </w:pPr>
          </w:p>
        </w:tc>
        <w:tc>
          <w:tcPr>
            <w:tcW w:w="0" w:type="auto"/>
            <w:gridSpan w:val="3"/>
            <w:shd w:val="clear" w:color="auto" w:fill="auto"/>
          </w:tcPr>
          <w:p w14:paraId="40CB23EA" w14:textId="77777777" w:rsidR="00584FB3" w:rsidRDefault="00584FB3">
            <w:pPr>
              <w:rPr>
                <w:rFonts w:ascii="宋体"/>
                <w:vanish/>
              </w:rPr>
            </w:pPr>
          </w:p>
        </w:tc>
      </w:tr>
      <w:tr w:rsidR="00584FB3" w14:paraId="40CB2405" w14:textId="77777777">
        <w:tc>
          <w:tcPr>
            <w:tcW w:w="0" w:type="auto"/>
            <w:gridSpan w:val="3"/>
            <w:shd w:val="clear" w:color="auto" w:fill="D7E4BC"/>
            <w:tcMar>
              <w:top w:w="40" w:type="dxa"/>
              <w:left w:w="20" w:type="dxa"/>
              <w:bottom w:w="40" w:type="dxa"/>
              <w:right w:w="20" w:type="dxa"/>
            </w:tcMar>
          </w:tcPr>
          <w:p w14:paraId="40CB23EC" w14:textId="77777777" w:rsidR="00584FB3" w:rsidRDefault="00786180">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40CB23ED"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23E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E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F0" w14:textId="77777777" w:rsidR="00584FB3" w:rsidRDefault="00786180">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40CB23F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F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F3" w14:textId="77777777" w:rsidR="00584FB3" w:rsidRDefault="00786180">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bottom"/>
          </w:tcPr>
          <w:p w14:paraId="40CB23F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F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F6"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40CB23F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3F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3F9"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40CB23FA" w14:textId="77777777" w:rsidR="00584FB3" w:rsidRDefault="00584FB3">
            <w:pPr>
              <w:jc w:val="right"/>
              <w:rPr>
                <w:rFonts w:ascii="宋体"/>
              </w:rPr>
            </w:pPr>
          </w:p>
        </w:tc>
        <w:tc>
          <w:tcPr>
            <w:tcW w:w="0" w:type="auto"/>
            <w:shd w:val="clear" w:color="auto" w:fill="auto"/>
          </w:tcPr>
          <w:p w14:paraId="40CB23FB" w14:textId="77777777" w:rsidR="00584FB3" w:rsidRDefault="00584FB3">
            <w:pPr>
              <w:rPr>
                <w:rFonts w:ascii="宋体"/>
                <w:vanish/>
              </w:rPr>
            </w:pPr>
          </w:p>
        </w:tc>
        <w:tc>
          <w:tcPr>
            <w:tcW w:w="0" w:type="auto"/>
            <w:shd w:val="clear" w:color="auto" w:fill="auto"/>
          </w:tcPr>
          <w:p w14:paraId="40CB23FC" w14:textId="77777777" w:rsidR="00584FB3" w:rsidRDefault="00584FB3">
            <w:pPr>
              <w:rPr>
                <w:rFonts w:ascii="宋体"/>
                <w:vanish/>
              </w:rPr>
            </w:pPr>
          </w:p>
        </w:tc>
        <w:tc>
          <w:tcPr>
            <w:tcW w:w="0" w:type="auto"/>
            <w:gridSpan w:val="3"/>
            <w:shd w:val="clear" w:color="auto" w:fill="auto"/>
          </w:tcPr>
          <w:p w14:paraId="40CB23FD" w14:textId="77777777" w:rsidR="00584FB3" w:rsidRDefault="00584FB3">
            <w:pPr>
              <w:rPr>
                <w:rFonts w:ascii="宋体"/>
                <w:vanish/>
              </w:rPr>
            </w:pPr>
          </w:p>
        </w:tc>
        <w:tc>
          <w:tcPr>
            <w:tcW w:w="0" w:type="auto"/>
            <w:gridSpan w:val="3"/>
            <w:shd w:val="clear" w:color="auto" w:fill="auto"/>
          </w:tcPr>
          <w:p w14:paraId="40CB23FE" w14:textId="77777777" w:rsidR="00584FB3" w:rsidRDefault="00584FB3">
            <w:pPr>
              <w:rPr>
                <w:rFonts w:ascii="宋体"/>
                <w:vanish/>
              </w:rPr>
            </w:pPr>
          </w:p>
        </w:tc>
        <w:tc>
          <w:tcPr>
            <w:tcW w:w="0" w:type="auto"/>
            <w:gridSpan w:val="3"/>
            <w:shd w:val="clear" w:color="auto" w:fill="auto"/>
          </w:tcPr>
          <w:p w14:paraId="40CB23FF" w14:textId="77777777" w:rsidR="00584FB3" w:rsidRDefault="00584FB3">
            <w:pPr>
              <w:rPr>
                <w:rFonts w:ascii="宋体"/>
                <w:vanish/>
              </w:rPr>
            </w:pPr>
          </w:p>
        </w:tc>
        <w:tc>
          <w:tcPr>
            <w:tcW w:w="0" w:type="auto"/>
            <w:gridSpan w:val="3"/>
            <w:shd w:val="clear" w:color="auto" w:fill="auto"/>
          </w:tcPr>
          <w:p w14:paraId="40CB2400" w14:textId="77777777" w:rsidR="00584FB3" w:rsidRDefault="00584FB3">
            <w:pPr>
              <w:rPr>
                <w:rFonts w:ascii="宋体"/>
                <w:vanish/>
              </w:rPr>
            </w:pPr>
          </w:p>
        </w:tc>
        <w:tc>
          <w:tcPr>
            <w:tcW w:w="0" w:type="auto"/>
            <w:gridSpan w:val="3"/>
            <w:shd w:val="clear" w:color="auto" w:fill="auto"/>
          </w:tcPr>
          <w:p w14:paraId="40CB2401" w14:textId="77777777" w:rsidR="00584FB3" w:rsidRDefault="00584FB3">
            <w:pPr>
              <w:rPr>
                <w:rFonts w:ascii="宋体"/>
                <w:vanish/>
              </w:rPr>
            </w:pPr>
          </w:p>
        </w:tc>
        <w:tc>
          <w:tcPr>
            <w:tcW w:w="0" w:type="auto"/>
            <w:gridSpan w:val="3"/>
            <w:shd w:val="clear" w:color="auto" w:fill="auto"/>
          </w:tcPr>
          <w:p w14:paraId="40CB2402" w14:textId="77777777" w:rsidR="00584FB3" w:rsidRDefault="00584FB3">
            <w:pPr>
              <w:rPr>
                <w:rFonts w:ascii="宋体"/>
                <w:vanish/>
              </w:rPr>
            </w:pPr>
          </w:p>
        </w:tc>
        <w:tc>
          <w:tcPr>
            <w:tcW w:w="0" w:type="auto"/>
            <w:gridSpan w:val="3"/>
            <w:shd w:val="clear" w:color="auto" w:fill="auto"/>
          </w:tcPr>
          <w:p w14:paraId="40CB2403" w14:textId="77777777" w:rsidR="00584FB3" w:rsidRDefault="00584FB3">
            <w:pPr>
              <w:rPr>
                <w:rFonts w:ascii="宋体"/>
                <w:vanish/>
              </w:rPr>
            </w:pPr>
          </w:p>
        </w:tc>
        <w:tc>
          <w:tcPr>
            <w:tcW w:w="0" w:type="auto"/>
            <w:gridSpan w:val="3"/>
            <w:shd w:val="clear" w:color="auto" w:fill="auto"/>
          </w:tcPr>
          <w:p w14:paraId="40CB2404" w14:textId="77777777" w:rsidR="00584FB3" w:rsidRDefault="00584FB3">
            <w:pPr>
              <w:rPr>
                <w:rFonts w:ascii="宋体"/>
                <w:vanish/>
              </w:rPr>
            </w:pPr>
          </w:p>
        </w:tc>
      </w:tr>
      <w:tr w:rsidR="00584FB3" w14:paraId="40CB241F" w14:textId="77777777">
        <w:tc>
          <w:tcPr>
            <w:tcW w:w="0" w:type="auto"/>
            <w:gridSpan w:val="3"/>
            <w:shd w:val="clear" w:color="auto" w:fill="FFFFFF"/>
            <w:tcMar>
              <w:top w:w="40" w:type="dxa"/>
              <w:left w:w="20" w:type="dxa"/>
              <w:bottom w:w="40" w:type="dxa"/>
              <w:right w:w="20" w:type="dxa"/>
            </w:tcMar>
          </w:tcPr>
          <w:p w14:paraId="40CB2406" w14:textId="77777777" w:rsidR="00584FB3" w:rsidRDefault="00786180">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407" w14:textId="77777777" w:rsidR="00584FB3" w:rsidRDefault="00786180">
            <w:pPr>
              <w:jc w:val="right"/>
              <w:textAlignment w:val="bottom"/>
            </w:pPr>
            <w:r>
              <w:rPr>
                <w:rFonts w:ascii="Times New Roman" w:eastAsia="宋体" w:hAnsi="Times New Roman"/>
                <w:color w:val="000000"/>
                <w:sz w:val="20"/>
                <w:szCs w:val="20"/>
              </w:rPr>
              <w:t>1,405.8 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0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409"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40A" w14:textId="77777777" w:rsidR="00584FB3" w:rsidRDefault="00786180">
            <w:pPr>
              <w:jc w:val="right"/>
              <w:textAlignment w:val="bottom"/>
            </w:pPr>
            <w:r>
              <w:rPr>
                <w:rFonts w:ascii="Times New Roman" w:eastAsia="宋体" w:hAnsi="Times New Roman"/>
                <w:color w:val="000000"/>
                <w:sz w:val="20"/>
                <w:szCs w:val="20"/>
              </w:rPr>
              <w:t>1,326.1 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0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40C"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40D" w14:textId="77777777" w:rsidR="00584FB3" w:rsidRDefault="00786180">
            <w:pPr>
              <w:jc w:val="right"/>
              <w:textAlignment w:val="bottom"/>
            </w:pPr>
            <w:r>
              <w:rPr>
                <w:rFonts w:ascii="Times New Roman" w:eastAsia="宋体" w:hAnsi="Times New Roman"/>
                <w:color w:val="000000"/>
                <w:sz w:val="20"/>
                <w:szCs w:val="20"/>
              </w:rPr>
              <w:t>79.7 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0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40F"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410" w14:textId="77777777" w:rsidR="00584FB3" w:rsidRDefault="00786180">
            <w:pPr>
              <w:jc w:val="right"/>
              <w:textAlignment w:val="bottom"/>
            </w:pPr>
            <w:r>
              <w:rPr>
                <w:rFonts w:ascii="Times New Roman" w:eastAsia="宋体" w:hAnsi="Times New Roman"/>
                <w:color w:val="000000"/>
                <w:sz w:val="20"/>
                <w:szCs w:val="20"/>
              </w:rPr>
              <w:t>85.0 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1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412"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413" w14:textId="77777777" w:rsidR="00584FB3" w:rsidRDefault="00786180">
            <w:pPr>
              <w:jc w:val="right"/>
              <w:textAlignment w:val="bottom"/>
            </w:pPr>
            <w:r>
              <w:rPr>
                <w:rFonts w:ascii="Times New Roman" w:eastAsia="宋体" w:hAnsi="Times New Roman"/>
                <w:color w:val="000000"/>
                <w:sz w:val="20"/>
                <w:szCs w:val="20"/>
              </w:rPr>
              <w:t>84.4 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14" w14:textId="77777777" w:rsidR="00584FB3" w:rsidRDefault="00584FB3">
            <w:pPr>
              <w:jc w:val="right"/>
              <w:rPr>
                <w:rFonts w:ascii="宋体"/>
              </w:rPr>
            </w:pPr>
          </w:p>
        </w:tc>
        <w:tc>
          <w:tcPr>
            <w:tcW w:w="0" w:type="auto"/>
            <w:shd w:val="clear" w:color="auto" w:fill="auto"/>
          </w:tcPr>
          <w:p w14:paraId="40CB2415" w14:textId="77777777" w:rsidR="00584FB3" w:rsidRDefault="00584FB3">
            <w:pPr>
              <w:rPr>
                <w:rFonts w:ascii="宋体"/>
                <w:vanish/>
              </w:rPr>
            </w:pPr>
          </w:p>
        </w:tc>
        <w:tc>
          <w:tcPr>
            <w:tcW w:w="0" w:type="auto"/>
            <w:shd w:val="clear" w:color="auto" w:fill="auto"/>
          </w:tcPr>
          <w:p w14:paraId="40CB2416" w14:textId="77777777" w:rsidR="00584FB3" w:rsidRDefault="00584FB3">
            <w:pPr>
              <w:rPr>
                <w:rFonts w:ascii="宋体"/>
                <w:vanish/>
              </w:rPr>
            </w:pPr>
          </w:p>
        </w:tc>
        <w:tc>
          <w:tcPr>
            <w:tcW w:w="0" w:type="auto"/>
            <w:gridSpan w:val="3"/>
            <w:shd w:val="clear" w:color="auto" w:fill="auto"/>
          </w:tcPr>
          <w:p w14:paraId="40CB2417" w14:textId="77777777" w:rsidR="00584FB3" w:rsidRDefault="00584FB3">
            <w:pPr>
              <w:rPr>
                <w:rFonts w:ascii="宋体"/>
                <w:vanish/>
              </w:rPr>
            </w:pPr>
          </w:p>
        </w:tc>
        <w:tc>
          <w:tcPr>
            <w:tcW w:w="0" w:type="auto"/>
            <w:gridSpan w:val="3"/>
            <w:shd w:val="clear" w:color="auto" w:fill="auto"/>
          </w:tcPr>
          <w:p w14:paraId="40CB2418" w14:textId="77777777" w:rsidR="00584FB3" w:rsidRDefault="00584FB3">
            <w:pPr>
              <w:rPr>
                <w:rFonts w:ascii="宋体"/>
                <w:vanish/>
              </w:rPr>
            </w:pPr>
          </w:p>
        </w:tc>
        <w:tc>
          <w:tcPr>
            <w:tcW w:w="0" w:type="auto"/>
            <w:gridSpan w:val="3"/>
            <w:shd w:val="clear" w:color="auto" w:fill="auto"/>
          </w:tcPr>
          <w:p w14:paraId="40CB2419" w14:textId="77777777" w:rsidR="00584FB3" w:rsidRDefault="00584FB3">
            <w:pPr>
              <w:rPr>
                <w:rFonts w:ascii="宋体"/>
                <w:vanish/>
              </w:rPr>
            </w:pPr>
          </w:p>
        </w:tc>
        <w:tc>
          <w:tcPr>
            <w:tcW w:w="0" w:type="auto"/>
            <w:gridSpan w:val="3"/>
            <w:shd w:val="clear" w:color="auto" w:fill="auto"/>
          </w:tcPr>
          <w:p w14:paraId="40CB241A" w14:textId="77777777" w:rsidR="00584FB3" w:rsidRDefault="00584FB3">
            <w:pPr>
              <w:rPr>
                <w:rFonts w:ascii="宋体"/>
                <w:vanish/>
              </w:rPr>
            </w:pPr>
          </w:p>
        </w:tc>
        <w:tc>
          <w:tcPr>
            <w:tcW w:w="0" w:type="auto"/>
            <w:gridSpan w:val="3"/>
            <w:shd w:val="clear" w:color="auto" w:fill="auto"/>
          </w:tcPr>
          <w:p w14:paraId="40CB241B" w14:textId="77777777" w:rsidR="00584FB3" w:rsidRDefault="00584FB3">
            <w:pPr>
              <w:rPr>
                <w:rFonts w:ascii="宋体"/>
                <w:vanish/>
              </w:rPr>
            </w:pPr>
          </w:p>
        </w:tc>
        <w:tc>
          <w:tcPr>
            <w:tcW w:w="0" w:type="auto"/>
            <w:gridSpan w:val="3"/>
            <w:shd w:val="clear" w:color="auto" w:fill="auto"/>
          </w:tcPr>
          <w:p w14:paraId="40CB241C" w14:textId="77777777" w:rsidR="00584FB3" w:rsidRDefault="00584FB3">
            <w:pPr>
              <w:rPr>
                <w:rFonts w:ascii="宋体"/>
                <w:vanish/>
              </w:rPr>
            </w:pPr>
          </w:p>
        </w:tc>
        <w:tc>
          <w:tcPr>
            <w:tcW w:w="0" w:type="auto"/>
            <w:gridSpan w:val="3"/>
            <w:shd w:val="clear" w:color="auto" w:fill="auto"/>
          </w:tcPr>
          <w:p w14:paraId="40CB241D" w14:textId="77777777" w:rsidR="00584FB3" w:rsidRDefault="00584FB3">
            <w:pPr>
              <w:rPr>
                <w:rFonts w:ascii="宋体"/>
                <w:vanish/>
              </w:rPr>
            </w:pPr>
          </w:p>
        </w:tc>
        <w:tc>
          <w:tcPr>
            <w:tcW w:w="0" w:type="auto"/>
            <w:gridSpan w:val="3"/>
            <w:shd w:val="clear" w:color="auto" w:fill="auto"/>
          </w:tcPr>
          <w:p w14:paraId="40CB241E" w14:textId="77777777" w:rsidR="00584FB3" w:rsidRDefault="00584FB3">
            <w:pPr>
              <w:rPr>
                <w:rFonts w:ascii="宋体"/>
                <w:vanish/>
              </w:rPr>
            </w:pPr>
          </w:p>
        </w:tc>
      </w:tr>
      <w:tr w:rsidR="00584FB3" w14:paraId="40CB2439" w14:textId="77777777">
        <w:tc>
          <w:tcPr>
            <w:tcW w:w="0" w:type="auto"/>
            <w:gridSpan w:val="3"/>
            <w:shd w:val="clear" w:color="auto" w:fill="D7E4BC"/>
            <w:tcMar>
              <w:top w:w="40" w:type="dxa"/>
              <w:left w:w="20" w:type="dxa"/>
              <w:bottom w:w="40" w:type="dxa"/>
              <w:right w:w="20" w:type="dxa"/>
            </w:tcMar>
          </w:tcPr>
          <w:p w14:paraId="40CB2420" w14:textId="77777777" w:rsidR="00584FB3" w:rsidRDefault="00786180">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40CB2421" w14:textId="77777777" w:rsidR="00584FB3" w:rsidRDefault="00786180">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left w:w="0" w:type="dxa"/>
              <w:bottom w:w="40" w:type="dxa"/>
              <w:right w:w="20" w:type="dxa"/>
            </w:tcMar>
            <w:vAlign w:val="bottom"/>
          </w:tcPr>
          <w:p w14:paraId="40CB242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42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424" w14:textId="77777777" w:rsidR="00584FB3" w:rsidRDefault="00786180">
            <w:pPr>
              <w:jc w:val="right"/>
              <w:textAlignment w:val="bottom"/>
            </w:pPr>
            <w:r>
              <w:rPr>
                <w:rFonts w:ascii="Times New Roman" w:eastAsia="宋体" w:hAnsi="Times New Roman"/>
                <w:color w:val="000000"/>
                <w:sz w:val="20"/>
                <w:szCs w:val="20"/>
              </w:rPr>
              <w:t>30.9 </w:t>
            </w:r>
          </w:p>
        </w:tc>
        <w:tc>
          <w:tcPr>
            <w:tcW w:w="0" w:type="auto"/>
            <w:shd w:val="clear" w:color="auto" w:fill="D7E4BC"/>
            <w:tcMar>
              <w:top w:w="40" w:type="dxa"/>
              <w:left w:w="0" w:type="dxa"/>
              <w:bottom w:w="40" w:type="dxa"/>
              <w:right w:w="20" w:type="dxa"/>
            </w:tcMar>
            <w:vAlign w:val="bottom"/>
          </w:tcPr>
          <w:p w14:paraId="40CB242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42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427" w14:textId="77777777" w:rsidR="00584FB3" w:rsidRDefault="00786180">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bottom"/>
          </w:tcPr>
          <w:p w14:paraId="40CB242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42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42A" w14:textId="77777777" w:rsidR="00584FB3" w:rsidRDefault="00786180">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40CB242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42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42D" w14:textId="77777777" w:rsidR="00584FB3" w:rsidRDefault="00786180">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40CB242E" w14:textId="77777777" w:rsidR="00584FB3" w:rsidRDefault="00584FB3">
            <w:pPr>
              <w:jc w:val="right"/>
              <w:rPr>
                <w:rFonts w:ascii="宋体"/>
              </w:rPr>
            </w:pPr>
          </w:p>
        </w:tc>
        <w:tc>
          <w:tcPr>
            <w:tcW w:w="0" w:type="auto"/>
            <w:shd w:val="clear" w:color="auto" w:fill="auto"/>
          </w:tcPr>
          <w:p w14:paraId="40CB242F" w14:textId="77777777" w:rsidR="00584FB3" w:rsidRDefault="00584FB3">
            <w:pPr>
              <w:rPr>
                <w:rFonts w:ascii="宋体"/>
                <w:vanish/>
              </w:rPr>
            </w:pPr>
          </w:p>
        </w:tc>
        <w:tc>
          <w:tcPr>
            <w:tcW w:w="0" w:type="auto"/>
            <w:shd w:val="clear" w:color="auto" w:fill="auto"/>
          </w:tcPr>
          <w:p w14:paraId="40CB2430" w14:textId="77777777" w:rsidR="00584FB3" w:rsidRDefault="00584FB3">
            <w:pPr>
              <w:rPr>
                <w:rFonts w:ascii="宋体"/>
                <w:vanish/>
              </w:rPr>
            </w:pPr>
          </w:p>
        </w:tc>
        <w:tc>
          <w:tcPr>
            <w:tcW w:w="0" w:type="auto"/>
            <w:gridSpan w:val="3"/>
            <w:shd w:val="clear" w:color="auto" w:fill="auto"/>
          </w:tcPr>
          <w:p w14:paraId="40CB2431" w14:textId="77777777" w:rsidR="00584FB3" w:rsidRDefault="00584FB3">
            <w:pPr>
              <w:rPr>
                <w:rFonts w:ascii="宋体"/>
                <w:vanish/>
              </w:rPr>
            </w:pPr>
          </w:p>
        </w:tc>
        <w:tc>
          <w:tcPr>
            <w:tcW w:w="0" w:type="auto"/>
            <w:gridSpan w:val="3"/>
            <w:shd w:val="clear" w:color="auto" w:fill="auto"/>
          </w:tcPr>
          <w:p w14:paraId="40CB2432" w14:textId="77777777" w:rsidR="00584FB3" w:rsidRDefault="00584FB3">
            <w:pPr>
              <w:rPr>
                <w:rFonts w:ascii="宋体"/>
                <w:vanish/>
              </w:rPr>
            </w:pPr>
          </w:p>
        </w:tc>
        <w:tc>
          <w:tcPr>
            <w:tcW w:w="0" w:type="auto"/>
            <w:gridSpan w:val="3"/>
            <w:shd w:val="clear" w:color="auto" w:fill="auto"/>
          </w:tcPr>
          <w:p w14:paraId="40CB2433" w14:textId="77777777" w:rsidR="00584FB3" w:rsidRDefault="00584FB3">
            <w:pPr>
              <w:rPr>
                <w:rFonts w:ascii="宋体"/>
                <w:vanish/>
              </w:rPr>
            </w:pPr>
          </w:p>
        </w:tc>
        <w:tc>
          <w:tcPr>
            <w:tcW w:w="0" w:type="auto"/>
            <w:gridSpan w:val="3"/>
            <w:shd w:val="clear" w:color="auto" w:fill="auto"/>
          </w:tcPr>
          <w:p w14:paraId="40CB2434" w14:textId="77777777" w:rsidR="00584FB3" w:rsidRDefault="00584FB3">
            <w:pPr>
              <w:rPr>
                <w:rFonts w:ascii="宋体"/>
                <w:vanish/>
              </w:rPr>
            </w:pPr>
          </w:p>
        </w:tc>
        <w:tc>
          <w:tcPr>
            <w:tcW w:w="0" w:type="auto"/>
            <w:gridSpan w:val="3"/>
            <w:shd w:val="clear" w:color="auto" w:fill="auto"/>
          </w:tcPr>
          <w:p w14:paraId="40CB2435" w14:textId="77777777" w:rsidR="00584FB3" w:rsidRDefault="00584FB3">
            <w:pPr>
              <w:rPr>
                <w:rFonts w:ascii="宋体"/>
                <w:vanish/>
              </w:rPr>
            </w:pPr>
          </w:p>
        </w:tc>
        <w:tc>
          <w:tcPr>
            <w:tcW w:w="0" w:type="auto"/>
            <w:gridSpan w:val="3"/>
            <w:shd w:val="clear" w:color="auto" w:fill="auto"/>
          </w:tcPr>
          <w:p w14:paraId="40CB2436" w14:textId="77777777" w:rsidR="00584FB3" w:rsidRDefault="00584FB3">
            <w:pPr>
              <w:rPr>
                <w:rFonts w:ascii="宋体"/>
                <w:vanish/>
              </w:rPr>
            </w:pPr>
          </w:p>
        </w:tc>
        <w:tc>
          <w:tcPr>
            <w:tcW w:w="0" w:type="auto"/>
            <w:gridSpan w:val="3"/>
            <w:shd w:val="clear" w:color="auto" w:fill="auto"/>
          </w:tcPr>
          <w:p w14:paraId="40CB2437" w14:textId="77777777" w:rsidR="00584FB3" w:rsidRDefault="00584FB3">
            <w:pPr>
              <w:rPr>
                <w:rFonts w:ascii="宋体"/>
                <w:vanish/>
              </w:rPr>
            </w:pPr>
          </w:p>
        </w:tc>
        <w:tc>
          <w:tcPr>
            <w:tcW w:w="0" w:type="auto"/>
            <w:gridSpan w:val="3"/>
            <w:shd w:val="clear" w:color="auto" w:fill="auto"/>
          </w:tcPr>
          <w:p w14:paraId="40CB2438" w14:textId="77777777" w:rsidR="00584FB3" w:rsidRDefault="00584FB3">
            <w:pPr>
              <w:rPr>
                <w:rFonts w:ascii="宋体"/>
                <w:vanish/>
              </w:rPr>
            </w:pPr>
          </w:p>
        </w:tc>
      </w:tr>
      <w:tr w:rsidR="00584FB3" w14:paraId="40CB2456" w14:textId="77777777">
        <w:tc>
          <w:tcPr>
            <w:tcW w:w="0" w:type="auto"/>
            <w:gridSpan w:val="3"/>
            <w:shd w:val="clear" w:color="auto" w:fill="FFFFFF"/>
            <w:tcMar>
              <w:top w:w="40" w:type="dxa"/>
              <w:left w:w="245" w:type="dxa"/>
              <w:bottom w:w="40" w:type="dxa"/>
              <w:right w:w="20" w:type="dxa"/>
            </w:tcMar>
          </w:tcPr>
          <w:p w14:paraId="40CB243A" w14:textId="77777777" w:rsidR="00584FB3" w:rsidRDefault="00786180">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40CB243B"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43C" w14:textId="77777777" w:rsidR="00584FB3" w:rsidRDefault="00786180">
            <w:pPr>
              <w:jc w:val="right"/>
              <w:textAlignment w:val="bottom"/>
            </w:pPr>
            <w:r>
              <w:rPr>
                <w:rFonts w:ascii="Times New Roman" w:eastAsia="宋体" w:hAnsi="Times New Roman"/>
                <w:b/>
                <w:bCs/>
                <w:color w:val="000000"/>
                <w:sz w:val="20"/>
                <w:szCs w:val="20"/>
              </w:rPr>
              <w:t>274.8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3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43E"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43F"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440" w14:textId="77777777" w:rsidR="00584FB3" w:rsidRDefault="00786180">
            <w:pPr>
              <w:jc w:val="right"/>
              <w:textAlignment w:val="bottom"/>
            </w:pPr>
            <w:r>
              <w:rPr>
                <w:rFonts w:ascii="Times New Roman" w:eastAsia="宋体" w:hAnsi="Times New Roman"/>
                <w:b/>
                <w:bCs/>
                <w:color w:val="000000"/>
                <w:sz w:val="20"/>
                <w:szCs w:val="20"/>
              </w:rPr>
              <w:t>275.9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4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442"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443"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444" w14:textId="77777777" w:rsidR="00584FB3" w:rsidRDefault="00786180">
            <w:pPr>
              <w:jc w:val="right"/>
              <w:textAlignment w:val="bottom"/>
            </w:pPr>
            <w:r>
              <w:rPr>
                <w:rFonts w:ascii="Times New Roman" w:eastAsia="宋体" w:hAnsi="Times New Roman"/>
                <w:b/>
                <w:bCs/>
                <w:color w:val="000000"/>
                <w:sz w:val="20"/>
                <w:szCs w:val="20"/>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4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446"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447" w14:textId="77777777" w:rsidR="00584FB3" w:rsidRDefault="00786180">
            <w:pPr>
              <w:jc w:val="right"/>
              <w:textAlignment w:val="bottom"/>
            </w:pPr>
            <w:r>
              <w:rPr>
                <w:rFonts w:ascii="Times New Roman" w:eastAsia="宋体" w:hAnsi="Times New Roman"/>
                <w:b/>
                <w:bCs/>
                <w:color w:val="000000"/>
                <w:sz w:val="20"/>
                <w:szCs w:val="20"/>
              </w:rPr>
              <w:t>16.6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48"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40CB2449"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44A" w14:textId="77777777" w:rsidR="00584FB3" w:rsidRDefault="00786180">
            <w:pPr>
              <w:jc w:val="right"/>
              <w:textAlignment w:val="bottom"/>
            </w:pPr>
            <w:r>
              <w:rPr>
                <w:rFonts w:ascii="Times New Roman" w:eastAsia="宋体" w:hAnsi="Times New Roman"/>
                <w:b/>
                <w:bCs/>
                <w:color w:val="000000"/>
                <w:sz w:val="20"/>
                <w:szCs w:val="20"/>
              </w:rPr>
              <w:t>17.6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44B"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40CB244C" w14:textId="77777777" w:rsidR="00584FB3" w:rsidRDefault="00584FB3">
            <w:pPr>
              <w:rPr>
                <w:rFonts w:ascii="宋体"/>
                <w:vanish/>
              </w:rPr>
            </w:pPr>
          </w:p>
        </w:tc>
        <w:tc>
          <w:tcPr>
            <w:tcW w:w="0" w:type="auto"/>
            <w:shd w:val="clear" w:color="auto" w:fill="auto"/>
          </w:tcPr>
          <w:p w14:paraId="40CB244D" w14:textId="77777777" w:rsidR="00584FB3" w:rsidRDefault="00584FB3">
            <w:pPr>
              <w:rPr>
                <w:rFonts w:ascii="宋体"/>
                <w:vanish/>
              </w:rPr>
            </w:pPr>
          </w:p>
        </w:tc>
        <w:tc>
          <w:tcPr>
            <w:tcW w:w="0" w:type="auto"/>
            <w:gridSpan w:val="3"/>
            <w:shd w:val="clear" w:color="auto" w:fill="auto"/>
          </w:tcPr>
          <w:p w14:paraId="40CB244E" w14:textId="77777777" w:rsidR="00584FB3" w:rsidRDefault="00584FB3">
            <w:pPr>
              <w:rPr>
                <w:rFonts w:ascii="宋体"/>
                <w:vanish/>
              </w:rPr>
            </w:pPr>
          </w:p>
        </w:tc>
        <w:tc>
          <w:tcPr>
            <w:tcW w:w="0" w:type="auto"/>
            <w:gridSpan w:val="3"/>
            <w:shd w:val="clear" w:color="auto" w:fill="auto"/>
          </w:tcPr>
          <w:p w14:paraId="40CB244F" w14:textId="77777777" w:rsidR="00584FB3" w:rsidRDefault="00584FB3">
            <w:pPr>
              <w:rPr>
                <w:rFonts w:ascii="宋体"/>
                <w:vanish/>
              </w:rPr>
            </w:pPr>
          </w:p>
        </w:tc>
        <w:tc>
          <w:tcPr>
            <w:tcW w:w="0" w:type="auto"/>
            <w:gridSpan w:val="3"/>
            <w:shd w:val="clear" w:color="auto" w:fill="auto"/>
          </w:tcPr>
          <w:p w14:paraId="40CB2450" w14:textId="77777777" w:rsidR="00584FB3" w:rsidRDefault="00584FB3">
            <w:pPr>
              <w:rPr>
                <w:rFonts w:ascii="宋体"/>
                <w:vanish/>
              </w:rPr>
            </w:pPr>
          </w:p>
        </w:tc>
        <w:tc>
          <w:tcPr>
            <w:tcW w:w="0" w:type="auto"/>
            <w:gridSpan w:val="3"/>
            <w:shd w:val="clear" w:color="auto" w:fill="auto"/>
          </w:tcPr>
          <w:p w14:paraId="40CB2451" w14:textId="77777777" w:rsidR="00584FB3" w:rsidRDefault="00584FB3">
            <w:pPr>
              <w:rPr>
                <w:rFonts w:ascii="宋体"/>
                <w:vanish/>
              </w:rPr>
            </w:pPr>
          </w:p>
        </w:tc>
        <w:tc>
          <w:tcPr>
            <w:tcW w:w="0" w:type="auto"/>
            <w:gridSpan w:val="3"/>
            <w:shd w:val="clear" w:color="auto" w:fill="auto"/>
          </w:tcPr>
          <w:p w14:paraId="40CB2452" w14:textId="77777777" w:rsidR="00584FB3" w:rsidRDefault="00584FB3">
            <w:pPr>
              <w:rPr>
                <w:rFonts w:ascii="宋体"/>
                <w:vanish/>
              </w:rPr>
            </w:pPr>
          </w:p>
        </w:tc>
        <w:tc>
          <w:tcPr>
            <w:tcW w:w="0" w:type="auto"/>
            <w:gridSpan w:val="3"/>
            <w:shd w:val="clear" w:color="auto" w:fill="auto"/>
          </w:tcPr>
          <w:p w14:paraId="40CB2453" w14:textId="77777777" w:rsidR="00584FB3" w:rsidRDefault="00584FB3">
            <w:pPr>
              <w:rPr>
                <w:rFonts w:ascii="宋体"/>
                <w:vanish/>
              </w:rPr>
            </w:pPr>
          </w:p>
        </w:tc>
        <w:tc>
          <w:tcPr>
            <w:tcW w:w="0" w:type="auto"/>
            <w:gridSpan w:val="3"/>
            <w:shd w:val="clear" w:color="auto" w:fill="auto"/>
          </w:tcPr>
          <w:p w14:paraId="40CB2454" w14:textId="77777777" w:rsidR="00584FB3" w:rsidRDefault="00584FB3">
            <w:pPr>
              <w:rPr>
                <w:rFonts w:ascii="宋体"/>
                <w:vanish/>
              </w:rPr>
            </w:pPr>
          </w:p>
        </w:tc>
        <w:tc>
          <w:tcPr>
            <w:tcW w:w="0" w:type="auto"/>
            <w:gridSpan w:val="3"/>
            <w:shd w:val="clear" w:color="auto" w:fill="auto"/>
          </w:tcPr>
          <w:p w14:paraId="40CB2455" w14:textId="77777777" w:rsidR="00584FB3" w:rsidRDefault="00584FB3">
            <w:pPr>
              <w:rPr>
                <w:rFonts w:ascii="宋体"/>
                <w:vanish/>
              </w:rPr>
            </w:pPr>
          </w:p>
        </w:tc>
      </w:tr>
      <w:tr w:rsidR="00584FB3" w14:paraId="40CB246C" w14:textId="77777777">
        <w:tc>
          <w:tcPr>
            <w:tcW w:w="0" w:type="auto"/>
            <w:gridSpan w:val="6"/>
            <w:shd w:val="clear" w:color="auto" w:fill="D7E4BC"/>
            <w:tcMar>
              <w:top w:w="40" w:type="dxa"/>
              <w:left w:w="20" w:type="dxa"/>
              <w:bottom w:w="40" w:type="dxa"/>
              <w:right w:w="20" w:type="dxa"/>
            </w:tcMar>
          </w:tcPr>
          <w:p w14:paraId="40CB2457" w14:textId="77777777" w:rsidR="00584FB3" w:rsidRDefault="00786180">
            <w:pPr>
              <w:textAlignment w:val="top"/>
            </w:pPr>
            <w:r>
              <w:rPr>
                <w:rFonts w:ascii="Times New Roman" w:eastAsia="宋体" w:hAnsi="Times New Roman"/>
                <w:color w:val="000000"/>
                <w:sz w:val="20"/>
                <w:szCs w:val="20"/>
              </w:rPr>
              <w:t>Store operat</w:t>
            </w:r>
            <w:r>
              <w:rPr>
                <w:rFonts w:ascii="Times New Roman" w:eastAsia="宋体" w:hAnsi="Times New Roman"/>
                <w:color w:val="000000"/>
                <w:sz w:val="20"/>
                <w:szCs w:val="20"/>
              </w:rPr>
              <w:t>ing expenses as a % of company-operated store revenues</w:t>
            </w:r>
          </w:p>
        </w:tc>
        <w:tc>
          <w:tcPr>
            <w:tcW w:w="0" w:type="auto"/>
            <w:gridSpan w:val="3"/>
            <w:shd w:val="clear" w:color="auto" w:fill="D7E4BC"/>
            <w:tcMar>
              <w:top w:w="0" w:type="dxa"/>
              <w:left w:w="20" w:type="dxa"/>
              <w:bottom w:w="0" w:type="dxa"/>
              <w:right w:w="20" w:type="dxa"/>
            </w:tcMar>
          </w:tcPr>
          <w:p w14:paraId="40CB245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459"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45A"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45B"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45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tcPr>
          <w:p w14:paraId="40CB245D" w14:textId="77777777" w:rsidR="00584FB3" w:rsidRDefault="00786180">
            <w:pPr>
              <w:jc w:val="right"/>
              <w:textAlignment w:val="top"/>
            </w:pPr>
            <w:r>
              <w:rPr>
                <w:rFonts w:ascii="Times New Roman" w:eastAsia="宋体" w:hAnsi="Times New Roman"/>
                <w:color w:val="000000"/>
                <w:sz w:val="20"/>
                <w:szCs w:val="20"/>
              </w:rPr>
              <w:t>43.6 </w:t>
            </w:r>
          </w:p>
        </w:tc>
        <w:tc>
          <w:tcPr>
            <w:tcW w:w="0" w:type="auto"/>
            <w:shd w:val="clear" w:color="auto" w:fill="D7E4BC"/>
            <w:tcMar>
              <w:top w:w="40" w:type="dxa"/>
              <w:left w:w="0" w:type="dxa"/>
              <w:bottom w:w="40" w:type="dxa"/>
              <w:right w:w="20" w:type="dxa"/>
            </w:tcMar>
          </w:tcPr>
          <w:p w14:paraId="40CB245E" w14:textId="77777777" w:rsidR="00584FB3" w:rsidRDefault="00786180">
            <w:pPr>
              <w:jc w:val="right"/>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45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tcPr>
          <w:p w14:paraId="40CB2460" w14:textId="77777777" w:rsidR="00584FB3" w:rsidRDefault="00786180">
            <w:pPr>
              <w:jc w:val="right"/>
              <w:textAlignment w:val="top"/>
            </w:pPr>
            <w:r>
              <w:rPr>
                <w:rFonts w:ascii="Times New Roman" w:eastAsia="宋体" w:hAnsi="Times New Roman"/>
                <w:color w:val="000000"/>
                <w:sz w:val="20"/>
                <w:szCs w:val="20"/>
              </w:rPr>
              <w:t>46.4 </w:t>
            </w:r>
          </w:p>
        </w:tc>
        <w:tc>
          <w:tcPr>
            <w:tcW w:w="0" w:type="auto"/>
            <w:shd w:val="clear" w:color="auto" w:fill="D7E4BC"/>
            <w:tcMar>
              <w:top w:w="40" w:type="dxa"/>
              <w:left w:w="0" w:type="dxa"/>
              <w:bottom w:w="40" w:type="dxa"/>
              <w:right w:w="20" w:type="dxa"/>
            </w:tcMar>
          </w:tcPr>
          <w:p w14:paraId="40CB2461" w14:textId="77777777" w:rsidR="00584FB3" w:rsidRDefault="00786180">
            <w:pPr>
              <w:jc w:val="right"/>
              <w:textAlignment w:val="top"/>
            </w:pPr>
            <w:r>
              <w:rPr>
                <w:rFonts w:ascii="Times New Roman" w:eastAsia="宋体" w:hAnsi="Times New Roman"/>
                <w:color w:val="000000"/>
                <w:sz w:val="20"/>
                <w:szCs w:val="20"/>
              </w:rPr>
              <w:t>%</w:t>
            </w:r>
          </w:p>
        </w:tc>
        <w:tc>
          <w:tcPr>
            <w:tcW w:w="0" w:type="auto"/>
            <w:shd w:val="clear" w:color="auto" w:fill="auto"/>
          </w:tcPr>
          <w:p w14:paraId="40CB2462" w14:textId="77777777" w:rsidR="00584FB3" w:rsidRDefault="00584FB3">
            <w:pPr>
              <w:rPr>
                <w:rFonts w:ascii="宋体"/>
                <w:vanish/>
              </w:rPr>
            </w:pPr>
          </w:p>
        </w:tc>
        <w:tc>
          <w:tcPr>
            <w:tcW w:w="0" w:type="auto"/>
            <w:shd w:val="clear" w:color="auto" w:fill="auto"/>
          </w:tcPr>
          <w:p w14:paraId="40CB2463" w14:textId="77777777" w:rsidR="00584FB3" w:rsidRDefault="00584FB3">
            <w:pPr>
              <w:rPr>
                <w:rFonts w:ascii="宋体"/>
                <w:vanish/>
              </w:rPr>
            </w:pPr>
          </w:p>
        </w:tc>
        <w:tc>
          <w:tcPr>
            <w:tcW w:w="0" w:type="auto"/>
            <w:gridSpan w:val="3"/>
            <w:shd w:val="clear" w:color="auto" w:fill="auto"/>
          </w:tcPr>
          <w:p w14:paraId="40CB2464" w14:textId="77777777" w:rsidR="00584FB3" w:rsidRDefault="00584FB3">
            <w:pPr>
              <w:rPr>
                <w:rFonts w:ascii="宋体"/>
                <w:vanish/>
              </w:rPr>
            </w:pPr>
          </w:p>
        </w:tc>
        <w:tc>
          <w:tcPr>
            <w:tcW w:w="0" w:type="auto"/>
            <w:gridSpan w:val="3"/>
            <w:shd w:val="clear" w:color="auto" w:fill="auto"/>
          </w:tcPr>
          <w:p w14:paraId="40CB2465" w14:textId="77777777" w:rsidR="00584FB3" w:rsidRDefault="00584FB3">
            <w:pPr>
              <w:rPr>
                <w:rFonts w:ascii="宋体"/>
                <w:vanish/>
              </w:rPr>
            </w:pPr>
          </w:p>
        </w:tc>
        <w:tc>
          <w:tcPr>
            <w:tcW w:w="0" w:type="auto"/>
            <w:gridSpan w:val="3"/>
            <w:shd w:val="clear" w:color="auto" w:fill="auto"/>
          </w:tcPr>
          <w:p w14:paraId="40CB2466" w14:textId="77777777" w:rsidR="00584FB3" w:rsidRDefault="00584FB3">
            <w:pPr>
              <w:rPr>
                <w:rFonts w:ascii="宋体"/>
                <w:vanish/>
              </w:rPr>
            </w:pPr>
          </w:p>
        </w:tc>
        <w:tc>
          <w:tcPr>
            <w:tcW w:w="0" w:type="auto"/>
            <w:gridSpan w:val="3"/>
            <w:shd w:val="clear" w:color="auto" w:fill="auto"/>
          </w:tcPr>
          <w:p w14:paraId="40CB2467" w14:textId="77777777" w:rsidR="00584FB3" w:rsidRDefault="00584FB3">
            <w:pPr>
              <w:rPr>
                <w:rFonts w:ascii="宋体"/>
                <w:vanish/>
              </w:rPr>
            </w:pPr>
          </w:p>
        </w:tc>
        <w:tc>
          <w:tcPr>
            <w:tcW w:w="0" w:type="auto"/>
            <w:gridSpan w:val="3"/>
            <w:shd w:val="clear" w:color="auto" w:fill="auto"/>
          </w:tcPr>
          <w:p w14:paraId="40CB2468" w14:textId="77777777" w:rsidR="00584FB3" w:rsidRDefault="00584FB3">
            <w:pPr>
              <w:rPr>
                <w:rFonts w:ascii="宋体"/>
                <w:vanish/>
              </w:rPr>
            </w:pPr>
          </w:p>
        </w:tc>
        <w:tc>
          <w:tcPr>
            <w:tcW w:w="0" w:type="auto"/>
            <w:gridSpan w:val="3"/>
            <w:shd w:val="clear" w:color="auto" w:fill="auto"/>
          </w:tcPr>
          <w:p w14:paraId="40CB2469" w14:textId="77777777" w:rsidR="00584FB3" w:rsidRDefault="00584FB3">
            <w:pPr>
              <w:rPr>
                <w:rFonts w:ascii="宋体"/>
                <w:vanish/>
              </w:rPr>
            </w:pPr>
          </w:p>
        </w:tc>
        <w:tc>
          <w:tcPr>
            <w:tcW w:w="0" w:type="auto"/>
            <w:gridSpan w:val="3"/>
            <w:shd w:val="clear" w:color="auto" w:fill="auto"/>
          </w:tcPr>
          <w:p w14:paraId="40CB246A" w14:textId="77777777" w:rsidR="00584FB3" w:rsidRDefault="00584FB3">
            <w:pPr>
              <w:rPr>
                <w:rFonts w:ascii="宋体"/>
                <w:vanish/>
              </w:rPr>
            </w:pPr>
          </w:p>
        </w:tc>
        <w:tc>
          <w:tcPr>
            <w:tcW w:w="0" w:type="auto"/>
            <w:gridSpan w:val="3"/>
            <w:shd w:val="clear" w:color="auto" w:fill="auto"/>
          </w:tcPr>
          <w:p w14:paraId="40CB246B" w14:textId="77777777" w:rsidR="00584FB3" w:rsidRDefault="00584FB3">
            <w:pPr>
              <w:rPr>
                <w:rFonts w:ascii="宋体"/>
                <w:vanish/>
              </w:rPr>
            </w:pPr>
          </w:p>
        </w:tc>
      </w:tr>
    </w:tbl>
    <w:p w14:paraId="40CB246D" w14:textId="77777777" w:rsidR="00584FB3" w:rsidRDefault="00786180">
      <w:pPr>
        <w:spacing w:before="120"/>
      </w:pPr>
      <w:r>
        <w:rPr>
          <w:rFonts w:ascii="Times New Roman" w:eastAsia="宋体" w:hAnsi="Times New Roman"/>
          <w:i/>
          <w:iCs/>
          <w:color w:val="000000"/>
          <w:sz w:val="20"/>
          <w:szCs w:val="20"/>
        </w:rPr>
        <w:t xml:space="preserve">For the quarter ended December 27, 2020 compared with the quarter ended December 29, 2019 </w:t>
      </w:r>
    </w:p>
    <w:p w14:paraId="40CB246E" w14:textId="77777777" w:rsidR="00584FB3" w:rsidRDefault="00786180">
      <w:pPr>
        <w:spacing w:before="120"/>
      </w:pPr>
      <w:r>
        <w:rPr>
          <w:rFonts w:ascii="Times New Roman" w:eastAsia="宋体" w:hAnsi="Times New Roman"/>
          <w:color w:val="000000"/>
          <w:sz w:val="20"/>
          <w:szCs w:val="20"/>
          <w:u w:val="single"/>
        </w:rPr>
        <w:t>Revenues</w:t>
      </w:r>
    </w:p>
    <w:p w14:paraId="40CB246F" w14:textId="77777777" w:rsidR="00584FB3" w:rsidRDefault="00786180">
      <w:pPr>
        <w:spacing w:before="120"/>
      </w:pPr>
      <w:r>
        <w:rPr>
          <w:rFonts w:ascii="Times New Roman" w:eastAsia="宋体" w:hAnsi="Times New Roman"/>
          <w:color w:val="000000"/>
          <w:sz w:val="20"/>
          <w:szCs w:val="20"/>
        </w:rPr>
        <w:t>International total net revenues for the first quarter of fiscal 2021 increased $83 million, or 5%. Company-operated store revenues increased $132 mil</w:t>
      </w:r>
      <w:r>
        <w:rPr>
          <w:rFonts w:ascii="Times New Roman" w:eastAsia="宋体" w:hAnsi="Times New Roman"/>
          <w:color w:val="000000"/>
          <w:sz w:val="20"/>
          <w:szCs w:val="20"/>
        </w:rPr>
        <w:t>lion, primarily driven by 658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stores, or an 11% increase, over the past 12 months ($108 million) and favorable foreign currency translation ($71 million). These were partially offset by a 3% decline in comparable store s</w:t>
      </w:r>
      <w:r>
        <w:rPr>
          <w:rFonts w:ascii="Times New Roman" w:eastAsia="宋体" w:hAnsi="Times New Roman"/>
          <w:color w:val="000000"/>
          <w:sz w:val="20"/>
          <w:szCs w:val="20"/>
        </w:rPr>
        <w:t xml:space="preserve">ales ($37 million), driven by a 10% decrease in transactions, partially offset by an 8% increase in average ticket. </w:t>
      </w:r>
    </w:p>
    <w:p w14:paraId="40CB2470" w14:textId="77777777" w:rsidR="00584FB3" w:rsidRDefault="00786180">
      <w:pPr>
        <w:spacing w:before="120"/>
      </w:pPr>
      <w:r>
        <w:rPr>
          <w:rFonts w:ascii="Times New Roman" w:eastAsia="宋体" w:hAnsi="Times New Roman"/>
          <w:color w:val="000000"/>
          <w:sz w:val="20"/>
          <w:szCs w:val="20"/>
        </w:rPr>
        <w:t xml:space="preserve">Licensed stores revenues declined by $57.1 million, primarily due to lower product and equipment sales to and royalty revenues from our </w:t>
      </w:r>
      <w:r>
        <w:rPr>
          <w:rFonts w:ascii="Times New Roman" w:eastAsia="宋体" w:hAnsi="Times New Roman"/>
          <w:color w:val="000000"/>
          <w:sz w:val="20"/>
          <w:szCs w:val="20"/>
        </w:rPr>
        <w:t>licensees.</w:t>
      </w:r>
    </w:p>
    <w:p w14:paraId="40CB2471" w14:textId="77777777" w:rsidR="00584FB3" w:rsidRDefault="00786180">
      <w:pPr>
        <w:spacing w:before="120"/>
      </w:pPr>
      <w:r>
        <w:rPr>
          <w:rFonts w:ascii="Times New Roman" w:eastAsia="宋体" w:hAnsi="Times New Roman"/>
          <w:color w:val="000000"/>
          <w:sz w:val="20"/>
          <w:szCs w:val="20"/>
          <w:u w:val="single"/>
        </w:rPr>
        <w:t>Operating Margin</w:t>
      </w:r>
    </w:p>
    <w:p w14:paraId="40CB2472" w14:textId="77777777" w:rsidR="00584FB3" w:rsidRDefault="00786180">
      <w:pPr>
        <w:spacing w:before="120"/>
        <w:jc w:val="both"/>
      </w:pPr>
      <w:r>
        <w:rPr>
          <w:rFonts w:ascii="Times New Roman" w:eastAsia="宋体" w:hAnsi="Times New Roman"/>
          <w:color w:val="000000"/>
          <w:sz w:val="20"/>
          <w:szCs w:val="20"/>
        </w:rPr>
        <w:t>International operating income for the first quarter of fiscal 2021 was $275 million, compared to $276 million in the first quarter of fiscal 2020. Operating margin decreased 100 basis points to 16.6%, primarily due to sales del</w:t>
      </w:r>
      <w:r>
        <w:rPr>
          <w:rFonts w:ascii="Times New Roman" w:eastAsia="宋体" w:hAnsi="Times New Roman"/>
          <w:color w:val="000000"/>
          <w:sz w:val="20"/>
          <w:szCs w:val="20"/>
        </w:rPr>
        <w:t>everage attributable to COVID-19, as well as additional costs incurred to invest in partner wages and benefits (approximately 70 basis points). These were partially offset by labor efficiencies (approximately 80 basis points).</w:t>
      </w:r>
    </w:p>
    <w:p w14:paraId="40CB2473" w14:textId="77777777" w:rsidR="00584FB3" w:rsidRDefault="00786180">
      <w:pPr>
        <w:jc w:val="center"/>
      </w:pPr>
      <w:r>
        <w:rPr>
          <w:rFonts w:ascii="Times New Roman" w:eastAsia="宋体" w:hAnsi="Times New Roman"/>
          <w:color w:val="000000"/>
          <w:sz w:val="20"/>
          <w:szCs w:val="20"/>
        </w:rPr>
        <w:t>31</w:t>
      </w:r>
    </w:p>
    <w:p w14:paraId="40CB2474" w14:textId="77777777" w:rsidR="00584FB3" w:rsidRDefault="00786180">
      <w:r>
        <w:pict w14:anchorId="40CB2A54">
          <v:rect id="_x0000_i1055" style="width:415.3pt;height:1.5pt" o:hralign="center" o:hrstd="t" o:hr="t" fillcolor="#a0a0a0" stroked="f"/>
        </w:pict>
      </w:r>
    </w:p>
    <w:p w14:paraId="40CB2475" w14:textId="77777777" w:rsidR="00584FB3" w:rsidRDefault="00786180">
      <w:hyperlink r:id="rId108" w:anchor="i11706e4b673c41db9f2dcbdb897203bb_7" w:history="1">
        <w:r>
          <w:rPr>
            <w:rStyle w:val="a5"/>
            <w:rFonts w:ascii="Times New Roman" w:eastAsia="宋体" w:hAnsi="Times New Roman"/>
            <w:sz w:val="20"/>
            <w:szCs w:val="20"/>
          </w:rPr>
          <w:t>Table of Contents</w:t>
        </w:r>
      </w:hyperlink>
    </w:p>
    <w:p w14:paraId="40CB2476" w14:textId="77777777" w:rsidR="00584FB3" w:rsidRDefault="00786180">
      <w:pPr>
        <w:spacing w:before="180"/>
      </w:pPr>
      <w:r>
        <w:rPr>
          <w:rFonts w:ascii="Times New Roman" w:eastAsia="宋体" w:hAnsi="Times New Roman"/>
          <w:b/>
          <w:bCs/>
          <w:i/>
          <w:iCs/>
          <w:color w:val="000000"/>
          <w:sz w:val="20"/>
          <w:szCs w:val="20"/>
        </w:rPr>
        <w:t>Channel Development</w:t>
      </w:r>
      <w:r>
        <w:rPr>
          <w:rFonts w:ascii="Times New Roman" w:eastAsia="宋体" w:hAnsi="Times New Roman"/>
          <w:color w:val="000000"/>
          <w:sz w:val="18"/>
          <w:szCs w:val="18"/>
        </w:rPr>
        <w:t> </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3517"/>
        <w:gridCol w:w="40"/>
        <w:gridCol w:w="120"/>
        <w:gridCol w:w="500"/>
        <w:gridCol w:w="36"/>
        <w:gridCol w:w="36"/>
        <w:gridCol w:w="36"/>
        <w:gridCol w:w="36"/>
        <w:gridCol w:w="120"/>
        <w:gridCol w:w="500"/>
        <w:gridCol w:w="36"/>
        <w:gridCol w:w="36"/>
        <w:gridCol w:w="36"/>
        <w:gridCol w:w="36"/>
        <w:gridCol w:w="120"/>
        <w:gridCol w:w="584"/>
        <w:gridCol w:w="36"/>
        <w:gridCol w:w="36"/>
        <w:gridCol w:w="36"/>
        <w:gridCol w:w="36"/>
        <w:gridCol w:w="50"/>
        <w:gridCol w:w="370"/>
        <w:gridCol w:w="220"/>
        <w:gridCol w:w="36"/>
        <w:gridCol w:w="36"/>
        <w:gridCol w:w="36"/>
        <w:gridCol w:w="50"/>
        <w:gridCol w:w="371"/>
        <w:gridCol w:w="22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249F" w14:textId="77777777">
        <w:trPr>
          <w:jc w:val="center"/>
        </w:trPr>
        <w:tc>
          <w:tcPr>
            <w:tcW w:w="50" w:type="pct"/>
            <w:shd w:val="clear" w:color="auto" w:fill="auto"/>
          </w:tcPr>
          <w:p w14:paraId="40CB2477" w14:textId="77777777" w:rsidR="00584FB3" w:rsidRDefault="00584FB3">
            <w:pPr>
              <w:rPr>
                <w:rFonts w:ascii="宋体"/>
              </w:rPr>
            </w:pPr>
          </w:p>
        </w:tc>
        <w:tc>
          <w:tcPr>
            <w:tcW w:w="2668" w:type="pct"/>
            <w:shd w:val="clear" w:color="auto" w:fill="auto"/>
          </w:tcPr>
          <w:p w14:paraId="40CB2478" w14:textId="77777777" w:rsidR="00584FB3" w:rsidRDefault="00584FB3">
            <w:pPr>
              <w:rPr>
                <w:rFonts w:ascii="宋体"/>
              </w:rPr>
            </w:pPr>
          </w:p>
        </w:tc>
        <w:tc>
          <w:tcPr>
            <w:tcW w:w="5" w:type="pct"/>
            <w:shd w:val="clear" w:color="auto" w:fill="auto"/>
          </w:tcPr>
          <w:p w14:paraId="40CB2479" w14:textId="77777777" w:rsidR="00584FB3" w:rsidRDefault="00584FB3">
            <w:pPr>
              <w:rPr>
                <w:rFonts w:ascii="宋体"/>
              </w:rPr>
            </w:pPr>
          </w:p>
        </w:tc>
        <w:tc>
          <w:tcPr>
            <w:tcW w:w="50" w:type="pct"/>
            <w:shd w:val="clear" w:color="auto" w:fill="auto"/>
          </w:tcPr>
          <w:p w14:paraId="40CB247A" w14:textId="77777777" w:rsidR="00584FB3" w:rsidRDefault="00584FB3">
            <w:pPr>
              <w:rPr>
                <w:rFonts w:ascii="宋体"/>
              </w:rPr>
            </w:pPr>
          </w:p>
        </w:tc>
        <w:tc>
          <w:tcPr>
            <w:tcW w:w="370" w:type="pct"/>
            <w:shd w:val="clear" w:color="auto" w:fill="auto"/>
          </w:tcPr>
          <w:p w14:paraId="40CB247B" w14:textId="77777777" w:rsidR="00584FB3" w:rsidRDefault="00584FB3">
            <w:pPr>
              <w:rPr>
                <w:rFonts w:ascii="宋体"/>
              </w:rPr>
            </w:pPr>
          </w:p>
        </w:tc>
        <w:tc>
          <w:tcPr>
            <w:tcW w:w="5" w:type="pct"/>
            <w:shd w:val="clear" w:color="auto" w:fill="auto"/>
          </w:tcPr>
          <w:p w14:paraId="40CB247C" w14:textId="77777777" w:rsidR="00584FB3" w:rsidRDefault="00584FB3">
            <w:pPr>
              <w:rPr>
                <w:rFonts w:ascii="宋体"/>
              </w:rPr>
            </w:pPr>
          </w:p>
        </w:tc>
        <w:tc>
          <w:tcPr>
            <w:tcW w:w="5" w:type="pct"/>
            <w:shd w:val="clear" w:color="auto" w:fill="auto"/>
          </w:tcPr>
          <w:p w14:paraId="40CB247D" w14:textId="77777777" w:rsidR="00584FB3" w:rsidRDefault="00584FB3">
            <w:pPr>
              <w:rPr>
                <w:rFonts w:ascii="宋体"/>
              </w:rPr>
            </w:pPr>
          </w:p>
        </w:tc>
        <w:tc>
          <w:tcPr>
            <w:tcW w:w="26" w:type="pct"/>
            <w:shd w:val="clear" w:color="auto" w:fill="auto"/>
          </w:tcPr>
          <w:p w14:paraId="40CB247E" w14:textId="77777777" w:rsidR="00584FB3" w:rsidRDefault="00584FB3">
            <w:pPr>
              <w:rPr>
                <w:rFonts w:ascii="宋体"/>
              </w:rPr>
            </w:pPr>
          </w:p>
        </w:tc>
        <w:tc>
          <w:tcPr>
            <w:tcW w:w="5" w:type="pct"/>
            <w:shd w:val="clear" w:color="auto" w:fill="auto"/>
          </w:tcPr>
          <w:p w14:paraId="40CB247F" w14:textId="77777777" w:rsidR="00584FB3" w:rsidRDefault="00584FB3">
            <w:pPr>
              <w:rPr>
                <w:rFonts w:ascii="宋体"/>
              </w:rPr>
            </w:pPr>
          </w:p>
        </w:tc>
        <w:tc>
          <w:tcPr>
            <w:tcW w:w="50" w:type="pct"/>
            <w:shd w:val="clear" w:color="auto" w:fill="auto"/>
          </w:tcPr>
          <w:p w14:paraId="40CB2480" w14:textId="77777777" w:rsidR="00584FB3" w:rsidRDefault="00584FB3">
            <w:pPr>
              <w:rPr>
                <w:rFonts w:ascii="宋体"/>
              </w:rPr>
            </w:pPr>
          </w:p>
        </w:tc>
        <w:tc>
          <w:tcPr>
            <w:tcW w:w="370" w:type="pct"/>
            <w:shd w:val="clear" w:color="auto" w:fill="auto"/>
          </w:tcPr>
          <w:p w14:paraId="40CB2481" w14:textId="77777777" w:rsidR="00584FB3" w:rsidRDefault="00584FB3">
            <w:pPr>
              <w:rPr>
                <w:rFonts w:ascii="宋体"/>
              </w:rPr>
            </w:pPr>
          </w:p>
        </w:tc>
        <w:tc>
          <w:tcPr>
            <w:tcW w:w="5" w:type="pct"/>
            <w:shd w:val="clear" w:color="auto" w:fill="auto"/>
          </w:tcPr>
          <w:p w14:paraId="40CB2482" w14:textId="77777777" w:rsidR="00584FB3" w:rsidRDefault="00584FB3">
            <w:pPr>
              <w:rPr>
                <w:rFonts w:ascii="宋体"/>
              </w:rPr>
            </w:pPr>
          </w:p>
        </w:tc>
        <w:tc>
          <w:tcPr>
            <w:tcW w:w="5" w:type="pct"/>
            <w:shd w:val="clear" w:color="auto" w:fill="auto"/>
          </w:tcPr>
          <w:p w14:paraId="40CB2483" w14:textId="77777777" w:rsidR="00584FB3" w:rsidRDefault="00584FB3">
            <w:pPr>
              <w:rPr>
                <w:rFonts w:ascii="宋体"/>
              </w:rPr>
            </w:pPr>
          </w:p>
        </w:tc>
        <w:tc>
          <w:tcPr>
            <w:tcW w:w="26" w:type="pct"/>
            <w:shd w:val="clear" w:color="auto" w:fill="auto"/>
          </w:tcPr>
          <w:p w14:paraId="40CB2484" w14:textId="77777777" w:rsidR="00584FB3" w:rsidRDefault="00584FB3">
            <w:pPr>
              <w:rPr>
                <w:rFonts w:ascii="宋体"/>
              </w:rPr>
            </w:pPr>
          </w:p>
        </w:tc>
        <w:tc>
          <w:tcPr>
            <w:tcW w:w="5" w:type="pct"/>
            <w:shd w:val="clear" w:color="auto" w:fill="auto"/>
          </w:tcPr>
          <w:p w14:paraId="40CB2485" w14:textId="77777777" w:rsidR="00584FB3" w:rsidRDefault="00584FB3">
            <w:pPr>
              <w:rPr>
                <w:rFonts w:ascii="宋体"/>
              </w:rPr>
            </w:pPr>
          </w:p>
        </w:tc>
        <w:tc>
          <w:tcPr>
            <w:tcW w:w="50" w:type="pct"/>
            <w:shd w:val="clear" w:color="auto" w:fill="auto"/>
          </w:tcPr>
          <w:p w14:paraId="40CB2486" w14:textId="77777777" w:rsidR="00584FB3" w:rsidRDefault="00584FB3">
            <w:pPr>
              <w:rPr>
                <w:rFonts w:ascii="宋体"/>
              </w:rPr>
            </w:pPr>
          </w:p>
        </w:tc>
        <w:tc>
          <w:tcPr>
            <w:tcW w:w="370" w:type="pct"/>
            <w:shd w:val="clear" w:color="auto" w:fill="auto"/>
          </w:tcPr>
          <w:p w14:paraId="40CB2487" w14:textId="77777777" w:rsidR="00584FB3" w:rsidRDefault="00584FB3">
            <w:pPr>
              <w:rPr>
                <w:rFonts w:ascii="宋体"/>
              </w:rPr>
            </w:pPr>
          </w:p>
        </w:tc>
        <w:tc>
          <w:tcPr>
            <w:tcW w:w="5" w:type="pct"/>
            <w:shd w:val="clear" w:color="auto" w:fill="auto"/>
          </w:tcPr>
          <w:p w14:paraId="40CB2488" w14:textId="77777777" w:rsidR="00584FB3" w:rsidRDefault="00584FB3">
            <w:pPr>
              <w:rPr>
                <w:rFonts w:ascii="宋体"/>
              </w:rPr>
            </w:pPr>
          </w:p>
        </w:tc>
        <w:tc>
          <w:tcPr>
            <w:tcW w:w="5" w:type="pct"/>
            <w:shd w:val="clear" w:color="auto" w:fill="auto"/>
          </w:tcPr>
          <w:p w14:paraId="40CB2489" w14:textId="77777777" w:rsidR="00584FB3" w:rsidRDefault="00584FB3">
            <w:pPr>
              <w:rPr>
                <w:rFonts w:ascii="宋体"/>
              </w:rPr>
            </w:pPr>
          </w:p>
        </w:tc>
        <w:tc>
          <w:tcPr>
            <w:tcW w:w="26" w:type="pct"/>
            <w:shd w:val="clear" w:color="auto" w:fill="auto"/>
          </w:tcPr>
          <w:p w14:paraId="40CB248A" w14:textId="77777777" w:rsidR="00584FB3" w:rsidRDefault="00584FB3">
            <w:pPr>
              <w:rPr>
                <w:rFonts w:ascii="宋体"/>
              </w:rPr>
            </w:pPr>
          </w:p>
        </w:tc>
        <w:tc>
          <w:tcPr>
            <w:tcW w:w="5" w:type="pct"/>
            <w:shd w:val="clear" w:color="auto" w:fill="auto"/>
          </w:tcPr>
          <w:p w14:paraId="40CB248B" w14:textId="77777777" w:rsidR="00584FB3" w:rsidRDefault="00584FB3">
            <w:pPr>
              <w:rPr>
                <w:rFonts w:ascii="宋体"/>
              </w:rPr>
            </w:pPr>
          </w:p>
        </w:tc>
        <w:tc>
          <w:tcPr>
            <w:tcW w:w="50" w:type="pct"/>
            <w:shd w:val="clear" w:color="auto" w:fill="auto"/>
          </w:tcPr>
          <w:p w14:paraId="40CB248C" w14:textId="77777777" w:rsidR="00584FB3" w:rsidRDefault="00584FB3">
            <w:pPr>
              <w:rPr>
                <w:rFonts w:ascii="宋体"/>
              </w:rPr>
            </w:pPr>
          </w:p>
        </w:tc>
        <w:tc>
          <w:tcPr>
            <w:tcW w:w="370" w:type="pct"/>
            <w:shd w:val="clear" w:color="auto" w:fill="auto"/>
          </w:tcPr>
          <w:p w14:paraId="40CB248D" w14:textId="77777777" w:rsidR="00584FB3" w:rsidRDefault="00584FB3">
            <w:pPr>
              <w:rPr>
                <w:rFonts w:ascii="宋体"/>
              </w:rPr>
            </w:pPr>
          </w:p>
        </w:tc>
        <w:tc>
          <w:tcPr>
            <w:tcW w:w="5" w:type="pct"/>
            <w:shd w:val="clear" w:color="auto" w:fill="auto"/>
          </w:tcPr>
          <w:p w14:paraId="40CB248E" w14:textId="77777777" w:rsidR="00584FB3" w:rsidRDefault="00584FB3">
            <w:pPr>
              <w:rPr>
                <w:rFonts w:ascii="宋体"/>
              </w:rPr>
            </w:pPr>
          </w:p>
        </w:tc>
        <w:tc>
          <w:tcPr>
            <w:tcW w:w="5" w:type="pct"/>
            <w:shd w:val="clear" w:color="auto" w:fill="auto"/>
          </w:tcPr>
          <w:p w14:paraId="40CB248F" w14:textId="77777777" w:rsidR="00584FB3" w:rsidRDefault="00584FB3">
            <w:pPr>
              <w:rPr>
                <w:rFonts w:ascii="宋体"/>
              </w:rPr>
            </w:pPr>
          </w:p>
        </w:tc>
        <w:tc>
          <w:tcPr>
            <w:tcW w:w="26" w:type="pct"/>
            <w:shd w:val="clear" w:color="auto" w:fill="auto"/>
          </w:tcPr>
          <w:p w14:paraId="40CB2490" w14:textId="77777777" w:rsidR="00584FB3" w:rsidRDefault="00584FB3">
            <w:pPr>
              <w:rPr>
                <w:rFonts w:ascii="宋体"/>
              </w:rPr>
            </w:pPr>
          </w:p>
        </w:tc>
        <w:tc>
          <w:tcPr>
            <w:tcW w:w="5" w:type="pct"/>
            <w:shd w:val="clear" w:color="auto" w:fill="auto"/>
          </w:tcPr>
          <w:p w14:paraId="40CB2491" w14:textId="77777777" w:rsidR="00584FB3" w:rsidRDefault="00584FB3">
            <w:pPr>
              <w:rPr>
                <w:rFonts w:ascii="宋体"/>
              </w:rPr>
            </w:pPr>
          </w:p>
        </w:tc>
        <w:tc>
          <w:tcPr>
            <w:tcW w:w="50" w:type="pct"/>
            <w:shd w:val="clear" w:color="auto" w:fill="auto"/>
          </w:tcPr>
          <w:p w14:paraId="40CB2492" w14:textId="77777777" w:rsidR="00584FB3" w:rsidRDefault="00584FB3">
            <w:pPr>
              <w:rPr>
                <w:rFonts w:ascii="宋体"/>
              </w:rPr>
            </w:pPr>
          </w:p>
        </w:tc>
        <w:tc>
          <w:tcPr>
            <w:tcW w:w="371" w:type="pct"/>
            <w:shd w:val="clear" w:color="auto" w:fill="auto"/>
          </w:tcPr>
          <w:p w14:paraId="40CB2493" w14:textId="77777777" w:rsidR="00584FB3" w:rsidRDefault="00584FB3">
            <w:pPr>
              <w:rPr>
                <w:rFonts w:ascii="宋体"/>
              </w:rPr>
            </w:pPr>
          </w:p>
        </w:tc>
        <w:tc>
          <w:tcPr>
            <w:tcW w:w="5" w:type="pct"/>
            <w:shd w:val="clear" w:color="auto" w:fill="auto"/>
          </w:tcPr>
          <w:p w14:paraId="40CB2494" w14:textId="77777777" w:rsidR="00584FB3" w:rsidRDefault="00584FB3">
            <w:pPr>
              <w:rPr>
                <w:rFonts w:ascii="宋体"/>
              </w:rPr>
            </w:pPr>
          </w:p>
        </w:tc>
        <w:tc>
          <w:tcPr>
            <w:tcW w:w="0" w:type="auto"/>
            <w:shd w:val="clear" w:color="auto" w:fill="auto"/>
          </w:tcPr>
          <w:p w14:paraId="40CB2495" w14:textId="77777777" w:rsidR="00584FB3" w:rsidRDefault="00584FB3">
            <w:pPr>
              <w:rPr>
                <w:rFonts w:ascii="宋体"/>
                <w:vanish/>
              </w:rPr>
            </w:pPr>
          </w:p>
        </w:tc>
        <w:tc>
          <w:tcPr>
            <w:tcW w:w="0" w:type="auto"/>
            <w:shd w:val="clear" w:color="auto" w:fill="auto"/>
          </w:tcPr>
          <w:p w14:paraId="40CB2496" w14:textId="77777777" w:rsidR="00584FB3" w:rsidRDefault="00584FB3">
            <w:pPr>
              <w:rPr>
                <w:rFonts w:ascii="宋体"/>
                <w:vanish/>
              </w:rPr>
            </w:pPr>
          </w:p>
        </w:tc>
        <w:tc>
          <w:tcPr>
            <w:tcW w:w="0" w:type="auto"/>
            <w:gridSpan w:val="3"/>
            <w:shd w:val="clear" w:color="auto" w:fill="auto"/>
          </w:tcPr>
          <w:p w14:paraId="40CB2497" w14:textId="77777777" w:rsidR="00584FB3" w:rsidRDefault="00584FB3">
            <w:pPr>
              <w:rPr>
                <w:rFonts w:ascii="宋体"/>
                <w:vanish/>
              </w:rPr>
            </w:pPr>
          </w:p>
        </w:tc>
        <w:tc>
          <w:tcPr>
            <w:tcW w:w="0" w:type="auto"/>
            <w:gridSpan w:val="3"/>
            <w:shd w:val="clear" w:color="auto" w:fill="auto"/>
          </w:tcPr>
          <w:p w14:paraId="40CB2498" w14:textId="77777777" w:rsidR="00584FB3" w:rsidRDefault="00584FB3">
            <w:pPr>
              <w:rPr>
                <w:rFonts w:ascii="宋体"/>
                <w:vanish/>
              </w:rPr>
            </w:pPr>
          </w:p>
        </w:tc>
        <w:tc>
          <w:tcPr>
            <w:tcW w:w="0" w:type="auto"/>
            <w:gridSpan w:val="3"/>
            <w:shd w:val="clear" w:color="auto" w:fill="auto"/>
          </w:tcPr>
          <w:p w14:paraId="40CB2499" w14:textId="77777777" w:rsidR="00584FB3" w:rsidRDefault="00584FB3">
            <w:pPr>
              <w:rPr>
                <w:rFonts w:ascii="宋体"/>
                <w:vanish/>
              </w:rPr>
            </w:pPr>
          </w:p>
        </w:tc>
        <w:tc>
          <w:tcPr>
            <w:tcW w:w="0" w:type="auto"/>
            <w:gridSpan w:val="3"/>
            <w:shd w:val="clear" w:color="auto" w:fill="auto"/>
          </w:tcPr>
          <w:p w14:paraId="40CB249A" w14:textId="77777777" w:rsidR="00584FB3" w:rsidRDefault="00584FB3">
            <w:pPr>
              <w:rPr>
                <w:rFonts w:ascii="宋体"/>
                <w:vanish/>
              </w:rPr>
            </w:pPr>
          </w:p>
        </w:tc>
        <w:tc>
          <w:tcPr>
            <w:tcW w:w="0" w:type="auto"/>
            <w:gridSpan w:val="3"/>
            <w:shd w:val="clear" w:color="auto" w:fill="auto"/>
          </w:tcPr>
          <w:p w14:paraId="40CB249B" w14:textId="77777777" w:rsidR="00584FB3" w:rsidRDefault="00584FB3">
            <w:pPr>
              <w:rPr>
                <w:rFonts w:ascii="宋体"/>
                <w:vanish/>
              </w:rPr>
            </w:pPr>
          </w:p>
        </w:tc>
        <w:tc>
          <w:tcPr>
            <w:tcW w:w="0" w:type="auto"/>
            <w:gridSpan w:val="3"/>
            <w:shd w:val="clear" w:color="auto" w:fill="auto"/>
          </w:tcPr>
          <w:p w14:paraId="40CB249C" w14:textId="77777777" w:rsidR="00584FB3" w:rsidRDefault="00584FB3">
            <w:pPr>
              <w:rPr>
                <w:rFonts w:ascii="宋体"/>
                <w:vanish/>
              </w:rPr>
            </w:pPr>
          </w:p>
        </w:tc>
        <w:tc>
          <w:tcPr>
            <w:tcW w:w="0" w:type="auto"/>
            <w:gridSpan w:val="3"/>
            <w:shd w:val="clear" w:color="auto" w:fill="auto"/>
          </w:tcPr>
          <w:p w14:paraId="40CB249D" w14:textId="77777777" w:rsidR="00584FB3" w:rsidRDefault="00584FB3">
            <w:pPr>
              <w:rPr>
                <w:rFonts w:ascii="宋体"/>
                <w:vanish/>
              </w:rPr>
            </w:pPr>
          </w:p>
        </w:tc>
        <w:tc>
          <w:tcPr>
            <w:tcW w:w="0" w:type="auto"/>
            <w:gridSpan w:val="3"/>
            <w:shd w:val="clear" w:color="auto" w:fill="auto"/>
          </w:tcPr>
          <w:p w14:paraId="40CB249E" w14:textId="77777777" w:rsidR="00584FB3" w:rsidRDefault="00584FB3">
            <w:pPr>
              <w:rPr>
                <w:rFonts w:ascii="宋体"/>
                <w:vanish/>
              </w:rPr>
            </w:pPr>
          </w:p>
        </w:tc>
      </w:tr>
      <w:tr w:rsidR="00584FB3" w14:paraId="40CB24BC" w14:textId="77777777">
        <w:trPr>
          <w:jc w:val="center"/>
        </w:trPr>
        <w:tc>
          <w:tcPr>
            <w:tcW w:w="0" w:type="auto"/>
            <w:gridSpan w:val="3"/>
            <w:shd w:val="clear" w:color="auto" w:fill="auto"/>
            <w:tcMar>
              <w:top w:w="0" w:type="dxa"/>
              <w:left w:w="20" w:type="dxa"/>
              <w:bottom w:w="0" w:type="dxa"/>
              <w:right w:w="20" w:type="dxa"/>
            </w:tcMar>
          </w:tcPr>
          <w:p w14:paraId="40CB24A0" w14:textId="77777777" w:rsidR="00584FB3" w:rsidRDefault="00584FB3">
            <w:pPr>
              <w:rPr>
                <w:rFonts w:ascii="宋体"/>
              </w:rPr>
            </w:pPr>
          </w:p>
        </w:tc>
        <w:tc>
          <w:tcPr>
            <w:tcW w:w="0" w:type="auto"/>
            <w:gridSpan w:val="27"/>
            <w:shd w:val="clear" w:color="auto" w:fill="00704A"/>
            <w:tcMar>
              <w:top w:w="40" w:type="dxa"/>
              <w:left w:w="20" w:type="dxa"/>
              <w:bottom w:w="40" w:type="dxa"/>
              <w:right w:w="20" w:type="dxa"/>
            </w:tcMar>
            <w:vAlign w:val="bottom"/>
          </w:tcPr>
          <w:p w14:paraId="40CB24A1"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24A2" w14:textId="77777777" w:rsidR="00584FB3" w:rsidRDefault="00584FB3">
            <w:pPr>
              <w:rPr>
                <w:rFonts w:ascii="宋体"/>
                <w:vanish/>
              </w:rPr>
            </w:pPr>
          </w:p>
        </w:tc>
        <w:tc>
          <w:tcPr>
            <w:tcW w:w="0" w:type="auto"/>
            <w:shd w:val="clear" w:color="auto" w:fill="auto"/>
          </w:tcPr>
          <w:p w14:paraId="40CB24A3" w14:textId="77777777" w:rsidR="00584FB3" w:rsidRDefault="00584FB3">
            <w:pPr>
              <w:rPr>
                <w:rFonts w:ascii="宋体"/>
                <w:vanish/>
              </w:rPr>
            </w:pPr>
          </w:p>
        </w:tc>
        <w:tc>
          <w:tcPr>
            <w:tcW w:w="0" w:type="auto"/>
            <w:shd w:val="clear" w:color="auto" w:fill="auto"/>
          </w:tcPr>
          <w:p w14:paraId="40CB24A4" w14:textId="77777777" w:rsidR="00584FB3" w:rsidRDefault="00584FB3">
            <w:pPr>
              <w:rPr>
                <w:rFonts w:ascii="宋体"/>
              </w:rPr>
            </w:pPr>
          </w:p>
        </w:tc>
        <w:tc>
          <w:tcPr>
            <w:tcW w:w="0" w:type="auto"/>
            <w:shd w:val="clear" w:color="auto" w:fill="auto"/>
          </w:tcPr>
          <w:p w14:paraId="40CB24A5" w14:textId="77777777" w:rsidR="00584FB3" w:rsidRDefault="00584FB3">
            <w:pPr>
              <w:rPr>
                <w:rFonts w:ascii="宋体"/>
              </w:rPr>
            </w:pPr>
          </w:p>
        </w:tc>
        <w:tc>
          <w:tcPr>
            <w:tcW w:w="0" w:type="auto"/>
            <w:shd w:val="clear" w:color="auto" w:fill="auto"/>
          </w:tcPr>
          <w:p w14:paraId="40CB24A6" w14:textId="77777777" w:rsidR="00584FB3" w:rsidRDefault="00584FB3">
            <w:pPr>
              <w:rPr>
                <w:rFonts w:ascii="宋体"/>
              </w:rPr>
            </w:pPr>
          </w:p>
        </w:tc>
        <w:tc>
          <w:tcPr>
            <w:tcW w:w="0" w:type="auto"/>
            <w:shd w:val="clear" w:color="auto" w:fill="auto"/>
          </w:tcPr>
          <w:p w14:paraId="40CB24A7" w14:textId="77777777" w:rsidR="00584FB3" w:rsidRDefault="00584FB3">
            <w:pPr>
              <w:rPr>
                <w:rFonts w:ascii="宋体"/>
              </w:rPr>
            </w:pPr>
          </w:p>
        </w:tc>
        <w:tc>
          <w:tcPr>
            <w:tcW w:w="0" w:type="auto"/>
            <w:shd w:val="clear" w:color="auto" w:fill="auto"/>
          </w:tcPr>
          <w:p w14:paraId="40CB24A8" w14:textId="77777777" w:rsidR="00584FB3" w:rsidRDefault="00584FB3">
            <w:pPr>
              <w:rPr>
                <w:rFonts w:ascii="宋体"/>
              </w:rPr>
            </w:pPr>
          </w:p>
        </w:tc>
        <w:tc>
          <w:tcPr>
            <w:tcW w:w="0" w:type="auto"/>
            <w:shd w:val="clear" w:color="auto" w:fill="auto"/>
          </w:tcPr>
          <w:p w14:paraId="40CB24A9" w14:textId="77777777" w:rsidR="00584FB3" w:rsidRDefault="00584FB3">
            <w:pPr>
              <w:rPr>
                <w:rFonts w:ascii="宋体"/>
              </w:rPr>
            </w:pPr>
          </w:p>
        </w:tc>
        <w:tc>
          <w:tcPr>
            <w:tcW w:w="0" w:type="auto"/>
            <w:shd w:val="clear" w:color="auto" w:fill="auto"/>
          </w:tcPr>
          <w:p w14:paraId="40CB24AA" w14:textId="77777777" w:rsidR="00584FB3" w:rsidRDefault="00584FB3">
            <w:pPr>
              <w:rPr>
                <w:rFonts w:ascii="宋体"/>
              </w:rPr>
            </w:pPr>
          </w:p>
        </w:tc>
        <w:tc>
          <w:tcPr>
            <w:tcW w:w="0" w:type="auto"/>
            <w:shd w:val="clear" w:color="auto" w:fill="auto"/>
          </w:tcPr>
          <w:p w14:paraId="40CB24AB" w14:textId="77777777" w:rsidR="00584FB3" w:rsidRDefault="00584FB3">
            <w:pPr>
              <w:rPr>
                <w:rFonts w:ascii="宋体"/>
              </w:rPr>
            </w:pPr>
          </w:p>
        </w:tc>
        <w:tc>
          <w:tcPr>
            <w:tcW w:w="0" w:type="auto"/>
            <w:shd w:val="clear" w:color="auto" w:fill="auto"/>
          </w:tcPr>
          <w:p w14:paraId="40CB24AC" w14:textId="77777777" w:rsidR="00584FB3" w:rsidRDefault="00584FB3">
            <w:pPr>
              <w:rPr>
                <w:rFonts w:ascii="宋体"/>
              </w:rPr>
            </w:pPr>
          </w:p>
        </w:tc>
        <w:tc>
          <w:tcPr>
            <w:tcW w:w="0" w:type="auto"/>
            <w:shd w:val="clear" w:color="auto" w:fill="auto"/>
          </w:tcPr>
          <w:p w14:paraId="40CB24AD" w14:textId="77777777" w:rsidR="00584FB3" w:rsidRDefault="00584FB3">
            <w:pPr>
              <w:rPr>
                <w:rFonts w:ascii="宋体"/>
              </w:rPr>
            </w:pPr>
          </w:p>
        </w:tc>
        <w:tc>
          <w:tcPr>
            <w:tcW w:w="0" w:type="auto"/>
            <w:shd w:val="clear" w:color="auto" w:fill="auto"/>
          </w:tcPr>
          <w:p w14:paraId="40CB24AE" w14:textId="77777777" w:rsidR="00584FB3" w:rsidRDefault="00584FB3">
            <w:pPr>
              <w:rPr>
                <w:rFonts w:ascii="宋体"/>
              </w:rPr>
            </w:pPr>
          </w:p>
        </w:tc>
        <w:tc>
          <w:tcPr>
            <w:tcW w:w="0" w:type="auto"/>
            <w:shd w:val="clear" w:color="auto" w:fill="auto"/>
          </w:tcPr>
          <w:p w14:paraId="40CB24AF" w14:textId="77777777" w:rsidR="00584FB3" w:rsidRDefault="00584FB3">
            <w:pPr>
              <w:rPr>
                <w:rFonts w:ascii="宋体"/>
              </w:rPr>
            </w:pPr>
          </w:p>
        </w:tc>
        <w:tc>
          <w:tcPr>
            <w:tcW w:w="0" w:type="auto"/>
            <w:shd w:val="clear" w:color="auto" w:fill="auto"/>
          </w:tcPr>
          <w:p w14:paraId="40CB24B0" w14:textId="77777777" w:rsidR="00584FB3" w:rsidRDefault="00584FB3">
            <w:pPr>
              <w:rPr>
                <w:rFonts w:ascii="宋体"/>
              </w:rPr>
            </w:pPr>
          </w:p>
        </w:tc>
        <w:tc>
          <w:tcPr>
            <w:tcW w:w="0" w:type="auto"/>
            <w:shd w:val="clear" w:color="auto" w:fill="auto"/>
          </w:tcPr>
          <w:p w14:paraId="40CB24B1" w14:textId="77777777" w:rsidR="00584FB3" w:rsidRDefault="00584FB3">
            <w:pPr>
              <w:rPr>
                <w:rFonts w:ascii="宋体"/>
              </w:rPr>
            </w:pPr>
          </w:p>
        </w:tc>
        <w:tc>
          <w:tcPr>
            <w:tcW w:w="0" w:type="auto"/>
            <w:shd w:val="clear" w:color="auto" w:fill="auto"/>
          </w:tcPr>
          <w:p w14:paraId="40CB24B2" w14:textId="77777777" w:rsidR="00584FB3" w:rsidRDefault="00584FB3">
            <w:pPr>
              <w:rPr>
                <w:rFonts w:ascii="宋体"/>
              </w:rPr>
            </w:pPr>
          </w:p>
        </w:tc>
        <w:tc>
          <w:tcPr>
            <w:tcW w:w="0" w:type="auto"/>
            <w:shd w:val="clear" w:color="auto" w:fill="auto"/>
          </w:tcPr>
          <w:p w14:paraId="40CB24B3" w14:textId="77777777" w:rsidR="00584FB3" w:rsidRDefault="00584FB3">
            <w:pPr>
              <w:rPr>
                <w:rFonts w:ascii="宋体"/>
              </w:rPr>
            </w:pPr>
          </w:p>
        </w:tc>
        <w:tc>
          <w:tcPr>
            <w:tcW w:w="0" w:type="auto"/>
            <w:shd w:val="clear" w:color="auto" w:fill="auto"/>
          </w:tcPr>
          <w:p w14:paraId="40CB24B4" w14:textId="77777777" w:rsidR="00584FB3" w:rsidRDefault="00584FB3">
            <w:pPr>
              <w:rPr>
                <w:rFonts w:ascii="宋体"/>
              </w:rPr>
            </w:pPr>
          </w:p>
        </w:tc>
        <w:tc>
          <w:tcPr>
            <w:tcW w:w="0" w:type="auto"/>
            <w:shd w:val="clear" w:color="auto" w:fill="auto"/>
          </w:tcPr>
          <w:p w14:paraId="40CB24B5" w14:textId="77777777" w:rsidR="00584FB3" w:rsidRDefault="00584FB3">
            <w:pPr>
              <w:rPr>
                <w:rFonts w:ascii="宋体"/>
              </w:rPr>
            </w:pPr>
          </w:p>
        </w:tc>
        <w:tc>
          <w:tcPr>
            <w:tcW w:w="0" w:type="auto"/>
            <w:shd w:val="clear" w:color="auto" w:fill="auto"/>
          </w:tcPr>
          <w:p w14:paraId="40CB24B6" w14:textId="77777777" w:rsidR="00584FB3" w:rsidRDefault="00584FB3">
            <w:pPr>
              <w:rPr>
                <w:rFonts w:ascii="宋体"/>
              </w:rPr>
            </w:pPr>
          </w:p>
        </w:tc>
        <w:tc>
          <w:tcPr>
            <w:tcW w:w="0" w:type="auto"/>
            <w:shd w:val="clear" w:color="auto" w:fill="auto"/>
          </w:tcPr>
          <w:p w14:paraId="40CB24B7" w14:textId="77777777" w:rsidR="00584FB3" w:rsidRDefault="00584FB3">
            <w:pPr>
              <w:rPr>
                <w:rFonts w:ascii="宋体"/>
              </w:rPr>
            </w:pPr>
          </w:p>
        </w:tc>
        <w:tc>
          <w:tcPr>
            <w:tcW w:w="0" w:type="auto"/>
            <w:shd w:val="clear" w:color="auto" w:fill="auto"/>
          </w:tcPr>
          <w:p w14:paraId="40CB24B8" w14:textId="77777777" w:rsidR="00584FB3" w:rsidRDefault="00584FB3">
            <w:pPr>
              <w:rPr>
                <w:rFonts w:ascii="宋体"/>
              </w:rPr>
            </w:pPr>
          </w:p>
        </w:tc>
        <w:tc>
          <w:tcPr>
            <w:tcW w:w="0" w:type="auto"/>
            <w:shd w:val="clear" w:color="auto" w:fill="auto"/>
          </w:tcPr>
          <w:p w14:paraId="40CB24B9" w14:textId="77777777" w:rsidR="00584FB3" w:rsidRDefault="00584FB3">
            <w:pPr>
              <w:rPr>
                <w:rFonts w:ascii="宋体"/>
              </w:rPr>
            </w:pPr>
          </w:p>
        </w:tc>
        <w:tc>
          <w:tcPr>
            <w:tcW w:w="0" w:type="auto"/>
            <w:shd w:val="clear" w:color="auto" w:fill="auto"/>
          </w:tcPr>
          <w:p w14:paraId="40CB24BA" w14:textId="77777777" w:rsidR="00584FB3" w:rsidRDefault="00584FB3">
            <w:pPr>
              <w:rPr>
                <w:rFonts w:ascii="宋体"/>
              </w:rPr>
            </w:pPr>
          </w:p>
        </w:tc>
        <w:tc>
          <w:tcPr>
            <w:tcW w:w="0" w:type="auto"/>
            <w:shd w:val="clear" w:color="auto" w:fill="auto"/>
          </w:tcPr>
          <w:p w14:paraId="40CB24BB" w14:textId="77777777" w:rsidR="00584FB3" w:rsidRDefault="00584FB3">
            <w:pPr>
              <w:rPr>
                <w:rFonts w:ascii="宋体"/>
              </w:rPr>
            </w:pPr>
          </w:p>
        </w:tc>
      </w:tr>
      <w:tr w:rsidR="00584FB3" w14:paraId="40CB24D2" w14:textId="77777777">
        <w:trPr>
          <w:jc w:val="center"/>
        </w:trPr>
        <w:tc>
          <w:tcPr>
            <w:tcW w:w="0" w:type="auto"/>
            <w:gridSpan w:val="3"/>
            <w:shd w:val="clear" w:color="auto" w:fill="auto"/>
            <w:tcMar>
              <w:top w:w="40" w:type="dxa"/>
              <w:left w:w="20" w:type="dxa"/>
              <w:bottom w:w="40" w:type="dxa"/>
              <w:right w:w="20" w:type="dxa"/>
            </w:tcMar>
            <w:vAlign w:val="bottom"/>
          </w:tcPr>
          <w:p w14:paraId="40CB24BD"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24BE"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4BF"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4C0"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24C1"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4C2" w14:textId="77777777" w:rsidR="00584FB3" w:rsidRDefault="00786180">
            <w:pPr>
              <w:jc w:val="center"/>
              <w:textAlignment w:val="bottom"/>
            </w:pPr>
            <w:r>
              <w:rPr>
                <w:rFonts w:ascii="Times New Roman" w:eastAsia="宋体" w:hAnsi="Times New Roman"/>
                <w:b/>
                <w:bCs/>
                <w:color w:val="FFFFFF"/>
                <w:sz w:val="16"/>
                <w:szCs w:val="16"/>
              </w:rPr>
              <w:t>$</w:t>
            </w:r>
          </w:p>
          <w:p w14:paraId="40CB24C3"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40CB24C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4C5"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4C6" w14:textId="77777777" w:rsidR="00584FB3" w:rsidRDefault="00584FB3">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40CB24C7" w14:textId="77777777" w:rsidR="00584FB3" w:rsidRDefault="00786180">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w:t>
            </w:r>
            <w:r>
              <w:rPr>
                <w:rFonts w:ascii="Times New Roman" w:eastAsia="宋体" w:hAnsi="Times New Roman"/>
                <w:b/>
                <w:bCs/>
                <w:color w:val="FFFFFF"/>
                <w:sz w:val="16"/>
                <w:szCs w:val="16"/>
              </w:rPr>
              <w:br/>
              <w:t>2019</w:t>
            </w:r>
          </w:p>
        </w:tc>
        <w:tc>
          <w:tcPr>
            <w:tcW w:w="0" w:type="auto"/>
            <w:shd w:val="clear" w:color="auto" w:fill="auto"/>
          </w:tcPr>
          <w:p w14:paraId="40CB24C8" w14:textId="77777777" w:rsidR="00584FB3" w:rsidRDefault="00584FB3">
            <w:pPr>
              <w:rPr>
                <w:rFonts w:ascii="宋体"/>
                <w:vanish/>
              </w:rPr>
            </w:pPr>
          </w:p>
        </w:tc>
        <w:tc>
          <w:tcPr>
            <w:tcW w:w="0" w:type="auto"/>
            <w:shd w:val="clear" w:color="auto" w:fill="auto"/>
          </w:tcPr>
          <w:p w14:paraId="40CB24C9" w14:textId="77777777" w:rsidR="00584FB3" w:rsidRDefault="00584FB3">
            <w:pPr>
              <w:rPr>
                <w:rFonts w:ascii="宋体"/>
                <w:vanish/>
              </w:rPr>
            </w:pPr>
          </w:p>
        </w:tc>
        <w:tc>
          <w:tcPr>
            <w:tcW w:w="0" w:type="auto"/>
            <w:gridSpan w:val="3"/>
            <w:shd w:val="clear" w:color="auto" w:fill="auto"/>
          </w:tcPr>
          <w:p w14:paraId="40CB24CA" w14:textId="77777777" w:rsidR="00584FB3" w:rsidRDefault="00584FB3">
            <w:pPr>
              <w:rPr>
                <w:rFonts w:ascii="宋体"/>
                <w:vanish/>
              </w:rPr>
            </w:pPr>
          </w:p>
        </w:tc>
        <w:tc>
          <w:tcPr>
            <w:tcW w:w="0" w:type="auto"/>
            <w:gridSpan w:val="3"/>
            <w:shd w:val="clear" w:color="auto" w:fill="auto"/>
          </w:tcPr>
          <w:p w14:paraId="40CB24CB" w14:textId="77777777" w:rsidR="00584FB3" w:rsidRDefault="00584FB3">
            <w:pPr>
              <w:rPr>
                <w:rFonts w:ascii="宋体"/>
                <w:vanish/>
              </w:rPr>
            </w:pPr>
          </w:p>
        </w:tc>
        <w:tc>
          <w:tcPr>
            <w:tcW w:w="0" w:type="auto"/>
            <w:gridSpan w:val="3"/>
            <w:shd w:val="clear" w:color="auto" w:fill="auto"/>
          </w:tcPr>
          <w:p w14:paraId="40CB24CC" w14:textId="77777777" w:rsidR="00584FB3" w:rsidRDefault="00584FB3">
            <w:pPr>
              <w:rPr>
                <w:rFonts w:ascii="宋体"/>
                <w:vanish/>
              </w:rPr>
            </w:pPr>
          </w:p>
        </w:tc>
        <w:tc>
          <w:tcPr>
            <w:tcW w:w="0" w:type="auto"/>
            <w:gridSpan w:val="3"/>
            <w:shd w:val="clear" w:color="auto" w:fill="auto"/>
          </w:tcPr>
          <w:p w14:paraId="40CB24CD" w14:textId="77777777" w:rsidR="00584FB3" w:rsidRDefault="00584FB3">
            <w:pPr>
              <w:rPr>
                <w:rFonts w:ascii="宋体"/>
                <w:vanish/>
              </w:rPr>
            </w:pPr>
          </w:p>
        </w:tc>
        <w:tc>
          <w:tcPr>
            <w:tcW w:w="0" w:type="auto"/>
            <w:gridSpan w:val="3"/>
            <w:shd w:val="clear" w:color="auto" w:fill="auto"/>
          </w:tcPr>
          <w:p w14:paraId="40CB24CE" w14:textId="77777777" w:rsidR="00584FB3" w:rsidRDefault="00584FB3">
            <w:pPr>
              <w:rPr>
                <w:rFonts w:ascii="宋体"/>
                <w:vanish/>
              </w:rPr>
            </w:pPr>
          </w:p>
        </w:tc>
        <w:tc>
          <w:tcPr>
            <w:tcW w:w="0" w:type="auto"/>
            <w:gridSpan w:val="3"/>
            <w:shd w:val="clear" w:color="auto" w:fill="auto"/>
          </w:tcPr>
          <w:p w14:paraId="40CB24CF" w14:textId="77777777" w:rsidR="00584FB3" w:rsidRDefault="00584FB3">
            <w:pPr>
              <w:rPr>
                <w:rFonts w:ascii="宋体"/>
                <w:vanish/>
              </w:rPr>
            </w:pPr>
          </w:p>
        </w:tc>
        <w:tc>
          <w:tcPr>
            <w:tcW w:w="0" w:type="auto"/>
            <w:gridSpan w:val="3"/>
            <w:shd w:val="clear" w:color="auto" w:fill="auto"/>
          </w:tcPr>
          <w:p w14:paraId="40CB24D0" w14:textId="77777777" w:rsidR="00584FB3" w:rsidRDefault="00584FB3">
            <w:pPr>
              <w:rPr>
                <w:rFonts w:ascii="宋体"/>
                <w:vanish/>
              </w:rPr>
            </w:pPr>
          </w:p>
        </w:tc>
        <w:tc>
          <w:tcPr>
            <w:tcW w:w="0" w:type="auto"/>
            <w:gridSpan w:val="3"/>
            <w:shd w:val="clear" w:color="auto" w:fill="auto"/>
          </w:tcPr>
          <w:p w14:paraId="40CB24D1" w14:textId="77777777" w:rsidR="00584FB3" w:rsidRDefault="00584FB3">
            <w:pPr>
              <w:rPr>
                <w:rFonts w:ascii="宋体"/>
                <w:vanish/>
              </w:rPr>
            </w:pPr>
          </w:p>
        </w:tc>
      </w:tr>
      <w:tr w:rsidR="00584FB3" w14:paraId="40CB24E9" w14:textId="77777777">
        <w:trPr>
          <w:jc w:val="center"/>
        </w:trPr>
        <w:tc>
          <w:tcPr>
            <w:tcW w:w="0" w:type="auto"/>
            <w:gridSpan w:val="3"/>
            <w:shd w:val="clear" w:color="auto" w:fill="auto"/>
            <w:tcMar>
              <w:top w:w="0" w:type="dxa"/>
              <w:left w:w="20" w:type="dxa"/>
              <w:bottom w:w="0" w:type="dxa"/>
              <w:right w:w="20" w:type="dxa"/>
            </w:tcMar>
          </w:tcPr>
          <w:p w14:paraId="40CB24D3"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4D4"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4D5"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4D6"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4D7" w14:textId="77777777" w:rsidR="00584FB3" w:rsidRDefault="00584FB3">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CB24D8"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4D9" w14:textId="77777777" w:rsidR="00584FB3" w:rsidRDefault="00584FB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CB24DA" w14:textId="77777777" w:rsidR="00584FB3" w:rsidRDefault="00786180">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shd w:val="clear" w:color="auto" w:fill="auto"/>
          </w:tcPr>
          <w:p w14:paraId="40CB24DB" w14:textId="77777777" w:rsidR="00584FB3" w:rsidRDefault="00584FB3">
            <w:pPr>
              <w:rPr>
                <w:rFonts w:ascii="宋体"/>
                <w:vanish/>
              </w:rPr>
            </w:pPr>
          </w:p>
        </w:tc>
        <w:tc>
          <w:tcPr>
            <w:tcW w:w="0" w:type="auto"/>
            <w:shd w:val="clear" w:color="auto" w:fill="auto"/>
          </w:tcPr>
          <w:p w14:paraId="40CB24DC" w14:textId="77777777" w:rsidR="00584FB3" w:rsidRDefault="00584FB3">
            <w:pPr>
              <w:rPr>
                <w:rFonts w:ascii="宋体"/>
                <w:vanish/>
              </w:rPr>
            </w:pPr>
          </w:p>
        </w:tc>
        <w:tc>
          <w:tcPr>
            <w:tcW w:w="0" w:type="auto"/>
            <w:gridSpan w:val="3"/>
            <w:shd w:val="clear" w:color="auto" w:fill="auto"/>
          </w:tcPr>
          <w:p w14:paraId="40CB24DD" w14:textId="77777777" w:rsidR="00584FB3" w:rsidRDefault="00584FB3">
            <w:pPr>
              <w:rPr>
                <w:rFonts w:ascii="宋体"/>
                <w:vanish/>
              </w:rPr>
            </w:pPr>
          </w:p>
        </w:tc>
        <w:tc>
          <w:tcPr>
            <w:tcW w:w="0" w:type="auto"/>
            <w:gridSpan w:val="3"/>
            <w:shd w:val="clear" w:color="auto" w:fill="auto"/>
          </w:tcPr>
          <w:p w14:paraId="40CB24DE" w14:textId="77777777" w:rsidR="00584FB3" w:rsidRDefault="00584FB3">
            <w:pPr>
              <w:rPr>
                <w:rFonts w:ascii="宋体"/>
                <w:vanish/>
              </w:rPr>
            </w:pPr>
          </w:p>
        </w:tc>
        <w:tc>
          <w:tcPr>
            <w:tcW w:w="0" w:type="auto"/>
            <w:gridSpan w:val="3"/>
            <w:shd w:val="clear" w:color="auto" w:fill="auto"/>
          </w:tcPr>
          <w:p w14:paraId="40CB24DF" w14:textId="77777777" w:rsidR="00584FB3" w:rsidRDefault="00584FB3">
            <w:pPr>
              <w:rPr>
                <w:rFonts w:ascii="宋体"/>
                <w:vanish/>
              </w:rPr>
            </w:pPr>
          </w:p>
        </w:tc>
        <w:tc>
          <w:tcPr>
            <w:tcW w:w="0" w:type="auto"/>
            <w:gridSpan w:val="3"/>
            <w:shd w:val="clear" w:color="auto" w:fill="auto"/>
          </w:tcPr>
          <w:p w14:paraId="40CB24E0" w14:textId="77777777" w:rsidR="00584FB3" w:rsidRDefault="00584FB3">
            <w:pPr>
              <w:rPr>
                <w:rFonts w:ascii="宋体"/>
                <w:vanish/>
              </w:rPr>
            </w:pPr>
          </w:p>
        </w:tc>
        <w:tc>
          <w:tcPr>
            <w:tcW w:w="0" w:type="auto"/>
            <w:gridSpan w:val="3"/>
            <w:shd w:val="clear" w:color="auto" w:fill="auto"/>
          </w:tcPr>
          <w:p w14:paraId="40CB24E1" w14:textId="77777777" w:rsidR="00584FB3" w:rsidRDefault="00584FB3">
            <w:pPr>
              <w:rPr>
                <w:rFonts w:ascii="宋体"/>
                <w:vanish/>
              </w:rPr>
            </w:pPr>
          </w:p>
        </w:tc>
        <w:tc>
          <w:tcPr>
            <w:tcW w:w="0" w:type="auto"/>
            <w:gridSpan w:val="3"/>
            <w:shd w:val="clear" w:color="auto" w:fill="auto"/>
          </w:tcPr>
          <w:p w14:paraId="40CB24E2" w14:textId="77777777" w:rsidR="00584FB3" w:rsidRDefault="00584FB3">
            <w:pPr>
              <w:rPr>
                <w:rFonts w:ascii="宋体"/>
                <w:vanish/>
              </w:rPr>
            </w:pPr>
          </w:p>
        </w:tc>
        <w:tc>
          <w:tcPr>
            <w:tcW w:w="0" w:type="auto"/>
            <w:shd w:val="clear" w:color="auto" w:fill="auto"/>
          </w:tcPr>
          <w:p w14:paraId="40CB24E3" w14:textId="77777777" w:rsidR="00584FB3" w:rsidRDefault="00584FB3">
            <w:pPr>
              <w:rPr>
                <w:rFonts w:ascii="宋体"/>
              </w:rPr>
            </w:pPr>
          </w:p>
        </w:tc>
        <w:tc>
          <w:tcPr>
            <w:tcW w:w="0" w:type="auto"/>
            <w:shd w:val="clear" w:color="auto" w:fill="auto"/>
          </w:tcPr>
          <w:p w14:paraId="40CB24E4" w14:textId="77777777" w:rsidR="00584FB3" w:rsidRDefault="00584FB3">
            <w:pPr>
              <w:rPr>
                <w:rFonts w:ascii="宋体"/>
              </w:rPr>
            </w:pPr>
          </w:p>
        </w:tc>
        <w:tc>
          <w:tcPr>
            <w:tcW w:w="0" w:type="auto"/>
            <w:shd w:val="clear" w:color="auto" w:fill="auto"/>
          </w:tcPr>
          <w:p w14:paraId="40CB24E5" w14:textId="77777777" w:rsidR="00584FB3" w:rsidRDefault="00584FB3">
            <w:pPr>
              <w:rPr>
                <w:rFonts w:ascii="宋体"/>
              </w:rPr>
            </w:pPr>
          </w:p>
        </w:tc>
        <w:tc>
          <w:tcPr>
            <w:tcW w:w="0" w:type="auto"/>
            <w:shd w:val="clear" w:color="auto" w:fill="auto"/>
          </w:tcPr>
          <w:p w14:paraId="40CB24E6" w14:textId="77777777" w:rsidR="00584FB3" w:rsidRDefault="00584FB3">
            <w:pPr>
              <w:rPr>
                <w:rFonts w:ascii="宋体"/>
              </w:rPr>
            </w:pPr>
          </w:p>
        </w:tc>
        <w:tc>
          <w:tcPr>
            <w:tcW w:w="0" w:type="auto"/>
            <w:shd w:val="clear" w:color="auto" w:fill="auto"/>
          </w:tcPr>
          <w:p w14:paraId="40CB24E7" w14:textId="77777777" w:rsidR="00584FB3" w:rsidRDefault="00584FB3">
            <w:pPr>
              <w:rPr>
                <w:rFonts w:ascii="宋体"/>
              </w:rPr>
            </w:pPr>
          </w:p>
        </w:tc>
        <w:tc>
          <w:tcPr>
            <w:tcW w:w="0" w:type="auto"/>
            <w:shd w:val="clear" w:color="auto" w:fill="auto"/>
          </w:tcPr>
          <w:p w14:paraId="40CB24E8" w14:textId="77777777" w:rsidR="00584FB3" w:rsidRDefault="00584FB3">
            <w:pPr>
              <w:rPr>
                <w:rFonts w:ascii="宋体"/>
              </w:rPr>
            </w:pPr>
          </w:p>
        </w:tc>
      </w:tr>
      <w:tr w:rsidR="00584FB3" w14:paraId="40CB2504" w14:textId="77777777">
        <w:trPr>
          <w:jc w:val="center"/>
        </w:trPr>
        <w:tc>
          <w:tcPr>
            <w:tcW w:w="0" w:type="auto"/>
            <w:gridSpan w:val="3"/>
            <w:shd w:val="clear" w:color="auto" w:fill="D7E4BC"/>
            <w:tcMar>
              <w:top w:w="40" w:type="dxa"/>
              <w:left w:w="20" w:type="dxa"/>
              <w:bottom w:w="40" w:type="dxa"/>
              <w:right w:w="20" w:type="dxa"/>
            </w:tcMar>
          </w:tcPr>
          <w:p w14:paraId="40CB24EA" w14:textId="77777777" w:rsidR="00584FB3" w:rsidRDefault="00786180">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40CB24EB"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24EC" w14:textId="77777777" w:rsidR="00584FB3" w:rsidRDefault="00786180">
            <w:pPr>
              <w:jc w:val="right"/>
              <w:textAlignment w:val="bottom"/>
            </w:pPr>
            <w:r>
              <w:rPr>
                <w:rFonts w:ascii="Times New Roman" w:eastAsia="宋体" w:hAnsi="Times New Roman"/>
                <w:color w:val="000000"/>
                <w:sz w:val="20"/>
                <w:szCs w:val="20"/>
              </w:rPr>
              <w:t>371.4 </w:t>
            </w:r>
          </w:p>
        </w:tc>
        <w:tc>
          <w:tcPr>
            <w:tcW w:w="0" w:type="auto"/>
            <w:shd w:val="clear" w:color="auto" w:fill="D7E4BC"/>
            <w:tcMar>
              <w:top w:w="40" w:type="dxa"/>
              <w:left w:w="0" w:type="dxa"/>
              <w:bottom w:w="40" w:type="dxa"/>
              <w:right w:w="20" w:type="dxa"/>
            </w:tcMar>
            <w:vAlign w:val="bottom"/>
          </w:tcPr>
          <w:p w14:paraId="40CB24E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4EE"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24EF"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24F0" w14:textId="77777777" w:rsidR="00584FB3" w:rsidRDefault="00786180">
            <w:pPr>
              <w:jc w:val="right"/>
              <w:textAlignment w:val="bottom"/>
            </w:pPr>
            <w:r>
              <w:rPr>
                <w:rFonts w:ascii="Times New Roman" w:eastAsia="宋体" w:hAnsi="Times New Roman"/>
                <w:color w:val="000000"/>
                <w:sz w:val="20"/>
                <w:szCs w:val="20"/>
              </w:rPr>
              <w:t>494.6 </w:t>
            </w:r>
          </w:p>
        </w:tc>
        <w:tc>
          <w:tcPr>
            <w:tcW w:w="0" w:type="auto"/>
            <w:shd w:val="clear" w:color="auto" w:fill="D7E4BC"/>
            <w:tcMar>
              <w:top w:w="40" w:type="dxa"/>
              <w:left w:w="0" w:type="dxa"/>
              <w:bottom w:w="40" w:type="dxa"/>
              <w:right w:w="20" w:type="dxa"/>
            </w:tcMar>
            <w:vAlign w:val="bottom"/>
          </w:tcPr>
          <w:p w14:paraId="40CB24F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4F2" w14:textId="77777777" w:rsidR="00584FB3" w:rsidRDefault="00584FB3">
            <w:pPr>
              <w:rPr>
                <w:rFonts w:ascii="宋体"/>
              </w:rPr>
            </w:pPr>
          </w:p>
        </w:tc>
        <w:tc>
          <w:tcPr>
            <w:tcW w:w="0" w:type="auto"/>
            <w:shd w:val="clear" w:color="auto" w:fill="D7E4BC"/>
            <w:tcMar>
              <w:top w:w="40" w:type="dxa"/>
              <w:left w:w="20" w:type="dxa"/>
              <w:bottom w:w="40" w:type="dxa"/>
              <w:right w:w="0" w:type="dxa"/>
            </w:tcMar>
            <w:vAlign w:val="bottom"/>
          </w:tcPr>
          <w:p w14:paraId="40CB24F3"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40CB24F4" w14:textId="77777777" w:rsidR="00584FB3" w:rsidRDefault="00786180">
            <w:pPr>
              <w:jc w:val="right"/>
              <w:textAlignment w:val="bottom"/>
            </w:pPr>
            <w:r>
              <w:rPr>
                <w:rFonts w:ascii="Times New Roman" w:eastAsia="宋体" w:hAnsi="Times New Roman"/>
                <w:color w:val="000000"/>
                <w:sz w:val="20"/>
                <w:szCs w:val="20"/>
              </w:rPr>
              <w:t>(123.2)</w:t>
            </w:r>
          </w:p>
        </w:tc>
        <w:tc>
          <w:tcPr>
            <w:tcW w:w="0" w:type="auto"/>
            <w:shd w:val="clear" w:color="auto" w:fill="D7E4BC"/>
            <w:tcMar>
              <w:top w:w="40" w:type="dxa"/>
              <w:left w:w="0" w:type="dxa"/>
              <w:bottom w:w="40" w:type="dxa"/>
              <w:right w:w="20" w:type="dxa"/>
            </w:tcMar>
            <w:vAlign w:val="bottom"/>
          </w:tcPr>
          <w:p w14:paraId="40CB24F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4F6"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4F7"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4F8"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4F9" w14:textId="77777777" w:rsidR="00584FB3" w:rsidRDefault="00584FB3">
            <w:pPr>
              <w:rPr>
                <w:rFonts w:ascii="宋体"/>
              </w:rPr>
            </w:pPr>
          </w:p>
        </w:tc>
        <w:tc>
          <w:tcPr>
            <w:tcW w:w="0" w:type="auto"/>
            <w:shd w:val="clear" w:color="auto" w:fill="auto"/>
          </w:tcPr>
          <w:p w14:paraId="40CB24FA" w14:textId="77777777" w:rsidR="00584FB3" w:rsidRDefault="00584FB3">
            <w:pPr>
              <w:rPr>
                <w:rFonts w:ascii="宋体"/>
                <w:vanish/>
              </w:rPr>
            </w:pPr>
          </w:p>
        </w:tc>
        <w:tc>
          <w:tcPr>
            <w:tcW w:w="0" w:type="auto"/>
            <w:shd w:val="clear" w:color="auto" w:fill="auto"/>
          </w:tcPr>
          <w:p w14:paraId="40CB24FB" w14:textId="77777777" w:rsidR="00584FB3" w:rsidRDefault="00584FB3">
            <w:pPr>
              <w:rPr>
                <w:rFonts w:ascii="宋体"/>
                <w:vanish/>
              </w:rPr>
            </w:pPr>
          </w:p>
        </w:tc>
        <w:tc>
          <w:tcPr>
            <w:tcW w:w="0" w:type="auto"/>
            <w:gridSpan w:val="3"/>
            <w:shd w:val="clear" w:color="auto" w:fill="auto"/>
          </w:tcPr>
          <w:p w14:paraId="40CB24FC" w14:textId="77777777" w:rsidR="00584FB3" w:rsidRDefault="00584FB3">
            <w:pPr>
              <w:rPr>
                <w:rFonts w:ascii="宋体"/>
                <w:vanish/>
              </w:rPr>
            </w:pPr>
          </w:p>
        </w:tc>
        <w:tc>
          <w:tcPr>
            <w:tcW w:w="0" w:type="auto"/>
            <w:gridSpan w:val="3"/>
            <w:shd w:val="clear" w:color="auto" w:fill="auto"/>
          </w:tcPr>
          <w:p w14:paraId="40CB24FD" w14:textId="77777777" w:rsidR="00584FB3" w:rsidRDefault="00584FB3">
            <w:pPr>
              <w:rPr>
                <w:rFonts w:ascii="宋体"/>
                <w:vanish/>
              </w:rPr>
            </w:pPr>
          </w:p>
        </w:tc>
        <w:tc>
          <w:tcPr>
            <w:tcW w:w="0" w:type="auto"/>
            <w:gridSpan w:val="3"/>
            <w:shd w:val="clear" w:color="auto" w:fill="auto"/>
          </w:tcPr>
          <w:p w14:paraId="40CB24FE" w14:textId="77777777" w:rsidR="00584FB3" w:rsidRDefault="00584FB3">
            <w:pPr>
              <w:rPr>
                <w:rFonts w:ascii="宋体"/>
                <w:vanish/>
              </w:rPr>
            </w:pPr>
          </w:p>
        </w:tc>
        <w:tc>
          <w:tcPr>
            <w:tcW w:w="0" w:type="auto"/>
            <w:gridSpan w:val="3"/>
            <w:shd w:val="clear" w:color="auto" w:fill="auto"/>
          </w:tcPr>
          <w:p w14:paraId="40CB24FF" w14:textId="77777777" w:rsidR="00584FB3" w:rsidRDefault="00584FB3">
            <w:pPr>
              <w:rPr>
                <w:rFonts w:ascii="宋体"/>
                <w:vanish/>
              </w:rPr>
            </w:pPr>
          </w:p>
        </w:tc>
        <w:tc>
          <w:tcPr>
            <w:tcW w:w="0" w:type="auto"/>
            <w:gridSpan w:val="3"/>
            <w:shd w:val="clear" w:color="auto" w:fill="auto"/>
          </w:tcPr>
          <w:p w14:paraId="40CB2500" w14:textId="77777777" w:rsidR="00584FB3" w:rsidRDefault="00584FB3">
            <w:pPr>
              <w:rPr>
                <w:rFonts w:ascii="宋体"/>
                <w:vanish/>
              </w:rPr>
            </w:pPr>
          </w:p>
        </w:tc>
        <w:tc>
          <w:tcPr>
            <w:tcW w:w="0" w:type="auto"/>
            <w:gridSpan w:val="3"/>
            <w:shd w:val="clear" w:color="auto" w:fill="auto"/>
          </w:tcPr>
          <w:p w14:paraId="40CB2501" w14:textId="77777777" w:rsidR="00584FB3" w:rsidRDefault="00584FB3">
            <w:pPr>
              <w:rPr>
                <w:rFonts w:ascii="宋体"/>
                <w:vanish/>
              </w:rPr>
            </w:pPr>
          </w:p>
        </w:tc>
        <w:tc>
          <w:tcPr>
            <w:tcW w:w="0" w:type="auto"/>
            <w:gridSpan w:val="3"/>
            <w:shd w:val="clear" w:color="auto" w:fill="auto"/>
          </w:tcPr>
          <w:p w14:paraId="40CB2502" w14:textId="77777777" w:rsidR="00584FB3" w:rsidRDefault="00584FB3">
            <w:pPr>
              <w:rPr>
                <w:rFonts w:ascii="宋体"/>
                <w:vanish/>
              </w:rPr>
            </w:pPr>
          </w:p>
        </w:tc>
        <w:tc>
          <w:tcPr>
            <w:tcW w:w="0" w:type="auto"/>
            <w:gridSpan w:val="3"/>
            <w:shd w:val="clear" w:color="auto" w:fill="auto"/>
          </w:tcPr>
          <w:p w14:paraId="40CB2503" w14:textId="77777777" w:rsidR="00584FB3" w:rsidRDefault="00584FB3">
            <w:pPr>
              <w:rPr>
                <w:rFonts w:ascii="宋体"/>
                <w:vanish/>
              </w:rPr>
            </w:pPr>
          </w:p>
        </w:tc>
      </w:tr>
      <w:tr w:rsidR="00584FB3" w14:paraId="40CB251E" w14:textId="77777777">
        <w:trPr>
          <w:jc w:val="center"/>
        </w:trPr>
        <w:tc>
          <w:tcPr>
            <w:tcW w:w="0" w:type="auto"/>
            <w:gridSpan w:val="3"/>
            <w:shd w:val="clear" w:color="auto" w:fill="FFFFFF"/>
            <w:tcMar>
              <w:top w:w="40" w:type="dxa"/>
              <w:left w:w="20" w:type="dxa"/>
              <w:bottom w:w="40" w:type="dxa"/>
              <w:right w:w="20" w:type="dxa"/>
            </w:tcMar>
          </w:tcPr>
          <w:p w14:paraId="40CB2505" w14:textId="77777777" w:rsidR="00584FB3" w:rsidRDefault="00786180">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40CB2506" w14:textId="77777777" w:rsidR="00584FB3" w:rsidRDefault="00786180">
            <w:pPr>
              <w:jc w:val="right"/>
              <w:textAlignment w:val="bottom"/>
            </w:pPr>
            <w:r>
              <w:rPr>
                <w:rFonts w:ascii="Times New Roman" w:eastAsia="宋体" w:hAnsi="Times New Roman"/>
                <w:color w:val="000000"/>
                <w:sz w:val="20"/>
                <w:szCs w:val="20"/>
              </w:rPr>
              <w:t>233.5 </w:t>
            </w:r>
          </w:p>
        </w:tc>
        <w:tc>
          <w:tcPr>
            <w:tcW w:w="0" w:type="auto"/>
            <w:shd w:val="clear" w:color="auto" w:fill="FFFFFF"/>
            <w:tcMar>
              <w:top w:w="40" w:type="dxa"/>
              <w:left w:w="0" w:type="dxa"/>
              <w:bottom w:w="40" w:type="dxa"/>
              <w:right w:w="20" w:type="dxa"/>
            </w:tcMar>
            <w:vAlign w:val="bottom"/>
          </w:tcPr>
          <w:p w14:paraId="40CB250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0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09" w14:textId="77777777" w:rsidR="00584FB3" w:rsidRDefault="00786180">
            <w:pPr>
              <w:jc w:val="right"/>
              <w:textAlignment w:val="bottom"/>
            </w:pPr>
            <w:r>
              <w:rPr>
                <w:rFonts w:ascii="Times New Roman" w:eastAsia="宋体" w:hAnsi="Times New Roman"/>
                <w:color w:val="000000"/>
                <w:sz w:val="20"/>
                <w:szCs w:val="20"/>
              </w:rPr>
              <w:t>338.8 </w:t>
            </w:r>
          </w:p>
        </w:tc>
        <w:tc>
          <w:tcPr>
            <w:tcW w:w="0" w:type="auto"/>
            <w:shd w:val="clear" w:color="auto" w:fill="FFFFFF"/>
            <w:tcMar>
              <w:top w:w="40" w:type="dxa"/>
              <w:left w:w="0" w:type="dxa"/>
              <w:bottom w:w="40" w:type="dxa"/>
              <w:right w:w="20" w:type="dxa"/>
            </w:tcMar>
            <w:vAlign w:val="bottom"/>
          </w:tcPr>
          <w:p w14:paraId="40CB250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0B"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0C" w14:textId="77777777" w:rsidR="00584FB3" w:rsidRDefault="00786180">
            <w:pPr>
              <w:jc w:val="right"/>
              <w:textAlignment w:val="bottom"/>
            </w:pPr>
            <w:r>
              <w:rPr>
                <w:rFonts w:ascii="Times New Roman" w:eastAsia="宋体" w:hAnsi="Times New Roman"/>
                <w:color w:val="000000"/>
                <w:sz w:val="20"/>
                <w:szCs w:val="20"/>
              </w:rPr>
              <w:t>(105.3)</w:t>
            </w:r>
          </w:p>
        </w:tc>
        <w:tc>
          <w:tcPr>
            <w:tcW w:w="0" w:type="auto"/>
            <w:shd w:val="clear" w:color="auto" w:fill="FFFFFF"/>
            <w:tcMar>
              <w:top w:w="40" w:type="dxa"/>
              <w:left w:w="0" w:type="dxa"/>
              <w:bottom w:w="40" w:type="dxa"/>
              <w:right w:w="20" w:type="dxa"/>
            </w:tcMar>
            <w:vAlign w:val="bottom"/>
          </w:tcPr>
          <w:p w14:paraId="40CB250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0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0F" w14:textId="77777777" w:rsidR="00584FB3" w:rsidRDefault="00786180">
            <w:pPr>
              <w:jc w:val="right"/>
              <w:textAlignment w:val="bottom"/>
            </w:pPr>
            <w:r>
              <w:rPr>
                <w:rFonts w:ascii="Times New Roman" w:eastAsia="宋体" w:hAnsi="Times New Roman"/>
                <w:color w:val="000000"/>
                <w:sz w:val="20"/>
                <w:szCs w:val="20"/>
              </w:rPr>
              <w:t>62.9 </w:t>
            </w:r>
          </w:p>
        </w:tc>
        <w:tc>
          <w:tcPr>
            <w:tcW w:w="0" w:type="auto"/>
            <w:shd w:val="clear" w:color="auto" w:fill="FFFFFF"/>
            <w:tcMar>
              <w:top w:w="40" w:type="dxa"/>
              <w:left w:w="0" w:type="dxa"/>
              <w:bottom w:w="40" w:type="dxa"/>
              <w:right w:w="20" w:type="dxa"/>
            </w:tcMar>
            <w:vAlign w:val="bottom"/>
          </w:tcPr>
          <w:p w14:paraId="40CB2510" w14:textId="77777777" w:rsidR="00584FB3" w:rsidRDefault="0078618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511"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12" w14:textId="77777777" w:rsidR="00584FB3" w:rsidRDefault="00786180">
            <w:pPr>
              <w:jc w:val="right"/>
              <w:textAlignment w:val="bottom"/>
            </w:pPr>
            <w:r>
              <w:rPr>
                <w:rFonts w:ascii="Times New Roman" w:eastAsia="宋体" w:hAnsi="Times New Roman"/>
                <w:color w:val="000000"/>
                <w:sz w:val="20"/>
                <w:szCs w:val="20"/>
              </w:rPr>
              <w:t>68.5 </w:t>
            </w:r>
          </w:p>
        </w:tc>
        <w:tc>
          <w:tcPr>
            <w:tcW w:w="0" w:type="auto"/>
            <w:shd w:val="clear" w:color="auto" w:fill="FFFFFF"/>
            <w:tcMar>
              <w:top w:w="40" w:type="dxa"/>
              <w:left w:w="0" w:type="dxa"/>
              <w:bottom w:w="40" w:type="dxa"/>
              <w:right w:w="20" w:type="dxa"/>
            </w:tcMar>
            <w:vAlign w:val="bottom"/>
          </w:tcPr>
          <w:p w14:paraId="40CB2513"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2514" w14:textId="77777777" w:rsidR="00584FB3" w:rsidRDefault="00584FB3">
            <w:pPr>
              <w:rPr>
                <w:rFonts w:ascii="宋体"/>
                <w:vanish/>
              </w:rPr>
            </w:pPr>
          </w:p>
        </w:tc>
        <w:tc>
          <w:tcPr>
            <w:tcW w:w="0" w:type="auto"/>
            <w:shd w:val="clear" w:color="auto" w:fill="auto"/>
          </w:tcPr>
          <w:p w14:paraId="40CB2515" w14:textId="77777777" w:rsidR="00584FB3" w:rsidRDefault="00584FB3">
            <w:pPr>
              <w:rPr>
                <w:rFonts w:ascii="宋体"/>
                <w:vanish/>
              </w:rPr>
            </w:pPr>
          </w:p>
        </w:tc>
        <w:tc>
          <w:tcPr>
            <w:tcW w:w="0" w:type="auto"/>
            <w:gridSpan w:val="3"/>
            <w:shd w:val="clear" w:color="auto" w:fill="auto"/>
          </w:tcPr>
          <w:p w14:paraId="40CB2516" w14:textId="77777777" w:rsidR="00584FB3" w:rsidRDefault="00584FB3">
            <w:pPr>
              <w:rPr>
                <w:rFonts w:ascii="宋体"/>
                <w:vanish/>
              </w:rPr>
            </w:pPr>
          </w:p>
        </w:tc>
        <w:tc>
          <w:tcPr>
            <w:tcW w:w="0" w:type="auto"/>
            <w:gridSpan w:val="3"/>
            <w:shd w:val="clear" w:color="auto" w:fill="auto"/>
          </w:tcPr>
          <w:p w14:paraId="40CB2517" w14:textId="77777777" w:rsidR="00584FB3" w:rsidRDefault="00584FB3">
            <w:pPr>
              <w:rPr>
                <w:rFonts w:ascii="宋体"/>
                <w:vanish/>
              </w:rPr>
            </w:pPr>
          </w:p>
        </w:tc>
        <w:tc>
          <w:tcPr>
            <w:tcW w:w="0" w:type="auto"/>
            <w:gridSpan w:val="3"/>
            <w:shd w:val="clear" w:color="auto" w:fill="auto"/>
          </w:tcPr>
          <w:p w14:paraId="40CB2518" w14:textId="77777777" w:rsidR="00584FB3" w:rsidRDefault="00584FB3">
            <w:pPr>
              <w:rPr>
                <w:rFonts w:ascii="宋体"/>
                <w:vanish/>
              </w:rPr>
            </w:pPr>
          </w:p>
        </w:tc>
        <w:tc>
          <w:tcPr>
            <w:tcW w:w="0" w:type="auto"/>
            <w:gridSpan w:val="3"/>
            <w:shd w:val="clear" w:color="auto" w:fill="auto"/>
          </w:tcPr>
          <w:p w14:paraId="40CB2519" w14:textId="77777777" w:rsidR="00584FB3" w:rsidRDefault="00584FB3">
            <w:pPr>
              <w:rPr>
                <w:rFonts w:ascii="宋体"/>
                <w:vanish/>
              </w:rPr>
            </w:pPr>
          </w:p>
        </w:tc>
        <w:tc>
          <w:tcPr>
            <w:tcW w:w="0" w:type="auto"/>
            <w:gridSpan w:val="3"/>
            <w:shd w:val="clear" w:color="auto" w:fill="auto"/>
          </w:tcPr>
          <w:p w14:paraId="40CB251A" w14:textId="77777777" w:rsidR="00584FB3" w:rsidRDefault="00584FB3">
            <w:pPr>
              <w:rPr>
                <w:rFonts w:ascii="宋体"/>
                <w:vanish/>
              </w:rPr>
            </w:pPr>
          </w:p>
        </w:tc>
        <w:tc>
          <w:tcPr>
            <w:tcW w:w="0" w:type="auto"/>
            <w:gridSpan w:val="3"/>
            <w:shd w:val="clear" w:color="auto" w:fill="auto"/>
          </w:tcPr>
          <w:p w14:paraId="40CB251B" w14:textId="77777777" w:rsidR="00584FB3" w:rsidRDefault="00584FB3">
            <w:pPr>
              <w:rPr>
                <w:rFonts w:ascii="宋体"/>
                <w:vanish/>
              </w:rPr>
            </w:pPr>
          </w:p>
        </w:tc>
        <w:tc>
          <w:tcPr>
            <w:tcW w:w="0" w:type="auto"/>
            <w:gridSpan w:val="3"/>
            <w:shd w:val="clear" w:color="auto" w:fill="auto"/>
          </w:tcPr>
          <w:p w14:paraId="40CB251C" w14:textId="77777777" w:rsidR="00584FB3" w:rsidRDefault="00584FB3">
            <w:pPr>
              <w:rPr>
                <w:rFonts w:ascii="宋体"/>
                <w:vanish/>
              </w:rPr>
            </w:pPr>
          </w:p>
        </w:tc>
        <w:tc>
          <w:tcPr>
            <w:tcW w:w="0" w:type="auto"/>
            <w:gridSpan w:val="3"/>
            <w:shd w:val="clear" w:color="auto" w:fill="auto"/>
          </w:tcPr>
          <w:p w14:paraId="40CB251D" w14:textId="77777777" w:rsidR="00584FB3" w:rsidRDefault="00584FB3">
            <w:pPr>
              <w:rPr>
                <w:rFonts w:ascii="宋体"/>
                <w:vanish/>
              </w:rPr>
            </w:pPr>
          </w:p>
        </w:tc>
      </w:tr>
      <w:tr w:rsidR="00584FB3" w14:paraId="40CB2538" w14:textId="77777777">
        <w:trPr>
          <w:jc w:val="center"/>
        </w:trPr>
        <w:tc>
          <w:tcPr>
            <w:tcW w:w="0" w:type="auto"/>
            <w:gridSpan w:val="3"/>
            <w:shd w:val="clear" w:color="auto" w:fill="D7E4BC"/>
            <w:tcMar>
              <w:top w:w="40" w:type="dxa"/>
              <w:left w:w="20" w:type="dxa"/>
              <w:bottom w:w="40" w:type="dxa"/>
              <w:right w:w="20" w:type="dxa"/>
            </w:tcMar>
          </w:tcPr>
          <w:p w14:paraId="40CB251F" w14:textId="77777777" w:rsidR="00584FB3" w:rsidRDefault="00786180">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40CB2520" w14:textId="77777777" w:rsidR="00584FB3" w:rsidRDefault="00786180">
            <w:pPr>
              <w:jc w:val="right"/>
              <w:textAlignment w:val="bottom"/>
            </w:pPr>
            <w:r>
              <w:rPr>
                <w:rFonts w:ascii="Times New Roman" w:eastAsia="宋体" w:hAnsi="Times New Roman"/>
                <w:color w:val="000000"/>
                <w:sz w:val="20"/>
                <w:szCs w:val="20"/>
              </w:rPr>
              <w:t>11.1 </w:t>
            </w:r>
          </w:p>
        </w:tc>
        <w:tc>
          <w:tcPr>
            <w:tcW w:w="0" w:type="auto"/>
            <w:shd w:val="clear" w:color="auto" w:fill="D7E4BC"/>
            <w:tcMar>
              <w:top w:w="40" w:type="dxa"/>
              <w:left w:w="0" w:type="dxa"/>
              <w:bottom w:w="40" w:type="dxa"/>
              <w:right w:w="20" w:type="dxa"/>
            </w:tcMar>
            <w:vAlign w:val="bottom"/>
          </w:tcPr>
          <w:p w14:paraId="40CB252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2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23" w14:textId="77777777" w:rsidR="00584FB3" w:rsidRDefault="00786180">
            <w:pPr>
              <w:jc w:val="right"/>
              <w:textAlignment w:val="bottom"/>
            </w:pPr>
            <w:r>
              <w:rPr>
                <w:rFonts w:ascii="Times New Roman" w:eastAsia="宋体" w:hAnsi="Times New Roman"/>
                <w:color w:val="000000"/>
                <w:sz w:val="20"/>
                <w:szCs w:val="20"/>
              </w:rPr>
              <w:t>20.6 </w:t>
            </w:r>
          </w:p>
        </w:tc>
        <w:tc>
          <w:tcPr>
            <w:tcW w:w="0" w:type="auto"/>
            <w:shd w:val="clear" w:color="auto" w:fill="D7E4BC"/>
            <w:tcMar>
              <w:top w:w="40" w:type="dxa"/>
              <w:left w:w="0" w:type="dxa"/>
              <w:bottom w:w="40" w:type="dxa"/>
              <w:right w:w="20" w:type="dxa"/>
            </w:tcMar>
            <w:vAlign w:val="bottom"/>
          </w:tcPr>
          <w:p w14:paraId="40CB252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2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26" w14:textId="77777777" w:rsidR="00584FB3" w:rsidRDefault="00786180">
            <w:pPr>
              <w:jc w:val="right"/>
              <w:textAlignment w:val="bottom"/>
            </w:pPr>
            <w:r>
              <w:rPr>
                <w:rFonts w:ascii="Times New Roman" w:eastAsia="宋体" w:hAnsi="Times New Roman"/>
                <w:color w:val="000000"/>
                <w:sz w:val="20"/>
                <w:szCs w:val="20"/>
              </w:rPr>
              <w:t>(9.5)</w:t>
            </w:r>
          </w:p>
        </w:tc>
        <w:tc>
          <w:tcPr>
            <w:tcW w:w="0" w:type="auto"/>
            <w:shd w:val="clear" w:color="auto" w:fill="D7E4BC"/>
            <w:tcMar>
              <w:top w:w="40" w:type="dxa"/>
              <w:left w:w="0" w:type="dxa"/>
              <w:bottom w:w="40" w:type="dxa"/>
              <w:right w:w="20" w:type="dxa"/>
            </w:tcMar>
            <w:vAlign w:val="bottom"/>
          </w:tcPr>
          <w:p w14:paraId="40CB252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2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29" w14:textId="77777777" w:rsidR="00584FB3" w:rsidRDefault="00786180">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40CB252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2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2C" w14:textId="77777777" w:rsidR="00584FB3" w:rsidRDefault="00786180">
            <w:pPr>
              <w:jc w:val="right"/>
              <w:textAlignment w:val="bottom"/>
            </w:pPr>
            <w:r>
              <w:rPr>
                <w:rFonts w:ascii="Times New Roman" w:eastAsia="宋体" w:hAnsi="Times New Roman"/>
                <w:color w:val="000000"/>
                <w:sz w:val="20"/>
                <w:szCs w:val="20"/>
              </w:rPr>
              <w:t>4.2 </w:t>
            </w:r>
          </w:p>
        </w:tc>
        <w:tc>
          <w:tcPr>
            <w:tcW w:w="0" w:type="auto"/>
            <w:shd w:val="clear" w:color="auto" w:fill="D7E4BC"/>
            <w:tcMar>
              <w:top w:w="40" w:type="dxa"/>
              <w:left w:w="0" w:type="dxa"/>
              <w:bottom w:w="40" w:type="dxa"/>
              <w:right w:w="20" w:type="dxa"/>
            </w:tcMar>
            <w:vAlign w:val="bottom"/>
          </w:tcPr>
          <w:p w14:paraId="40CB252D" w14:textId="77777777" w:rsidR="00584FB3" w:rsidRDefault="00584FB3">
            <w:pPr>
              <w:jc w:val="right"/>
              <w:rPr>
                <w:rFonts w:ascii="宋体"/>
              </w:rPr>
            </w:pPr>
          </w:p>
        </w:tc>
        <w:tc>
          <w:tcPr>
            <w:tcW w:w="0" w:type="auto"/>
            <w:shd w:val="clear" w:color="auto" w:fill="auto"/>
          </w:tcPr>
          <w:p w14:paraId="40CB252E" w14:textId="77777777" w:rsidR="00584FB3" w:rsidRDefault="00584FB3">
            <w:pPr>
              <w:rPr>
                <w:rFonts w:ascii="宋体"/>
                <w:vanish/>
              </w:rPr>
            </w:pPr>
          </w:p>
        </w:tc>
        <w:tc>
          <w:tcPr>
            <w:tcW w:w="0" w:type="auto"/>
            <w:shd w:val="clear" w:color="auto" w:fill="auto"/>
          </w:tcPr>
          <w:p w14:paraId="40CB252F" w14:textId="77777777" w:rsidR="00584FB3" w:rsidRDefault="00584FB3">
            <w:pPr>
              <w:rPr>
                <w:rFonts w:ascii="宋体"/>
                <w:vanish/>
              </w:rPr>
            </w:pPr>
          </w:p>
        </w:tc>
        <w:tc>
          <w:tcPr>
            <w:tcW w:w="0" w:type="auto"/>
            <w:gridSpan w:val="3"/>
            <w:shd w:val="clear" w:color="auto" w:fill="auto"/>
          </w:tcPr>
          <w:p w14:paraId="40CB2530" w14:textId="77777777" w:rsidR="00584FB3" w:rsidRDefault="00584FB3">
            <w:pPr>
              <w:rPr>
                <w:rFonts w:ascii="宋体"/>
                <w:vanish/>
              </w:rPr>
            </w:pPr>
          </w:p>
        </w:tc>
        <w:tc>
          <w:tcPr>
            <w:tcW w:w="0" w:type="auto"/>
            <w:gridSpan w:val="3"/>
            <w:shd w:val="clear" w:color="auto" w:fill="auto"/>
          </w:tcPr>
          <w:p w14:paraId="40CB2531" w14:textId="77777777" w:rsidR="00584FB3" w:rsidRDefault="00584FB3">
            <w:pPr>
              <w:rPr>
                <w:rFonts w:ascii="宋体"/>
                <w:vanish/>
              </w:rPr>
            </w:pPr>
          </w:p>
        </w:tc>
        <w:tc>
          <w:tcPr>
            <w:tcW w:w="0" w:type="auto"/>
            <w:gridSpan w:val="3"/>
            <w:shd w:val="clear" w:color="auto" w:fill="auto"/>
          </w:tcPr>
          <w:p w14:paraId="40CB2532" w14:textId="77777777" w:rsidR="00584FB3" w:rsidRDefault="00584FB3">
            <w:pPr>
              <w:rPr>
                <w:rFonts w:ascii="宋体"/>
                <w:vanish/>
              </w:rPr>
            </w:pPr>
          </w:p>
        </w:tc>
        <w:tc>
          <w:tcPr>
            <w:tcW w:w="0" w:type="auto"/>
            <w:gridSpan w:val="3"/>
            <w:shd w:val="clear" w:color="auto" w:fill="auto"/>
          </w:tcPr>
          <w:p w14:paraId="40CB2533" w14:textId="77777777" w:rsidR="00584FB3" w:rsidRDefault="00584FB3">
            <w:pPr>
              <w:rPr>
                <w:rFonts w:ascii="宋体"/>
                <w:vanish/>
              </w:rPr>
            </w:pPr>
          </w:p>
        </w:tc>
        <w:tc>
          <w:tcPr>
            <w:tcW w:w="0" w:type="auto"/>
            <w:gridSpan w:val="3"/>
            <w:shd w:val="clear" w:color="auto" w:fill="auto"/>
          </w:tcPr>
          <w:p w14:paraId="40CB2534" w14:textId="77777777" w:rsidR="00584FB3" w:rsidRDefault="00584FB3">
            <w:pPr>
              <w:rPr>
                <w:rFonts w:ascii="宋体"/>
                <w:vanish/>
              </w:rPr>
            </w:pPr>
          </w:p>
        </w:tc>
        <w:tc>
          <w:tcPr>
            <w:tcW w:w="0" w:type="auto"/>
            <w:gridSpan w:val="3"/>
            <w:shd w:val="clear" w:color="auto" w:fill="auto"/>
          </w:tcPr>
          <w:p w14:paraId="40CB2535" w14:textId="77777777" w:rsidR="00584FB3" w:rsidRDefault="00584FB3">
            <w:pPr>
              <w:rPr>
                <w:rFonts w:ascii="宋体"/>
                <w:vanish/>
              </w:rPr>
            </w:pPr>
          </w:p>
        </w:tc>
        <w:tc>
          <w:tcPr>
            <w:tcW w:w="0" w:type="auto"/>
            <w:gridSpan w:val="3"/>
            <w:shd w:val="clear" w:color="auto" w:fill="auto"/>
          </w:tcPr>
          <w:p w14:paraId="40CB2536" w14:textId="77777777" w:rsidR="00584FB3" w:rsidRDefault="00584FB3">
            <w:pPr>
              <w:rPr>
                <w:rFonts w:ascii="宋体"/>
                <w:vanish/>
              </w:rPr>
            </w:pPr>
          </w:p>
        </w:tc>
        <w:tc>
          <w:tcPr>
            <w:tcW w:w="0" w:type="auto"/>
            <w:gridSpan w:val="3"/>
            <w:shd w:val="clear" w:color="auto" w:fill="auto"/>
          </w:tcPr>
          <w:p w14:paraId="40CB2537" w14:textId="77777777" w:rsidR="00584FB3" w:rsidRDefault="00584FB3">
            <w:pPr>
              <w:rPr>
                <w:rFonts w:ascii="宋体"/>
                <w:vanish/>
              </w:rPr>
            </w:pPr>
          </w:p>
        </w:tc>
      </w:tr>
      <w:tr w:rsidR="00584FB3" w14:paraId="40CB2552" w14:textId="77777777">
        <w:trPr>
          <w:jc w:val="center"/>
        </w:trPr>
        <w:tc>
          <w:tcPr>
            <w:tcW w:w="0" w:type="auto"/>
            <w:gridSpan w:val="3"/>
            <w:shd w:val="clear" w:color="auto" w:fill="FFFFFF"/>
            <w:tcMar>
              <w:top w:w="40" w:type="dxa"/>
              <w:left w:w="20" w:type="dxa"/>
              <w:bottom w:w="40" w:type="dxa"/>
              <w:right w:w="20" w:type="dxa"/>
            </w:tcMar>
          </w:tcPr>
          <w:p w14:paraId="40CB2539"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40CB253A" w14:textId="77777777" w:rsidR="00584FB3" w:rsidRDefault="00786180">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40CB253B"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3C"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3D" w14:textId="77777777" w:rsidR="00584FB3" w:rsidRDefault="00786180">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40CB253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3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40" w14:textId="77777777" w:rsidR="00584FB3" w:rsidRDefault="00786180">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40CB254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4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43"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40CB254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4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546" w14:textId="77777777" w:rsidR="00584FB3" w:rsidRDefault="00786180">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40CB2547" w14:textId="77777777" w:rsidR="00584FB3" w:rsidRDefault="00584FB3">
            <w:pPr>
              <w:jc w:val="right"/>
              <w:rPr>
                <w:rFonts w:ascii="宋体"/>
              </w:rPr>
            </w:pPr>
          </w:p>
        </w:tc>
        <w:tc>
          <w:tcPr>
            <w:tcW w:w="0" w:type="auto"/>
            <w:shd w:val="clear" w:color="auto" w:fill="auto"/>
          </w:tcPr>
          <w:p w14:paraId="40CB2548" w14:textId="77777777" w:rsidR="00584FB3" w:rsidRDefault="00584FB3">
            <w:pPr>
              <w:rPr>
                <w:rFonts w:ascii="宋体"/>
                <w:vanish/>
              </w:rPr>
            </w:pPr>
          </w:p>
        </w:tc>
        <w:tc>
          <w:tcPr>
            <w:tcW w:w="0" w:type="auto"/>
            <w:shd w:val="clear" w:color="auto" w:fill="auto"/>
          </w:tcPr>
          <w:p w14:paraId="40CB2549" w14:textId="77777777" w:rsidR="00584FB3" w:rsidRDefault="00584FB3">
            <w:pPr>
              <w:rPr>
                <w:rFonts w:ascii="宋体"/>
                <w:vanish/>
              </w:rPr>
            </w:pPr>
          </w:p>
        </w:tc>
        <w:tc>
          <w:tcPr>
            <w:tcW w:w="0" w:type="auto"/>
            <w:gridSpan w:val="3"/>
            <w:shd w:val="clear" w:color="auto" w:fill="auto"/>
          </w:tcPr>
          <w:p w14:paraId="40CB254A" w14:textId="77777777" w:rsidR="00584FB3" w:rsidRDefault="00584FB3">
            <w:pPr>
              <w:rPr>
                <w:rFonts w:ascii="宋体"/>
                <w:vanish/>
              </w:rPr>
            </w:pPr>
          </w:p>
        </w:tc>
        <w:tc>
          <w:tcPr>
            <w:tcW w:w="0" w:type="auto"/>
            <w:gridSpan w:val="3"/>
            <w:shd w:val="clear" w:color="auto" w:fill="auto"/>
          </w:tcPr>
          <w:p w14:paraId="40CB254B" w14:textId="77777777" w:rsidR="00584FB3" w:rsidRDefault="00584FB3">
            <w:pPr>
              <w:rPr>
                <w:rFonts w:ascii="宋体"/>
                <w:vanish/>
              </w:rPr>
            </w:pPr>
          </w:p>
        </w:tc>
        <w:tc>
          <w:tcPr>
            <w:tcW w:w="0" w:type="auto"/>
            <w:gridSpan w:val="3"/>
            <w:shd w:val="clear" w:color="auto" w:fill="auto"/>
          </w:tcPr>
          <w:p w14:paraId="40CB254C" w14:textId="77777777" w:rsidR="00584FB3" w:rsidRDefault="00584FB3">
            <w:pPr>
              <w:rPr>
                <w:rFonts w:ascii="宋体"/>
                <w:vanish/>
              </w:rPr>
            </w:pPr>
          </w:p>
        </w:tc>
        <w:tc>
          <w:tcPr>
            <w:tcW w:w="0" w:type="auto"/>
            <w:gridSpan w:val="3"/>
            <w:shd w:val="clear" w:color="auto" w:fill="auto"/>
          </w:tcPr>
          <w:p w14:paraId="40CB254D" w14:textId="77777777" w:rsidR="00584FB3" w:rsidRDefault="00584FB3">
            <w:pPr>
              <w:rPr>
                <w:rFonts w:ascii="宋体"/>
                <w:vanish/>
              </w:rPr>
            </w:pPr>
          </w:p>
        </w:tc>
        <w:tc>
          <w:tcPr>
            <w:tcW w:w="0" w:type="auto"/>
            <w:gridSpan w:val="3"/>
            <w:shd w:val="clear" w:color="auto" w:fill="auto"/>
          </w:tcPr>
          <w:p w14:paraId="40CB254E" w14:textId="77777777" w:rsidR="00584FB3" w:rsidRDefault="00584FB3">
            <w:pPr>
              <w:rPr>
                <w:rFonts w:ascii="宋体"/>
                <w:vanish/>
              </w:rPr>
            </w:pPr>
          </w:p>
        </w:tc>
        <w:tc>
          <w:tcPr>
            <w:tcW w:w="0" w:type="auto"/>
            <w:gridSpan w:val="3"/>
            <w:shd w:val="clear" w:color="auto" w:fill="auto"/>
          </w:tcPr>
          <w:p w14:paraId="40CB254F" w14:textId="77777777" w:rsidR="00584FB3" w:rsidRDefault="00584FB3">
            <w:pPr>
              <w:rPr>
                <w:rFonts w:ascii="宋体"/>
                <w:vanish/>
              </w:rPr>
            </w:pPr>
          </w:p>
        </w:tc>
        <w:tc>
          <w:tcPr>
            <w:tcW w:w="0" w:type="auto"/>
            <w:gridSpan w:val="3"/>
            <w:shd w:val="clear" w:color="auto" w:fill="auto"/>
          </w:tcPr>
          <w:p w14:paraId="40CB2550" w14:textId="77777777" w:rsidR="00584FB3" w:rsidRDefault="00584FB3">
            <w:pPr>
              <w:rPr>
                <w:rFonts w:ascii="宋体"/>
                <w:vanish/>
              </w:rPr>
            </w:pPr>
          </w:p>
        </w:tc>
        <w:tc>
          <w:tcPr>
            <w:tcW w:w="0" w:type="auto"/>
            <w:gridSpan w:val="3"/>
            <w:shd w:val="clear" w:color="auto" w:fill="auto"/>
          </w:tcPr>
          <w:p w14:paraId="40CB2551" w14:textId="77777777" w:rsidR="00584FB3" w:rsidRDefault="00584FB3">
            <w:pPr>
              <w:rPr>
                <w:rFonts w:ascii="宋体"/>
                <w:vanish/>
              </w:rPr>
            </w:pPr>
          </w:p>
        </w:tc>
      </w:tr>
      <w:tr w:rsidR="00584FB3" w14:paraId="40CB256C" w14:textId="77777777">
        <w:trPr>
          <w:jc w:val="center"/>
        </w:trPr>
        <w:tc>
          <w:tcPr>
            <w:tcW w:w="0" w:type="auto"/>
            <w:gridSpan w:val="3"/>
            <w:shd w:val="clear" w:color="auto" w:fill="D7E4BC"/>
            <w:tcMar>
              <w:top w:w="40" w:type="dxa"/>
              <w:left w:w="20" w:type="dxa"/>
              <w:bottom w:w="40" w:type="dxa"/>
              <w:right w:w="20" w:type="dxa"/>
            </w:tcMar>
          </w:tcPr>
          <w:p w14:paraId="40CB2553" w14:textId="77777777" w:rsidR="00584FB3" w:rsidRDefault="00786180">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40CB2554" w14:textId="77777777" w:rsidR="00584FB3" w:rsidRDefault="00786180">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left w:w="0" w:type="dxa"/>
              <w:bottom w:w="40" w:type="dxa"/>
              <w:right w:w="20" w:type="dxa"/>
            </w:tcMar>
            <w:vAlign w:val="bottom"/>
          </w:tcPr>
          <w:p w14:paraId="40CB255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56"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57" w14:textId="77777777" w:rsidR="00584FB3" w:rsidRDefault="00786180">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bottom"/>
          </w:tcPr>
          <w:p w14:paraId="40CB255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59"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5A" w14:textId="77777777" w:rsidR="00584FB3" w:rsidRDefault="00786180">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left w:w="0" w:type="dxa"/>
              <w:bottom w:w="40" w:type="dxa"/>
              <w:right w:w="20" w:type="dxa"/>
            </w:tcMar>
            <w:vAlign w:val="bottom"/>
          </w:tcPr>
          <w:p w14:paraId="40CB255B"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5C"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5D" w14:textId="77777777" w:rsidR="00584FB3" w:rsidRDefault="00786180">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40CB255E"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5F"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60" w14:textId="77777777" w:rsidR="00584FB3" w:rsidRDefault="00786180">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40CB2561" w14:textId="77777777" w:rsidR="00584FB3" w:rsidRDefault="00584FB3">
            <w:pPr>
              <w:jc w:val="right"/>
              <w:rPr>
                <w:rFonts w:ascii="宋体"/>
              </w:rPr>
            </w:pPr>
          </w:p>
        </w:tc>
        <w:tc>
          <w:tcPr>
            <w:tcW w:w="0" w:type="auto"/>
            <w:shd w:val="clear" w:color="auto" w:fill="auto"/>
          </w:tcPr>
          <w:p w14:paraId="40CB2562" w14:textId="77777777" w:rsidR="00584FB3" w:rsidRDefault="00584FB3">
            <w:pPr>
              <w:rPr>
                <w:rFonts w:ascii="宋体"/>
                <w:vanish/>
              </w:rPr>
            </w:pPr>
          </w:p>
        </w:tc>
        <w:tc>
          <w:tcPr>
            <w:tcW w:w="0" w:type="auto"/>
            <w:shd w:val="clear" w:color="auto" w:fill="auto"/>
          </w:tcPr>
          <w:p w14:paraId="40CB2563" w14:textId="77777777" w:rsidR="00584FB3" w:rsidRDefault="00584FB3">
            <w:pPr>
              <w:rPr>
                <w:rFonts w:ascii="宋体"/>
                <w:vanish/>
              </w:rPr>
            </w:pPr>
          </w:p>
        </w:tc>
        <w:tc>
          <w:tcPr>
            <w:tcW w:w="0" w:type="auto"/>
            <w:gridSpan w:val="3"/>
            <w:shd w:val="clear" w:color="auto" w:fill="auto"/>
          </w:tcPr>
          <w:p w14:paraId="40CB2564" w14:textId="77777777" w:rsidR="00584FB3" w:rsidRDefault="00584FB3">
            <w:pPr>
              <w:rPr>
                <w:rFonts w:ascii="宋体"/>
                <w:vanish/>
              </w:rPr>
            </w:pPr>
          </w:p>
        </w:tc>
        <w:tc>
          <w:tcPr>
            <w:tcW w:w="0" w:type="auto"/>
            <w:gridSpan w:val="3"/>
            <w:shd w:val="clear" w:color="auto" w:fill="auto"/>
          </w:tcPr>
          <w:p w14:paraId="40CB2565" w14:textId="77777777" w:rsidR="00584FB3" w:rsidRDefault="00584FB3">
            <w:pPr>
              <w:rPr>
                <w:rFonts w:ascii="宋体"/>
                <w:vanish/>
              </w:rPr>
            </w:pPr>
          </w:p>
        </w:tc>
        <w:tc>
          <w:tcPr>
            <w:tcW w:w="0" w:type="auto"/>
            <w:gridSpan w:val="3"/>
            <w:shd w:val="clear" w:color="auto" w:fill="auto"/>
          </w:tcPr>
          <w:p w14:paraId="40CB2566" w14:textId="77777777" w:rsidR="00584FB3" w:rsidRDefault="00584FB3">
            <w:pPr>
              <w:rPr>
                <w:rFonts w:ascii="宋体"/>
                <w:vanish/>
              </w:rPr>
            </w:pPr>
          </w:p>
        </w:tc>
        <w:tc>
          <w:tcPr>
            <w:tcW w:w="0" w:type="auto"/>
            <w:gridSpan w:val="3"/>
            <w:shd w:val="clear" w:color="auto" w:fill="auto"/>
          </w:tcPr>
          <w:p w14:paraId="40CB2567" w14:textId="77777777" w:rsidR="00584FB3" w:rsidRDefault="00584FB3">
            <w:pPr>
              <w:rPr>
                <w:rFonts w:ascii="宋体"/>
                <w:vanish/>
              </w:rPr>
            </w:pPr>
          </w:p>
        </w:tc>
        <w:tc>
          <w:tcPr>
            <w:tcW w:w="0" w:type="auto"/>
            <w:gridSpan w:val="3"/>
            <w:shd w:val="clear" w:color="auto" w:fill="auto"/>
          </w:tcPr>
          <w:p w14:paraId="40CB2568" w14:textId="77777777" w:rsidR="00584FB3" w:rsidRDefault="00584FB3">
            <w:pPr>
              <w:rPr>
                <w:rFonts w:ascii="宋体"/>
                <w:vanish/>
              </w:rPr>
            </w:pPr>
          </w:p>
        </w:tc>
        <w:tc>
          <w:tcPr>
            <w:tcW w:w="0" w:type="auto"/>
            <w:gridSpan w:val="3"/>
            <w:shd w:val="clear" w:color="auto" w:fill="auto"/>
          </w:tcPr>
          <w:p w14:paraId="40CB2569" w14:textId="77777777" w:rsidR="00584FB3" w:rsidRDefault="00584FB3">
            <w:pPr>
              <w:rPr>
                <w:rFonts w:ascii="宋体"/>
                <w:vanish/>
              </w:rPr>
            </w:pPr>
          </w:p>
        </w:tc>
        <w:tc>
          <w:tcPr>
            <w:tcW w:w="0" w:type="auto"/>
            <w:gridSpan w:val="3"/>
            <w:shd w:val="clear" w:color="auto" w:fill="auto"/>
          </w:tcPr>
          <w:p w14:paraId="40CB256A" w14:textId="77777777" w:rsidR="00584FB3" w:rsidRDefault="00584FB3">
            <w:pPr>
              <w:rPr>
                <w:rFonts w:ascii="宋体"/>
                <w:vanish/>
              </w:rPr>
            </w:pPr>
          </w:p>
        </w:tc>
        <w:tc>
          <w:tcPr>
            <w:tcW w:w="0" w:type="auto"/>
            <w:gridSpan w:val="3"/>
            <w:shd w:val="clear" w:color="auto" w:fill="auto"/>
          </w:tcPr>
          <w:p w14:paraId="40CB256B" w14:textId="77777777" w:rsidR="00584FB3" w:rsidRDefault="00584FB3">
            <w:pPr>
              <w:rPr>
                <w:rFonts w:ascii="宋体"/>
                <w:vanish/>
              </w:rPr>
            </w:pPr>
          </w:p>
        </w:tc>
      </w:tr>
      <w:tr w:rsidR="00584FB3" w14:paraId="40CB2586" w14:textId="77777777">
        <w:trPr>
          <w:jc w:val="center"/>
        </w:trPr>
        <w:tc>
          <w:tcPr>
            <w:tcW w:w="0" w:type="auto"/>
            <w:gridSpan w:val="3"/>
            <w:shd w:val="clear" w:color="auto" w:fill="FFFFFF"/>
            <w:tcMar>
              <w:top w:w="40" w:type="dxa"/>
              <w:left w:w="20" w:type="dxa"/>
              <w:bottom w:w="40" w:type="dxa"/>
              <w:right w:w="20" w:type="dxa"/>
            </w:tcMar>
          </w:tcPr>
          <w:p w14:paraId="40CB256D" w14:textId="77777777" w:rsidR="00584FB3" w:rsidRDefault="00786180">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56E" w14:textId="77777777" w:rsidR="00584FB3" w:rsidRDefault="00786180">
            <w:pPr>
              <w:jc w:val="right"/>
              <w:textAlignment w:val="bottom"/>
            </w:pPr>
            <w:r>
              <w:rPr>
                <w:rFonts w:ascii="Times New Roman" w:eastAsia="宋体" w:hAnsi="Times New Roman"/>
                <w:color w:val="000000"/>
                <w:sz w:val="20"/>
                <w:szCs w:val="20"/>
              </w:rPr>
              <w:t>247.0 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6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70"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571" w14:textId="77777777" w:rsidR="00584FB3" w:rsidRDefault="00786180">
            <w:pPr>
              <w:jc w:val="right"/>
              <w:textAlignment w:val="bottom"/>
            </w:pPr>
            <w:r>
              <w:rPr>
                <w:rFonts w:ascii="Times New Roman" w:eastAsia="宋体" w:hAnsi="Times New Roman"/>
                <w:color w:val="000000"/>
                <w:sz w:val="20"/>
                <w:szCs w:val="20"/>
              </w:rPr>
              <w:t>362.1 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7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73"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574" w14:textId="77777777" w:rsidR="00584FB3" w:rsidRDefault="00786180">
            <w:pPr>
              <w:jc w:val="right"/>
              <w:textAlignment w:val="bottom"/>
            </w:pPr>
            <w:r>
              <w:rPr>
                <w:rFonts w:ascii="Times New Roman" w:eastAsia="宋体" w:hAnsi="Times New Roman"/>
                <w:color w:val="000000"/>
                <w:sz w:val="20"/>
                <w:szCs w:val="20"/>
              </w:rPr>
              <w:t>(115.1)</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7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76"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577" w14:textId="77777777" w:rsidR="00584FB3" w:rsidRDefault="00786180">
            <w:pPr>
              <w:jc w:val="right"/>
              <w:textAlignment w:val="bottom"/>
            </w:pPr>
            <w:r>
              <w:rPr>
                <w:rFonts w:ascii="Times New Roman" w:eastAsia="宋体" w:hAnsi="Times New Roman"/>
                <w:color w:val="000000"/>
                <w:sz w:val="20"/>
                <w:szCs w:val="20"/>
              </w:rPr>
              <w:t>66.5 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7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79"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57A" w14:textId="77777777" w:rsidR="00584FB3" w:rsidRDefault="00786180">
            <w:pPr>
              <w:jc w:val="right"/>
              <w:textAlignment w:val="bottom"/>
            </w:pPr>
            <w:r>
              <w:rPr>
                <w:rFonts w:ascii="Times New Roman" w:eastAsia="宋体" w:hAnsi="Times New Roman"/>
                <w:color w:val="000000"/>
                <w:sz w:val="20"/>
                <w:szCs w:val="20"/>
              </w:rPr>
              <w:t>73.2 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7B" w14:textId="77777777" w:rsidR="00584FB3" w:rsidRDefault="00584FB3">
            <w:pPr>
              <w:jc w:val="right"/>
              <w:rPr>
                <w:rFonts w:ascii="宋体"/>
              </w:rPr>
            </w:pPr>
          </w:p>
        </w:tc>
        <w:tc>
          <w:tcPr>
            <w:tcW w:w="0" w:type="auto"/>
            <w:shd w:val="clear" w:color="auto" w:fill="auto"/>
          </w:tcPr>
          <w:p w14:paraId="40CB257C" w14:textId="77777777" w:rsidR="00584FB3" w:rsidRDefault="00584FB3">
            <w:pPr>
              <w:rPr>
                <w:rFonts w:ascii="宋体"/>
                <w:vanish/>
              </w:rPr>
            </w:pPr>
          </w:p>
        </w:tc>
        <w:tc>
          <w:tcPr>
            <w:tcW w:w="0" w:type="auto"/>
            <w:shd w:val="clear" w:color="auto" w:fill="auto"/>
          </w:tcPr>
          <w:p w14:paraId="40CB257D" w14:textId="77777777" w:rsidR="00584FB3" w:rsidRDefault="00584FB3">
            <w:pPr>
              <w:rPr>
                <w:rFonts w:ascii="宋体"/>
                <w:vanish/>
              </w:rPr>
            </w:pPr>
          </w:p>
        </w:tc>
        <w:tc>
          <w:tcPr>
            <w:tcW w:w="0" w:type="auto"/>
            <w:gridSpan w:val="3"/>
            <w:shd w:val="clear" w:color="auto" w:fill="auto"/>
          </w:tcPr>
          <w:p w14:paraId="40CB257E" w14:textId="77777777" w:rsidR="00584FB3" w:rsidRDefault="00584FB3">
            <w:pPr>
              <w:rPr>
                <w:rFonts w:ascii="宋体"/>
                <w:vanish/>
              </w:rPr>
            </w:pPr>
          </w:p>
        </w:tc>
        <w:tc>
          <w:tcPr>
            <w:tcW w:w="0" w:type="auto"/>
            <w:gridSpan w:val="3"/>
            <w:shd w:val="clear" w:color="auto" w:fill="auto"/>
          </w:tcPr>
          <w:p w14:paraId="40CB257F" w14:textId="77777777" w:rsidR="00584FB3" w:rsidRDefault="00584FB3">
            <w:pPr>
              <w:rPr>
                <w:rFonts w:ascii="宋体"/>
                <w:vanish/>
              </w:rPr>
            </w:pPr>
          </w:p>
        </w:tc>
        <w:tc>
          <w:tcPr>
            <w:tcW w:w="0" w:type="auto"/>
            <w:gridSpan w:val="3"/>
            <w:shd w:val="clear" w:color="auto" w:fill="auto"/>
          </w:tcPr>
          <w:p w14:paraId="40CB2580" w14:textId="77777777" w:rsidR="00584FB3" w:rsidRDefault="00584FB3">
            <w:pPr>
              <w:rPr>
                <w:rFonts w:ascii="宋体"/>
                <w:vanish/>
              </w:rPr>
            </w:pPr>
          </w:p>
        </w:tc>
        <w:tc>
          <w:tcPr>
            <w:tcW w:w="0" w:type="auto"/>
            <w:gridSpan w:val="3"/>
            <w:shd w:val="clear" w:color="auto" w:fill="auto"/>
          </w:tcPr>
          <w:p w14:paraId="40CB2581" w14:textId="77777777" w:rsidR="00584FB3" w:rsidRDefault="00584FB3">
            <w:pPr>
              <w:rPr>
                <w:rFonts w:ascii="宋体"/>
                <w:vanish/>
              </w:rPr>
            </w:pPr>
          </w:p>
        </w:tc>
        <w:tc>
          <w:tcPr>
            <w:tcW w:w="0" w:type="auto"/>
            <w:gridSpan w:val="3"/>
            <w:shd w:val="clear" w:color="auto" w:fill="auto"/>
          </w:tcPr>
          <w:p w14:paraId="40CB2582" w14:textId="77777777" w:rsidR="00584FB3" w:rsidRDefault="00584FB3">
            <w:pPr>
              <w:rPr>
                <w:rFonts w:ascii="宋体"/>
                <w:vanish/>
              </w:rPr>
            </w:pPr>
          </w:p>
        </w:tc>
        <w:tc>
          <w:tcPr>
            <w:tcW w:w="0" w:type="auto"/>
            <w:gridSpan w:val="3"/>
            <w:shd w:val="clear" w:color="auto" w:fill="auto"/>
          </w:tcPr>
          <w:p w14:paraId="40CB2583" w14:textId="77777777" w:rsidR="00584FB3" w:rsidRDefault="00584FB3">
            <w:pPr>
              <w:rPr>
                <w:rFonts w:ascii="宋体"/>
                <w:vanish/>
              </w:rPr>
            </w:pPr>
          </w:p>
        </w:tc>
        <w:tc>
          <w:tcPr>
            <w:tcW w:w="0" w:type="auto"/>
            <w:gridSpan w:val="3"/>
            <w:shd w:val="clear" w:color="auto" w:fill="auto"/>
          </w:tcPr>
          <w:p w14:paraId="40CB2584" w14:textId="77777777" w:rsidR="00584FB3" w:rsidRDefault="00584FB3">
            <w:pPr>
              <w:rPr>
                <w:rFonts w:ascii="宋体"/>
                <w:vanish/>
              </w:rPr>
            </w:pPr>
          </w:p>
        </w:tc>
        <w:tc>
          <w:tcPr>
            <w:tcW w:w="0" w:type="auto"/>
            <w:gridSpan w:val="3"/>
            <w:shd w:val="clear" w:color="auto" w:fill="auto"/>
          </w:tcPr>
          <w:p w14:paraId="40CB2585" w14:textId="77777777" w:rsidR="00584FB3" w:rsidRDefault="00584FB3">
            <w:pPr>
              <w:rPr>
                <w:rFonts w:ascii="宋体"/>
                <w:vanish/>
              </w:rPr>
            </w:pPr>
          </w:p>
        </w:tc>
      </w:tr>
      <w:tr w:rsidR="00584FB3" w14:paraId="40CB25A0" w14:textId="77777777">
        <w:trPr>
          <w:jc w:val="center"/>
        </w:trPr>
        <w:tc>
          <w:tcPr>
            <w:tcW w:w="0" w:type="auto"/>
            <w:gridSpan w:val="3"/>
            <w:shd w:val="clear" w:color="auto" w:fill="D7E4BC"/>
            <w:tcMar>
              <w:top w:w="40" w:type="dxa"/>
              <w:left w:w="20" w:type="dxa"/>
              <w:bottom w:w="40" w:type="dxa"/>
              <w:right w:w="20" w:type="dxa"/>
            </w:tcMar>
          </w:tcPr>
          <w:p w14:paraId="40CB2587" w14:textId="77777777" w:rsidR="00584FB3" w:rsidRDefault="00786180">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40CB2588" w14:textId="77777777" w:rsidR="00584FB3" w:rsidRDefault="00786180">
            <w:pPr>
              <w:jc w:val="right"/>
              <w:textAlignment w:val="bottom"/>
            </w:pPr>
            <w:r>
              <w:rPr>
                <w:rFonts w:ascii="Times New Roman" w:eastAsia="宋体" w:hAnsi="Times New Roman"/>
                <w:color w:val="000000"/>
                <w:sz w:val="20"/>
                <w:szCs w:val="20"/>
              </w:rPr>
              <w:t>56.4 </w:t>
            </w:r>
          </w:p>
        </w:tc>
        <w:tc>
          <w:tcPr>
            <w:tcW w:w="0" w:type="auto"/>
            <w:shd w:val="clear" w:color="auto" w:fill="D7E4BC"/>
            <w:tcMar>
              <w:top w:w="40" w:type="dxa"/>
              <w:left w:w="0" w:type="dxa"/>
              <w:bottom w:w="40" w:type="dxa"/>
              <w:right w:w="20" w:type="dxa"/>
            </w:tcMar>
            <w:vAlign w:val="bottom"/>
          </w:tcPr>
          <w:p w14:paraId="40CB258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8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8B" w14:textId="77777777" w:rsidR="00584FB3" w:rsidRDefault="00786180">
            <w:pPr>
              <w:jc w:val="right"/>
              <w:textAlignment w:val="bottom"/>
            </w:pPr>
            <w:r>
              <w:rPr>
                <w:rFonts w:ascii="Times New Roman" w:eastAsia="宋体" w:hAnsi="Times New Roman"/>
                <w:color w:val="000000"/>
                <w:sz w:val="20"/>
                <w:szCs w:val="20"/>
              </w:rPr>
              <w:t>43.0 </w:t>
            </w:r>
          </w:p>
        </w:tc>
        <w:tc>
          <w:tcPr>
            <w:tcW w:w="0" w:type="auto"/>
            <w:shd w:val="clear" w:color="auto" w:fill="D7E4BC"/>
            <w:tcMar>
              <w:top w:w="40" w:type="dxa"/>
              <w:left w:w="0" w:type="dxa"/>
              <w:bottom w:w="40" w:type="dxa"/>
              <w:right w:w="20" w:type="dxa"/>
            </w:tcMar>
            <w:vAlign w:val="bottom"/>
          </w:tcPr>
          <w:p w14:paraId="40CB258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8D"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8E" w14:textId="77777777" w:rsidR="00584FB3" w:rsidRDefault="00786180">
            <w:pPr>
              <w:jc w:val="right"/>
              <w:textAlignment w:val="bottom"/>
            </w:pPr>
            <w:r>
              <w:rPr>
                <w:rFonts w:ascii="Times New Roman" w:eastAsia="宋体" w:hAnsi="Times New Roman"/>
                <w:color w:val="000000"/>
                <w:sz w:val="20"/>
                <w:szCs w:val="20"/>
              </w:rPr>
              <w:t>13.4 </w:t>
            </w:r>
          </w:p>
        </w:tc>
        <w:tc>
          <w:tcPr>
            <w:tcW w:w="0" w:type="auto"/>
            <w:shd w:val="clear" w:color="auto" w:fill="D7E4BC"/>
            <w:tcMar>
              <w:top w:w="40" w:type="dxa"/>
              <w:left w:w="0" w:type="dxa"/>
              <w:bottom w:w="40" w:type="dxa"/>
              <w:right w:w="20" w:type="dxa"/>
            </w:tcMar>
            <w:vAlign w:val="bottom"/>
          </w:tcPr>
          <w:p w14:paraId="40CB258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9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91" w14:textId="77777777" w:rsidR="00584FB3" w:rsidRDefault="00786180">
            <w:pPr>
              <w:jc w:val="right"/>
              <w:textAlignment w:val="bottom"/>
            </w:pPr>
            <w:r>
              <w:rPr>
                <w:rFonts w:ascii="Times New Roman" w:eastAsia="宋体" w:hAnsi="Times New Roman"/>
                <w:color w:val="000000"/>
                <w:sz w:val="20"/>
                <w:szCs w:val="20"/>
              </w:rPr>
              <w:t>15.2 </w:t>
            </w:r>
          </w:p>
        </w:tc>
        <w:tc>
          <w:tcPr>
            <w:tcW w:w="0" w:type="auto"/>
            <w:shd w:val="clear" w:color="auto" w:fill="D7E4BC"/>
            <w:tcMar>
              <w:top w:w="40" w:type="dxa"/>
              <w:left w:w="0" w:type="dxa"/>
              <w:bottom w:w="40" w:type="dxa"/>
              <w:right w:w="20" w:type="dxa"/>
            </w:tcMar>
            <w:vAlign w:val="bottom"/>
          </w:tcPr>
          <w:p w14:paraId="40CB259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593"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594" w14:textId="77777777" w:rsidR="00584FB3" w:rsidRDefault="00786180">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40CB2595" w14:textId="77777777" w:rsidR="00584FB3" w:rsidRDefault="00584FB3">
            <w:pPr>
              <w:jc w:val="right"/>
              <w:rPr>
                <w:rFonts w:ascii="宋体"/>
              </w:rPr>
            </w:pPr>
          </w:p>
        </w:tc>
        <w:tc>
          <w:tcPr>
            <w:tcW w:w="0" w:type="auto"/>
            <w:shd w:val="clear" w:color="auto" w:fill="auto"/>
          </w:tcPr>
          <w:p w14:paraId="40CB2596" w14:textId="77777777" w:rsidR="00584FB3" w:rsidRDefault="00584FB3">
            <w:pPr>
              <w:rPr>
                <w:rFonts w:ascii="宋体"/>
                <w:vanish/>
              </w:rPr>
            </w:pPr>
          </w:p>
        </w:tc>
        <w:tc>
          <w:tcPr>
            <w:tcW w:w="0" w:type="auto"/>
            <w:shd w:val="clear" w:color="auto" w:fill="auto"/>
          </w:tcPr>
          <w:p w14:paraId="40CB2597" w14:textId="77777777" w:rsidR="00584FB3" w:rsidRDefault="00584FB3">
            <w:pPr>
              <w:rPr>
                <w:rFonts w:ascii="宋体"/>
                <w:vanish/>
              </w:rPr>
            </w:pPr>
          </w:p>
        </w:tc>
        <w:tc>
          <w:tcPr>
            <w:tcW w:w="0" w:type="auto"/>
            <w:gridSpan w:val="3"/>
            <w:shd w:val="clear" w:color="auto" w:fill="auto"/>
          </w:tcPr>
          <w:p w14:paraId="40CB2598" w14:textId="77777777" w:rsidR="00584FB3" w:rsidRDefault="00584FB3">
            <w:pPr>
              <w:rPr>
                <w:rFonts w:ascii="宋体"/>
                <w:vanish/>
              </w:rPr>
            </w:pPr>
          </w:p>
        </w:tc>
        <w:tc>
          <w:tcPr>
            <w:tcW w:w="0" w:type="auto"/>
            <w:gridSpan w:val="3"/>
            <w:shd w:val="clear" w:color="auto" w:fill="auto"/>
          </w:tcPr>
          <w:p w14:paraId="40CB2599" w14:textId="77777777" w:rsidR="00584FB3" w:rsidRDefault="00584FB3">
            <w:pPr>
              <w:rPr>
                <w:rFonts w:ascii="宋体"/>
                <w:vanish/>
              </w:rPr>
            </w:pPr>
          </w:p>
        </w:tc>
        <w:tc>
          <w:tcPr>
            <w:tcW w:w="0" w:type="auto"/>
            <w:gridSpan w:val="3"/>
            <w:shd w:val="clear" w:color="auto" w:fill="auto"/>
          </w:tcPr>
          <w:p w14:paraId="40CB259A" w14:textId="77777777" w:rsidR="00584FB3" w:rsidRDefault="00584FB3">
            <w:pPr>
              <w:rPr>
                <w:rFonts w:ascii="宋体"/>
                <w:vanish/>
              </w:rPr>
            </w:pPr>
          </w:p>
        </w:tc>
        <w:tc>
          <w:tcPr>
            <w:tcW w:w="0" w:type="auto"/>
            <w:gridSpan w:val="3"/>
            <w:shd w:val="clear" w:color="auto" w:fill="auto"/>
          </w:tcPr>
          <w:p w14:paraId="40CB259B" w14:textId="77777777" w:rsidR="00584FB3" w:rsidRDefault="00584FB3">
            <w:pPr>
              <w:rPr>
                <w:rFonts w:ascii="宋体"/>
                <w:vanish/>
              </w:rPr>
            </w:pPr>
          </w:p>
        </w:tc>
        <w:tc>
          <w:tcPr>
            <w:tcW w:w="0" w:type="auto"/>
            <w:gridSpan w:val="3"/>
            <w:shd w:val="clear" w:color="auto" w:fill="auto"/>
          </w:tcPr>
          <w:p w14:paraId="40CB259C" w14:textId="77777777" w:rsidR="00584FB3" w:rsidRDefault="00584FB3">
            <w:pPr>
              <w:rPr>
                <w:rFonts w:ascii="宋体"/>
                <w:vanish/>
              </w:rPr>
            </w:pPr>
          </w:p>
        </w:tc>
        <w:tc>
          <w:tcPr>
            <w:tcW w:w="0" w:type="auto"/>
            <w:gridSpan w:val="3"/>
            <w:shd w:val="clear" w:color="auto" w:fill="auto"/>
          </w:tcPr>
          <w:p w14:paraId="40CB259D" w14:textId="77777777" w:rsidR="00584FB3" w:rsidRDefault="00584FB3">
            <w:pPr>
              <w:rPr>
                <w:rFonts w:ascii="宋体"/>
                <w:vanish/>
              </w:rPr>
            </w:pPr>
          </w:p>
        </w:tc>
        <w:tc>
          <w:tcPr>
            <w:tcW w:w="0" w:type="auto"/>
            <w:gridSpan w:val="3"/>
            <w:shd w:val="clear" w:color="auto" w:fill="auto"/>
          </w:tcPr>
          <w:p w14:paraId="40CB259E" w14:textId="77777777" w:rsidR="00584FB3" w:rsidRDefault="00584FB3">
            <w:pPr>
              <w:rPr>
                <w:rFonts w:ascii="宋体"/>
                <w:vanish/>
              </w:rPr>
            </w:pPr>
          </w:p>
        </w:tc>
        <w:tc>
          <w:tcPr>
            <w:tcW w:w="0" w:type="auto"/>
            <w:gridSpan w:val="3"/>
            <w:shd w:val="clear" w:color="auto" w:fill="auto"/>
          </w:tcPr>
          <w:p w14:paraId="40CB259F" w14:textId="77777777" w:rsidR="00584FB3" w:rsidRDefault="00584FB3">
            <w:pPr>
              <w:rPr>
                <w:rFonts w:ascii="宋体"/>
                <w:vanish/>
              </w:rPr>
            </w:pPr>
          </w:p>
        </w:tc>
      </w:tr>
      <w:tr w:rsidR="00584FB3" w14:paraId="40CB25BD" w14:textId="77777777">
        <w:trPr>
          <w:jc w:val="center"/>
        </w:trPr>
        <w:tc>
          <w:tcPr>
            <w:tcW w:w="0" w:type="auto"/>
            <w:gridSpan w:val="3"/>
            <w:shd w:val="clear" w:color="auto" w:fill="FFFFFF"/>
            <w:tcMar>
              <w:top w:w="40" w:type="dxa"/>
              <w:left w:w="380" w:type="dxa"/>
              <w:bottom w:w="40" w:type="dxa"/>
              <w:right w:w="20" w:type="dxa"/>
            </w:tcMar>
          </w:tcPr>
          <w:p w14:paraId="40CB25A1" w14:textId="77777777" w:rsidR="00584FB3" w:rsidRDefault="00786180">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40CB25A2"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5A3" w14:textId="77777777" w:rsidR="00584FB3" w:rsidRDefault="00786180">
            <w:pPr>
              <w:jc w:val="right"/>
              <w:textAlignment w:val="bottom"/>
            </w:pPr>
            <w:r>
              <w:rPr>
                <w:rFonts w:ascii="Times New Roman" w:eastAsia="宋体" w:hAnsi="Times New Roman"/>
                <w:b/>
                <w:bCs/>
                <w:color w:val="000000"/>
                <w:sz w:val="20"/>
                <w:szCs w:val="20"/>
              </w:rPr>
              <w:t>180.8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A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A5"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5A6"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5A7" w14:textId="77777777" w:rsidR="00584FB3" w:rsidRDefault="00786180">
            <w:pPr>
              <w:jc w:val="right"/>
              <w:textAlignment w:val="bottom"/>
            </w:pPr>
            <w:r>
              <w:rPr>
                <w:rFonts w:ascii="Times New Roman" w:eastAsia="宋体" w:hAnsi="Times New Roman"/>
                <w:b/>
                <w:bCs/>
                <w:color w:val="000000"/>
                <w:sz w:val="20"/>
                <w:szCs w:val="20"/>
              </w:rPr>
              <w:t>175.5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A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A9"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5AA"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5AB" w14:textId="77777777" w:rsidR="00584FB3" w:rsidRDefault="00786180">
            <w:pPr>
              <w:jc w:val="right"/>
              <w:textAlignment w:val="bottom"/>
            </w:pPr>
            <w:r>
              <w:rPr>
                <w:rFonts w:ascii="Times New Roman" w:eastAsia="宋体" w:hAnsi="Times New Roman"/>
                <w:b/>
                <w:bCs/>
                <w:color w:val="000000"/>
                <w:sz w:val="20"/>
                <w:szCs w:val="20"/>
              </w:rPr>
              <w:t>5.3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A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5AD"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5AE" w14:textId="77777777" w:rsidR="00584FB3" w:rsidRDefault="00786180">
            <w:pPr>
              <w:jc w:val="right"/>
              <w:textAlignment w:val="bottom"/>
            </w:pPr>
            <w:r>
              <w:rPr>
                <w:rFonts w:ascii="Times New Roman" w:eastAsia="宋体" w:hAnsi="Times New Roman"/>
                <w:b/>
                <w:bCs/>
                <w:color w:val="000000"/>
                <w:sz w:val="20"/>
                <w:szCs w:val="20"/>
              </w:rPr>
              <w:t>48.7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AF"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40CB25B0"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5B1" w14:textId="77777777" w:rsidR="00584FB3" w:rsidRDefault="00786180">
            <w:pPr>
              <w:jc w:val="right"/>
              <w:textAlignment w:val="bottom"/>
            </w:pPr>
            <w:r>
              <w:rPr>
                <w:rFonts w:ascii="Times New Roman" w:eastAsia="宋体" w:hAnsi="Times New Roman"/>
                <w:b/>
                <w:bCs/>
                <w:color w:val="000000"/>
                <w:sz w:val="20"/>
                <w:szCs w:val="20"/>
              </w:rPr>
              <w:t>35.5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5B2"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40CB25B3" w14:textId="77777777" w:rsidR="00584FB3" w:rsidRDefault="00584FB3">
            <w:pPr>
              <w:rPr>
                <w:rFonts w:ascii="宋体"/>
                <w:vanish/>
              </w:rPr>
            </w:pPr>
          </w:p>
        </w:tc>
        <w:tc>
          <w:tcPr>
            <w:tcW w:w="0" w:type="auto"/>
            <w:shd w:val="clear" w:color="auto" w:fill="auto"/>
          </w:tcPr>
          <w:p w14:paraId="40CB25B4" w14:textId="77777777" w:rsidR="00584FB3" w:rsidRDefault="00584FB3">
            <w:pPr>
              <w:rPr>
                <w:rFonts w:ascii="宋体"/>
                <w:vanish/>
              </w:rPr>
            </w:pPr>
          </w:p>
        </w:tc>
        <w:tc>
          <w:tcPr>
            <w:tcW w:w="0" w:type="auto"/>
            <w:gridSpan w:val="3"/>
            <w:shd w:val="clear" w:color="auto" w:fill="auto"/>
          </w:tcPr>
          <w:p w14:paraId="40CB25B5" w14:textId="77777777" w:rsidR="00584FB3" w:rsidRDefault="00584FB3">
            <w:pPr>
              <w:rPr>
                <w:rFonts w:ascii="宋体"/>
                <w:vanish/>
              </w:rPr>
            </w:pPr>
          </w:p>
        </w:tc>
        <w:tc>
          <w:tcPr>
            <w:tcW w:w="0" w:type="auto"/>
            <w:gridSpan w:val="3"/>
            <w:shd w:val="clear" w:color="auto" w:fill="auto"/>
          </w:tcPr>
          <w:p w14:paraId="40CB25B6" w14:textId="77777777" w:rsidR="00584FB3" w:rsidRDefault="00584FB3">
            <w:pPr>
              <w:rPr>
                <w:rFonts w:ascii="宋体"/>
                <w:vanish/>
              </w:rPr>
            </w:pPr>
          </w:p>
        </w:tc>
        <w:tc>
          <w:tcPr>
            <w:tcW w:w="0" w:type="auto"/>
            <w:gridSpan w:val="3"/>
            <w:shd w:val="clear" w:color="auto" w:fill="auto"/>
          </w:tcPr>
          <w:p w14:paraId="40CB25B7" w14:textId="77777777" w:rsidR="00584FB3" w:rsidRDefault="00584FB3">
            <w:pPr>
              <w:rPr>
                <w:rFonts w:ascii="宋体"/>
                <w:vanish/>
              </w:rPr>
            </w:pPr>
          </w:p>
        </w:tc>
        <w:tc>
          <w:tcPr>
            <w:tcW w:w="0" w:type="auto"/>
            <w:gridSpan w:val="3"/>
            <w:shd w:val="clear" w:color="auto" w:fill="auto"/>
          </w:tcPr>
          <w:p w14:paraId="40CB25B8" w14:textId="77777777" w:rsidR="00584FB3" w:rsidRDefault="00584FB3">
            <w:pPr>
              <w:rPr>
                <w:rFonts w:ascii="宋体"/>
                <w:vanish/>
              </w:rPr>
            </w:pPr>
          </w:p>
        </w:tc>
        <w:tc>
          <w:tcPr>
            <w:tcW w:w="0" w:type="auto"/>
            <w:gridSpan w:val="3"/>
            <w:shd w:val="clear" w:color="auto" w:fill="auto"/>
          </w:tcPr>
          <w:p w14:paraId="40CB25B9" w14:textId="77777777" w:rsidR="00584FB3" w:rsidRDefault="00584FB3">
            <w:pPr>
              <w:rPr>
                <w:rFonts w:ascii="宋体"/>
                <w:vanish/>
              </w:rPr>
            </w:pPr>
          </w:p>
        </w:tc>
        <w:tc>
          <w:tcPr>
            <w:tcW w:w="0" w:type="auto"/>
            <w:gridSpan w:val="3"/>
            <w:shd w:val="clear" w:color="auto" w:fill="auto"/>
          </w:tcPr>
          <w:p w14:paraId="40CB25BA" w14:textId="77777777" w:rsidR="00584FB3" w:rsidRDefault="00584FB3">
            <w:pPr>
              <w:rPr>
                <w:rFonts w:ascii="宋体"/>
                <w:vanish/>
              </w:rPr>
            </w:pPr>
          </w:p>
        </w:tc>
        <w:tc>
          <w:tcPr>
            <w:tcW w:w="0" w:type="auto"/>
            <w:gridSpan w:val="3"/>
            <w:shd w:val="clear" w:color="auto" w:fill="auto"/>
          </w:tcPr>
          <w:p w14:paraId="40CB25BB" w14:textId="77777777" w:rsidR="00584FB3" w:rsidRDefault="00584FB3">
            <w:pPr>
              <w:rPr>
                <w:rFonts w:ascii="宋体"/>
                <w:vanish/>
              </w:rPr>
            </w:pPr>
          </w:p>
        </w:tc>
        <w:tc>
          <w:tcPr>
            <w:tcW w:w="0" w:type="auto"/>
            <w:gridSpan w:val="3"/>
            <w:shd w:val="clear" w:color="auto" w:fill="auto"/>
          </w:tcPr>
          <w:p w14:paraId="40CB25BC" w14:textId="77777777" w:rsidR="00584FB3" w:rsidRDefault="00584FB3">
            <w:pPr>
              <w:rPr>
                <w:rFonts w:ascii="宋体"/>
                <w:vanish/>
              </w:rPr>
            </w:pPr>
          </w:p>
        </w:tc>
      </w:tr>
    </w:tbl>
    <w:p w14:paraId="40CB25BE" w14:textId="77777777" w:rsidR="00584FB3" w:rsidRDefault="00786180">
      <w:pPr>
        <w:spacing w:before="120"/>
      </w:pPr>
      <w:r>
        <w:rPr>
          <w:rFonts w:ascii="Times New Roman" w:eastAsia="宋体" w:hAnsi="Times New Roman"/>
          <w:i/>
          <w:iCs/>
          <w:color w:val="000000"/>
          <w:sz w:val="20"/>
          <w:szCs w:val="20"/>
        </w:rPr>
        <w:t>For the qu</w:t>
      </w:r>
      <w:r>
        <w:rPr>
          <w:rFonts w:ascii="Times New Roman" w:eastAsia="宋体" w:hAnsi="Times New Roman"/>
          <w:i/>
          <w:iCs/>
          <w:color w:val="000000"/>
          <w:sz w:val="20"/>
          <w:szCs w:val="20"/>
        </w:rPr>
        <w:t>arter ended December 27, 2020 compared with the quarter ended December 29, 2019</w:t>
      </w:r>
    </w:p>
    <w:p w14:paraId="40CB25BF" w14:textId="77777777" w:rsidR="00584FB3" w:rsidRDefault="00786180">
      <w:pPr>
        <w:spacing w:before="120"/>
      </w:pPr>
      <w:r>
        <w:rPr>
          <w:rFonts w:ascii="Times New Roman" w:eastAsia="宋体" w:hAnsi="Times New Roman"/>
          <w:color w:val="000000"/>
          <w:sz w:val="20"/>
          <w:szCs w:val="20"/>
          <w:u w:val="single"/>
        </w:rPr>
        <w:t>Revenues</w:t>
      </w:r>
    </w:p>
    <w:p w14:paraId="40CB25C0" w14:textId="77777777" w:rsidR="00584FB3" w:rsidRDefault="00786180">
      <w:pPr>
        <w:spacing w:before="120"/>
      </w:pPr>
      <w:r>
        <w:rPr>
          <w:rFonts w:ascii="Times New Roman" w:eastAsia="宋体" w:hAnsi="Times New Roman"/>
          <w:color w:val="000000"/>
          <w:sz w:val="20"/>
          <w:szCs w:val="20"/>
        </w:rPr>
        <w:t>Channel Development total net revenues for the first quarter of fiscal 2021 decreased $123 million, or 25%, primarily due to the transition of certain single-serve pro</w:t>
      </w:r>
      <w:r>
        <w:rPr>
          <w:rFonts w:ascii="Times New Roman" w:eastAsia="宋体" w:hAnsi="Times New Roman"/>
          <w:color w:val="000000"/>
          <w:sz w:val="20"/>
          <w:szCs w:val="20"/>
        </w:rPr>
        <w:t>duct activities to Nestlé ($91 million) and lapping of transition activities related to the Global Coffee Alliance ($21 million). Also contributing were lower Global Coffee Alliance revenues ($18 million), mainly driven by the Foodservice business, which e</w:t>
      </w:r>
      <w:r>
        <w:rPr>
          <w:rFonts w:ascii="Times New Roman" w:eastAsia="宋体" w:hAnsi="Times New Roman"/>
          <w:color w:val="000000"/>
          <w:sz w:val="20"/>
          <w:szCs w:val="20"/>
        </w:rPr>
        <w:t>xperienced softening due to COVID-19. These were partially offset by growth in at-home coffee and our ready-to-drink business.</w:t>
      </w:r>
    </w:p>
    <w:p w14:paraId="40CB25C1" w14:textId="77777777" w:rsidR="00584FB3" w:rsidRDefault="00786180">
      <w:pPr>
        <w:spacing w:before="120"/>
      </w:pPr>
      <w:r>
        <w:rPr>
          <w:rFonts w:ascii="Times New Roman" w:eastAsia="宋体" w:hAnsi="Times New Roman"/>
          <w:color w:val="000000"/>
          <w:sz w:val="20"/>
          <w:szCs w:val="20"/>
          <w:u w:val="single"/>
        </w:rPr>
        <w:t>Operating Margin</w:t>
      </w:r>
    </w:p>
    <w:p w14:paraId="40CB25C2" w14:textId="77777777" w:rsidR="00584FB3" w:rsidRDefault="00786180">
      <w:pPr>
        <w:spacing w:before="120"/>
      </w:pPr>
      <w:r>
        <w:rPr>
          <w:rFonts w:ascii="Times New Roman" w:eastAsia="宋体" w:hAnsi="Times New Roman"/>
          <w:color w:val="000000"/>
          <w:sz w:val="20"/>
          <w:szCs w:val="20"/>
        </w:rPr>
        <w:t>Channel Development operating income for the first quarter of fiscal 2021 increased 3% to $181 million, compared</w:t>
      </w:r>
      <w:r>
        <w:rPr>
          <w:rFonts w:ascii="Times New Roman" w:eastAsia="宋体" w:hAnsi="Times New Roman"/>
          <w:color w:val="000000"/>
          <w:sz w:val="20"/>
          <w:szCs w:val="20"/>
        </w:rPr>
        <w:t xml:space="preserve"> to $176 million in the first quarter of fiscal 2020. Operating margin increased 1,320 basis points to 48.7%, primarily due to the transfer of certain single-serve products to Nestlé as part of the Global Coffee Alliance (approximately 820 basis points). S</w:t>
      </w:r>
      <w:r>
        <w:rPr>
          <w:rFonts w:ascii="Times New Roman" w:eastAsia="宋体" w:hAnsi="Times New Roman"/>
          <w:color w:val="000000"/>
          <w:sz w:val="20"/>
          <w:szCs w:val="20"/>
        </w:rPr>
        <w:t>trong performance from our North American Coffee Partnership joint venture also contributed.</w:t>
      </w:r>
    </w:p>
    <w:p w14:paraId="40CB25C3" w14:textId="77777777" w:rsidR="00584FB3" w:rsidRDefault="00786180">
      <w:pPr>
        <w:spacing w:before="180"/>
      </w:pPr>
      <w:r>
        <w:rPr>
          <w:rFonts w:ascii="Times New Roman" w:eastAsia="宋体" w:hAnsi="Times New Roman"/>
          <w:b/>
          <w:bCs/>
          <w:i/>
          <w:iCs/>
          <w:color w:val="000000"/>
          <w:sz w:val="20"/>
          <w:szCs w:val="20"/>
        </w:rPr>
        <w:t>Corporate and Other</w:t>
      </w:r>
      <w:r>
        <w:rPr>
          <w:rFonts w:ascii="Times New Roman" w:eastAsia="宋体" w:hAnsi="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41"/>
        <w:gridCol w:w="3956"/>
        <w:gridCol w:w="40"/>
        <w:gridCol w:w="120"/>
        <w:gridCol w:w="676"/>
        <w:gridCol w:w="36"/>
        <w:gridCol w:w="36"/>
        <w:gridCol w:w="36"/>
        <w:gridCol w:w="36"/>
        <w:gridCol w:w="120"/>
        <w:gridCol w:w="617"/>
        <w:gridCol w:w="36"/>
        <w:gridCol w:w="36"/>
        <w:gridCol w:w="36"/>
        <w:gridCol w:w="36"/>
        <w:gridCol w:w="120"/>
        <w:gridCol w:w="618"/>
        <w:gridCol w:w="36"/>
        <w:gridCol w:w="36"/>
        <w:gridCol w:w="36"/>
        <w:gridCol w:w="36"/>
        <w:gridCol w:w="53"/>
        <w:gridCol w:w="578"/>
        <w:gridCol w:w="22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584FB3" w14:paraId="40CB25E4" w14:textId="77777777">
        <w:tc>
          <w:tcPr>
            <w:tcW w:w="50" w:type="pct"/>
            <w:shd w:val="clear" w:color="auto" w:fill="auto"/>
          </w:tcPr>
          <w:p w14:paraId="40CB25C4" w14:textId="77777777" w:rsidR="00584FB3" w:rsidRDefault="00584FB3">
            <w:pPr>
              <w:rPr>
                <w:rFonts w:ascii="宋体"/>
              </w:rPr>
            </w:pPr>
          </w:p>
        </w:tc>
        <w:tc>
          <w:tcPr>
            <w:tcW w:w="2664" w:type="pct"/>
            <w:shd w:val="clear" w:color="auto" w:fill="auto"/>
          </w:tcPr>
          <w:p w14:paraId="40CB25C5" w14:textId="77777777" w:rsidR="00584FB3" w:rsidRDefault="00584FB3">
            <w:pPr>
              <w:rPr>
                <w:rFonts w:ascii="宋体"/>
              </w:rPr>
            </w:pPr>
          </w:p>
        </w:tc>
        <w:tc>
          <w:tcPr>
            <w:tcW w:w="5" w:type="pct"/>
            <w:shd w:val="clear" w:color="auto" w:fill="auto"/>
          </w:tcPr>
          <w:p w14:paraId="40CB25C6" w14:textId="77777777" w:rsidR="00584FB3" w:rsidRDefault="00584FB3">
            <w:pPr>
              <w:rPr>
                <w:rFonts w:ascii="宋体"/>
              </w:rPr>
            </w:pPr>
          </w:p>
        </w:tc>
        <w:tc>
          <w:tcPr>
            <w:tcW w:w="50" w:type="pct"/>
            <w:shd w:val="clear" w:color="auto" w:fill="auto"/>
          </w:tcPr>
          <w:p w14:paraId="40CB25C7" w14:textId="77777777" w:rsidR="00584FB3" w:rsidRDefault="00584FB3">
            <w:pPr>
              <w:rPr>
                <w:rFonts w:ascii="宋体"/>
              </w:rPr>
            </w:pPr>
          </w:p>
        </w:tc>
        <w:tc>
          <w:tcPr>
            <w:tcW w:w="487" w:type="pct"/>
            <w:shd w:val="clear" w:color="auto" w:fill="auto"/>
          </w:tcPr>
          <w:p w14:paraId="40CB25C8" w14:textId="77777777" w:rsidR="00584FB3" w:rsidRDefault="00584FB3">
            <w:pPr>
              <w:rPr>
                <w:rFonts w:ascii="宋体"/>
              </w:rPr>
            </w:pPr>
          </w:p>
        </w:tc>
        <w:tc>
          <w:tcPr>
            <w:tcW w:w="5" w:type="pct"/>
            <w:shd w:val="clear" w:color="auto" w:fill="auto"/>
          </w:tcPr>
          <w:p w14:paraId="40CB25C9" w14:textId="77777777" w:rsidR="00584FB3" w:rsidRDefault="00584FB3">
            <w:pPr>
              <w:rPr>
                <w:rFonts w:ascii="宋体"/>
              </w:rPr>
            </w:pPr>
          </w:p>
        </w:tc>
        <w:tc>
          <w:tcPr>
            <w:tcW w:w="5" w:type="pct"/>
            <w:shd w:val="clear" w:color="auto" w:fill="auto"/>
          </w:tcPr>
          <w:p w14:paraId="40CB25CA" w14:textId="77777777" w:rsidR="00584FB3" w:rsidRDefault="00584FB3">
            <w:pPr>
              <w:rPr>
                <w:rFonts w:ascii="宋体"/>
              </w:rPr>
            </w:pPr>
          </w:p>
        </w:tc>
        <w:tc>
          <w:tcPr>
            <w:tcW w:w="26" w:type="pct"/>
            <w:shd w:val="clear" w:color="auto" w:fill="auto"/>
          </w:tcPr>
          <w:p w14:paraId="40CB25CB" w14:textId="77777777" w:rsidR="00584FB3" w:rsidRDefault="00584FB3">
            <w:pPr>
              <w:rPr>
                <w:rFonts w:ascii="宋体"/>
              </w:rPr>
            </w:pPr>
          </w:p>
        </w:tc>
        <w:tc>
          <w:tcPr>
            <w:tcW w:w="5" w:type="pct"/>
            <w:shd w:val="clear" w:color="auto" w:fill="auto"/>
          </w:tcPr>
          <w:p w14:paraId="40CB25CC" w14:textId="77777777" w:rsidR="00584FB3" w:rsidRDefault="00584FB3">
            <w:pPr>
              <w:rPr>
                <w:rFonts w:ascii="宋体"/>
              </w:rPr>
            </w:pPr>
          </w:p>
        </w:tc>
        <w:tc>
          <w:tcPr>
            <w:tcW w:w="50" w:type="pct"/>
            <w:shd w:val="clear" w:color="auto" w:fill="auto"/>
          </w:tcPr>
          <w:p w14:paraId="40CB25CD" w14:textId="77777777" w:rsidR="00584FB3" w:rsidRDefault="00584FB3">
            <w:pPr>
              <w:rPr>
                <w:rFonts w:ascii="宋体"/>
              </w:rPr>
            </w:pPr>
          </w:p>
        </w:tc>
        <w:tc>
          <w:tcPr>
            <w:tcW w:w="487" w:type="pct"/>
            <w:shd w:val="clear" w:color="auto" w:fill="auto"/>
          </w:tcPr>
          <w:p w14:paraId="40CB25CE" w14:textId="77777777" w:rsidR="00584FB3" w:rsidRDefault="00584FB3">
            <w:pPr>
              <w:rPr>
                <w:rFonts w:ascii="宋体"/>
              </w:rPr>
            </w:pPr>
          </w:p>
        </w:tc>
        <w:tc>
          <w:tcPr>
            <w:tcW w:w="5" w:type="pct"/>
            <w:shd w:val="clear" w:color="auto" w:fill="auto"/>
          </w:tcPr>
          <w:p w14:paraId="40CB25CF" w14:textId="77777777" w:rsidR="00584FB3" w:rsidRDefault="00584FB3">
            <w:pPr>
              <w:rPr>
                <w:rFonts w:ascii="宋体"/>
              </w:rPr>
            </w:pPr>
          </w:p>
        </w:tc>
        <w:tc>
          <w:tcPr>
            <w:tcW w:w="5" w:type="pct"/>
            <w:shd w:val="clear" w:color="auto" w:fill="auto"/>
          </w:tcPr>
          <w:p w14:paraId="40CB25D0" w14:textId="77777777" w:rsidR="00584FB3" w:rsidRDefault="00584FB3">
            <w:pPr>
              <w:rPr>
                <w:rFonts w:ascii="宋体"/>
              </w:rPr>
            </w:pPr>
          </w:p>
        </w:tc>
        <w:tc>
          <w:tcPr>
            <w:tcW w:w="26" w:type="pct"/>
            <w:shd w:val="clear" w:color="auto" w:fill="auto"/>
          </w:tcPr>
          <w:p w14:paraId="40CB25D1" w14:textId="77777777" w:rsidR="00584FB3" w:rsidRDefault="00584FB3">
            <w:pPr>
              <w:rPr>
                <w:rFonts w:ascii="宋体"/>
              </w:rPr>
            </w:pPr>
          </w:p>
        </w:tc>
        <w:tc>
          <w:tcPr>
            <w:tcW w:w="5" w:type="pct"/>
            <w:shd w:val="clear" w:color="auto" w:fill="auto"/>
          </w:tcPr>
          <w:p w14:paraId="40CB25D2" w14:textId="77777777" w:rsidR="00584FB3" w:rsidRDefault="00584FB3">
            <w:pPr>
              <w:rPr>
                <w:rFonts w:ascii="宋体"/>
              </w:rPr>
            </w:pPr>
          </w:p>
        </w:tc>
        <w:tc>
          <w:tcPr>
            <w:tcW w:w="50" w:type="pct"/>
            <w:shd w:val="clear" w:color="auto" w:fill="auto"/>
          </w:tcPr>
          <w:p w14:paraId="40CB25D3" w14:textId="77777777" w:rsidR="00584FB3" w:rsidRDefault="00584FB3">
            <w:pPr>
              <w:rPr>
                <w:rFonts w:ascii="宋体"/>
              </w:rPr>
            </w:pPr>
          </w:p>
        </w:tc>
        <w:tc>
          <w:tcPr>
            <w:tcW w:w="487" w:type="pct"/>
            <w:shd w:val="clear" w:color="auto" w:fill="auto"/>
          </w:tcPr>
          <w:p w14:paraId="40CB25D4" w14:textId="77777777" w:rsidR="00584FB3" w:rsidRDefault="00584FB3">
            <w:pPr>
              <w:rPr>
                <w:rFonts w:ascii="宋体"/>
              </w:rPr>
            </w:pPr>
          </w:p>
        </w:tc>
        <w:tc>
          <w:tcPr>
            <w:tcW w:w="5" w:type="pct"/>
            <w:shd w:val="clear" w:color="auto" w:fill="auto"/>
          </w:tcPr>
          <w:p w14:paraId="40CB25D5" w14:textId="77777777" w:rsidR="00584FB3" w:rsidRDefault="00584FB3">
            <w:pPr>
              <w:rPr>
                <w:rFonts w:ascii="宋体"/>
              </w:rPr>
            </w:pPr>
          </w:p>
        </w:tc>
        <w:tc>
          <w:tcPr>
            <w:tcW w:w="5" w:type="pct"/>
            <w:shd w:val="clear" w:color="auto" w:fill="auto"/>
          </w:tcPr>
          <w:p w14:paraId="40CB25D6" w14:textId="77777777" w:rsidR="00584FB3" w:rsidRDefault="00584FB3">
            <w:pPr>
              <w:rPr>
                <w:rFonts w:ascii="宋体"/>
              </w:rPr>
            </w:pPr>
          </w:p>
        </w:tc>
        <w:tc>
          <w:tcPr>
            <w:tcW w:w="26" w:type="pct"/>
            <w:shd w:val="clear" w:color="auto" w:fill="auto"/>
          </w:tcPr>
          <w:p w14:paraId="40CB25D7" w14:textId="77777777" w:rsidR="00584FB3" w:rsidRDefault="00584FB3">
            <w:pPr>
              <w:rPr>
                <w:rFonts w:ascii="宋体"/>
              </w:rPr>
            </w:pPr>
          </w:p>
        </w:tc>
        <w:tc>
          <w:tcPr>
            <w:tcW w:w="5" w:type="pct"/>
            <w:shd w:val="clear" w:color="auto" w:fill="auto"/>
          </w:tcPr>
          <w:p w14:paraId="40CB25D8" w14:textId="77777777" w:rsidR="00584FB3" w:rsidRDefault="00584FB3">
            <w:pPr>
              <w:rPr>
                <w:rFonts w:ascii="宋体"/>
              </w:rPr>
            </w:pPr>
          </w:p>
        </w:tc>
        <w:tc>
          <w:tcPr>
            <w:tcW w:w="50" w:type="pct"/>
            <w:shd w:val="clear" w:color="auto" w:fill="auto"/>
          </w:tcPr>
          <w:p w14:paraId="40CB25D9" w14:textId="77777777" w:rsidR="00584FB3" w:rsidRDefault="00584FB3">
            <w:pPr>
              <w:rPr>
                <w:rFonts w:ascii="宋体"/>
              </w:rPr>
            </w:pPr>
          </w:p>
        </w:tc>
        <w:tc>
          <w:tcPr>
            <w:tcW w:w="487" w:type="pct"/>
            <w:shd w:val="clear" w:color="auto" w:fill="auto"/>
          </w:tcPr>
          <w:p w14:paraId="40CB25DA" w14:textId="77777777" w:rsidR="00584FB3" w:rsidRDefault="00584FB3">
            <w:pPr>
              <w:rPr>
                <w:rFonts w:ascii="宋体"/>
              </w:rPr>
            </w:pPr>
          </w:p>
        </w:tc>
        <w:tc>
          <w:tcPr>
            <w:tcW w:w="5" w:type="pct"/>
            <w:shd w:val="clear" w:color="auto" w:fill="auto"/>
          </w:tcPr>
          <w:p w14:paraId="40CB25DB" w14:textId="77777777" w:rsidR="00584FB3" w:rsidRDefault="00584FB3">
            <w:pPr>
              <w:rPr>
                <w:rFonts w:ascii="宋体"/>
              </w:rPr>
            </w:pPr>
          </w:p>
        </w:tc>
        <w:tc>
          <w:tcPr>
            <w:tcW w:w="0" w:type="auto"/>
            <w:shd w:val="clear" w:color="auto" w:fill="auto"/>
          </w:tcPr>
          <w:p w14:paraId="40CB25DC" w14:textId="77777777" w:rsidR="00584FB3" w:rsidRDefault="00584FB3">
            <w:pPr>
              <w:rPr>
                <w:rFonts w:ascii="宋体"/>
                <w:vanish/>
              </w:rPr>
            </w:pPr>
          </w:p>
        </w:tc>
        <w:tc>
          <w:tcPr>
            <w:tcW w:w="0" w:type="auto"/>
            <w:shd w:val="clear" w:color="auto" w:fill="auto"/>
          </w:tcPr>
          <w:p w14:paraId="40CB25DD" w14:textId="77777777" w:rsidR="00584FB3" w:rsidRDefault="00584FB3">
            <w:pPr>
              <w:rPr>
                <w:rFonts w:ascii="宋体"/>
                <w:vanish/>
              </w:rPr>
            </w:pPr>
          </w:p>
        </w:tc>
        <w:tc>
          <w:tcPr>
            <w:tcW w:w="0" w:type="auto"/>
            <w:gridSpan w:val="3"/>
            <w:shd w:val="clear" w:color="auto" w:fill="auto"/>
          </w:tcPr>
          <w:p w14:paraId="40CB25DE" w14:textId="77777777" w:rsidR="00584FB3" w:rsidRDefault="00584FB3">
            <w:pPr>
              <w:rPr>
                <w:rFonts w:ascii="宋体"/>
                <w:vanish/>
              </w:rPr>
            </w:pPr>
          </w:p>
        </w:tc>
        <w:tc>
          <w:tcPr>
            <w:tcW w:w="0" w:type="auto"/>
            <w:gridSpan w:val="3"/>
            <w:shd w:val="clear" w:color="auto" w:fill="auto"/>
          </w:tcPr>
          <w:p w14:paraId="40CB25DF" w14:textId="77777777" w:rsidR="00584FB3" w:rsidRDefault="00584FB3">
            <w:pPr>
              <w:rPr>
                <w:rFonts w:ascii="宋体"/>
                <w:vanish/>
              </w:rPr>
            </w:pPr>
          </w:p>
        </w:tc>
        <w:tc>
          <w:tcPr>
            <w:tcW w:w="0" w:type="auto"/>
            <w:gridSpan w:val="3"/>
            <w:shd w:val="clear" w:color="auto" w:fill="auto"/>
          </w:tcPr>
          <w:p w14:paraId="40CB25E0" w14:textId="77777777" w:rsidR="00584FB3" w:rsidRDefault="00584FB3">
            <w:pPr>
              <w:rPr>
                <w:rFonts w:ascii="宋体"/>
                <w:vanish/>
              </w:rPr>
            </w:pPr>
          </w:p>
        </w:tc>
        <w:tc>
          <w:tcPr>
            <w:tcW w:w="0" w:type="auto"/>
            <w:gridSpan w:val="3"/>
            <w:shd w:val="clear" w:color="auto" w:fill="auto"/>
          </w:tcPr>
          <w:p w14:paraId="40CB25E1" w14:textId="77777777" w:rsidR="00584FB3" w:rsidRDefault="00584FB3">
            <w:pPr>
              <w:rPr>
                <w:rFonts w:ascii="宋体"/>
                <w:vanish/>
              </w:rPr>
            </w:pPr>
          </w:p>
        </w:tc>
        <w:tc>
          <w:tcPr>
            <w:tcW w:w="0" w:type="auto"/>
            <w:gridSpan w:val="3"/>
            <w:shd w:val="clear" w:color="auto" w:fill="auto"/>
          </w:tcPr>
          <w:p w14:paraId="40CB25E2" w14:textId="77777777" w:rsidR="00584FB3" w:rsidRDefault="00584FB3">
            <w:pPr>
              <w:rPr>
                <w:rFonts w:ascii="宋体"/>
                <w:vanish/>
              </w:rPr>
            </w:pPr>
          </w:p>
        </w:tc>
        <w:tc>
          <w:tcPr>
            <w:tcW w:w="0" w:type="auto"/>
            <w:gridSpan w:val="3"/>
            <w:shd w:val="clear" w:color="auto" w:fill="auto"/>
          </w:tcPr>
          <w:p w14:paraId="40CB25E3" w14:textId="77777777" w:rsidR="00584FB3" w:rsidRDefault="00584FB3">
            <w:pPr>
              <w:rPr>
                <w:rFonts w:ascii="宋体"/>
                <w:vanish/>
              </w:rPr>
            </w:pPr>
          </w:p>
        </w:tc>
      </w:tr>
      <w:tr w:rsidR="00584FB3" w14:paraId="40CB25FB" w14:textId="77777777">
        <w:tc>
          <w:tcPr>
            <w:tcW w:w="0" w:type="auto"/>
            <w:gridSpan w:val="3"/>
            <w:shd w:val="clear" w:color="auto" w:fill="auto"/>
            <w:tcMar>
              <w:top w:w="40" w:type="dxa"/>
              <w:left w:w="20" w:type="dxa"/>
              <w:bottom w:w="40" w:type="dxa"/>
              <w:right w:w="20" w:type="dxa"/>
            </w:tcMar>
            <w:vAlign w:val="bottom"/>
          </w:tcPr>
          <w:p w14:paraId="40CB25E5" w14:textId="77777777" w:rsidR="00584FB3" w:rsidRDefault="00786180">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40CB25E6"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shd w:val="clear" w:color="auto" w:fill="auto"/>
          </w:tcPr>
          <w:p w14:paraId="40CB25E7" w14:textId="77777777" w:rsidR="00584FB3" w:rsidRDefault="00584FB3">
            <w:pPr>
              <w:rPr>
                <w:rFonts w:ascii="宋体"/>
                <w:vanish/>
              </w:rPr>
            </w:pPr>
          </w:p>
        </w:tc>
        <w:tc>
          <w:tcPr>
            <w:tcW w:w="0" w:type="auto"/>
            <w:shd w:val="clear" w:color="auto" w:fill="auto"/>
          </w:tcPr>
          <w:p w14:paraId="40CB25E8" w14:textId="77777777" w:rsidR="00584FB3" w:rsidRDefault="00584FB3">
            <w:pPr>
              <w:rPr>
                <w:rFonts w:ascii="宋体"/>
                <w:vanish/>
              </w:rPr>
            </w:pPr>
          </w:p>
        </w:tc>
        <w:tc>
          <w:tcPr>
            <w:tcW w:w="0" w:type="auto"/>
            <w:shd w:val="clear" w:color="auto" w:fill="auto"/>
          </w:tcPr>
          <w:p w14:paraId="40CB25E9" w14:textId="77777777" w:rsidR="00584FB3" w:rsidRDefault="00584FB3">
            <w:pPr>
              <w:rPr>
                <w:rFonts w:ascii="宋体"/>
              </w:rPr>
            </w:pPr>
          </w:p>
        </w:tc>
        <w:tc>
          <w:tcPr>
            <w:tcW w:w="0" w:type="auto"/>
            <w:shd w:val="clear" w:color="auto" w:fill="auto"/>
          </w:tcPr>
          <w:p w14:paraId="40CB25EA" w14:textId="77777777" w:rsidR="00584FB3" w:rsidRDefault="00584FB3">
            <w:pPr>
              <w:rPr>
                <w:rFonts w:ascii="宋体"/>
              </w:rPr>
            </w:pPr>
          </w:p>
        </w:tc>
        <w:tc>
          <w:tcPr>
            <w:tcW w:w="0" w:type="auto"/>
            <w:shd w:val="clear" w:color="auto" w:fill="auto"/>
          </w:tcPr>
          <w:p w14:paraId="40CB25EB" w14:textId="77777777" w:rsidR="00584FB3" w:rsidRDefault="00584FB3">
            <w:pPr>
              <w:rPr>
                <w:rFonts w:ascii="宋体"/>
              </w:rPr>
            </w:pPr>
          </w:p>
        </w:tc>
        <w:tc>
          <w:tcPr>
            <w:tcW w:w="0" w:type="auto"/>
            <w:shd w:val="clear" w:color="auto" w:fill="auto"/>
          </w:tcPr>
          <w:p w14:paraId="40CB25EC" w14:textId="77777777" w:rsidR="00584FB3" w:rsidRDefault="00584FB3">
            <w:pPr>
              <w:rPr>
                <w:rFonts w:ascii="宋体"/>
              </w:rPr>
            </w:pPr>
          </w:p>
        </w:tc>
        <w:tc>
          <w:tcPr>
            <w:tcW w:w="0" w:type="auto"/>
            <w:shd w:val="clear" w:color="auto" w:fill="auto"/>
          </w:tcPr>
          <w:p w14:paraId="40CB25ED" w14:textId="77777777" w:rsidR="00584FB3" w:rsidRDefault="00584FB3">
            <w:pPr>
              <w:rPr>
                <w:rFonts w:ascii="宋体"/>
              </w:rPr>
            </w:pPr>
          </w:p>
        </w:tc>
        <w:tc>
          <w:tcPr>
            <w:tcW w:w="0" w:type="auto"/>
            <w:shd w:val="clear" w:color="auto" w:fill="auto"/>
          </w:tcPr>
          <w:p w14:paraId="40CB25EE" w14:textId="77777777" w:rsidR="00584FB3" w:rsidRDefault="00584FB3">
            <w:pPr>
              <w:rPr>
                <w:rFonts w:ascii="宋体"/>
              </w:rPr>
            </w:pPr>
          </w:p>
        </w:tc>
        <w:tc>
          <w:tcPr>
            <w:tcW w:w="0" w:type="auto"/>
            <w:shd w:val="clear" w:color="auto" w:fill="auto"/>
          </w:tcPr>
          <w:p w14:paraId="40CB25EF" w14:textId="77777777" w:rsidR="00584FB3" w:rsidRDefault="00584FB3">
            <w:pPr>
              <w:rPr>
                <w:rFonts w:ascii="宋体"/>
              </w:rPr>
            </w:pPr>
          </w:p>
        </w:tc>
        <w:tc>
          <w:tcPr>
            <w:tcW w:w="0" w:type="auto"/>
            <w:shd w:val="clear" w:color="auto" w:fill="auto"/>
          </w:tcPr>
          <w:p w14:paraId="40CB25F0" w14:textId="77777777" w:rsidR="00584FB3" w:rsidRDefault="00584FB3">
            <w:pPr>
              <w:rPr>
                <w:rFonts w:ascii="宋体"/>
              </w:rPr>
            </w:pPr>
          </w:p>
        </w:tc>
        <w:tc>
          <w:tcPr>
            <w:tcW w:w="0" w:type="auto"/>
            <w:shd w:val="clear" w:color="auto" w:fill="auto"/>
          </w:tcPr>
          <w:p w14:paraId="40CB25F1" w14:textId="77777777" w:rsidR="00584FB3" w:rsidRDefault="00584FB3">
            <w:pPr>
              <w:rPr>
                <w:rFonts w:ascii="宋体"/>
              </w:rPr>
            </w:pPr>
          </w:p>
        </w:tc>
        <w:tc>
          <w:tcPr>
            <w:tcW w:w="0" w:type="auto"/>
            <w:shd w:val="clear" w:color="auto" w:fill="auto"/>
          </w:tcPr>
          <w:p w14:paraId="40CB25F2" w14:textId="77777777" w:rsidR="00584FB3" w:rsidRDefault="00584FB3">
            <w:pPr>
              <w:rPr>
                <w:rFonts w:ascii="宋体"/>
              </w:rPr>
            </w:pPr>
          </w:p>
        </w:tc>
        <w:tc>
          <w:tcPr>
            <w:tcW w:w="0" w:type="auto"/>
            <w:shd w:val="clear" w:color="auto" w:fill="auto"/>
          </w:tcPr>
          <w:p w14:paraId="40CB25F3" w14:textId="77777777" w:rsidR="00584FB3" w:rsidRDefault="00584FB3">
            <w:pPr>
              <w:rPr>
                <w:rFonts w:ascii="宋体"/>
              </w:rPr>
            </w:pPr>
          </w:p>
        </w:tc>
        <w:tc>
          <w:tcPr>
            <w:tcW w:w="0" w:type="auto"/>
            <w:shd w:val="clear" w:color="auto" w:fill="auto"/>
          </w:tcPr>
          <w:p w14:paraId="40CB25F4" w14:textId="77777777" w:rsidR="00584FB3" w:rsidRDefault="00584FB3">
            <w:pPr>
              <w:rPr>
                <w:rFonts w:ascii="宋体"/>
              </w:rPr>
            </w:pPr>
          </w:p>
        </w:tc>
        <w:tc>
          <w:tcPr>
            <w:tcW w:w="0" w:type="auto"/>
            <w:shd w:val="clear" w:color="auto" w:fill="auto"/>
          </w:tcPr>
          <w:p w14:paraId="40CB25F5" w14:textId="77777777" w:rsidR="00584FB3" w:rsidRDefault="00584FB3">
            <w:pPr>
              <w:rPr>
                <w:rFonts w:ascii="宋体"/>
              </w:rPr>
            </w:pPr>
          </w:p>
        </w:tc>
        <w:tc>
          <w:tcPr>
            <w:tcW w:w="0" w:type="auto"/>
            <w:shd w:val="clear" w:color="auto" w:fill="auto"/>
          </w:tcPr>
          <w:p w14:paraId="40CB25F6" w14:textId="77777777" w:rsidR="00584FB3" w:rsidRDefault="00584FB3">
            <w:pPr>
              <w:rPr>
                <w:rFonts w:ascii="宋体"/>
              </w:rPr>
            </w:pPr>
          </w:p>
        </w:tc>
        <w:tc>
          <w:tcPr>
            <w:tcW w:w="0" w:type="auto"/>
            <w:shd w:val="clear" w:color="auto" w:fill="auto"/>
          </w:tcPr>
          <w:p w14:paraId="40CB25F7" w14:textId="77777777" w:rsidR="00584FB3" w:rsidRDefault="00584FB3">
            <w:pPr>
              <w:rPr>
                <w:rFonts w:ascii="宋体"/>
              </w:rPr>
            </w:pPr>
          </w:p>
        </w:tc>
        <w:tc>
          <w:tcPr>
            <w:tcW w:w="0" w:type="auto"/>
            <w:shd w:val="clear" w:color="auto" w:fill="auto"/>
          </w:tcPr>
          <w:p w14:paraId="40CB25F8" w14:textId="77777777" w:rsidR="00584FB3" w:rsidRDefault="00584FB3">
            <w:pPr>
              <w:rPr>
                <w:rFonts w:ascii="宋体"/>
              </w:rPr>
            </w:pPr>
          </w:p>
        </w:tc>
        <w:tc>
          <w:tcPr>
            <w:tcW w:w="0" w:type="auto"/>
            <w:shd w:val="clear" w:color="auto" w:fill="auto"/>
          </w:tcPr>
          <w:p w14:paraId="40CB25F9" w14:textId="77777777" w:rsidR="00584FB3" w:rsidRDefault="00584FB3">
            <w:pPr>
              <w:rPr>
                <w:rFonts w:ascii="宋体"/>
              </w:rPr>
            </w:pPr>
          </w:p>
        </w:tc>
        <w:tc>
          <w:tcPr>
            <w:tcW w:w="0" w:type="auto"/>
            <w:shd w:val="clear" w:color="auto" w:fill="auto"/>
          </w:tcPr>
          <w:p w14:paraId="40CB25FA" w14:textId="77777777" w:rsidR="00584FB3" w:rsidRDefault="00584FB3">
            <w:pPr>
              <w:rPr>
                <w:rFonts w:ascii="宋体"/>
              </w:rPr>
            </w:pPr>
          </w:p>
        </w:tc>
      </w:tr>
      <w:tr w:rsidR="00584FB3" w14:paraId="40CB260E" w14:textId="77777777">
        <w:tc>
          <w:tcPr>
            <w:tcW w:w="0" w:type="auto"/>
            <w:gridSpan w:val="3"/>
            <w:shd w:val="clear" w:color="auto" w:fill="auto"/>
            <w:tcMar>
              <w:top w:w="40" w:type="dxa"/>
              <w:left w:w="20" w:type="dxa"/>
              <w:bottom w:w="40" w:type="dxa"/>
              <w:right w:w="20" w:type="dxa"/>
            </w:tcMar>
            <w:vAlign w:val="bottom"/>
          </w:tcPr>
          <w:p w14:paraId="40CB25FC"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0CB25FD"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5FE"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5FF"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2600"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601" w14:textId="77777777" w:rsidR="00584FB3" w:rsidRDefault="00786180">
            <w:pPr>
              <w:jc w:val="center"/>
              <w:textAlignment w:val="bottom"/>
            </w:pPr>
            <w:r>
              <w:rPr>
                <w:rFonts w:ascii="Times New Roman" w:eastAsia="宋体" w:hAnsi="Times New Roman"/>
                <w:b/>
                <w:bCs/>
                <w:color w:val="FFFFFF"/>
                <w:sz w:val="16"/>
                <w:szCs w:val="16"/>
              </w:rPr>
              <w:t>$</w:t>
            </w:r>
          </w:p>
          <w:p w14:paraId="40CB2602"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40CB2603"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604" w14:textId="77777777" w:rsidR="00584FB3" w:rsidRDefault="00786180">
            <w:pPr>
              <w:jc w:val="center"/>
              <w:textAlignment w:val="bottom"/>
            </w:pPr>
            <w:r>
              <w:rPr>
                <w:rFonts w:ascii="Times New Roman" w:eastAsia="宋体" w:hAnsi="Times New Roman"/>
                <w:b/>
                <w:bCs/>
                <w:color w:val="FFFFFF"/>
                <w:sz w:val="16"/>
                <w:szCs w:val="16"/>
              </w:rPr>
              <w:t>%</w:t>
            </w:r>
          </w:p>
          <w:p w14:paraId="40CB2605" w14:textId="77777777" w:rsidR="00584FB3" w:rsidRDefault="00786180">
            <w:pPr>
              <w:jc w:val="center"/>
              <w:textAlignment w:val="bottom"/>
            </w:pPr>
            <w:r>
              <w:rPr>
                <w:rFonts w:ascii="Times New Roman" w:eastAsia="宋体" w:hAnsi="Times New Roman"/>
                <w:b/>
                <w:bCs/>
                <w:color w:val="FFFFFF"/>
                <w:sz w:val="16"/>
                <w:szCs w:val="16"/>
              </w:rPr>
              <w:t>Change</w:t>
            </w:r>
          </w:p>
        </w:tc>
        <w:tc>
          <w:tcPr>
            <w:tcW w:w="0" w:type="auto"/>
            <w:shd w:val="clear" w:color="auto" w:fill="auto"/>
          </w:tcPr>
          <w:p w14:paraId="40CB2606" w14:textId="77777777" w:rsidR="00584FB3" w:rsidRDefault="00584FB3">
            <w:pPr>
              <w:rPr>
                <w:rFonts w:ascii="宋体"/>
                <w:vanish/>
              </w:rPr>
            </w:pPr>
          </w:p>
        </w:tc>
        <w:tc>
          <w:tcPr>
            <w:tcW w:w="0" w:type="auto"/>
            <w:shd w:val="clear" w:color="auto" w:fill="auto"/>
          </w:tcPr>
          <w:p w14:paraId="40CB2607" w14:textId="77777777" w:rsidR="00584FB3" w:rsidRDefault="00584FB3">
            <w:pPr>
              <w:rPr>
                <w:rFonts w:ascii="宋体"/>
                <w:vanish/>
              </w:rPr>
            </w:pPr>
          </w:p>
        </w:tc>
        <w:tc>
          <w:tcPr>
            <w:tcW w:w="0" w:type="auto"/>
            <w:gridSpan w:val="3"/>
            <w:shd w:val="clear" w:color="auto" w:fill="auto"/>
          </w:tcPr>
          <w:p w14:paraId="40CB2608" w14:textId="77777777" w:rsidR="00584FB3" w:rsidRDefault="00584FB3">
            <w:pPr>
              <w:rPr>
                <w:rFonts w:ascii="宋体"/>
                <w:vanish/>
              </w:rPr>
            </w:pPr>
          </w:p>
        </w:tc>
        <w:tc>
          <w:tcPr>
            <w:tcW w:w="0" w:type="auto"/>
            <w:gridSpan w:val="3"/>
            <w:shd w:val="clear" w:color="auto" w:fill="auto"/>
          </w:tcPr>
          <w:p w14:paraId="40CB2609" w14:textId="77777777" w:rsidR="00584FB3" w:rsidRDefault="00584FB3">
            <w:pPr>
              <w:rPr>
                <w:rFonts w:ascii="宋体"/>
                <w:vanish/>
              </w:rPr>
            </w:pPr>
          </w:p>
        </w:tc>
        <w:tc>
          <w:tcPr>
            <w:tcW w:w="0" w:type="auto"/>
            <w:gridSpan w:val="3"/>
            <w:shd w:val="clear" w:color="auto" w:fill="auto"/>
          </w:tcPr>
          <w:p w14:paraId="40CB260A" w14:textId="77777777" w:rsidR="00584FB3" w:rsidRDefault="00584FB3">
            <w:pPr>
              <w:rPr>
                <w:rFonts w:ascii="宋体"/>
                <w:vanish/>
              </w:rPr>
            </w:pPr>
          </w:p>
        </w:tc>
        <w:tc>
          <w:tcPr>
            <w:tcW w:w="0" w:type="auto"/>
            <w:gridSpan w:val="3"/>
            <w:shd w:val="clear" w:color="auto" w:fill="auto"/>
          </w:tcPr>
          <w:p w14:paraId="40CB260B" w14:textId="77777777" w:rsidR="00584FB3" w:rsidRDefault="00584FB3">
            <w:pPr>
              <w:rPr>
                <w:rFonts w:ascii="宋体"/>
                <w:vanish/>
              </w:rPr>
            </w:pPr>
          </w:p>
        </w:tc>
        <w:tc>
          <w:tcPr>
            <w:tcW w:w="0" w:type="auto"/>
            <w:gridSpan w:val="3"/>
            <w:shd w:val="clear" w:color="auto" w:fill="auto"/>
          </w:tcPr>
          <w:p w14:paraId="40CB260C" w14:textId="77777777" w:rsidR="00584FB3" w:rsidRDefault="00584FB3">
            <w:pPr>
              <w:rPr>
                <w:rFonts w:ascii="宋体"/>
                <w:vanish/>
              </w:rPr>
            </w:pPr>
          </w:p>
        </w:tc>
        <w:tc>
          <w:tcPr>
            <w:tcW w:w="0" w:type="auto"/>
            <w:gridSpan w:val="3"/>
            <w:shd w:val="clear" w:color="auto" w:fill="auto"/>
          </w:tcPr>
          <w:p w14:paraId="40CB260D" w14:textId="77777777" w:rsidR="00584FB3" w:rsidRDefault="00584FB3">
            <w:pPr>
              <w:rPr>
                <w:rFonts w:ascii="宋体"/>
                <w:vanish/>
              </w:rPr>
            </w:pPr>
          </w:p>
        </w:tc>
      </w:tr>
      <w:tr w:rsidR="00584FB3" w14:paraId="40CB261F" w14:textId="77777777">
        <w:tc>
          <w:tcPr>
            <w:tcW w:w="0" w:type="auto"/>
            <w:gridSpan w:val="3"/>
            <w:shd w:val="clear" w:color="auto" w:fill="D7E4BC"/>
            <w:tcMar>
              <w:top w:w="40" w:type="dxa"/>
              <w:left w:w="20" w:type="dxa"/>
              <w:bottom w:w="40" w:type="dxa"/>
              <w:right w:w="20" w:type="dxa"/>
            </w:tcMar>
          </w:tcPr>
          <w:p w14:paraId="40CB260F" w14:textId="77777777" w:rsidR="00584FB3" w:rsidRDefault="00786180">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tcPr>
          <w:p w14:paraId="40CB261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611"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61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613"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614"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615"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616" w14:textId="77777777" w:rsidR="00584FB3" w:rsidRDefault="00584FB3">
            <w:pPr>
              <w:rPr>
                <w:rFonts w:ascii="宋体"/>
              </w:rPr>
            </w:pPr>
          </w:p>
        </w:tc>
        <w:tc>
          <w:tcPr>
            <w:tcW w:w="0" w:type="auto"/>
            <w:shd w:val="clear" w:color="auto" w:fill="auto"/>
          </w:tcPr>
          <w:p w14:paraId="40CB2617" w14:textId="77777777" w:rsidR="00584FB3" w:rsidRDefault="00584FB3">
            <w:pPr>
              <w:rPr>
                <w:rFonts w:ascii="宋体"/>
                <w:vanish/>
              </w:rPr>
            </w:pPr>
          </w:p>
        </w:tc>
        <w:tc>
          <w:tcPr>
            <w:tcW w:w="0" w:type="auto"/>
            <w:shd w:val="clear" w:color="auto" w:fill="auto"/>
          </w:tcPr>
          <w:p w14:paraId="40CB2618" w14:textId="77777777" w:rsidR="00584FB3" w:rsidRDefault="00584FB3">
            <w:pPr>
              <w:rPr>
                <w:rFonts w:ascii="宋体"/>
                <w:vanish/>
              </w:rPr>
            </w:pPr>
          </w:p>
        </w:tc>
        <w:tc>
          <w:tcPr>
            <w:tcW w:w="0" w:type="auto"/>
            <w:gridSpan w:val="3"/>
            <w:shd w:val="clear" w:color="auto" w:fill="auto"/>
          </w:tcPr>
          <w:p w14:paraId="40CB2619" w14:textId="77777777" w:rsidR="00584FB3" w:rsidRDefault="00584FB3">
            <w:pPr>
              <w:rPr>
                <w:rFonts w:ascii="宋体"/>
                <w:vanish/>
              </w:rPr>
            </w:pPr>
          </w:p>
        </w:tc>
        <w:tc>
          <w:tcPr>
            <w:tcW w:w="0" w:type="auto"/>
            <w:gridSpan w:val="3"/>
            <w:shd w:val="clear" w:color="auto" w:fill="auto"/>
          </w:tcPr>
          <w:p w14:paraId="40CB261A" w14:textId="77777777" w:rsidR="00584FB3" w:rsidRDefault="00584FB3">
            <w:pPr>
              <w:rPr>
                <w:rFonts w:ascii="宋体"/>
                <w:vanish/>
              </w:rPr>
            </w:pPr>
          </w:p>
        </w:tc>
        <w:tc>
          <w:tcPr>
            <w:tcW w:w="0" w:type="auto"/>
            <w:gridSpan w:val="3"/>
            <w:shd w:val="clear" w:color="auto" w:fill="auto"/>
          </w:tcPr>
          <w:p w14:paraId="40CB261B" w14:textId="77777777" w:rsidR="00584FB3" w:rsidRDefault="00584FB3">
            <w:pPr>
              <w:rPr>
                <w:rFonts w:ascii="宋体"/>
                <w:vanish/>
              </w:rPr>
            </w:pPr>
          </w:p>
        </w:tc>
        <w:tc>
          <w:tcPr>
            <w:tcW w:w="0" w:type="auto"/>
            <w:gridSpan w:val="3"/>
            <w:shd w:val="clear" w:color="auto" w:fill="auto"/>
          </w:tcPr>
          <w:p w14:paraId="40CB261C" w14:textId="77777777" w:rsidR="00584FB3" w:rsidRDefault="00584FB3">
            <w:pPr>
              <w:rPr>
                <w:rFonts w:ascii="宋体"/>
                <w:vanish/>
              </w:rPr>
            </w:pPr>
          </w:p>
        </w:tc>
        <w:tc>
          <w:tcPr>
            <w:tcW w:w="0" w:type="auto"/>
            <w:gridSpan w:val="3"/>
            <w:shd w:val="clear" w:color="auto" w:fill="auto"/>
          </w:tcPr>
          <w:p w14:paraId="40CB261D" w14:textId="77777777" w:rsidR="00584FB3" w:rsidRDefault="00584FB3">
            <w:pPr>
              <w:rPr>
                <w:rFonts w:ascii="宋体"/>
                <w:vanish/>
              </w:rPr>
            </w:pPr>
          </w:p>
        </w:tc>
        <w:tc>
          <w:tcPr>
            <w:tcW w:w="0" w:type="auto"/>
            <w:gridSpan w:val="3"/>
            <w:shd w:val="clear" w:color="auto" w:fill="auto"/>
          </w:tcPr>
          <w:p w14:paraId="40CB261E" w14:textId="77777777" w:rsidR="00584FB3" w:rsidRDefault="00584FB3">
            <w:pPr>
              <w:rPr>
                <w:rFonts w:ascii="宋体"/>
                <w:vanish/>
              </w:rPr>
            </w:pPr>
          </w:p>
        </w:tc>
      </w:tr>
      <w:tr w:rsidR="00584FB3" w14:paraId="40CB2630" w14:textId="77777777">
        <w:trPr>
          <w:hidden/>
        </w:trPr>
        <w:tc>
          <w:tcPr>
            <w:tcW w:w="0" w:type="auto"/>
            <w:gridSpan w:val="3"/>
            <w:shd w:val="clear" w:color="auto" w:fill="auto"/>
          </w:tcPr>
          <w:p w14:paraId="40CB2620" w14:textId="77777777" w:rsidR="00584FB3" w:rsidRDefault="00584FB3">
            <w:pPr>
              <w:rPr>
                <w:rFonts w:ascii="宋体"/>
                <w:vanish/>
              </w:rPr>
            </w:pPr>
          </w:p>
        </w:tc>
        <w:tc>
          <w:tcPr>
            <w:tcW w:w="0" w:type="auto"/>
            <w:gridSpan w:val="3"/>
            <w:shd w:val="clear" w:color="auto" w:fill="auto"/>
          </w:tcPr>
          <w:p w14:paraId="40CB2621" w14:textId="77777777" w:rsidR="00584FB3" w:rsidRDefault="00584FB3">
            <w:pPr>
              <w:rPr>
                <w:rFonts w:ascii="宋体"/>
                <w:vanish/>
              </w:rPr>
            </w:pPr>
          </w:p>
        </w:tc>
        <w:tc>
          <w:tcPr>
            <w:tcW w:w="0" w:type="auto"/>
            <w:gridSpan w:val="3"/>
            <w:shd w:val="clear" w:color="auto" w:fill="auto"/>
          </w:tcPr>
          <w:p w14:paraId="40CB2622" w14:textId="77777777" w:rsidR="00584FB3" w:rsidRDefault="00584FB3">
            <w:pPr>
              <w:rPr>
                <w:rFonts w:ascii="宋体"/>
                <w:vanish/>
              </w:rPr>
            </w:pPr>
          </w:p>
        </w:tc>
        <w:tc>
          <w:tcPr>
            <w:tcW w:w="0" w:type="auto"/>
            <w:gridSpan w:val="3"/>
            <w:shd w:val="clear" w:color="auto" w:fill="auto"/>
          </w:tcPr>
          <w:p w14:paraId="40CB2623" w14:textId="77777777" w:rsidR="00584FB3" w:rsidRDefault="00584FB3">
            <w:pPr>
              <w:rPr>
                <w:rFonts w:ascii="宋体"/>
                <w:vanish/>
              </w:rPr>
            </w:pPr>
          </w:p>
        </w:tc>
        <w:tc>
          <w:tcPr>
            <w:tcW w:w="0" w:type="auto"/>
            <w:gridSpan w:val="3"/>
            <w:shd w:val="clear" w:color="auto" w:fill="auto"/>
          </w:tcPr>
          <w:p w14:paraId="40CB2624" w14:textId="77777777" w:rsidR="00584FB3" w:rsidRDefault="00584FB3">
            <w:pPr>
              <w:rPr>
                <w:rFonts w:ascii="宋体"/>
                <w:vanish/>
              </w:rPr>
            </w:pPr>
          </w:p>
        </w:tc>
        <w:tc>
          <w:tcPr>
            <w:tcW w:w="0" w:type="auto"/>
            <w:gridSpan w:val="3"/>
            <w:shd w:val="clear" w:color="auto" w:fill="auto"/>
          </w:tcPr>
          <w:p w14:paraId="40CB2625" w14:textId="77777777" w:rsidR="00584FB3" w:rsidRDefault="00584FB3">
            <w:pPr>
              <w:rPr>
                <w:rFonts w:ascii="宋体"/>
                <w:vanish/>
              </w:rPr>
            </w:pPr>
          </w:p>
        </w:tc>
        <w:tc>
          <w:tcPr>
            <w:tcW w:w="0" w:type="auto"/>
            <w:gridSpan w:val="3"/>
            <w:shd w:val="clear" w:color="auto" w:fill="auto"/>
          </w:tcPr>
          <w:p w14:paraId="40CB2626" w14:textId="77777777" w:rsidR="00584FB3" w:rsidRDefault="00584FB3">
            <w:pPr>
              <w:rPr>
                <w:rFonts w:ascii="宋体"/>
                <w:vanish/>
              </w:rPr>
            </w:pPr>
          </w:p>
        </w:tc>
        <w:tc>
          <w:tcPr>
            <w:tcW w:w="0" w:type="auto"/>
            <w:gridSpan w:val="3"/>
            <w:shd w:val="clear" w:color="auto" w:fill="auto"/>
          </w:tcPr>
          <w:p w14:paraId="40CB2627" w14:textId="77777777" w:rsidR="00584FB3" w:rsidRDefault="00584FB3">
            <w:pPr>
              <w:rPr>
                <w:rFonts w:ascii="宋体"/>
                <w:vanish/>
              </w:rPr>
            </w:pPr>
          </w:p>
        </w:tc>
        <w:tc>
          <w:tcPr>
            <w:tcW w:w="0" w:type="auto"/>
            <w:shd w:val="clear" w:color="auto" w:fill="auto"/>
          </w:tcPr>
          <w:p w14:paraId="40CB2628" w14:textId="77777777" w:rsidR="00584FB3" w:rsidRDefault="00584FB3">
            <w:pPr>
              <w:rPr>
                <w:rFonts w:ascii="宋体"/>
                <w:vanish/>
              </w:rPr>
            </w:pPr>
          </w:p>
        </w:tc>
        <w:tc>
          <w:tcPr>
            <w:tcW w:w="0" w:type="auto"/>
            <w:shd w:val="clear" w:color="auto" w:fill="auto"/>
          </w:tcPr>
          <w:p w14:paraId="40CB2629" w14:textId="77777777" w:rsidR="00584FB3" w:rsidRDefault="00584FB3">
            <w:pPr>
              <w:rPr>
                <w:rFonts w:ascii="宋体"/>
                <w:vanish/>
              </w:rPr>
            </w:pPr>
          </w:p>
        </w:tc>
        <w:tc>
          <w:tcPr>
            <w:tcW w:w="0" w:type="auto"/>
            <w:gridSpan w:val="3"/>
            <w:shd w:val="clear" w:color="auto" w:fill="auto"/>
          </w:tcPr>
          <w:p w14:paraId="40CB262A" w14:textId="77777777" w:rsidR="00584FB3" w:rsidRDefault="00584FB3">
            <w:pPr>
              <w:rPr>
                <w:rFonts w:ascii="宋体"/>
                <w:vanish/>
              </w:rPr>
            </w:pPr>
          </w:p>
        </w:tc>
        <w:tc>
          <w:tcPr>
            <w:tcW w:w="0" w:type="auto"/>
            <w:gridSpan w:val="3"/>
            <w:shd w:val="clear" w:color="auto" w:fill="auto"/>
          </w:tcPr>
          <w:p w14:paraId="40CB262B" w14:textId="77777777" w:rsidR="00584FB3" w:rsidRDefault="00584FB3">
            <w:pPr>
              <w:rPr>
                <w:rFonts w:ascii="宋体"/>
                <w:vanish/>
              </w:rPr>
            </w:pPr>
          </w:p>
        </w:tc>
        <w:tc>
          <w:tcPr>
            <w:tcW w:w="0" w:type="auto"/>
            <w:gridSpan w:val="3"/>
            <w:shd w:val="clear" w:color="auto" w:fill="auto"/>
          </w:tcPr>
          <w:p w14:paraId="40CB262C" w14:textId="77777777" w:rsidR="00584FB3" w:rsidRDefault="00584FB3">
            <w:pPr>
              <w:rPr>
                <w:rFonts w:ascii="宋体"/>
                <w:vanish/>
              </w:rPr>
            </w:pPr>
          </w:p>
        </w:tc>
        <w:tc>
          <w:tcPr>
            <w:tcW w:w="0" w:type="auto"/>
            <w:gridSpan w:val="3"/>
            <w:shd w:val="clear" w:color="auto" w:fill="auto"/>
          </w:tcPr>
          <w:p w14:paraId="40CB262D" w14:textId="77777777" w:rsidR="00584FB3" w:rsidRDefault="00584FB3">
            <w:pPr>
              <w:rPr>
                <w:rFonts w:ascii="宋体"/>
                <w:vanish/>
              </w:rPr>
            </w:pPr>
          </w:p>
        </w:tc>
        <w:tc>
          <w:tcPr>
            <w:tcW w:w="0" w:type="auto"/>
            <w:gridSpan w:val="3"/>
            <w:shd w:val="clear" w:color="auto" w:fill="auto"/>
          </w:tcPr>
          <w:p w14:paraId="40CB262E" w14:textId="77777777" w:rsidR="00584FB3" w:rsidRDefault="00584FB3">
            <w:pPr>
              <w:rPr>
                <w:rFonts w:ascii="宋体"/>
                <w:vanish/>
              </w:rPr>
            </w:pPr>
          </w:p>
        </w:tc>
        <w:tc>
          <w:tcPr>
            <w:tcW w:w="0" w:type="auto"/>
            <w:gridSpan w:val="3"/>
            <w:shd w:val="clear" w:color="auto" w:fill="auto"/>
          </w:tcPr>
          <w:p w14:paraId="40CB262F" w14:textId="77777777" w:rsidR="00584FB3" w:rsidRDefault="00584FB3">
            <w:pPr>
              <w:rPr>
                <w:rFonts w:ascii="宋体"/>
                <w:vanish/>
              </w:rPr>
            </w:pPr>
          </w:p>
        </w:tc>
      </w:tr>
      <w:tr w:rsidR="00584FB3" w14:paraId="40CB2641" w14:textId="77777777">
        <w:trPr>
          <w:hidden/>
        </w:trPr>
        <w:tc>
          <w:tcPr>
            <w:tcW w:w="0" w:type="auto"/>
            <w:gridSpan w:val="3"/>
            <w:shd w:val="clear" w:color="auto" w:fill="auto"/>
          </w:tcPr>
          <w:p w14:paraId="40CB2631" w14:textId="77777777" w:rsidR="00584FB3" w:rsidRDefault="00584FB3">
            <w:pPr>
              <w:rPr>
                <w:rFonts w:ascii="宋体"/>
                <w:vanish/>
              </w:rPr>
            </w:pPr>
          </w:p>
        </w:tc>
        <w:tc>
          <w:tcPr>
            <w:tcW w:w="0" w:type="auto"/>
            <w:gridSpan w:val="3"/>
            <w:shd w:val="clear" w:color="auto" w:fill="auto"/>
          </w:tcPr>
          <w:p w14:paraId="40CB2632" w14:textId="77777777" w:rsidR="00584FB3" w:rsidRDefault="00584FB3">
            <w:pPr>
              <w:rPr>
                <w:rFonts w:ascii="宋体"/>
                <w:vanish/>
              </w:rPr>
            </w:pPr>
          </w:p>
        </w:tc>
        <w:tc>
          <w:tcPr>
            <w:tcW w:w="0" w:type="auto"/>
            <w:gridSpan w:val="3"/>
            <w:shd w:val="clear" w:color="auto" w:fill="auto"/>
          </w:tcPr>
          <w:p w14:paraId="40CB2633" w14:textId="77777777" w:rsidR="00584FB3" w:rsidRDefault="00584FB3">
            <w:pPr>
              <w:rPr>
                <w:rFonts w:ascii="宋体"/>
                <w:vanish/>
              </w:rPr>
            </w:pPr>
          </w:p>
        </w:tc>
        <w:tc>
          <w:tcPr>
            <w:tcW w:w="0" w:type="auto"/>
            <w:gridSpan w:val="3"/>
            <w:shd w:val="clear" w:color="auto" w:fill="auto"/>
          </w:tcPr>
          <w:p w14:paraId="40CB2634" w14:textId="77777777" w:rsidR="00584FB3" w:rsidRDefault="00584FB3">
            <w:pPr>
              <w:rPr>
                <w:rFonts w:ascii="宋体"/>
                <w:vanish/>
              </w:rPr>
            </w:pPr>
          </w:p>
        </w:tc>
        <w:tc>
          <w:tcPr>
            <w:tcW w:w="0" w:type="auto"/>
            <w:gridSpan w:val="3"/>
            <w:shd w:val="clear" w:color="auto" w:fill="auto"/>
          </w:tcPr>
          <w:p w14:paraId="40CB2635" w14:textId="77777777" w:rsidR="00584FB3" w:rsidRDefault="00584FB3">
            <w:pPr>
              <w:rPr>
                <w:rFonts w:ascii="宋体"/>
                <w:vanish/>
              </w:rPr>
            </w:pPr>
          </w:p>
        </w:tc>
        <w:tc>
          <w:tcPr>
            <w:tcW w:w="0" w:type="auto"/>
            <w:gridSpan w:val="3"/>
            <w:shd w:val="clear" w:color="auto" w:fill="auto"/>
          </w:tcPr>
          <w:p w14:paraId="40CB2636" w14:textId="77777777" w:rsidR="00584FB3" w:rsidRDefault="00584FB3">
            <w:pPr>
              <w:rPr>
                <w:rFonts w:ascii="宋体"/>
                <w:vanish/>
              </w:rPr>
            </w:pPr>
          </w:p>
        </w:tc>
        <w:tc>
          <w:tcPr>
            <w:tcW w:w="0" w:type="auto"/>
            <w:gridSpan w:val="3"/>
            <w:shd w:val="clear" w:color="auto" w:fill="auto"/>
          </w:tcPr>
          <w:p w14:paraId="40CB2637" w14:textId="77777777" w:rsidR="00584FB3" w:rsidRDefault="00584FB3">
            <w:pPr>
              <w:rPr>
                <w:rFonts w:ascii="宋体"/>
                <w:vanish/>
              </w:rPr>
            </w:pPr>
          </w:p>
        </w:tc>
        <w:tc>
          <w:tcPr>
            <w:tcW w:w="0" w:type="auto"/>
            <w:gridSpan w:val="3"/>
            <w:shd w:val="clear" w:color="auto" w:fill="auto"/>
          </w:tcPr>
          <w:p w14:paraId="40CB2638" w14:textId="77777777" w:rsidR="00584FB3" w:rsidRDefault="00584FB3">
            <w:pPr>
              <w:rPr>
                <w:rFonts w:ascii="宋体"/>
                <w:vanish/>
              </w:rPr>
            </w:pPr>
          </w:p>
        </w:tc>
        <w:tc>
          <w:tcPr>
            <w:tcW w:w="0" w:type="auto"/>
            <w:shd w:val="clear" w:color="auto" w:fill="auto"/>
          </w:tcPr>
          <w:p w14:paraId="40CB2639" w14:textId="77777777" w:rsidR="00584FB3" w:rsidRDefault="00584FB3">
            <w:pPr>
              <w:rPr>
                <w:rFonts w:ascii="宋体"/>
                <w:vanish/>
              </w:rPr>
            </w:pPr>
          </w:p>
        </w:tc>
        <w:tc>
          <w:tcPr>
            <w:tcW w:w="0" w:type="auto"/>
            <w:shd w:val="clear" w:color="auto" w:fill="auto"/>
          </w:tcPr>
          <w:p w14:paraId="40CB263A" w14:textId="77777777" w:rsidR="00584FB3" w:rsidRDefault="00584FB3">
            <w:pPr>
              <w:rPr>
                <w:rFonts w:ascii="宋体"/>
                <w:vanish/>
              </w:rPr>
            </w:pPr>
          </w:p>
        </w:tc>
        <w:tc>
          <w:tcPr>
            <w:tcW w:w="0" w:type="auto"/>
            <w:gridSpan w:val="3"/>
            <w:shd w:val="clear" w:color="auto" w:fill="auto"/>
          </w:tcPr>
          <w:p w14:paraId="40CB263B" w14:textId="77777777" w:rsidR="00584FB3" w:rsidRDefault="00584FB3">
            <w:pPr>
              <w:rPr>
                <w:rFonts w:ascii="宋体"/>
                <w:vanish/>
              </w:rPr>
            </w:pPr>
          </w:p>
        </w:tc>
        <w:tc>
          <w:tcPr>
            <w:tcW w:w="0" w:type="auto"/>
            <w:gridSpan w:val="3"/>
            <w:shd w:val="clear" w:color="auto" w:fill="auto"/>
          </w:tcPr>
          <w:p w14:paraId="40CB263C" w14:textId="77777777" w:rsidR="00584FB3" w:rsidRDefault="00584FB3">
            <w:pPr>
              <w:rPr>
                <w:rFonts w:ascii="宋体"/>
                <w:vanish/>
              </w:rPr>
            </w:pPr>
          </w:p>
        </w:tc>
        <w:tc>
          <w:tcPr>
            <w:tcW w:w="0" w:type="auto"/>
            <w:gridSpan w:val="3"/>
            <w:shd w:val="clear" w:color="auto" w:fill="auto"/>
          </w:tcPr>
          <w:p w14:paraId="40CB263D" w14:textId="77777777" w:rsidR="00584FB3" w:rsidRDefault="00584FB3">
            <w:pPr>
              <w:rPr>
                <w:rFonts w:ascii="宋体"/>
                <w:vanish/>
              </w:rPr>
            </w:pPr>
          </w:p>
        </w:tc>
        <w:tc>
          <w:tcPr>
            <w:tcW w:w="0" w:type="auto"/>
            <w:gridSpan w:val="3"/>
            <w:shd w:val="clear" w:color="auto" w:fill="auto"/>
          </w:tcPr>
          <w:p w14:paraId="40CB263E" w14:textId="77777777" w:rsidR="00584FB3" w:rsidRDefault="00584FB3">
            <w:pPr>
              <w:rPr>
                <w:rFonts w:ascii="宋体"/>
                <w:vanish/>
              </w:rPr>
            </w:pPr>
          </w:p>
        </w:tc>
        <w:tc>
          <w:tcPr>
            <w:tcW w:w="0" w:type="auto"/>
            <w:gridSpan w:val="3"/>
            <w:shd w:val="clear" w:color="auto" w:fill="auto"/>
          </w:tcPr>
          <w:p w14:paraId="40CB263F" w14:textId="77777777" w:rsidR="00584FB3" w:rsidRDefault="00584FB3">
            <w:pPr>
              <w:rPr>
                <w:rFonts w:ascii="宋体"/>
                <w:vanish/>
              </w:rPr>
            </w:pPr>
          </w:p>
        </w:tc>
        <w:tc>
          <w:tcPr>
            <w:tcW w:w="0" w:type="auto"/>
            <w:gridSpan w:val="3"/>
            <w:shd w:val="clear" w:color="auto" w:fill="auto"/>
          </w:tcPr>
          <w:p w14:paraId="40CB2640" w14:textId="77777777" w:rsidR="00584FB3" w:rsidRDefault="00584FB3">
            <w:pPr>
              <w:rPr>
                <w:rFonts w:ascii="宋体"/>
                <w:vanish/>
              </w:rPr>
            </w:pPr>
          </w:p>
        </w:tc>
      </w:tr>
      <w:tr w:rsidR="00584FB3" w14:paraId="40CB2659" w14:textId="77777777">
        <w:tc>
          <w:tcPr>
            <w:tcW w:w="0" w:type="auto"/>
            <w:gridSpan w:val="3"/>
            <w:shd w:val="clear" w:color="auto" w:fill="FFFFFF"/>
            <w:tcMar>
              <w:top w:w="40" w:type="dxa"/>
              <w:left w:w="155" w:type="dxa"/>
              <w:bottom w:w="40" w:type="dxa"/>
              <w:right w:w="20" w:type="dxa"/>
            </w:tcMar>
          </w:tcPr>
          <w:p w14:paraId="40CB2642" w14:textId="77777777" w:rsidR="00584FB3" w:rsidRDefault="00786180">
            <w:pPr>
              <w:textAlignment w:val="top"/>
            </w:pPr>
            <w:r>
              <w:rPr>
                <w:rFonts w:ascii="Times New Roman" w:eastAsia="宋体" w:hAnsi="Times New Roman"/>
                <w:color w:val="000000"/>
                <w:sz w:val="20"/>
                <w:szCs w:val="20"/>
              </w:rPr>
              <w:t>Other</w:t>
            </w:r>
          </w:p>
        </w:tc>
        <w:tc>
          <w:tcPr>
            <w:tcW w:w="0" w:type="auto"/>
            <w:shd w:val="clear" w:color="auto" w:fill="FFFFFF"/>
            <w:tcMar>
              <w:top w:w="40" w:type="dxa"/>
              <w:left w:w="20" w:type="dxa"/>
              <w:bottom w:w="40" w:type="dxa"/>
              <w:right w:w="0" w:type="dxa"/>
            </w:tcMar>
            <w:vAlign w:val="bottom"/>
          </w:tcPr>
          <w:p w14:paraId="40CB2643"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644" w14:textId="77777777" w:rsidR="00584FB3" w:rsidRDefault="00786180">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40CB264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46"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2647"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648" w14:textId="77777777" w:rsidR="00584FB3" w:rsidRDefault="00786180">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40CB264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4A" w14:textId="77777777" w:rsidR="00584FB3" w:rsidRDefault="00584FB3">
            <w:pPr>
              <w:rPr>
                <w:rFonts w:ascii="宋体"/>
              </w:rPr>
            </w:pPr>
          </w:p>
        </w:tc>
        <w:tc>
          <w:tcPr>
            <w:tcW w:w="0" w:type="auto"/>
            <w:shd w:val="clear" w:color="auto" w:fill="FFFFFF"/>
            <w:tcMar>
              <w:top w:w="40" w:type="dxa"/>
              <w:left w:w="20" w:type="dxa"/>
              <w:bottom w:w="40" w:type="dxa"/>
              <w:right w:w="0" w:type="dxa"/>
            </w:tcMar>
            <w:vAlign w:val="bottom"/>
          </w:tcPr>
          <w:p w14:paraId="40CB264B" w14:textId="77777777" w:rsidR="00584FB3" w:rsidRDefault="0078618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0CB264C"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264D"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4E"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4F"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2650" w14:textId="77777777" w:rsidR="00584FB3" w:rsidRDefault="00786180">
            <w:pPr>
              <w:jc w:val="right"/>
              <w:textAlignment w:val="bottom"/>
            </w:pPr>
            <w:r>
              <w:rPr>
                <w:rFonts w:ascii="Times New Roman" w:eastAsia="宋体" w:hAnsi="Times New Roman"/>
                <w:color w:val="000000"/>
                <w:sz w:val="20"/>
                <w:szCs w:val="20"/>
              </w:rPr>
              <w:t>%</w:t>
            </w:r>
          </w:p>
        </w:tc>
        <w:tc>
          <w:tcPr>
            <w:tcW w:w="0" w:type="auto"/>
            <w:shd w:val="clear" w:color="auto" w:fill="auto"/>
          </w:tcPr>
          <w:p w14:paraId="40CB2651" w14:textId="77777777" w:rsidR="00584FB3" w:rsidRDefault="00584FB3">
            <w:pPr>
              <w:rPr>
                <w:rFonts w:ascii="宋体"/>
                <w:vanish/>
              </w:rPr>
            </w:pPr>
          </w:p>
        </w:tc>
        <w:tc>
          <w:tcPr>
            <w:tcW w:w="0" w:type="auto"/>
            <w:shd w:val="clear" w:color="auto" w:fill="auto"/>
          </w:tcPr>
          <w:p w14:paraId="40CB2652" w14:textId="77777777" w:rsidR="00584FB3" w:rsidRDefault="00584FB3">
            <w:pPr>
              <w:rPr>
                <w:rFonts w:ascii="宋体"/>
                <w:vanish/>
              </w:rPr>
            </w:pPr>
          </w:p>
        </w:tc>
        <w:tc>
          <w:tcPr>
            <w:tcW w:w="0" w:type="auto"/>
            <w:gridSpan w:val="3"/>
            <w:shd w:val="clear" w:color="auto" w:fill="auto"/>
          </w:tcPr>
          <w:p w14:paraId="40CB2653" w14:textId="77777777" w:rsidR="00584FB3" w:rsidRDefault="00584FB3">
            <w:pPr>
              <w:rPr>
                <w:rFonts w:ascii="宋体"/>
                <w:vanish/>
              </w:rPr>
            </w:pPr>
          </w:p>
        </w:tc>
        <w:tc>
          <w:tcPr>
            <w:tcW w:w="0" w:type="auto"/>
            <w:gridSpan w:val="3"/>
            <w:shd w:val="clear" w:color="auto" w:fill="auto"/>
          </w:tcPr>
          <w:p w14:paraId="40CB2654" w14:textId="77777777" w:rsidR="00584FB3" w:rsidRDefault="00584FB3">
            <w:pPr>
              <w:rPr>
                <w:rFonts w:ascii="宋体"/>
                <w:vanish/>
              </w:rPr>
            </w:pPr>
          </w:p>
        </w:tc>
        <w:tc>
          <w:tcPr>
            <w:tcW w:w="0" w:type="auto"/>
            <w:gridSpan w:val="3"/>
            <w:shd w:val="clear" w:color="auto" w:fill="auto"/>
          </w:tcPr>
          <w:p w14:paraId="40CB2655" w14:textId="77777777" w:rsidR="00584FB3" w:rsidRDefault="00584FB3">
            <w:pPr>
              <w:rPr>
                <w:rFonts w:ascii="宋体"/>
                <w:vanish/>
              </w:rPr>
            </w:pPr>
          </w:p>
        </w:tc>
        <w:tc>
          <w:tcPr>
            <w:tcW w:w="0" w:type="auto"/>
            <w:gridSpan w:val="3"/>
            <w:shd w:val="clear" w:color="auto" w:fill="auto"/>
          </w:tcPr>
          <w:p w14:paraId="40CB2656" w14:textId="77777777" w:rsidR="00584FB3" w:rsidRDefault="00584FB3">
            <w:pPr>
              <w:rPr>
                <w:rFonts w:ascii="宋体"/>
                <w:vanish/>
              </w:rPr>
            </w:pPr>
          </w:p>
        </w:tc>
        <w:tc>
          <w:tcPr>
            <w:tcW w:w="0" w:type="auto"/>
            <w:gridSpan w:val="3"/>
            <w:shd w:val="clear" w:color="auto" w:fill="auto"/>
          </w:tcPr>
          <w:p w14:paraId="40CB2657" w14:textId="77777777" w:rsidR="00584FB3" w:rsidRDefault="00584FB3">
            <w:pPr>
              <w:rPr>
                <w:rFonts w:ascii="宋体"/>
                <w:vanish/>
              </w:rPr>
            </w:pPr>
          </w:p>
        </w:tc>
        <w:tc>
          <w:tcPr>
            <w:tcW w:w="0" w:type="auto"/>
            <w:gridSpan w:val="3"/>
            <w:shd w:val="clear" w:color="auto" w:fill="auto"/>
          </w:tcPr>
          <w:p w14:paraId="40CB2658" w14:textId="77777777" w:rsidR="00584FB3" w:rsidRDefault="00584FB3">
            <w:pPr>
              <w:rPr>
                <w:rFonts w:ascii="宋体"/>
                <w:vanish/>
              </w:rPr>
            </w:pPr>
          </w:p>
        </w:tc>
      </w:tr>
      <w:tr w:rsidR="00584FB3" w14:paraId="40CB266E" w14:textId="77777777">
        <w:tc>
          <w:tcPr>
            <w:tcW w:w="0" w:type="auto"/>
            <w:gridSpan w:val="3"/>
            <w:shd w:val="clear" w:color="auto" w:fill="D7E4BC"/>
            <w:tcMar>
              <w:top w:w="40" w:type="dxa"/>
              <w:left w:w="20" w:type="dxa"/>
              <w:bottom w:w="40" w:type="dxa"/>
              <w:right w:w="20" w:type="dxa"/>
            </w:tcMar>
          </w:tcPr>
          <w:p w14:paraId="40CB265A" w14:textId="77777777" w:rsidR="00584FB3" w:rsidRDefault="00786180">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5B" w14:textId="77777777" w:rsidR="00584FB3" w:rsidRDefault="00786180">
            <w:pPr>
              <w:jc w:val="right"/>
              <w:textAlignment w:val="bottom"/>
            </w:pPr>
            <w:r>
              <w:rPr>
                <w:rFonts w:ascii="Times New Roman" w:eastAsia="宋体" w:hAnsi="Times New Roman"/>
                <w:b/>
                <w:bCs/>
                <w:color w:val="000000"/>
                <w:sz w:val="20"/>
                <w:szCs w:val="20"/>
              </w:rPr>
              <w:t>20.5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5C"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5D"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5E" w14:textId="77777777" w:rsidR="00584FB3" w:rsidRDefault="00786180">
            <w:pPr>
              <w:jc w:val="right"/>
              <w:textAlignment w:val="bottom"/>
            </w:pPr>
            <w:r>
              <w:rPr>
                <w:rFonts w:ascii="Times New Roman" w:eastAsia="宋体" w:hAnsi="Times New Roman"/>
                <w:b/>
                <w:bCs/>
                <w:color w:val="000000"/>
                <w:sz w:val="20"/>
                <w:szCs w:val="20"/>
              </w:rPr>
              <w:t>20.5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5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60"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61" w14:textId="77777777" w:rsidR="00584FB3" w:rsidRDefault="00786180">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6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63"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64" w14:textId="77777777" w:rsidR="00584FB3" w:rsidRDefault="00786180">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65" w14:textId="77777777" w:rsidR="00584FB3" w:rsidRDefault="00584FB3">
            <w:pPr>
              <w:jc w:val="right"/>
              <w:rPr>
                <w:rFonts w:ascii="宋体"/>
              </w:rPr>
            </w:pPr>
          </w:p>
        </w:tc>
        <w:tc>
          <w:tcPr>
            <w:tcW w:w="0" w:type="auto"/>
            <w:shd w:val="clear" w:color="auto" w:fill="auto"/>
          </w:tcPr>
          <w:p w14:paraId="40CB2666" w14:textId="77777777" w:rsidR="00584FB3" w:rsidRDefault="00584FB3">
            <w:pPr>
              <w:rPr>
                <w:rFonts w:ascii="宋体"/>
                <w:vanish/>
              </w:rPr>
            </w:pPr>
          </w:p>
        </w:tc>
        <w:tc>
          <w:tcPr>
            <w:tcW w:w="0" w:type="auto"/>
            <w:shd w:val="clear" w:color="auto" w:fill="auto"/>
          </w:tcPr>
          <w:p w14:paraId="40CB2667" w14:textId="77777777" w:rsidR="00584FB3" w:rsidRDefault="00584FB3">
            <w:pPr>
              <w:rPr>
                <w:rFonts w:ascii="宋体"/>
                <w:vanish/>
              </w:rPr>
            </w:pPr>
          </w:p>
        </w:tc>
        <w:tc>
          <w:tcPr>
            <w:tcW w:w="0" w:type="auto"/>
            <w:gridSpan w:val="3"/>
            <w:shd w:val="clear" w:color="auto" w:fill="auto"/>
          </w:tcPr>
          <w:p w14:paraId="40CB2668" w14:textId="77777777" w:rsidR="00584FB3" w:rsidRDefault="00584FB3">
            <w:pPr>
              <w:rPr>
                <w:rFonts w:ascii="宋体"/>
                <w:vanish/>
              </w:rPr>
            </w:pPr>
          </w:p>
        </w:tc>
        <w:tc>
          <w:tcPr>
            <w:tcW w:w="0" w:type="auto"/>
            <w:gridSpan w:val="3"/>
            <w:shd w:val="clear" w:color="auto" w:fill="auto"/>
          </w:tcPr>
          <w:p w14:paraId="40CB2669" w14:textId="77777777" w:rsidR="00584FB3" w:rsidRDefault="00584FB3">
            <w:pPr>
              <w:rPr>
                <w:rFonts w:ascii="宋体"/>
                <w:vanish/>
              </w:rPr>
            </w:pPr>
          </w:p>
        </w:tc>
        <w:tc>
          <w:tcPr>
            <w:tcW w:w="0" w:type="auto"/>
            <w:gridSpan w:val="3"/>
            <w:shd w:val="clear" w:color="auto" w:fill="auto"/>
          </w:tcPr>
          <w:p w14:paraId="40CB266A" w14:textId="77777777" w:rsidR="00584FB3" w:rsidRDefault="00584FB3">
            <w:pPr>
              <w:rPr>
                <w:rFonts w:ascii="宋体"/>
                <w:vanish/>
              </w:rPr>
            </w:pPr>
          </w:p>
        </w:tc>
        <w:tc>
          <w:tcPr>
            <w:tcW w:w="0" w:type="auto"/>
            <w:gridSpan w:val="3"/>
            <w:shd w:val="clear" w:color="auto" w:fill="auto"/>
          </w:tcPr>
          <w:p w14:paraId="40CB266B" w14:textId="77777777" w:rsidR="00584FB3" w:rsidRDefault="00584FB3">
            <w:pPr>
              <w:rPr>
                <w:rFonts w:ascii="宋体"/>
                <w:vanish/>
              </w:rPr>
            </w:pPr>
          </w:p>
        </w:tc>
        <w:tc>
          <w:tcPr>
            <w:tcW w:w="0" w:type="auto"/>
            <w:gridSpan w:val="3"/>
            <w:shd w:val="clear" w:color="auto" w:fill="auto"/>
          </w:tcPr>
          <w:p w14:paraId="40CB266C" w14:textId="77777777" w:rsidR="00584FB3" w:rsidRDefault="00584FB3">
            <w:pPr>
              <w:rPr>
                <w:rFonts w:ascii="宋体"/>
                <w:vanish/>
              </w:rPr>
            </w:pPr>
          </w:p>
        </w:tc>
        <w:tc>
          <w:tcPr>
            <w:tcW w:w="0" w:type="auto"/>
            <w:gridSpan w:val="3"/>
            <w:shd w:val="clear" w:color="auto" w:fill="auto"/>
          </w:tcPr>
          <w:p w14:paraId="40CB266D" w14:textId="77777777" w:rsidR="00584FB3" w:rsidRDefault="00584FB3">
            <w:pPr>
              <w:rPr>
                <w:rFonts w:ascii="宋体"/>
                <w:vanish/>
              </w:rPr>
            </w:pPr>
          </w:p>
        </w:tc>
      </w:tr>
      <w:tr w:rsidR="00584FB3" w14:paraId="40CB2683" w14:textId="77777777">
        <w:tc>
          <w:tcPr>
            <w:tcW w:w="0" w:type="auto"/>
            <w:gridSpan w:val="3"/>
            <w:shd w:val="clear" w:color="auto" w:fill="FFFFFF"/>
            <w:tcMar>
              <w:top w:w="40" w:type="dxa"/>
              <w:left w:w="20" w:type="dxa"/>
              <w:bottom w:w="40" w:type="dxa"/>
              <w:right w:w="20" w:type="dxa"/>
            </w:tcMar>
          </w:tcPr>
          <w:p w14:paraId="40CB266F" w14:textId="77777777" w:rsidR="00584FB3" w:rsidRDefault="00786180">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40CB2670" w14:textId="77777777" w:rsidR="00584FB3" w:rsidRDefault="00786180">
            <w:pPr>
              <w:jc w:val="right"/>
              <w:textAlignment w:val="bottom"/>
            </w:pPr>
            <w:r>
              <w:rPr>
                <w:rFonts w:ascii="Times New Roman" w:eastAsia="宋体" w:hAnsi="Times New Roman"/>
                <w:color w:val="000000"/>
                <w:sz w:val="20"/>
                <w:szCs w:val="20"/>
              </w:rPr>
              <w:t>19.0 </w:t>
            </w:r>
          </w:p>
        </w:tc>
        <w:tc>
          <w:tcPr>
            <w:tcW w:w="0" w:type="auto"/>
            <w:shd w:val="clear" w:color="auto" w:fill="FFFFFF"/>
            <w:tcMar>
              <w:top w:w="40" w:type="dxa"/>
              <w:left w:w="0" w:type="dxa"/>
              <w:bottom w:w="40" w:type="dxa"/>
              <w:right w:w="20" w:type="dxa"/>
            </w:tcMar>
            <w:vAlign w:val="bottom"/>
          </w:tcPr>
          <w:p w14:paraId="40CB267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72"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73" w14:textId="77777777" w:rsidR="00584FB3" w:rsidRDefault="00786180">
            <w:pPr>
              <w:jc w:val="right"/>
              <w:textAlignment w:val="bottom"/>
            </w:pPr>
            <w:r>
              <w:rPr>
                <w:rFonts w:ascii="Times New Roman" w:eastAsia="宋体" w:hAnsi="Times New Roman"/>
                <w:color w:val="000000"/>
                <w:sz w:val="20"/>
                <w:szCs w:val="20"/>
              </w:rPr>
              <w:t>20.7 </w:t>
            </w:r>
          </w:p>
        </w:tc>
        <w:tc>
          <w:tcPr>
            <w:tcW w:w="0" w:type="auto"/>
            <w:shd w:val="clear" w:color="auto" w:fill="FFFFFF"/>
            <w:tcMar>
              <w:top w:w="40" w:type="dxa"/>
              <w:left w:w="0" w:type="dxa"/>
              <w:bottom w:w="40" w:type="dxa"/>
              <w:right w:w="20" w:type="dxa"/>
            </w:tcMar>
            <w:vAlign w:val="bottom"/>
          </w:tcPr>
          <w:p w14:paraId="40CB2674"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75"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76" w14:textId="77777777" w:rsidR="00584FB3" w:rsidRDefault="00786180">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40CB2677"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78"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79" w14:textId="77777777" w:rsidR="00584FB3" w:rsidRDefault="00786180">
            <w:pPr>
              <w:jc w:val="right"/>
              <w:textAlignment w:val="bottom"/>
            </w:pPr>
            <w:r>
              <w:rPr>
                <w:rFonts w:ascii="Times New Roman" w:eastAsia="宋体" w:hAnsi="Times New Roman"/>
                <w:color w:val="000000"/>
                <w:sz w:val="20"/>
                <w:szCs w:val="20"/>
              </w:rPr>
              <w:t>(8.2)</w:t>
            </w:r>
          </w:p>
        </w:tc>
        <w:tc>
          <w:tcPr>
            <w:tcW w:w="0" w:type="auto"/>
            <w:shd w:val="clear" w:color="auto" w:fill="FFFFFF"/>
            <w:tcMar>
              <w:top w:w="40" w:type="dxa"/>
              <w:left w:w="0" w:type="dxa"/>
              <w:bottom w:w="40" w:type="dxa"/>
              <w:right w:w="20" w:type="dxa"/>
            </w:tcMar>
            <w:vAlign w:val="bottom"/>
          </w:tcPr>
          <w:p w14:paraId="40CB267A" w14:textId="77777777" w:rsidR="00584FB3" w:rsidRDefault="00584FB3">
            <w:pPr>
              <w:jc w:val="right"/>
              <w:rPr>
                <w:rFonts w:ascii="宋体"/>
              </w:rPr>
            </w:pPr>
          </w:p>
        </w:tc>
        <w:tc>
          <w:tcPr>
            <w:tcW w:w="0" w:type="auto"/>
            <w:shd w:val="clear" w:color="auto" w:fill="auto"/>
          </w:tcPr>
          <w:p w14:paraId="40CB267B" w14:textId="77777777" w:rsidR="00584FB3" w:rsidRDefault="00584FB3">
            <w:pPr>
              <w:rPr>
                <w:rFonts w:ascii="宋体"/>
                <w:vanish/>
              </w:rPr>
            </w:pPr>
          </w:p>
        </w:tc>
        <w:tc>
          <w:tcPr>
            <w:tcW w:w="0" w:type="auto"/>
            <w:shd w:val="clear" w:color="auto" w:fill="auto"/>
          </w:tcPr>
          <w:p w14:paraId="40CB267C" w14:textId="77777777" w:rsidR="00584FB3" w:rsidRDefault="00584FB3">
            <w:pPr>
              <w:rPr>
                <w:rFonts w:ascii="宋体"/>
                <w:vanish/>
              </w:rPr>
            </w:pPr>
          </w:p>
        </w:tc>
        <w:tc>
          <w:tcPr>
            <w:tcW w:w="0" w:type="auto"/>
            <w:gridSpan w:val="3"/>
            <w:shd w:val="clear" w:color="auto" w:fill="auto"/>
          </w:tcPr>
          <w:p w14:paraId="40CB267D" w14:textId="77777777" w:rsidR="00584FB3" w:rsidRDefault="00584FB3">
            <w:pPr>
              <w:rPr>
                <w:rFonts w:ascii="宋体"/>
                <w:vanish/>
              </w:rPr>
            </w:pPr>
          </w:p>
        </w:tc>
        <w:tc>
          <w:tcPr>
            <w:tcW w:w="0" w:type="auto"/>
            <w:gridSpan w:val="3"/>
            <w:shd w:val="clear" w:color="auto" w:fill="auto"/>
          </w:tcPr>
          <w:p w14:paraId="40CB267E" w14:textId="77777777" w:rsidR="00584FB3" w:rsidRDefault="00584FB3">
            <w:pPr>
              <w:rPr>
                <w:rFonts w:ascii="宋体"/>
                <w:vanish/>
              </w:rPr>
            </w:pPr>
          </w:p>
        </w:tc>
        <w:tc>
          <w:tcPr>
            <w:tcW w:w="0" w:type="auto"/>
            <w:gridSpan w:val="3"/>
            <w:shd w:val="clear" w:color="auto" w:fill="auto"/>
          </w:tcPr>
          <w:p w14:paraId="40CB267F" w14:textId="77777777" w:rsidR="00584FB3" w:rsidRDefault="00584FB3">
            <w:pPr>
              <w:rPr>
                <w:rFonts w:ascii="宋体"/>
                <w:vanish/>
              </w:rPr>
            </w:pPr>
          </w:p>
        </w:tc>
        <w:tc>
          <w:tcPr>
            <w:tcW w:w="0" w:type="auto"/>
            <w:gridSpan w:val="3"/>
            <w:shd w:val="clear" w:color="auto" w:fill="auto"/>
          </w:tcPr>
          <w:p w14:paraId="40CB2680" w14:textId="77777777" w:rsidR="00584FB3" w:rsidRDefault="00584FB3">
            <w:pPr>
              <w:rPr>
                <w:rFonts w:ascii="宋体"/>
                <w:vanish/>
              </w:rPr>
            </w:pPr>
          </w:p>
        </w:tc>
        <w:tc>
          <w:tcPr>
            <w:tcW w:w="0" w:type="auto"/>
            <w:gridSpan w:val="3"/>
            <w:shd w:val="clear" w:color="auto" w:fill="auto"/>
          </w:tcPr>
          <w:p w14:paraId="40CB2681" w14:textId="77777777" w:rsidR="00584FB3" w:rsidRDefault="00584FB3">
            <w:pPr>
              <w:rPr>
                <w:rFonts w:ascii="宋体"/>
                <w:vanish/>
              </w:rPr>
            </w:pPr>
          </w:p>
        </w:tc>
        <w:tc>
          <w:tcPr>
            <w:tcW w:w="0" w:type="auto"/>
            <w:gridSpan w:val="3"/>
            <w:shd w:val="clear" w:color="auto" w:fill="auto"/>
          </w:tcPr>
          <w:p w14:paraId="40CB2682" w14:textId="77777777" w:rsidR="00584FB3" w:rsidRDefault="00584FB3">
            <w:pPr>
              <w:rPr>
                <w:rFonts w:ascii="宋体"/>
                <w:vanish/>
              </w:rPr>
            </w:pPr>
          </w:p>
        </w:tc>
      </w:tr>
      <w:tr w:rsidR="00584FB3" w14:paraId="40CB2694" w14:textId="77777777">
        <w:trPr>
          <w:hidden/>
        </w:trPr>
        <w:tc>
          <w:tcPr>
            <w:tcW w:w="0" w:type="auto"/>
            <w:gridSpan w:val="3"/>
            <w:shd w:val="clear" w:color="auto" w:fill="auto"/>
          </w:tcPr>
          <w:p w14:paraId="40CB2684" w14:textId="77777777" w:rsidR="00584FB3" w:rsidRDefault="00584FB3">
            <w:pPr>
              <w:rPr>
                <w:rFonts w:ascii="宋体"/>
                <w:vanish/>
              </w:rPr>
            </w:pPr>
          </w:p>
        </w:tc>
        <w:tc>
          <w:tcPr>
            <w:tcW w:w="0" w:type="auto"/>
            <w:gridSpan w:val="3"/>
            <w:shd w:val="clear" w:color="auto" w:fill="auto"/>
          </w:tcPr>
          <w:p w14:paraId="40CB2685" w14:textId="77777777" w:rsidR="00584FB3" w:rsidRDefault="00584FB3">
            <w:pPr>
              <w:rPr>
                <w:rFonts w:ascii="宋体"/>
                <w:vanish/>
              </w:rPr>
            </w:pPr>
          </w:p>
        </w:tc>
        <w:tc>
          <w:tcPr>
            <w:tcW w:w="0" w:type="auto"/>
            <w:gridSpan w:val="3"/>
            <w:shd w:val="clear" w:color="auto" w:fill="auto"/>
          </w:tcPr>
          <w:p w14:paraId="40CB2686" w14:textId="77777777" w:rsidR="00584FB3" w:rsidRDefault="00584FB3">
            <w:pPr>
              <w:rPr>
                <w:rFonts w:ascii="宋体"/>
                <w:vanish/>
              </w:rPr>
            </w:pPr>
          </w:p>
        </w:tc>
        <w:tc>
          <w:tcPr>
            <w:tcW w:w="0" w:type="auto"/>
            <w:gridSpan w:val="3"/>
            <w:shd w:val="clear" w:color="auto" w:fill="auto"/>
          </w:tcPr>
          <w:p w14:paraId="40CB2687" w14:textId="77777777" w:rsidR="00584FB3" w:rsidRDefault="00584FB3">
            <w:pPr>
              <w:rPr>
                <w:rFonts w:ascii="宋体"/>
                <w:vanish/>
              </w:rPr>
            </w:pPr>
          </w:p>
        </w:tc>
        <w:tc>
          <w:tcPr>
            <w:tcW w:w="0" w:type="auto"/>
            <w:gridSpan w:val="3"/>
            <w:shd w:val="clear" w:color="auto" w:fill="auto"/>
          </w:tcPr>
          <w:p w14:paraId="40CB2688" w14:textId="77777777" w:rsidR="00584FB3" w:rsidRDefault="00584FB3">
            <w:pPr>
              <w:rPr>
                <w:rFonts w:ascii="宋体"/>
                <w:vanish/>
              </w:rPr>
            </w:pPr>
          </w:p>
        </w:tc>
        <w:tc>
          <w:tcPr>
            <w:tcW w:w="0" w:type="auto"/>
            <w:gridSpan w:val="3"/>
            <w:shd w:val="clear" w:color="auto" w:fill="auto"/>
          </w:tcPr>
          <w:p w14:paraId="40CB2689" w14:textId="77777777" w:rsidR="00584FB3" w:rsidRDefault="00584FB3">
            <w:pPr>
              <w:rPr>
                <w:rFonts w:ascii="宋体"/>
                <w:vanish/>
              </w:rPr>
            </w:pPr>
          </w:p>
        </w:tc>
        <w:tc>
          <w:tcPr>
            <w:tcW w:w="0" w:type="auto"/>
            <w:gridSpan w:val="3"/>
            <w:shd w:val="clear" w:color="auto" w:fill="auto"/>
          </w:tcPr>
          <w:p w14:paraId="40CB268A" w14:textId="77777777" w:rsidR="00584FB3" w:rsidRDefault="00584FB3">
            <w:pPr>
              <w:rPr>
                <w:rFonts w:ascii="宋体"/>
                <w:vanish/>
              </w:rPr>
            </w:pPr>
          </w:p>
        </w:tc>
        <w:tc>
          <w:tcPr>
            <w:tcW w:w="0" w:type="auto"/>
            <w:gridSpan w:val="3"/>
            <w:shd w:val="clear" w:color="auto" w:fill="auto"/>
          </w:tcPr>
          <w:p w14:paraId="40CB268B" w14:textId="77777777" w:rsidR="00584FB3" w:rsidRDefault="00584FB3">
            <w:pPr>
              <w:rPr>
                <w:rFonts w:ascii="宋体"/>
                <w:vanish/>
              </w:rPr>
            </w:pPr>
          </w:p>
        </w:tc>
        <w:tc>
          <w:tcPr>
            <w:tcW w:w="0" w:type="auto"/>
            <w:shd w:val="clear" w:color="auto" w:fill="auto"/>
          </w:tcPr>
          <w:p w14:paraId="40CB268C" w14:textId="77777777" w:rsidR="00584FB3" w:rsidRDefault="00584FB3">
            <w:pPr>
              <w:rPr>
                <w:rFonts w:ascii="宋体"/>
                <w:vanish/>
              </w:rPr>
            </w:pPr>
          </w:p>
        </w:tc>
        <w:tc>
          <w:tcPr>
            <w:tcW w:w="0" w:type="auto"/>
            <w:shd w:val="clear" w:color="auto" w:fill="auto"/>
          </w:tcPr>
          <w:p w14:paraId="40CB268D" w14:textId="77777777" w:rsidR="00584FB3" w:rsidRDefault="00584FB3">
            <w:pPr>
              <w:rPr>
                <w:rFonts w:ascii="宋体"/>
                <w:vanish/>
              </w:rPr>
            </w:pPr>
          </w:p>
        </w:tc>
        <w:tc>
          <w:tcPr>
            <w:tcW w:w="0" w:type="auto"/>
            <w:gridSpan w:val="3"/>
            <w:shd w:val="clear" w:color="auto" w:fill="auto"/>
          </w:tcPr>
          <w:p w14:paraId="40CB268E" w14:textId="77777777" w:rsidR="00584FB3" w:rsidRDefault="00584FB3">
            <w:pPr>
              <w:rPr>
                <w:rFonts w:ascii="宋体"/>
                <w:vanish/>
              </w:rPr>
            </w:pPr>
          </w:p>
        </w:tc>
        <w:tc>
          <w:tcPr>
            <w:tcW w:w="0" w:type="auto"/>
            <w:gridSpan w:val="3"/>
            <w:shd w:val="clear" w:color="auto" w:fill="auto"/>
          </w:tcPr>
          <w:p w14:paraId="40CB268F" w14:textId="77777777" w:rsidR="00584FB3" w:rsidRDefault="00584FB3">
            <w:pPr>
              <w:rPr>
                <w:rFonts w:ascii="宋体"/>
                <w:vanish/>
              </w:rPr>
            </w:pPr>
          </w:p>
        </w:tc>
        <w:tc>
          <w:tcPr>
            <w:tcW w:w="0" w:type="auto"/>
            <w:gridSpan w:val="3"/>
            <w:shd w:val="clear" w:color="auto" w:fill="auto"/>
          </w:tcPr>
          <w:p w14:paraId="40CB2690" w14:textId="77777777" w:rsidR="00584FB3" w:rsidRDefault="00584FB3">
            <w:pPr>
              <w:rPr>
                <w:rFonts w:ascii="宋体"/>
                <w:vanish/>
              </w:rPr>
            </w:pPr>
          </w:p>
        </w:tc>
        <w:tc>
          <w:tcPr>
            <w:tcW w:w="0" w:type="auto"/>
            <w:gridSpan w:val="3"/>
            <w:shd w:val="clear" w:color="auto" w:fill="auto"/>
          </w:tcPr>
          <w:p w14:paraId="40CB2691" w14:textId="77777777" w:rsidR="00584FB3" w:rsidRDefault="00584FB3">
            <w:pPr>
              <w:rPr>
                <w:rFonts w:ascii="宋体"/>
                <w:vanish/>
              </w:rPr>
            </w:pPr>
          </w:p>
        </w:tc>
        <w:tc>
          <w:tcPr>
            <w:tcW w:w="0" w:type="auto"/>
            <w:gridSpan w:val="3"/>
            <w:shd w:val="clear" w:color="auto" w:fill="auto"/>
          </w:tcPr>
          <w:p w14:paraId="40CB2692" w14:textId="77777777" w:rsidR="00584FB3" w:rsidRDefault="00584FB3">
            <w:pPr>
              <w:rPr>
                <w:rFonts w:ascii="宋体"/>
                <w:vanish/>
              </w:rPr>
            </w:pPr>
          </w:p>
        </w:tc>
        <w:tc>
          <w:tcPr>
            <w:tcW w:w="0" w:type="auto"/>
            <w:gridSpan w:val="3"/>
            <w:shd w:val="clear" w:color="auto" w:fill="auto"/>
          </w:tcPr>
          <w:p w14:paraId="40CB2693" w14:textId="77777777" w:rsidR="00584FB3" w:rsidRDefault="00584FB3">
            <w:pPr>
              <w:rPr>
                <w:rFonts w:ascii="宋体"/>
                <w:vanish/>
              </w:rPr>
            </w:pPr>
          </w:p>
        </w:tc>
      </w:tr>
      <w:tr w:rsidR="00584FB3" w14:paraId="40CB26A9" w14:textId="77777777">
        <w:tc>
          <w:tcPr>
            <w:tcW w:w="0" w:type="auto"/>
            <w:gridSpan w:val="3"/>
            <w:shd w:val="clear" w:color="auto" w:fill="D7E4BC"/>
            <w:tcMar>
              <w:top w:w="40" w:type="dxa"/>
              <w:left w:w="20" w:type="dxa"/>
              <w:bottom w:w="40" w:type="dxa"/>
              <w:right w:w="20" w:type="dxa"/>
            </w:tcMar>
          </w:tcPr>
          <w:p w14:paraId="40CB2695" w14:textId="77777777" w:rsidR="00584FB3" w:rsidRDefault="00786180">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40CB2696" w14:textId="77777777" w:rsidR="00584FB3" w:rsidRDefault="00786180">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40CB269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9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699" w14:textId="77777777" w:rsidR="00584FB3" w:rsidRDefault="00786180">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left w:w="0" w:type="dxa"/>
              <w:bottom w:w="40" w:type="dxa"/>
              <w:right w:w="20" w:type="dxa"/>
            </w:tcMar>
            <w:vAlign w:val="bottom"/>
          </w:tcPr>
          <w:p w14:paraId="40CB269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9B"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69C" w14:textId="77777777" w:rsidR="00584FB3" w:rsidRDefault="00786180">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40CB269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9E"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69F" w14:textId="77777777" w:rsidR="00584FB3" w:rsidRDefault="00786180">
            <w:pPr>
              <w:jc w:val="right"/>
              <w:textAlignment w:val="bottom"/>
            </w:pPr>
            <w:r>
              <w:rPr>
                <w:rFonts w:ascii="Times New Roman" w:eastAsia="宋体" w:hAnsi="Times New Roman"/>
                <w:color w:val="000000"/>
                <w:sz w:val="20"/>
                <w:szCs w:val="20"/>
              </w:rPr>
              <w:t>28.6 </w:t>
            </w:r>
          </w:p>
        </w:tc>
        <w:tc>
          <w:tcPr>
            <w:tcW w:w="0" w:type="auto"/>
            <w:shd w:val="clear" w:color="auto" w:fill="D7E4BC"/>
            <w:tcMar>
              <w:top w:w="40" w:type="dxa"/>
              <w:left w:w="0" w:type="dxa"/>
              <w:bottom w:w="40" w:type="dxa"/>
              <w:right w:w="20" w:type="dxa"/>
            </w:tcMar>
            <w:vAlign w:val="bottom"/>
          </w:tcPr>
          <w:p w14:paraId="40CB26A0" w14:textId="77777777" w:rsidR="00584FB3" w:rsidRDefault="00584FB3">
            <w:pPr>
              <w:jc w:val="right"/>
              <w:rPr>
                <w:rFonts w:ascii="宋体"/>
              </w:rPr>
            </w:pPr>
          </w:p>
        </w:tc>
        <w:tc>
          <w:tcPr>
            <w:tcW w:w="0" w:type="auto"/>
            <w:shd w:val="clear" w:color="auto" w:fill="auto"/>
          </w:tcPr>
          <w:p w14:paraId="40CB26A1" w14:textId="77777777" w:rsidR="00584FB3" w:rsidRDefault="00584FB3">
            <w:pPr>
              <w:rPr>
                <w:rFonts w:ascii="宋体"/>
                <w:vanish/>
              </w:rPr>
            </w:pPr>
          </w:p>
        </w:tc>
        <w:tc>
          <w:tcPr>
            <w:tcW w:w="0" w:type="auto"/>
            <w:shd w:val="clear" w:color="auto" w:fill="auto"/>
          </w:tcPr>
          <w:p w14:paraId="40CB26A2" w14:textId="77777777" w:rsidR="00584FB3" w:rsidRDefault="00584FB3">
            <w:pPr>
              <w:rPr>
                <w:rFonts w:ascii="宋体"/>
                <w:vanish/>
              </w:rPr>
            </w:pPr>
          </w:p>
        </w:tc>
        <w:tc>
          <w:tcPr>
            <w:tcW w:w="0" w:type="auto"/>
            <w:gridSpan w:val="3"/>
            <w:shd w:val="clear" w:color="auto" w:fill="auto"/>
          </w:tcPr>
          <w:p w14:paraId="40CB26A3" w14:textId="77777777" w:rsidR="00584FB3" w:rsidRDefault="00584FB3">
            <w:pPr>
              <w:rPr>
                <w:rFonts w:ascii="宋体"/>
                <w:vanish/>
              </w:rPr>
            </w:pPr>
          </w:p>
        </w:tc>
        <w:tc>
          <w:tcPr>
            <w:tcW w:w="0" w:type="auto"/>
            <w:gridSpan w:val="3"/>
            <w:shd w:val="clear" w:color="auto" w:fill="auto"/>
          </w:tcPr>
          <w:p w14:paraId="40CB26A4" w14:textId="77777777" w:rsidR="00584FB3" w:rsidRDefault="00584FB3">
            <w:pPr>
              <w:rPr>
                <w:rFonts w:ascii="宋体"/>
                <w:vanish/>
              </w:rPr>
            </w:pPr>
          </w:p>
        </w:tc>
        <w:tc>
          <w:tcPr>
            <w:tcW w:w="0" w:type="auto"/>
            <w:gridSpan w:val="3"/>
            <w:shd w:val="clear" w:color="auto" w:fill="auto"/>
          </w:tcPr>
          <w:p w14:paraId="40CB26A5" w14:textId="77777777" w:rsidR="00584FB3" w:rsidRDefault="00584FB3">
            <w:pPr>
              <w:rPr>
                <w:rFonts w:ascii="宋体"/>
                <w:vanish/>
              </w:rPr>
            </w:pPr>
          </w:p>
        </w:tc>
        <w:tc>
          <w:tcPr>
            <w:tcW w:w="0" w:type="auto"/>
            <w:gridSpan w:val="3"/>
            <w:shd w:val="clear" w:color="auto" w:fill="auto"/>
          </w:tcPr>
          <w:p w14:paraId="40CB26A6" w14:textId="77777777" w:rsidR="00584FB3" w:rsidRDefault="00584FB3">
            <w:pPr>
              <w:rPr>
                <w:rFonts w:ascii="宋体"/>
                <w:vanish/>
              </w:rPr>
            </w:pPr>
          </w:p>
        </w:tc>
        <w:tc>
          <w:tcPr>
            <w:tcW w:w="0" w:type="auto"/>
            <w:gridSpan w:val="3"/>
            <w:shd w:val="clear" w:color="auto" w:fill="auto"/>
          </w:tcPr>
          <w:p w14:paraId="40CB26A7" w14:textId="77777777" w:rsidR="00584FB3" w:rsidRDefault="00584FB3">
            <w:pPr>
              <w:rPr>
                <w:rFonts w:ascii="宋体"/>
                <w:vanish/>
              </w:rPr>
            </w:pPr>
          </w:p>
        </w:tc>
        <w:tc>
          <w:tcPr>
            <w:tcW w:w="0" w:type="auto"/>
            <w:gridSpan w:val="3"/>
            <w:shd w:val="clear" w:color="auto" w:fill="auto"/>
          </w:tcPr>
          <w:p w14:paraId="40CB26A8" w14:textId="77777777" w:rsidR="00584FB3" w:rsidRDefault="00584FB3">
            <w:pPr>
              <w:rPr>
                <w:rFonts w:ascii="宋体"/>
                <w:vanish/>
              </w:rPr>
            </w:pPr>
          </w:p>
        </w:tc>
      </w:tr>
      <w:tr w:rsidR="00584FB3" w14:paraId="40CB26BE" w14:textId="77777777">
        <w:tc>
          <w:tcPr>
            <w:tcW w:w="0" w:type="auto"/>
            <w:gridSpan w:val="3"/>
            <w:shd w:val="clear" w:color="auto" w:fill="FFFFFF"/>
            <w:tcMar>
              <w:top w:w="40" w:type="dxa"/>
              <w:left w:w="20" w:type="dxa"/>
              <w:bottom w:w="40" w:type="dxa"/>
              <w:right w:w="20" w:type="dxa"/>
            </w:tcMar>
          </w:tcPr>
          <w:p w14:paraId="40CB26AA" w14:textId="77777777" w:rsidR="00584FB3" w:rsidRDefault="00786180">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40CB26AB" w14:textId="77777777" w:rsidR="00584FB3" w:rsidRDefault="00786180">
            <w:pPr>
              <w:jc w:val="right"/>
              <w:textAlignment w:val="bottom"/>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bottom"/>
          </w:tcPr>
          <w:p w14:paraId="40CB26A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AD"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AE" w14:textId="77777777" w:rsidR="00584FB3" w:rsidRDefault="00786180">
            <w:pPr>
              <w:jc w:val="right"/>
              <w:textAlignment w:val="bottom"/>
            </w:pPr>
            <w:r>
              <w:rPr>
                <w:rFonts w:ascii="Times New Roman" w:eastAsia="宋体" w:hAnsi="Times New Roman"/>
                <w:color w:val="000000"/>
                <w:sz w:val="20"/>
                <w:szCs w:val="20"/>
              </w:rPr>
              <w:t>34.9 </w:t>
            </w:r>
          </w:p>
        </w:tc>
        <w:tc>
          <w:tcPr>
            <w:tcW w:w="0" w:type="auto"/>
            <w:shd w:val="clear" w:color="auto" w:fill="FFFFFF"/>
            <w:tcMar>
              <w:top w:w="40" w:type="dxa"/>
              <w:left w:w="0" w:type="dxa"/>
              <w:bottom w:w="40" w:type="dxa"/>
              <w:right w:w="20" w:type="dxa"/>
            </w:tcMar>
            <w:vAlign w:val="bottom"/>
          </w:tcPr>
          <w:p w14:paraId="40CB26AF"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B0"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B1" w14:textId="77777777" w:rsidR="00584FB3" w:rsidRDefault="00786180">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40CB26B2"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B3"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B4" w14:textId="77777777" w:rsidR="00584FB3" w:rsidRDefault="00786180">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40CB26B5" w14:textId="77777777" w:rsidR="00584FB3" w:rsidRDefault="00584FB3">
            <w:pPr>
              <w:jc w:val="right"/>
              <w:rPr>
                <w:rFonts w:ascii="宋体"/>
              </w:rPr>
            </w:pPr>
          </w:p>
        </w:tc>
        <w:tc>
          <w:tcPr>
            <w:tcW w:w="0" w:type="auto"/>
            <w:shd w:val="clear" w:color="auto" w:fill="auto"/>
          </w:tcPr>
          <w:p w14:paraId="40CB26B6" w14:textId="77777777" w:rsidR="00584FB3" w:rsidRDefault="00584FB3">
            <w:pPr>
              <w:rPr>
                <w:rFonts w:ascii="宋体"/>
                <w:vanish/>
              </w:rPr>
            </w:pPr>
          </w:p>
        </w:tc>
        <w:tc>
          <w:tcPr>
            <w:tcW w:w="0" w:type="auto"/>
            <w:shd w:val="clear" w:color="auto" w:fill="auto"/>
          </w:tcPr>
          <w:p w14:paraId="40CB26B7" w14:textId="77777777" w:rsidR="00584FB3" w:rsidRDefault="00584FB3">
            <w:pPr>
              <w:rPr>
                <w:rFonts w:ascii="宋体"/>
                <w:vanish/>
              </w:rPr>
            </w:pPr>
          </w:p>
        </w:tc>
        <w:tc>
          <w:tcPr>
            <w:tcW w:w="0" w:type="auto"/>
            <w:gridSpan w:val="3"/>
            <w:shd w:val="clear" w:color="auto" w:fill="auto"/>
          </w:tcPr>
          <w:p w14:paraId="40CB26B8" w14:textId="77777777" w:rsidR="00584FB3" w:rsidRDefault="00584FB3">
            <w:pPr>
              <w:rPr>
                <w:rFonts w:ascii="宋体"/>
                <w:vanish/>
              </w:rPr>
            </w:pPr>
          </w:p>
        </w:tc>
        <w:tc>
          <w:tcPr>
            <w:tcW w:w="0" w:type="auto"/>
            <w:gridSpan w:val="3"/>
            <w:shd w:val="clear" w:color="auto" w:fill="auto"/>
          </w:tcPr>
          <w:p w14:paraId="40CB26B9" w14:textId="77777777" w:rsidR="00584FB3" w:rsidRDefault="00584FB3">
            <w:pPr>
              <w:rPr>
                <w:rFonts w:ascii="宋体"/>
                <w:vanish/>
              </w:rPr>
            </w:pPr>
          </w:p>
        </w:tc>
        <w:tc>
          <w:tcPr>
            <w:tcW w:w="0" w:type="auto"/>
            <w:gridSpan w:val="3"/>
            <w:shd w:val="clear" w:color="auto" w:fill="auto"/>
          </w:tcPr>
          <w:p w14:paraId="40CB26BA" w14:textId="77777777" w:rsidR="00584FB3" w:rsidRDefault="00584FB3">
            <w:pPr>
              <w:rPr>
                <w:rFonts w:ascii="宋体"/>
                <w:vanish/>
              </w:rPr>
            </w:pPr>
          </w:p>
        </w:tc>
        <w:tc>
          <w:tcPr>
            <w:tcW w:w="0" w:type="auto"/>
            <w:gridSpan w:val="3"/>
            <w:shd w:val="clear" w:color="auto" w:fill="auto"/>
          </w:tcPr>
          <w:p w14:paraId="40CB26BB" w14:textId="77777777" w:rsidR="00584FB3" w:rsidRDefault="00584FB3">
            <w:pPr>
              <w:rPr>
                <w:rFonts w:ascii="宋体"/>
                <w:vanish/>
              </w:rPr>
            </w:pPr>
          </w:p>
        </w:tc>
        <w:tc>
          <w:tcPr>
            <w:tcW w:w="0" w:type="auto"/>
            <w:gridSpan w:val="3"/>
            <w:shd w:val="clear" w:color="auto" w:fill="auto"/>
          </w:tcPr>
          <w:p w14:paraId="40CB26BC" w14:textId="77777777" w:rsidR="00584FB3" w:rsidRDefault="00584FB3">
            <w:pPr>
              <w:rPr>
                <w:rFonts w:ascii="宋体"/>
                <w:vanish/>
              </w:rPr>
            </w:pPr>
          </w:p>
        </w:tc>
        <w:tc>
          <w:tcPr>
            <w:tcW w:w="0" w:type="auto"/>
            <w:gridSpan w:val="3"/>
            <w:shd w:val="clear" w:color="auto" w:fill="auto"/>
          </w:tcPr>
          <w:p w14:paraId="40CB26BD" w14:textId="77777777" w:rsidR="00584FB3" w:rsidRDefault="00584FB3">
            <w:pPr>
              <w:rPr>
                <w:rFonts w:ascii="宋体"/>
                <w:vanish/>
              </w:rPr>
            </w:pPr>
          </w:p>
        </w:tc>
      </w:tr>
      <w:tr w:rsidR="00584FB3" w14:paraId="40CB26D3" w14:textId="77777777">
        <w:tc>
          <w:tcPr>
            <w:tcW w:w="0" w:type="auto"/>
            <w:gridSpan w:val="3"/>
            <w:shd w:val="clear" w:color="auto" w:fill="D7E4BC"/>
            <w:tcMar>
              <w:top w:w="40" w:type="dxa"/>
              <w:left w:w="20" w:type="dxa"/>
              <w:bottom w:w="40" w:type="dxa"/>
              <w:right w:w="20" w:type="dxa"/>
            </w:tcMar>
          </w:tcPr>
          <w:p w14:paraId="40CB26BF" w14:textId="77777777" w:rsidR="00584FB3" w:rsidRDefault="00786180">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40CB26C0" w14:textId="77777777" w:rsidR="00584FB3" w:rsidRDefault="00786180">
            <w:pPr>
              <w:jc w:val="right"/>
              <w:textAlignment w:val="bottom"/>
            </w:pPr>
            <w:r>
              <w:rPr>
                <w:rFonts w:ascii="Times New Roman" w:eastAsia="宋体" w:hAnsi="Times New Roman"/>
                <w:color w:val="000000"/>
                <w:sz w:val="20"/>
                <w:szCs w:val="20"/>
              </w:rPr>
              <w:t>316.5 </w:t>
            </w:r>
          </w:p>
        </w:tc>
        <w:tc>
          <w:tcPr>
            <w:tcW w:w="0" w:type="auto"/>
            <w:shd w:val="clear" w:color="auto" w:fill="D7E4BC"/>
            <w:tcMar>
              <w:top w:w="40" w:type="dxa"/>
              <w:left w:w="0" w:type="dxa"/>
              <w:bottom w:w="40" w:type="dxa"/>
              <w:right w:w="20" w:type="dxa"/>
            </w:tcMar>
            <w:vAlign w:val="bottom"/>
          </w:tcPr>
          <w:p w14:paraId="40CB26C1"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C2"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6C3" w14:textId="77777777" w:rsidR="00584FB3" w:rsidRDefault="00786180">
            <w:pPr>
              <w:jc w:val="right"/>
              <w:textAlignment w:val="bottom"/>
            </w:pPr>
            <w:r>
              <w:rPr>
                <w:rFonts w:ascii="Times New Roman" w:eastAsia="宋体" w:hAnsi="Times New Roman"/>
                <w:color w:val="000000"/>
                <w:sz w:val="20"/>
                <w:szCs w:val="20"/>
              </w:rPr>
              <w:t>292.2 </w:t>
            </w:r>
          </w:p>
        </w:tc>
        <w:tc>
          <w:tcPr>
            <w:tcW w:w="0" w:type="auto"/>
            <w:shd w:val="clear" w:color="auto" w:fill="D7E4BC"/>
            <w:tcMar>
              <w:top w:w="40" w:type="dxa"/>
              <w:left w:w="0" w:type="dxa"/>
              <w:bottom w:w="40" w:type="dxa"/>
              <w:right w:w="20" w:type="dxa"/>
            </w:tcMar>
            <w:vAlign w:val="bottom"/>
          </w:tcPr>
          <w:p w14:paraId="40CB26C4"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C5"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6C6" w14:textId="77777777" w:rsidR="00584FB3" w:rsidRDefault="00786180">
            <w:pPr>
              <w:jc w:val="right"/>
              <w:textAlignment w:val="bottom"/>
            </w:pPr>
            <w:r>
              <w:rPr>
                <w:rFonts w:ascii="Times New Roman" w:eastAsia="宋体" w:hAnsi="Times New Roman"/>
                <w:color w:val="000000"/>
                <w:sz w:val="20"/>
                <w:szCs w:val="20"/>
              </w:rPr>
              <w:t>24.3 </w:t>
            </w:r>
          </w:p>
        </w:tc>
        <w:tc>
          <w:tcPr>
            <w:tcW w:w="0" w:type="auto"/>
            <w:shd w:val="clear" w:color="auto" w:fill="D7E4BC"/>
            <w:tcMar>
              <w:top w:w="40" w:type="dxa"/>
              <w:left w:w="0" w:type="dxa"/>
              <w:bottom w:w="40" w:type="dxa"/>
              <w:right w:w="20" w:type="dxa"/>
            </w:tcMar>
            <w:vAlign w:val="bottom"/>
          </w:tcPr>
          <w:p w14:paraId="40CB26C7"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C8"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6C9" w14:textId="77777777" w:rsidR="00584FB3" w:rsidRDefault="00786180">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40CB26CA" w14:textId="77777777" w:rsidR="00584FB3" w:rsidRDefault="00584FB3">
            <w:pPr>
              <w:jc w:val="right"/>
              <w:rPr>
                <w:rFonts w:ascii="宋体"/>
              </w:rPr>
            </w:pPr>
          </w:p>
        </w:tc>
        <w:tc>
          <w:tcPr>
            <w:tcW w:w="0" w:type="auto"/>
            <w:shd w:val="clear" w:color="auto" w:fill="auto"/>
          </w:tcPr>
          <w:p w14:paraId="40CB26CB" w14:textId="77777777" w:rsidR="00584FB3" w:rsidRDefault="00584FB3">
            <w:pPr>
              <w:rPr>
                <w:rFonts w:ascii="宋体"/>
                <w:vanish/>
              </w:rPr>
            </w:pPr>
          </w:p>
        </w:tc>
        <w:tc>
          <w:tcPr>
            <w:tcW w:w="0" w:type="auto"/>
            <w:shd w:val="clear" w:color="auto" w:fill="auto"/>
          </w:tcPr>
          <w:p w14:paraId="40CB26CC" w14:textId="77777777" w:rsidR="00584FB3" w:rsidRDefault="00584FB3">
            <w:pPr>
              <w:rPr>
                <w:rFonts w:ascii="宋体"/>
                <w:vanish/>
              </w:rPr>
            </w:pPr>
          </w:p>
        </w:tc>
        <w:tc>
          <w:tcPr>
            <w:tcW w:w="0" w:type="auto"/>
            <w:gridSpan w:val="3"/>
            <w:shd w:val="clear" w:color="auto" w:fill="auto"/>
          </w:tcPr>
          <w:p w14:paraId="40CB26CD" w14:textId="77777777" w:rsidR="00584FB3" w:rsidRDefault="00584FB3">
            <w:pPr>
              <w:rPr>
                <w:rFonts w:ascii="宋体"/>
                <w:vanish/>
              </w:rPr>
            </w:pPr>
          </w:p>
        </w:tc>
        <w:tc>
          <w:tcPr>
            <w:tcW w:w="0" w:type="auto"/>
            <w:gridSpan w:val="3"/>
            <w:shd w:val="clear" w:color="auto" w:fill="auto"/>
          </w:tcPr>
          <w:p w14:paraId="40CB26CE" w14:textId="77777777" w:rsidR="00584FB3" w:rsidRDefault="00584FB3">
            <w:pPr>
              <w:rPr>
                <w:rFonts w:ascii="宋体"/>
                <w:vanish/>
              </w:rPr>
            </w:pPr>
          </w:p>
        </w:tc>
        <w:tc>
          <w:tcPr>
            <w:tcW w:w="0" w:type="auto"/>
            <w:gridSpan w:val="3"/>
            <w:shd w:val="clear" w:color="auto" w:fill="auto"/>
          </w:tcPr>
          <w:p w14:paraId="40CB26CF" w14:textId="77777777" w:rsidR="00584FB3" w:rsidRDefault="00584FB3">
            <w:pPr>
              <w:rPr>
                <w:rFonts w:ascii="宋体"/>
                <w:vanish/>
              </w:rPr>
            </w:pPr>
          </w:p>
        </w:tc>
        <w:tc>
          <w:tcPr>
            <w:tcW w:w="0" w:type="auto"/>
            <w:gridSpan w:val="3"/>
            <w:shd w:val="clear" w:color="auto" w:fill="auto"/>
          </w:tcPr>
          <w:p w14:paraId="40CB26D0" w14:textId="77777777" w:rsidR="00584FB3" w:rsidRDefault="00584FB3">
            <w:pPr>
              <w:rPr>
                <w:rFonts w:ascii="宋体"/>
                <w:vanish/>
              </w:rPr>
            </w:pPr>
          </w:p>
        </w:tc>
        <w:tc>
          <w:tcPr>
            <w:tcW w:w="0" w:type="auto"/>
            <w:gridSpan w:val="3"/>
            <w:shd w:val="clear" w:color="auto" w:fill="auto"/>
          </w:tcPr>
          <w:p w14:paraId="40CB26D1" w14:textId="77777777" w:rsidR="00584FB3" w:rsidRDefault="00584FB3">
            <w:pPr>
              <w:rPr>
                <w:rFonts w:ascii="宋体"/>
                <w:vanish/>
              </w:rPr>
            </w:pPr>
          </w:p>
        </w:tc>
        <w:tc>
          <w:tcPr>
            <w:tcW w:w="0" w:type="auto"/>
            <w:gridSpan w:val="3"/>
            <w:shd w:val="clear" w:color="auto" w:fill="auto"/>
          </w:tcPr>
          <w:p w14:paraId="40CB26D2" w14:textId="77777777" w:rsidR="00584FB3" w:rsidRDefault="00584FB3">
            <w:pPr>
              <w:rPr>
                <w:rFonts w:ascii="宋体"/>
                <w:vanish/>
              </w:rPr>
            </w:pPr>
          </w:p>
        </w:tc>
      </w:tr>
      <w:tr w:rsidR="00584FB3" w14:paraId="40CB26E7" w14:textId="77777777">
        <w:tc>
          <w:tcPr>
            <w:tcW w:w="0" w:type="auto"/>
            <w:gridSpan w:val="3"/>
            <w:shd w:val="clear" w:color="auto" w:fill="FFFFFF"/>
            <w:tcMar>
              <w:top w:w="40" w:type="dxa"/>
              <w:left w:w="20" w:type="dxa"/>
              <w:bottom w:w="40" w:type="dxa"/>
              <w:right w:w="20" w:type="dxa"/>
            </w:tcMar>
          </w:tcPr>
          <w:p w14:paraId="40CB26D4" w14:textId="77777777" w:rsidR="00584FB3" w:rsidRDefault="00786180">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40CB26D5" w14:textId="77777777" w:rsidR="00584FB3" w:rsidRDefault="0078618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0CB26D6"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D7"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D8" w14:textId="77777777" w:rsidR="00584FB3" w:rsidRDefault="00786180">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40CB26D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DA"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6DB" w14:textId="77777777" w:rsidR="00584FB3" w:rsidRDefault="00786180">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40CB26DC"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6DD"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vAlign w:val="bottom"/>
          </w:tcPr>
          <w:p w14:paraId="40CB26DE" w14:textId="77777777" w:rsidR="00584FB3" w:rsidRDefault="00786180">
            <w:pPr>
              <w:jc w:val="right"/>
              <w:textAlignment w:val="bottom"/>
            </w:pPr>
            <w:r>
              <w:rPr>
                <w:rFonts w:ascii="Times New Roman" w:eastAsia="宋体" w:hAnsi="Times New Roman"/>
                <w:color w:val="000000"/>
                <w:sz w:val="20"/>
                <w:szCs w:val="20"/>
              </w:rPr>
              <w:t>nm</w:t>
            </w:r>
          </w:p>
        </w:tc>
        <w:tc>
          <w:tcPr>
            <w:tcW w:w="0" w:type="auto"/>
            <w:shd w:val="clear" w:color="auto" w:fill="auto"/>
          </w:tcPr>
          <w:p w14:paraId="40CB26DF" w14:textId="77777777" w:rsidR="00584FB3" w:rsidRDefault="00584FB3">
            <w:pPr>
              <w:rPr>
                <w:rFonts w:ascii="宋体"/>
                <w:vanish/>
              </w:rPr>
            </w:pPr>
          </w:p>
        </w:tc>
        <w:tc>
          <w:tcPr>
            <w:tcW w:w="0" w:type="auto"/>
            <w:shd w:val="clear" w:color="auto" w:fill="auto"/>
          </w:tcPr>
          <w:p w14:paraId="40CB26E0" w14:textId="77777777" w:rsidR="00584FB3" w:rsidRDefault="00584FB3">
            <w:pPr>
              <w:rPr>
                <w:rFonts w:ascii="宋体"/>
                <w:vanish/>
              </w:rPr>
            </w:pPr>
          </w:p>
        </w:tc>
        <w:tc>
          <w:tcPr>
            <w:tcW w:w="0" w:type="auto"/>
            <w:gridSpan w:val="3"/>
            <w:shd w:val="clear" w:color="auto" w:fill="auto"/>
          </w:tcPr>
          <w:p w14:paraId="40CB26E1" w14:textId="77777777" w:rsidR="00584FB3" w:rsidRDefault="00584FB3">
            <w:pPr>
              <w:rPr>
                <w:rFonts w:ascii="宋体"/>
                <w:vanish/>
              </w:rPr>
            </w:pPr>
          </w:p>
        </w:tc>
        <w:tc>
          <w:tcPr>
            <w:tcW w:w="0" w:type="auto"/>
            <w:gridSpan w:val="3"/>
            <w:shd w:val="clear" w:color="auto" w:fill="auto"/>
          </w:tcPr>
          <w:p w14:paraId="40CB26E2" w14:textId="77777777" w:rsidR="00584FB3" w:rsidRDefault="00584FB3">
            <w:pPr>
              <w:rPr>
                <w:rFonts w:ascii="宋体"/>
                <w:vanish/>
              </w:rPr>
            </w:pPr>
          </w:p>
        </w:tc>
        <w:tc>
          <w:tcPr>
            <w:tcW w:w="0" w:type="auto"/>
            <w:gridSpan w:val="3"/>
            <w:shd w:val="clear" w:color="auto" w:fill="auto"/>
          </w:tcPr>
          <w:p w14:paraId="40CB26E3" w14:textId="77777777" w:rsidR="00584FB3" w:rsidRDefault="00584FB3">
            <w:pPr>
              <w:rPr>
                <w:rFonts w:ascii="宋体"/>
                <w:vanish/>
              </w:rPr>
            </w:pPr>
          </w:p>
        </w:tc>
        <w:tc>
          <w:tcPr>
            <w:tcW w:w="0" w:type="auto"/>
            <w:gridSpan w:val="3"/>
            <w:shd w:val="clear" w:color="auto" w:fill="auto"/>
          </w:tcPr>
          <w:p w14:paraId="40CB26E4" w14:textId="77777777" w:rsidR="00584FB3" w:rsidRDefault="00584FB3">
            <w:pPr>
              <w:rPr>
                <w:rFonts w:ascii="宋体"/>
                <w:vanish/>
              </w:rPr>
            </w:pPr>
          </w:p>
        </w:tc>
        <w:tc>
          <w:tcPr>
            <w:tcW w:w="0" w:type="auto"/>
            <w:gridSpan w:val="3"/>
            <w:shd w:val="clear" w:color="auto" w:fill="auto"/>
          </w:tcPr>
          <w:p w14:paraId="40CB26E5" w14:textId="77777777" w:rsidR="00584FB3" w:rsidRDefault="00584FB3">
            <w:pPr>
              <w:rPr>
                <w:rFonts w:ascii="宋体"/>
                <w:vanish/>
              </w:rPr>
            </w:pPr>
          </w:p>
        </w:tc>
        <w:tc>
          <w:tcPr>
            <w:tcW w:w="0" w:type="auto"/>
            <w:gridSpan w:val="3"/>
            <w:shd w:val="clear" w:color="auto" w:fill="auto"/>
          </w:tcPr>
          <w:p w14:paraId="40CB26E6" w14:textId="77777777" w:rsidR="00584FB3" w:rsidRDefault="00584FB3">
            <w:pPr>
              <w:rPr>
                <w:rFonts w:ascii="宋体"/>
                <w:vanish/>
              </w:rPr>
            </w:pPr>
          </w:p>
        </w:tc>
      </w:tr>
      <w:tr w:rsidR="00584FB3" w14:paraId="40CB26FC" w14:textId="77777777">
        <w:tc>
          <w:tcPr>
            <w:tcW w:w="0" w:type="auto"/>
            <w:gridSpan w:val="3"/>
            <w:shd w:val="clear" w:color="auto" w:fill="D7E4BC"/>
            <w:tcMar>
              <w:top w:w="40" w:type="dxa"/>
              <w:left w:w="20" w:type="dxa"/>
              <w:bottom w:w="40" w:type="dxa"/>
              <w:right w:w="20" w:type="dxa"/>
            </w:tcMar>
          </w:tcPr>
          <w:p w14:paraId="40CB26E8" w14:textId="77777777" w:rsidR="00584FB3" w:rsidRDefault="00786180">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E9" w14:textId="77777777" w:rsidR="00584FB3" w:rsidRDefault="00786180">
            <w:pPr>
              <w:jc w:val="right"/>
              <w:textAlignment w:val="bottom"/>
            </w:pPr>
            <w:r>
              <w:rPr>
                <w:rFonts w:ascii="Times New Roman" w:eastAsia="宋体" w:hAnsi="Times New Roman"/>
                <w:color w:val="000000"/>
                <w:sz w:val="20"/>
                <w:szCs w:val="20"/>
              </w:rPr>
              <w:t>376.1 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EA"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EB"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EC" w14:textId="77777777" w:rsidR="00584FB3" w:rsidRDefault="00786180">
            <w:pPr>
              <w:jc w:val="right"/>
              <w:textAlignment w:val="bottom"/>
            </w:pPr>
            <w:r>
              <w:rPr>
                <w:rFonts w:ascii="Times New Roman" w:eastAsia="宋体" w:hAnsi="Times New Roman"/>
                <w:color w:val="000000"/>
                <w:sz w:val="20"/>
                <w:szCs w:val="20"/>
              </w:rPr>
              <w:t>350.9 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ED"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EE"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EF" w14:textId="77777777" w:rsidR="00584FB3" w:rsidRDefault="00786180">
            <w:pPr>
              <w:jc w:val="right"/>
              <w:textAlignment w:val="bottom"/>
            </w:pPr>
            <w:r>
              <w:rPr>
                <w:rFonts w:ascii="Times New Roman" w:eastAsia="宋体" w:hAnsi="Times New Roman"/>
                <w:color w:val="000000"/>
                <w:sz w:val="20"/>
                <w:szCs w:val="20"/>
              </w:rPr>
              <w:t>25.2 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F0"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6F1" w14:textId="77777777" w:rsidR="00584FB3" w:rsidRDefault="00584FB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0CB26F2" w14:textId="77777777" w:rsidR="00584FB3" w:rsidRDefault="00786180">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D7E4BC"/>
            <w:tcMar>
              <w:top w:w="40" w:type="dxa"/>
              <w:left w:w="0" w:type="dxa"/>
              <w:bottom w:w="40" w:type="dxa"/>
              <w:right w:w="20" w:type="dxa"/>
            </w:tcMar>
            <w:vAlign w:val="bottom"/>
          </w:tcPr>
          <w:p w14:paraId="40CB26F3" w14:textId="77777777" w:rsidR="00584FB3" w:rsidRDefault="00584FB3">
            <w:pPr>
              <w:jc w:val="right"/>
              <w:rPr>
                <w:rFonts w:ascii="宋体"/>
              </w:rPr>
            </w:pPr>
          </w:p>
        </w:tc>
        <w:tc>
          <w:tcPr>
            <w:tcW w:w="0" w:type="auto"/>
            <w:shd w:val="clear" w:color="auto" w:fill="auto"/>
          </w:tcPr>
          <w:p w14:paraId="40CB26F4" w14:textId="77777777" w:rsidR="00584FB3" w:rsidRDefault="00584FB3">
            <w:pPr>
              <w:rPr>
                <w:rFonts w:ascii="宋体"/>
                <w:vanish/>
              </w:rPr>
            </w:pPr>
          </w:p>
        </w:tc>
        <w:tc>
          <w:tcPr>
            <w:tcW w:w="0" w:type="auto"/>
            <w:shd w:val="clear" w:color="auto" w:fill="auto"/>
          </w:tcPr>
          <w:p w14:paraId="40CB26F5" w14:textId="77777777" w:rsidR="00584FB3" w:rsidRDefault="00584FB3">
            <w:pPr>
              <w:rPr>
                <w:rFonts w:ascii="宋体"/>
                <w:vanish/>
              </w:rPr>
            </w:pPr>
          </w:p>
        </w:tc>
        <w:tc>
          <w:tcPr>
            <w:tcW w:w="0" w:type="auto"/>
            <w:gridSpan w:val="3"/>
            <w:shd w:val="clear" w:color="auto" w:fill="auto"/>
          </w:tcPr>
          <w:p w14:paraId="40CB26F6" w14:textId="77777777" w:rsidR="00584FB3" w:rsidRDefault="00584FB3">
            <w:pPr>
              <w:rPr>
                <w:rFonts w:ascii="宋体"/>
                <w:vanish/>
              </w:rPr>
            </w:pPr>
          </w:p>
        </w:tc>
        <w:tc>
          <w:tcPr>
            <w:tcW w:w="0" w:type="auto"/>
            <w:gridSpan w:val="3"/>
            <w:shd w:val="clear" w:color="auto" w:fill="auto"/>
          </w:tcPr>
          <w:p w14:paraId="40CB26F7" w14:textId="77777777" w:rsidR="00584FB3" w:rsidRDefault="00584FB3">
            <w:pPr>
              <w:rPr>
                <w:rFonts w:ascii="宋体"/>
                <w:vanish/>
              </w:rPr>
            </w:pPr>
          </w:p>
        </w:tc>
        <w:tc>
          <w:tcPr>
            <w:tcW w:w="0" w:type="auto"/>
            <w:gridSpan w:val="3"/>
            <w:shd w:val="clear" w:color="auto" w:fill="auto"/>
          </w:tcPr>
          <w:p w14:paraId="40CB26F8" w14:textId="77777777" w:rsidR="00584FB3" w:rsidRDefault="00584FB3">
            <w:pPr>
              <w:rPr>
                <w:rFonts w:ascii="宋体"/>
                <w:vanish/>
              </w:rPr>
            </w:pPr>
          </w:p>
        </w:tc>
        <w:tc>
          <w:tcPr>
            <w:tcW w:w="0" w:type="auto"/>
            <w:gridSpan w:val="3"/>
            <w:shd w:val="clear" w:color="auto" w:fill="auto"/>
          </w:tcPr>
          <w:p w14:paraId="40CB26F9" w14:textId="77777777" w:rsidR="00584FB3" w:rsidRDefault="00584FB3">
            <w:pPr>
              <w:rPr>
                <w:rFonts w:ascii="宋体"/>
                <w:vanish/>
              </w:rPr>
            </w:pPr>
          </w:p>
        </w:tc>
        <w:tc>
          <w:tcPr>
            <w:tcW w:w="0" w:type="auto"/>
            <w:gridSpan w:val="3"/>
            <w:shd w:val="clear" w:color="auto" w:fill="auto"/>
          </w:tcPr>
          <w:p w14:paraId="40CB26FA" w14:textId="77777777" w:rsidR="00584FB3" w:rsidRDefault="00584FB3">
            <w:pPr>
              <w:rPr>
                <w:rFonts w:ascii="宋体"/>
                <w:vanish/>
              </w:rPr>
            </w:pPr>
          </w:p>
        </w:tc>
        <w:tc>
          <w:tcPr>
            <w:tcW w:w="0" w:type="auto"/>
            <w:gridSpan w:val="3"/>
            <w:shd w:val="clear" w:color="auto" w:fill="auto"/>
          </w:tcPr>
          <w:p w14:paraId="40CB26FB" w14:textId="77777777" w:rsidR="00584FB3" w:rsidRDefault="00584FB3">
            <w:pPr>
              <w:rPr>
                <w:rFonts w:ascii="宋体"/>
                <w:vanish/>
              </w:rPr>
            </w:pPr>
          </w:p>
        </w:tc>
      </w:tr>
      <w:tr w:rsidR="00584FB3" w14:paraId="40CB270D" w14:textId="77777777">
        <w:trPr>
          <w:hidden/>
        </w:trPr>
        <w:tc>
          <w:tcPr>
            <w:tcW w:w="0" w:type="auto"/>
            <w:gridSpan w:val="3"/>
            <w:shd w:val="clear" w:color="auto" w:fill="auto"/>
          </w:tcPr>
          <w:p w14:paraId="40CB26FD" w14:textId="77777777" w:rsidR="00584FB3" w:rsidRDefault="00584FB3">
            <w:pPr>
              <w:rPr>
                <w:rFonts w:ascii="宋体"/>
                <w:vanish/>
              </w:rPr>
            </w:pPr>
          </w:p>
        </w:tc>
        <w:tc>
          <w:tcPr>
            <w:tcW w:w="0" w:type="auto"/>
            <w:gridSpan w:val="3"/>
            <w:shd w:val="clear" w:color="auto" w:fill="auto"/>
          </w:tcPr>
          <w:p w14:paraId="40CB26FE" w14:textId="77777777" w:rsidR="00584FB3" w:rsidRDefault="00584FB3">
            <w:pPr>
              <w:rPr>
                <w:rFonts w:ascii="宋体"/>
                <w:vanish/>
              </w:rPr>
            </w:pPr>
          </w:p>
        </w:tc>
        <w:tc>
          <w:tcPr>
            <w:tcW w:w="0" w:type="auto"/>
            <w:gridSpan w:val="3"/>
            <w:shd w:val="clear" w:color="auto" w:fill="auto"/>
          </w:tcPr>
          <w:p w14:paraId="40CB26FF" w14:textId="77777777" w:rsidR="00584FB3" w:rsidRDefault="00584FB3">
            <w:pPr>
              <w:rPr>
                <w:rFonts w:ascii="宋体"/>
                <w:vanish/>
              </w:rPr>
            </w:pPr>
          </w:p>
        </w:tc>
        <w:tc>
          <w:tcPr>
            <w:tcW w:w="0" w:type="auto"/>
            <w:gridSpan w:val="3"/>
            <w:shd w:val="clear" w:color="auto" w:fill="auto"/>
          </w:tcPr>
          <w:p w14:paraId="40CB2700" w14:textId="77777777" w:rsidR="00584FB3" w:rsidRDefault="00584FB3">
            <w:pPr>
              <w:rPr>
                <w:rFonts w:ascii="宋体"/>
                <w:vanish/>
              </w:rPr>
            </w:pPr>
          </w:p>
        </w:tc>
        <w:tc>
          <w:tcPr>
            <w:tcW w:w="0" w:type="auto"/>
            <w:gridSpan w:val="3"/>
            <w:shd w:val="clear" w:color="auto" w:fill="auto"/>
          </w:tcPr>
          <w:p w14:paraId="40CB2701" w14:textId="77777777" w:rsidR="00584FB3" w:rsidRDefault="00584FB3">
            <w:pPr>
              <w:rPr>
                <w:rFonts w:ascii="宋体"/>
                <w:vanish/>
              </w:rPr>
            </w:pPr>
          </w:p>
        </w:tc>
        <w:tc>
          <w:tcPr>
            <w:tcW w:w="0" w:type="auto"/>
            <w:gridSpan w:val="3"/>
            <w:shd w:val="clear" w:color="auto" w:fill="auto"/>
          </w:tcPr>
          <w:p w14:paraId="40CB2702" w14:textId="77777777" w:rsidR="00584FB3" w:rsidRDefault="00584FB3">
            <w:pPr>
              <w:rPr>
                <w:rFonts w:ascii="宋体"/>
                <w:vanish/>
              </w:rPr>
            </w:pPr>
          </w:p>
        </w:tc>
        <w:tc>
          <w:tcPr>
            <w:tcW w:w="0" w:type="auto"/>
            <w:gridSpan w:val="3"/>
            <w:shd w:val="clear" w:color="auto" w:fill="auto"/>
          </w:tcPr>
          <w:p w14:paraId="40CB2703" w14:textId="77777777" w:rsidR="00584FB3" w:rsidRDefault="00584FB3">
            <w:pPr>
              <w:rPr>
                <w:rFonts w:ascii="宋体"/>
                <w:vanish/>
              </w:rPr>
            </w:pPr>
          </w:p>
        </w:tc>
        <w:tc>
          <w:tcPr>
            <w:tcW w:w="0" w:type="auto"/>
            <w:gridSpan w:val="3"/>
            <w:shd w:val="clear" w:color="auto" w:fill="auto"/>
          </w:tcPr>
          <w:p w14:paraId="40CB2704" w14:textId="77777777" w:rsidR="00584FB3" w:rsidRDefault="00584FB3">
            <w:pPr>
              <w:rPr>
                <w:rFonts w:ascii="宋体"/>
                <w:vanish/>
              </w:rPr>
            </w:pPr>
          </w:p>
        </w:tc>
        <w:tc>
          <w:tcPr>
            <w:tcW w:w="0" w:type="auto"/>
            <w:shd w:val="clear" w:color="auto" w:fill="auto"/>
          </w:tcPr>
          <w:p w14:paraId="40CB2705" w14:textId="77777777" w:rsidR="00584FB3" w:rsidRDefault="00584FB3">
            <w:pPr>
              <w:rPr>
                <w:rFonts w:ascii="宋体"/>
                <w:vanish/>
              </w:rPr>
            </w:pPr>
          </w:p>
        </w:tc>
        <w:tc>
          <w:tcPr>
            <w:tcW w:w="0" w:type="auto"/>
            <w:shd w:val="clear" w:color="auto" w:fill="auto"/>
          </w:tcPr>
          <w:p w14:paraId="40CB2706" w14:textId="77777777" w:rsidR="00584FB3" w:rsidRDefault="00584FB3">
            <w:pPr>
              <w:rPr>
                <w:rFonts w:ascii="宋体"/>
                <w:vanish/>
              </w:rPr>
            </w:pPr>
          </w:p>
        </w:tc>
        <w:tc>
          <w:tcPr>
            <w:tcW w:w="0" w:type="auto"/>
            <w:gridSpan w:val="3"/>
            <w:shd w:val="clear" w:color="auto" w:fill="auto"/>
          </w:tcPr>
          <w:p w14:paraId="40CB2707" w14:textId="77777777" w:rsidR="00584FB3" w:rsidRDefault="00584FB3">
            <w:pPr>
              <w:rPr>
                <w:rFonts w:ascii="宋体"/>
                <w:vanish/>
              </w:rPr>
            </w:pPr>
          </w:p>
        </w:tc>
        <w:tc>
          <w:tcPr>
            <w:tcW w:w="0" w:type="auto"/>
            <w:gridSpan w:val="3"/>
            <w:shd w:val="clear" w:color="auto" w:fill="auto"/>
          </w:tcPr>
          <w:p w14:paraId="40CB2708" w14:textId="77777777" w:rsidR="00584FB3" w:rsidRDefault="00584FB3">
            <w:pPr>
              <w:rPr>
                <w:rFonts w:ascii="宋体"/>
                <w:vanish/>
              </w:rPr>
            </w:pPr>
          </w:p>
        </w:tc>
        <w:tc>
          <w:tcPr>
            <w:tcW w:w="0" w:type="auto"/>
            <w:gridSpan w:val="3"/>
            <w:shd w:val="clear" w:color="auto" w:fill="auto"/>
          </w:tcPr>
          <w:p w14:paraId="40CB2709" w14:textId="77777777" w:rsidR="00584FB3" w:rsidRDefault="00584FB3">
            <w:pPr>
              <w:rPr>
                <w:rFonts w:ascii="宋体"/>
                <w:vanish/>
              </w:rPr>
            </w:pPr>
          </w:p>
        </w:tc>
        <w:tc>
          <w:tcPr>
            <w:tcW w:w="0" w:type="auto"/>
            <w:gridSpan w:val="3"/>
            <w:shd w:val="clear" w:color="auto" w:fill="auto"/>
          </w:tcPr>
          <w:p w14:paraId="40CB270A" w14:textId="77777777" w:rsidR="00584FB3" w:rsidRDefault="00584FB3">
            <w:pPr>
              <w:rPr>
                <w:rFonts w:ascii="宋体"/>
                <w:vanish/>
              </w:rPr>
            </w:pPr>
          </w:p>
        </w:tc>
        <w:tc>
          <w:tcPr>
            <w:tcW w:w="0" w:type="auto"/>
            <w:gridSpan w:val="3"/>
            <w:shd w:val="clear" w:color="auto" w:fill="auto"/>
          </w:tcPr>
          <w:p w14:paraId="40CB270B" w14:textId="77777777" w:rsidR="00584FB3" w:rsidRDefault="00584FB3">
            <w:pPr>
              <w:rPr>
                <w:rFonts w:ascii="宋体"/>
                <w:vanish/>
              </w:rPr>
            </w:pPr>
          </w:p>
        </w:tc>
        <w:tc>
          <w:tcPr>
            <w:tcW w:w="0" w:type="auto"/>
            <w:gridSpan w:val="3"/>
            <w:shd w:val="clear" w:color="auto" w:fill="auto"/>
          </w:tcPr>
          <w:p w14:paraId="40CB270C" w14:textId="77777777" w:rsidR="00584FB3" w:rsidRDefault="00584FB3">
            <w:pPr>
              <w:rPr>
                <w:rFonts w:ascii="宋体"/>
                <w:vanish/>
              </w:rPr>
            </w:pPr>
          </w:p>
        </w:tc>
      </w:tr>
      <w:tr w:rsidR="00584FB3" w14:paraId="40CB2725" w14:textId="77777777">
        <w:tc>
          <w:tcPr>
            <w:tcW w:w="0" w:type="auto"/>
            <w:gridSpan w:val="3"/>
            <w:shd w:val="clear" w:color="auto" w:fill="FFFFFF"/>
            <w:tcMar>
              <w:top w:w="40" w:type="dxa"/>
              <w:left w:w="380" w:type="dxa"/>
              <w:bottom w:w="40" w:type="dxa"/>
              <w:right w:w="20" w:type="dxa"/>
            </w:tcMar>
          </w:tcPr>
          <w:p w14:paraId="40CB270E" w14:textId="77777777" w:rsidR="00584FB3" w:rsidRDefault="00786180">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40CB270F"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710" w14:textId="77777777" w:rsidR="00584FB3" w:rsidRDefault="00786180">
            <w:pPr>
              <w:jc w:val="right"/>
              <w:textAlignment w:val="bottom"/>
            </w:pPr>
            <w:r>
              <w:rPr>
                <w:rFonts w:ascii="Times New Roman" w:eastAsia="宋体" w:hAnsi="Times New Roman"/>
                <w:b/>
                <w:bCs/>
                <w:color w:val="000000"/>
                <w:sz w:val="20"/>
                <w:szCs w:val="20"/>
              </w:rPr>
              <w:t>(355.6)</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1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12"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713"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714" w14:textId="77777777" w:rsidR="00584FB3" w:rsidRDefault="00786180">
            <w:pPr>
              <w:jc w:val="right"/>
              <w:textAlignment w:val="bottom"/>
            </w:pPr>
            <w:r>
              <w:rPr>
                <w:rFonts w:ascii="Times New Roman" w:eastAsia="宋体" w:hAnsi="Times New Roman"/>
                <w:b/>
                <w:bCs/>
                <w:color w:val="000000"/>
                <w:sz w:val="20"/>
                <w:szCs w:val="20"/>
              </w:rPr>
              <w:t>(330.4)</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15"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16" w14:textId="77777777" w:rsidR="00584FB3" w:rsidRDefault="00584FB3">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0CB2717" w14:textId="77777777" w:rsidR="00584FB3" w:rsidRDefault="00786180">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0CB2718" w14:textId="77777777" w:rsidR="00584FB3" w:rsidRDefault="00786180">
            <w:pPr>
              <w:jc w:val="right"/>
              <w:textAlignment w:val="bottom"/>
            </w:pPr>
            <w:r>
              <w:rPr>
                <w:rFonts w:ascii="Times New Roman" w:eastAsia="宋体" w:hAnsi="Times New Roman"/>
                <w:b/>
                <w:bCs/>
                <w:color w:val="000000"/>
                <w:sz w:val="20"/>
                <w:szCs w:val="20"/>
              </w:rPr>
              <w:t>(25.2)</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19"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1A"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1B" w14:textId="77777777" w:rsidR="00584FB3" w:rsidRDefault="00786180">
            <w:pPr>
              <w:jc w:val="right"/>
              <w:textAlignment w:val="bottom"/>
            </w:pPr>
            <w:r>
              <w:rPr>
                <w:rFonts w:ascii="Times New Roman" w:eastAsia="宋体" w:hAnsi="Times New Roman"/>
                <w:b/>
                <w:bCs/>
                <w:color w:val="000000"/>
                <w:sz w:val="20"/>
                <w:szCs w:val="20"/>
              </w:rPr>
              <w:t>7.6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1C" w14:textId="77777777" w:rsidR="00584FB3" w:rsidRDefault="00786180">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40CB271D" w14:textId="77777777" w:rsidR="00584FB3" w:rsidRDefault="00584FB3">
            <w:pPr>
              <w:rPr>
                <w:rFonts w:ascii="宋体"/>
                <w:vanish/>
              </w:rPr>
            </w:pPr>
          </w:p>
        </w:tc>
        <w:tc>
          <w:tcPr>
            <w:tcW w:w="0" w:type="auto"/>
            <w:shd w:val="clear" w:color="auto" w:fill="auto"/>
          </w:tcPr>
          <w:p w14:paraId="40CB271E" w14:textId="77777777" w:rsidR="00584FB3" w:rsidRDefault="00584FB3">
            <w:pPr>
              <w:rPr>
                <w:rFonts w:ascii="宋体"/>
                <w:vanish/>
              </w:rPr>
            </w:pPr>
          </w:p>
        </w:tc>
        <w:tc>
          <w:tcPr>
            <w:tcW w:w="0" w:type="auto"/>
            <w:gridSpan w:val="3"/>
            <w:shd w:val="clear" w:color="auto" w:fill="auto"/>
          </w:tcPr>
          <w:p w14:paraId="40CB271F" w14:textId="77777777" w:rsidR="00584FB3" w:rsidRDefault="00584FB3">
            <w:pPr>
              <w:rPr>
                <w:rFonts w:ascii="宋体"/>
                <w:vanish/>
              </w:rPr>
            </w:pPr>
          </w:p>
        </w:tc>
        <w:tc>
          <w:tcPr>
            <w:tcW w:w="0" w:type="auto"/>
            <w:gridSpan w:val="3"/>
            <w:shd w:val="clear" w:color="auto" w:fill="auto"/>
          </w:tcPr>
          <w:p w14:paraId="40CB2720" w14:textId="77777777" w:rsidR="00584FB3" w:rsidRDefault="00584FB3">
            <w:pPr>
              <w:rPr>
                <w:rFonts w:ascii="宋体"/>
                <w:vanish/>
              </w:rPr>
            </w:pPr>
          </w:p>
        </w:tc>
        <w:tc>
          <w:tcPr>
            <w:tcW w:w="0" w:type="auto"/>
            <w:gridSpan w:val="3"/>
            <w:shd w:val="clear" w:color="auto" w:fill="auto"/>
          </w:tcPr>
          <w:p w14:paraId="40CB2721" w14:textId="77777777" w:rsidR="00584FB3" w:rsidRDefault="00584FB3">
            <w:pPr>
              <w:rPr>
                <w:rFonts w:ascii="宋体"/>
                <w:vanish/>
              </w:rPr>
            </w:pPr>
          </w:p>
        </w:tc>
        <w:tc>
          <w:tcPr>
            <w:tcW w:w="0" w:type="auto"/>
            <w:gridSpan w:val="3"/>
            <w:shd w:val="clear" w:color="auto" w:fill="auto"/>
          </w:tcPr>
          <w:p w14:paraId="40CB2722" w14:textId="77777777" w:rsidR="00584FB3" w:rsidRDefault="00584FB3">
            <w:pPr>
              <w:rPr>
                <w:rFonts w:ascii="宋体"/>
                <w:vanish/>
              </w:rPr>
            </w:pPr>
          </w:p>
        </w:tc>
        <w:tc>
          <w:tcPr>
            <w:tcW w:w="0" w:type="auto"/>
            <w:gridSpan w:val="3"/>
            <w:shd w:val="clear" w:color="auto" w:fill="auto"/>
          </w:tcPr>
          <w:p w14:paraId="40CB2723" w14:textId="77777777" w:rsidR="00584FB3" w:rsidRDefault="00584FB3">
            <w:pPr>
              <w:rPr>
                <w:rFonts w:ascii="宋体"/>
                <w:vanish/>
              </w:rPr>
            </w:pPr>
          </w:p>
        </w:tc>
        <w:tc>
          <w:tcPr>
            <w:tcW w:w="0" w:type="auto"/>
            <w:gridSpan w:val="3"/>
            <w:shd w:val="clear" w:color="auto" w:fill="auto"/>
          </w:tcPr>
          <w:p w14:paraId="40CB2724" w14:textId="77777777" w:rsidR="00584FB3" w:rsidRDefault="00584FB3">
            <w:pPr>
              <w:rPr>
                <w:rFonts w:ascii="宋体"/>
                <w:vanish/>
              </w:rPr>
            </w:pPr>
          </w:p>
        </w:tc>
      </w:tr>
    </w:tbl>
    <w:p w14:paraId="40CB2726" w14:textId="77777777" w:rsidR="00584FB3" w:rsidRDefault="00786180">
      <w:pPr>
        <w:spacing w:before="120"/>
      </w:pPr>
      <w:r>
        <w:rPr>
          <w:rFonts w:ascii="Times New Roman" w:eastAsia="宋体" w:hAnsi="Times New Roman"/>
          <w:color w:val="000000"/>
          <w:sz w:val="20"/>
          <w:szCs w:val="20"/>
        </w:rPr>
        <w:t xml:space="preserve">Corporate and Other primarily consists of our unallocated corporate expenses, as well as </w:t>
      </w:r>
      <w:r>
        <w:rPr>
          <w:rFonts w:ascii="Times New Roman" w:eastAsia="宋体" w:hAnsi="Times New Roman"/>
          <w:color w:val="000000"/>
          <w:sz w:val="20"/>
          <w:szCs w:val="20"/>
        </w:rPr>
        <w:t xml:space="preserve">Evolution Fresh. Unallocated corporate expenses include corporate administrative functions that support the operating segments but are not specifically attributable to or managed by any segment and are not included in the reported financial results of the </w:t>
      </w:r>
      <w:r>
        <w:rPr>
          <w:rFonts w:ascii="Times New Roman" w:eastAsia="宋体" w:hAnsi="Times New Roman"/>
          <w:color w:val="000000"/>
          <w:sz w:val="20"/>
          <w:szCs w:val="20"/>
        </w:rPr>
        <w:t>operating segments.</w:t>
      </w:r>
    </w:p>
    <w:p w14:paraId="40CB2727" w14:textId="77777777" w:rsidR="00584FB3" w:rsidRDefault="00786180">
      <w:pPr>
        <w:spacing w:before="120"/>
      </w:pPr>
      <w:r>
        <w:rPr>
          <w:rFonts w:ascii="Times New Roman" w:eastAsia="宋体" w:hAnsi="Times New Roman"/>
          <w:color w:val="000000"/>
          <w:sz w:val="20"/>
          <w:szCs w:val="20"/>
        </w:rPr>
        <w:t>Corporate and Other operating loss increased to $356 million for the first fiscal quarter of 2021, or 8%, compared to $330 million for the first fiscal quarter of 2020. This increase was primarily driven by incremental strategic investm</w:t>
      </w:r>
      <w:r>
        <w:rPr>
          <w:rFonts w:ascii="Times New Roman" w:eastAsia="宋体" w:hAnsi="Times New Roman"/>
          <w:color w:val="000000"/>
          <w:sz w:val="20"/>
          <w:szCs w:val="20"/>
        </w:rPr>
        <w:t>ents in technology and higher performance-based compensation recognizing the strength of the company's overall recovery from pandemic-related business impacts.</w:t>
      </w:r>
    </w:p>
    <w:p w14:paraId="40CB2728" w14:textId="77777777" w:rsidR="00584FB3" w:rsidRDefault="00786180">
      <w:pPr>
        <w:jc w:val="center"/>
      </w:pPr>
      <w:r>
        <w:rPr>
          <w:rFonts w:ascii="Times New Roman" w:eastAsia="宋体" w:hAnsi="Times New Roman"/>
          <w:color w:val="000000"/>
          <w:sz w:val="20"/>
          <w:szCs w:val="20"/>
        </w:rPr>
        <w:t>32</w:t>
      </w:r>
    </w:p>
    <w:p w14:paraId="40CB2729" w14:textId="77777777" w:rsidR="00584FB3" w:rsidRDefault="00786180">
      <w:r>
        <w:pict w14:anchorId="40CB2A55">
          <v:rect id="_x0000_i1056" style="width:415.3pt;height:1.5pt" o:hralign="center" o:hrstd="t" o:hr="t" fillcolor="#a0a0a0" stroked="f"/>
        </w:pict>
      </w:r>
    </w:p>
    <w:p w14:paraId="40CB272A" w14:textId="77777777" w:rsidR="00584FB3" w:rsidRDefault="00786180">
      <w:hyperlink r:id="rId109" w:anchor="i11706e4b673c41db9f2dcbdb897203bb_7" w:history="1">
        <w:r>
          <w:rPr>
            <w:rStyle w:val="a5"/>
            <w:rFonts w:ascii="Times New Roman" w:eastAsia="宋体" w:hAnsi="Times New Roman"/>
            <w:sz w:val="20"/>
            <w:szCs w:val="20"/>
          </w:rPr>
          <w:t>Table of Contents</w:t>
        </w:r>
      </w:hyperlink>
    </w:p>
    <w:p w14:paraId="40CB272B" w14:textId="77777777" w:rsidR="00584FB3" w:rsidRDefault="00786180">
      <w:pPr>
        <w:spacing w:before="180"/>
      </w:pPr>
      <w:r>
        <w:rPr>
          <w:rFonts w:ascii="Times New Roman" w:eastAsia="宋体" w:hAnsi="Times New Roman"/>
          <w:b/>
          <w:bCs/>
          <w:color w:val="000000"/>
          <w:sz w:val="20"/>
          <w:szCs w:val="20"/>
        </w:rPr>
        <w:t>Quarterly Store Data</w:t>
      </w:r>
    </w:p>
    <w:p w14:paraId="40CB272C" w14:textId="77777777" w:rsidR="00584FB3" w:rsidRDefault="00786180">
      <w:pPr>
        <w:spacing w:before="60"/>
      </w:pPr>
      <w:r>
        <w:rPr>
          <w:rFonts w:ascii="Times New Roman" w:eastAsia="宋体" w:hAnsi="Times New Roman"/>
          <w:color w:val="000000"/>
          <w:sz w:val="20"/>
          <w:szCs w:val="20"/>
        </w:rPr>
        <w:t>Our store data for the periods presented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874"/>
        <w:gridCol w:w="36"/>
        <w:gridCol w:w="94"/>
        <w:gridCol w:w="922"/>
        <w:gridCol w:w="37"/>
        <w:gridCol w:w="37"/>
        <w:gridCol w:w="48"/>
        <w:gridCol w:w="36"/>
        <w:gridCol w:w="93"/>
        <w:gridCol w:w="921"/>
        <w:gridCol w:w="36"/>
        <w:gridCol w:w="36"/>
        <w:gridCol w:w="36"/>
        <w:gridCol w:w="36"/>
        <w:gridCol w:w="36"/>
        <w:gridCol w:w="36"/>
        <w:gridCol w:w="36"/>
        <w:gridCol w:w="36"/>
        <w:gridCol w:w="36"/>
        <w:gridCol w:w="36"/>
        <w:gridCol w:w="70"/>
        <w:gridCol w:w="70"/>
        <w:gridCol w:w="70"/>
        <w:gridCol w:w="70"/>
        <w:gridCol w:w="70"/>
        <w:gridCol w:w="70"/>
        <w:gridCol w:w="58"/>
        <w:gridCol w:w="562"/>
        <w:gridCol w:w="36"/>
        <w:gridCol w:w="36"/>
        <w:gridCol w:w="36"/>
        <w:gridCol w:w="36"/>
        <w:gridCol w:w="58"/>
        <w:gridCol w:w="562"/>
        <w:gridCol w:w="36"/>
      </w:tblGrid>
      <w:tr w:rsidR="00584FB3" w14:paraId="40CB2749" w14:textId="77777777">
        <w:tc>
          <w:tcPr>
            <w:tcW w:w="50" w:type="pct"/>
            <w:shd w:val="clear" w:color="auto" w:fill="auto"/>
          </w:tcPr>
          <w:p w14:paraId="40CB272D" w14:textId="77777777" w:rsidR="00584FB3" w:rsidRDefault="00584FB3">
            <w:pPr>
              <w:rPr>
                <w:rFonts w:ascii="宋体"/>
              </w:rPr>
            </w:pPr>
          </w:p>
        </w:tc>
        <w:tc>
          <w:tcPr>
            <w:tcW w:w="2649" w:type="pct"/>
            <w:shd w:val="clear" w:color="auto" w:fill="auto"/>
          </w:tcPr>
          <w:p w14:paraId="40CB272E" w14:textId="77777777" w:rsidR="00584FB3" w:rsidRDefault="00584FB3">
            <w:pPr>
              <w:rPr>
                <w:rFonts w:ascii="宋体"/>
              </w:rPr>
            </w:pPr>
          </w:p>
        </w:tc>
        <w:tc>
          <w:tcPr>
            <w:tcW w:w="5" w:type="pct"/>
            <w:shd w:val="clear" w:color="auto" w:fill="auto"/>
          </w:tcPr>
          <w:p w14:paraId="40CB272F" w14:textId="77777777" w:rsidR="00584FB3" w:rsidRDefault="00584FB3">
            <w:pPr>
              <w:rPr>
                <w:rFonts w:ascii="宋体"/>
              </w:rPr>
            </w:pPr>
          </w:p>
        </w:tc>
        <w:tc>
          <w:tcPr>
            <w:tcW w:w="50" w:type="pct"/>
            <w:shd w:val="clear" w:color="auto" w:fill="auto"/>
          </w:tcPr>
          <w:p w14:paraId="40CB2730" w14:textId="77777777" w:rsidR="00584FB3" w:rsidRDefault="00584FB3">
            <w:pPr>
              <w:rPr>
                <w:rFonts w:ascii="宋体"/>
              </w:rPr>
            </w:pPr>
          </w:p>
        </w:tc>
        <w:tc>
          <w:tcPr>
            <w:tcW w:w="493" w:type="pct"/>
            <w:shd w:val="clear" w:color="auto" w:fill="auto"/>
          </w:tcPr>
          <w:p w14:paraId="40CB2731" w14:textId="77777777" w:rsidR="00584FB3" w:rsidRDefault="00584FB3">
            <w:pPr>
              <w:rPr>
                <w:rFonts w:ascii="宋体"/>
              </w:rPr>
            </w:pPr>
          </w:p>
        </w:tc>
        <w:tc>
          <w:tcPr>
            <w:tcW w:w="5" w:type="pct"/>
            <w:shd w:val="clear" w:color="auto" w:fill="auto"/>
          </w:tcPr>
          <w:p w14:paraId="40CB2732" w14:textId="77777777" w:rsidR="00584FB3" w:rsidRDefault="00584FB3">
            <w:pPr>
              <w:rPr>
                <w:rFonts w:ascii="宋体"/>
              </w:rPr>
            </w:pPr>
          </w:p>
        </w:tc>
        <w:tc>
          <w:tcPr>
            <w:tcW w:w="5" w:type="pct"/>
            <w:shd w:val="clear" w:color="auto" w:fill="auto"/>
          </w:tcPr>
          <w:p w14:paraId="40CB2733" w14:textId="77777777" w:rsidR="00584FB3" w:rsidRDefault="00584FB3">
            <w:pPr>
              <w:rPr>
                <w:rFonts w:ascii="宋体"/>
              </w:rPr>
            </w:pPr>
          </w:p>
        </w:tc>
        <w:tc>
          <w:tcPr>
            <w:tcW w:w="26" w:type="pct"/>
            <w:shd w:val="clear" w:color="auto" w:fill="auto"/>
          </w:tcPr>
          <w:p w14:paraId="40CB2734" w14:textId="77777777" w:rsidR="00584FB3" w:rsidRDefault="00584FB3">
            <w:pPr>
              <w:rPr>
                <w:rFonts w:ascii="宋体"/>
              </w:rPr>
            </w:pPr>
          </w:p>
        </w:tc>
        <w:tc>
          <w:tcPr>
            <w:tcW w:w="5" w:type="pct"/>
            <w:shd w:val="clear" w:color="auto" w:fill="auto"/>
          </w:tcPr>
          <w:p w14:paraId="40CB2735" w14:textId="77777777" w:rsidR="00584FB3" w:rsidRDefault="00584FB3">
            <w:pPr>
              <w:rPr>
                <w:rFonts w:ascii="宋体"/>
              </w:rPr>
            </w:pPr>
          </w:p>
        </w:tc>
        <w:tc>
          <w:tcPr>
            <w:tcW w:w="50" w:type="pct"/>
            <w:shd w:val="clear" w:color="auto" w:fill="auto"/>
          </w:tcPr>
          <w:p w14:paraId="40CB2736" w14:textId="77777777" w:rsidR="00584FB3" w:rsidRDefault="00584FB3">
            <w:pPr>
              <w:rPr>
                <w:rFonts w:ascii="宋体"/>
              </w:rPr>
            </w:pPr>
          </w:p>
        </w:tc>
        <w:tc>
          <w:tcPr>
            <w:tcW w:w="493" w:type="pct"/>
            <w:shd w:val="clear" w:color="auto" w:fill="auto"/>
          </w:tcPr>
          <w:p w14:paraId="40CB2737" w14:textId="77777777" w:rsidR="00584FB3" w:rsidRDefault="00584FB3">
            <w:pPr>
              <w:rPr>
                <w:rFonts w:ascii="宋体"/>
              </w:rPr>
            </w:pPr>
          </w:p>
        </w:tc>
        <w:tc>
          <w:tcPr>
            <w:tcW w:w="5" w:type="pct"/>
            <w:shd w:val="clear" w:color="auto" w:fill="auto"/>
          </w:tcPr>
          <w:p w14:paraId="40CB2738" w14:textId="77777777" w:rsidR="00584FB3" w:rsidRDefault="00584FB3">
            <w:pPr>
              <w:rPr>
                <w:rFonts w:ascii="宋体"/>
              </w:rPr>
            </w:pPr>
          </w:p>
        </w:tc>
        <w:tc>
          <w:tcPr>
            <w:tcW w:w="5" w:type="pct"/>
            <w:shd w:val="clear" w:color="auto" w:fill="auto"/>
          </w:tcPr>
          <w:p w14:paraId="40CB2739" w14:textId="77777777" w:rsidR="00584FB3" w:rsidRDefault="00584FB3">
            <w:pPr>
              <w:rPr>
                <w:rFonts w:ascii="宋体"/>
              </w:rPr>
            </w:pPr>
          </w:p>
        </w:tc>
        <w:tc>
          <w:tcPr>
            <w:tcW w:w="19" w:type="pct"/>
            <w:shd w:val="clear" w:color="auto" w:fill="auto"/>
          </w:tcPr>
          <w:p w14:paraId="40CB273A" w14:textId="77777777" w:rsidR="00584FB3" w:rsidRDefault="00584FB3">
            <w:pPr>
              <w:rPr>
                <w:rFonts w:ascii="宋体"/>
              </w:rPr>
            </w:pPr>
          </w:p>
        </w:tc>
        <w:tc>
          <w:tcPr>
            <w:tcW w:w="5" w:type="pct"/>
            <w:shd w:val="clear" w:color="auto" w:fill="auto"/>
          </w:tcPr>
          <w:p w14:paraId="40CB273B" w14:textId="77777777" w:rsidR="00584FB3" w:rsidRDefault="00584FB3">
            <w:pPr>
              <w:rPr>
                <w:rFonts w:ascii="宋体"/>
              </w:rPr>
            </w:pPr>
          </w:p>
        </w:tc>
        <w:tc>
          <w:tcPr>
            <w:tcW w:w="0" w:type="auto"/>
            <w:gridSpan w:val="3"/>
            <w:shd w:val="clear" w:color="auto" w:fill="auto"/>
          </w:tcPr>
          <w:p w14:paraId="40CB273C" w14:textId="77777777" w:rsidR="00584FB3" w:rsidRDefault="00584FB3">
            <w:pPr>
              <w:rPr>
                <w:rFonts w:ascii="宋体"/>
                <w:vanish/>
              </w:rPr>
            </w:pPr>
          </w:p>
        </w:tc>
        <w:tc>
          <w:tcPr>
            <w:tcW w:w="0" w:type="auto"/>
            <w:gridSpan w:val="3"/>
            <w:shd w:val="clear" w:color="auto" w:fill="auto"/>
          </w:tcPr>
          <w:p w14:paraId="40CB273D" w14:textId="77777777" w:rsidR="00584FB3" w:rsidRDefault="00584FB3">
            <w:pPr>
              <w:rPr>
                <w:rFonts w:ascii="宋体"/>
                <w:vanish/>
              </w:rPr>
            </w:pPr>
          </w:p>
        </w:tc>
        <w:tc>
          <w:tcPr>
            <w:tcW w:w="0" w:type="auto"/>
            <w:gridSpan w:val="3"/>
            <w:shd w:val="clear" w:color="auto" w:fill="auto"/>
          </w:tcPr>
          <w:p w14:paraId="40CB273E" w14:textId="77777777" w:rsidR="00584FB3" w:rsidRDefault="00584FB3">
            <w:pPr>
              <w:rPr>
                <w:rFonts w:ascii="宋体"/>
                <w:vanish/>
              </w:rPr>
            </w:pPr>
          </w:p>
        </w:tc>
        <w:tc>
          <w:tcPr>
            <w:tcW w:w="0" w:type="auto"/>
            <w:gridSpan w:val="3"/>
            <w:shd w:val="clear" w:color="auto" w:fill="auto"/>
          </w:tcPr>
          <w:p w14:paraId="40CB273F" w14:textId="77777777" w:rsidR="00584FB3" w:rsidRDefault="00584FB3">
            <w:pPr>
              <w:rPr>
                <w:rFonts w:ascii="宋体"/>
                <w:vanish/>
              </w:rPr>
            </w:pPr>
          </w:p>
        </w:tc>
        <w:tc>
          <w:tcPr>
            <w:tcW w:w="50" w:type="pct"/>
            <w:shd w:val="clear" w:color="auto" w:fill="auto"/>
          </w:tcPr>
          <w:p w14:paraId="40CB2740" w14:textId="77777777" w:rsidR="00584FB3" w:rsidRDefault="00584FB3">
            <w:pPr>
              <w:rPr>
                <w:rFonts w:ascii="宋体"/>
              </w:rPr>
            </w:pPr>
          </w:p>
        </w:tc>
        <w:tc>
          <w:tcPr>
            <w:tcW w:w="493" w:type="pct"/>
            <w:shd w:val="clear" w:color="auto" w:fill="auto"/>
          </w:tcPr>
          <w:p w14:paraId="40CB2741" w14:textId="77777777" w:rsidR="00584FB3" w:rsidRDefault="00584FB3">
            <w:pPr>
              <w:rPr>
                <w:rFonts w:ascii="宋体"/>
              </w:rPr>
            </w:pPr>
          </w:p>
        </w:tc>
        <w:tc>
          <w:tcPr>
            <w:tcW w:w="5" w:type="pct"/>
            <w:shd w:val="clear" w:color="auto" w:fill="auto"/>
          </w:tcPr>
          <w:p w14:paraId="40CB2742" w14:textId="77777777" w:rsidR="00584FB3" w:rsidRDefault="00584FB3">
            <w:pPr>
              <w:rPr>
                <w:rFonts w:ascii="宋体"/>
              </w:rPr>
            </w:pPr>
          </w:p>
        </w:tc>
        <w:tc>
          <w:tcPr>
            <w:tcW w:w="5" w:type="pct"/>
            <w:shd w:val="clear" w:color="auto" w:fill="auto"/>
          </w:tcPr>
          <w:p w14:paraId="40CB2743" w14:textId="77777777" w:rsidR="00584FB3" w:rsidRDefault="00584FB3">
            <w:pPr>
              <w:rPr>
                <w:rFonts w:ascii="宋体"/>
              </w:rPr>
            </w:pPr>
          </w:p>
        </w:tc>
        <w:tc>
          <w:tcPr>
            <w:tcW w:w="26" w:type="pct"/>
            <w:shd w:val="clear" w:color="auto" w:fill="auto"/>
          </w:tcPr>
          <w:p w14:paraId="40CB2744" w14:textId="77777777" w:rsidR="00584FB3" w:rsidRDefault="00584FB3">
            <w:pPr>
              <w:rPr>
                <w:rFonts w:ascii="宋体"/>
              </w:rPr>
            </w:pPr>
          </w:p>
        </w:tc>
        <w:tc>
          <w:tcPr>
            <w:tcW w:w="5" w:type="pct"/>
            <w:shd w:val="clear" w:color="auto" w:fill="auto"/>
          </w:tcPr>
          <w:p w14:paraId="40CB2745" w14:textId="77777777" w:rsidR="00584FB3" w:rsidRDefault="00584FB3">
            <w:pPr>
              <w:rPr>
                <w:rFonts w:ascii="宋体"/>
              </w:rPr>
            </w:pPr>
          </w:p>
        </w:tc>
        <w:tc>
          <w:tcPr>
            <w:tcW w:w="50" w:type="pct"/>
            <w:shd w:val="clear" w:color="auto" w:fill="auto"/>
          </w:tcPr>
          <w:p w14:paraId="40CB2746" w14:textId="77777777" w:rsidR="00584FB3" w:rsidRDefault="00584FB3">
            <w:pPr>
              <w:rPr>
                <w:rFonts w:ascii="宋体"/>
              </w:rPr>
            </w:pPr>
          </w:p>
        </w:tc>
        <w:tc>
          <w:tcPr>
            <w:tcW w:w="493" w:type="pct"/>
            <w:shd w:val="clear" w:color="auto" w:fill="auto"/>
          </w:tcPr>
          <w:p w14:paraId="40CB2747" w14:textId="77777777" w:rsidR="00584FB3" w:rsidRDefault="00584FB3">
            <w:pPr>
              <w:rPr>
                <w:rFonts w:ascii="宋体"/>
              </w:rPr>
            </w:pPr>
          </w:p>
        </w:tc>
        <w:tc>
          <w:tcPr>
            <w:tcW w:w="5" w:type="pct"/>
            <w:shd w:val="clear" w:color="auto" w:fill="auto"/>
          </w:tcPr>
          <w:p w14:paraId="40CB2748" w14:textId="77777777" w:rsidR="00584FB3" w:rsidRDefault="00584FB3">
            <w:pPr>
              <w:rPr>
                <w:rFonts w:ascii="宋体"/>
              </w:rPr>
            </w:pPr>
          </w:p>
        </w:tc>
      </w:tr>
      <w:tr w:rsidR="00584FB3" w14:paraId="40CB2754" w14:textId="77777777">
        <w:tc>
          <w:tcPr>
            <w:tcW w:w="0" w:type="auto"/>
            <w:gridSpan w:val="3"/>
            <w:shd w:val="clear" w:color="auto" w:fill="auto"/>
            <w:tcMar>
              <w:top w:w="40" w:type="dxa"/>
              <w:left w:w="20" w:type="dxa"/>
              <w:bottom w:w="40" w:type="dxa"/>
              <w:right w:w="20" w:type="dxa"/>
            </w:tcMar>
            <w:vAlign w:val="bottom"/>
          </w:tcPr>
          <w:p w14:paraId="40CB274A" w14:textId="77777777" w:rsidR="00584FB3" w:rsidRDefault="00786180">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40CB274B" w14:textId="77777777" w:rsidR="00584FB3" w:rsidRDefault="00786180">
            <w:pPr>
              <w:jc w:val="center"/>
              <w:textAlignment w:val="bottom"/>
            </w:pPr>
            <w:r>
              <w:rPr>
                <w:rFonts w:ascii="Times New Roman" w:eastAsia="宋体" w:hAnsi="Times New Roman"/>
                <w:b/>
                <w:bCs/>
                <w:color w:val="FFFFFF"/>
                <w:sz w:val="16"/>
                <w:szCs w:val="16"/>
              </w:rPr>
              <w:t xml:space="preserve">Net stores opened/(closed) and </w:t>
            </w:r>
            <w:r>
              <w:rPr>
                <w:rFonts w:ascii="Times New Roman" w:eastAsia="宋体" w:hAnsi="Times New Roman"/>
                <w:b/>
                <w:bCs/>
                <w:color w:val="FFFFFF"/>
                <w:sz w:val="16"/>
                <w:szCs w:val="16"/>
              </w:rPr>
              <w:br/>
              <w:t>transferred during the period</w:t>
            </w:r>
          </w:p>
        </w:tc>
        <w:tc>
          <w:tcPr>
            <w:tcW w:w="0" w:type="auto"/>
            <w:gridSpan w:val="3"/>
            <w:shd w:val="clear" w:color="auto" w:fill="auto"/>
            <w:tcMar>
              <w:top w:w="0" w:type="dxa"/>
              <w:left w:w="20" w:type="dxa"/>
              <w:bottom w:w="0" w:type="dxa"/>
              <w:right w:w="20" w:type="dxa"/>
            </w:tcMar>
          </w:tcPr>
          <w:p w14:paraId="40CB274C" w14:textId="77777777" w:rsidR="00584FB3" w:rsidRDefault="00584FB3">
            <w:pPr>
              <w:rPr>
                <w:rFonts w:ascii="宋体"/>
              </w:rPr>
            </w:pPr>
          </w:p>
        </w:tc>
        <w:tc>
          <w:tcPr>
            <w:tcW w:w="0" w:type="auto"/>
            <w:gridSpan w:val="3"/>
            <w:shd w:val="clear" w:color="auto" w:fill="auto"/>
          </w:tcPr>
          <w:p w14:paraId="40CB274D" w14:textId="77777777" w:rsidR="00584FB3" w:rsidRDefault="00584FB3">
            <w:pPr>
              <w:rPr>
                <w:rFonts w:ascii="宋体"/>
                <w:vanish/>
              </w:rPr>
            </w:pPr>
          </w:p>
        </w:tc>
        <w:tc>
          <w:tcPr>
            <w:tcW w:w="0" w:type="auto"/>
            <w:gridSpan w:val="3"/>
            <w:shd w:val="clear" w:color="auto" w:fill="auto"/>
          </w:tcPr>
          <w:p w14:paraId="40CB274E" w14:textId="77777777" w:rsidR="00584FB3" w:rsidRDefault="00584FB3">
            <w:pPr>
              <w:rPr>
                <w:rFonts w:ascii="宋体"/>
                <w:vanish/>
              </w:rPr>
            </w:pPr>
          </w:p>
        </w:tc>
        <w:tc>
          <w:tcPr>
            <w:tcW w:w="0" w:type="auto"/>
            <w:gridSpan w:val="3"/>
            <w:shd w:val="clear" w:color="auto" w:fill="auto"/>
          </w:tcPr>
          <w:p w14:paraId="40CB274F" w14:textId="77777777" w:rsidR="00584FB3" w:rsidRDefault="00584FB3">
            <w:pPr>
              <w:rPr>
                <w:rFonts w:ascii="宋体"/>
                <w:vanish/>
              </w:rPr>
            </w:pPr>
          </w:p>
        </w:tc>
        <w:tc>
          <w:tcPr>
            <w:tcW w:w="0" w:type="auto"/>
            <w:gridSpan w:val="3"/>
            <w:shd w:val="clear" w:color="auto" w:fill="auto"/>
          </w:tcPr>
          <w:p w14:paraId="40CB2750" w14:textId="77777777" w:rsidR="00584FB3" w:rsidRDefault="00584FB3">
            <w:pPr>
              <w:rPr>
                <w:rFonts w:ascii="宋体"/>
                <w:vanish/>
              </w:rPr>
            </w:pPr>
          </w:p>
        </w:tc>
        <w:tc>
          <w:tcPr>
            <w:tcW w:w="0" w:type="auto"/>
            <w:gridSpan w:val="3"/>
            <w:shd w:val="clear" w:color="auto" w:fill="auto"/>
            <w:tcMar>
              <w:top w:w="40" w:type="dxa"/>
              <w:left w:w="20" w:type="dxa"/>
              <w:bottom w:w="40" w:type="dxa"/>
              <w:right w:w="20" w:type="dxa"/>
            </w:tcMar>
            <w:vAlign w:val="bottom"/>
          </w:tcPr>
          <w:p w14:paraId="40CB2751"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B2752"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B2753" w14:textId="77777777" w:rsidR="00584FB3" w:rsidRDefault="00786180">
            <w:pPr>
              <w:textAlignment w:val="bottom"/>
            </w:pPr>
            <w:r>
              <w:rPr>
                <w:rFonts w:ascii="Times New Roman" w:eastAsia="宋体" w:hAnsi="Times New Roman"/>
                <w:color w:val="000000"/>
                <w:sz w:val="16"/>
                <w:szCs w:val="16"/>
              </w:rPr>
              <w:t> </w:t>
            </w:r>
          </w:p>
        </w:tc>
      </w:tr>
      <w:tr w:rsidR="00584FB3" w14:paraId="40CB2761" w14:textId="77777777">
        <w:tc>
          <w:tcPr>
            <w:tcW w:w="0" w:type="auto"/>
            <w:gridSpan w:val="3"/>
            <w:shd w:val="clear" w:color="auto" w:fill="auto"/>
            <w:tcMar>
              <w:top w:w="40" w:type="dxa"/>
              <w:left w:w="20" w:type="dxa"/>
              <w:bottom w:w="40" w:type="dxa"/>
              <w:right w:w="20" w:type="dxa"/>
            </w:tcMar>
            <w:vAlign w:val="bottom"/>
          </w:tcPr>
          <w:p w14:paraId="40CB2755" w14:textId="77777777" w:rsidR="00584FB3" w:rsidRDefault="00786180">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40CB2756" w14:textId="77777777" w:rsidR="00584FB3" w:rsidRDefault="00786180">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40CB2757" w14:textId="77777777" w:rsidR="00584FB3" w:rsidRDefault="00584FB3">
            <w:pPr>
              <w:rPr>
                <w:rFonts w:ascii="宋体"/>
              </w:rPr>
            </w:pPr>
          </w:p>
        </w:tc>
        <w:tc>
          <w:tcPr>
            <w:tcW w:w="0" w:type="auto"/>
            <w:gridSpan w:val="3"/>
            <w:shd w:val="clear" w:color="auto" w:fill="auto"/>
          </w:tcPr>
          <w:p w14:paraId="40CB2758" w14:textId="77777777" w:rsidR="00584FB3" w:rsidRDefault="00584FB3">
            <w:pPr>
              <w:rPr>
                <w:rFonts w:ascii="宋体"/>
                <w:vanish/>
              </w:rPr>
            </w:pPr>
          </w:p>
        </w:tc>
        <w:tc>
          <w:tcPr>
            <w:tcW w:w="0" w:type="auto"/>
            <w:gridSpan w:val="3"/>
            <w:shd w:val="clear" w:color="auto" w:fill="auto"/>
          </w:tcPr>
          <w:p w14:paraId="40CB2759" w14:textId="77777777" w:rsidR="00584FB3" w:rsidRDefault="00584FB3">
            <w:pPr>
              <w:rPr>
                <w:rFonts w:ascii="宋体"/>
                <w:vanish/>
              </w:rPr>
            </w:pPr>
          </w:p>
        </w:tc>
        <w:tc>
          <w:tcPr>
            <w:tcW w:w="0" w:type="auto"/>
            <w:gridSpan w:val="9"/>
            <w:shd w:val="clear" w:color="auto" w:fill="00704A"/>
            <w:tcMar>
              <w:top w:w="40" w:type="dxa"/>
              <w:left w:w="20" w:type="dxa"/>
              <w:bottom w:w="40" w:type="dxa"/>
              <w:right w:w="20" w:type="dxa"/>
            </w:tcMar>
            <w:vAlign w:val="bottom"/>
          </w:tcPr>
          <w:p w14:paraId="40CB275A" w14:textId="77777777" w:rsidR="00584FB3" w:rsidRDefault="00786180">
            <w:pPr>
              <w:jc w:val="center"/>
              <w:textAlignment w:val="bottom"/>
            </w:pPr>
            <w:r>
              <w:rPr>
                <w:rFonts w:ascii="Times New Roman" w:eastAsia="宋体" w:hAnsi="Times New Roman"/>
                <w:b/>
                <w:bCs/>
                <w:color w:val="FFFFFF"/>
                <w:sz w:val="16"/>
                <w:szCs w:val="16"/>
              </w:rPr>
              <w:t>Stores open as of</w:t>
            </w:r>
          </w:p>
        </w:tc>
        <w:tc>
          <w:tcPr>
            <w:tcW w:w="0" w:type="auto"/>
            <w:shd w:val="clear" w:color="auto" w:fill="auto"/>
          </w:tcPr>
          <w:p w14:paraId="40CB275B" w14:textId="77777777" w:rsidR="00584FB3" w:rsidRDefault="00584FB3">
            <w:pPr>
              <w:rPr>
                <w:rFonts w:ascii="宋体"/>
              </w:rPr>
            </w:pPr>
          </w:p>
        </w:tc>
        <w:tc>
          <w:tcPr>
            <w:tcW w:w="0" w:type="auto"/>
            <w:shd w:val="clear" w:color="auto" w:fill="auto"/>
          </w:tcPr>
          <w:p w14:paraId="40CB275C" w14:textId="77777777" w:rsidR="00584FB3" w:rsidRDefault="00584FB3">
            <w:pPr>
              <w:rPr>
                <w:rFonts w:ascii="宋体"/>
              </w:rPr>
            </w:pPr>
          </w:p>
        </w:tc>
        <w:tc>
          <w:tcPr>
            <w:tcW w:w="0" w:type="auto"/>
            <w:shd w:val="clear" w:color="auto" w:fill="auto"/>
          </w:tcPr>
          <w:p w14:paraId="40CB275D" w14:textId="77777777" w:rsidR="00584FB3" w:rsidRDefault="00584FB3">
            <w:pPr>
              <w:rPr>
                <w:rFonts w:ascii="宋体"/>
              </w:rPr>
            </w:pPr>
          </w:p>
        </w:tc>
        <w:tc>
          <w:tcPr>
            <w:tcW w:w="0" w:type="auto"/>
            <w:shd w:val="clear" w:color="auto" w:fill="auto"/>
          </w:tcPr>
          <w:p w14:paraId="40CB275E" w14:textId="77777777" w:rsidR="00584FB3" w:rsidRDefault="00584FB3">
            <w:pPr>
              <w:rPr>
                <w:rFonts w:ascii="宋体"/>
              </w:rPr>
            </w:pPr>
          </w:p>
        </w:tc>
        <w:tc>
          <w:tcPr>
            <w:tcW w:w="0" w:type="auto"/>
            <w:shd w:val="clear" w:color="auto" w:fill="auto"/>
          </w:tcPr>
          <w:p w14:paraId="40CB275F" w14:textId="77777777" w:rsidR="00584FB3" w:rsidRDefault="00584FB3">
            <w:pPr>
              <w:rPr>
                <w:rFonts w:ascii="宋体"/>
              </w:rPr>
            </w:pPr>
          </w:p>
        </w:tc>
        <w:tc>
          <w:tcPr>
            <w:tcW w:w="0" w:type="auto"/>
            <w:shd w:val="clear" w:color="auto" w:fill="auto"/>
          </w:tcPr>
          <w:p w14:paraId="40CB2760" w14:textId="77777777" w:rsidR="00584FB3" w:rsidRDefault="00584FB3">
            <w:pPr>
              <w:rPr>
                <w:rFonts w:ascii="宋体"/>
              </w:rPr>
            </w:pPr>
          </w:p>
        </w:tc>
      </w:tr>
      <w:tr w:rsidR="00584FB3" w14:paraId="40CB276E" w14:textId="77777777">
        <w:tc>
          <w:tcPr>
            <w:tcW w:w="0" w:type="auto"/>
            <w:gridSpan w:val="3"/>
            <w:shd w:val="clear" w:color="auto" w:fill="auto"/>
            <w:tcMar>
              <w:top w:w="0" w:type="dxa"/>
              <w:left w:w="20" w:type="dxa"/>
              <w:bottom w:w="0" w:type="dxa"/>
              <w:right w:w="20" w:type="dxa"/>
            </w:tcMar>
          </w:tcPr>
          <w:p w14:paraId="40CB2762"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763"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76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765"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40CB2766" w14:textId="77777777" w:rsidR="00584FB3" w:rsidRDefault="00584FB3">
            <w:pPr>
              <w:rPr>
                <w:rFonts w:ascii="宋体"/>
              </w:rPr>
            </w:pPr>
          </w:p>
        </w:tc>
        <w:tc>
          <w:tcPr>
            <w:tcW w:w="0" w:type="auto"/>
            <w:gridSpan w:val="3"/>
            <w:shd w:val="clear" w:color="auto" w:fill="auto"/>
          </w:tcPr>
          <w:p w14:paraId="40CB2767" w14:textId="77777777" w:rsidR="00584FB3" w:rsidRDefault="00584FB3">
            <w:pPr>
              <w:rPr>
                <w:rFonts w:ascii="宋体"/>
                <w:vanish/>
              </w:rPr>
            </w:pPr>
          </w:p>
        </w:tc>
        <w:tc>
          <w:tcPr>
            <w:tcW w:w="0" w:type="auto"/>
            <w:gridSpan w:val="3"/>
            <w:shd w:val="clear" w:color="auto" w:fill="auto"/>
          </w:tcPr>
          <w:p w14:paraId="40CB2768" w14:textId="77777777" w:rsidR="00584FB3" w:rsidRDefault="00584FB3">
            <w:pPr>
              <w:rPr>
                <w:rFonts w:ascii="宋体"/>
                <w:vanish/>
              </w:rPr>
            </w:pPr>
          </w:p>
        </w:tc>
        <w:tc>
          <w:tcPr>
            <w:tcW w:w="0" w:type="auto"/>
            <w:gridSpan w:val="3"/>
            <w:shd w:val="clear" w:color="auto" w:fill="auto"/>
          </w:tcPr>
          <w:p w14:paraId="40CB2769" w14:textId="77777777" w:rsidR="00584FB3" w:rsidRDefault="00584FB3">
            <w:pPr>
              <w:rPr>
                <w:rFonts w:ascii="宋体"/>
                <w:vanish/>
              </w:rPr>
            </w:pPr>
          </w:p>
        </w:tc>
        <w:tc>
          <w:tcPr>
            <w:tcW w:w="0" w:type="auto"/>
            <w:gridSpan w:val="3"/>
            <w:shd w:val="clear" w:color="auto" w:fill="auto"/>
          </w:tcPr>
          <w:p w14:paraId="40CB276A" w14:textId="77777777" w:rsidR="00584FB3" w:rsidRDefault="00584FB3">
            <w:pPr>
              <w:rPr>
                <w:rFonts w:ascii="宋体"/>
                <w:vanish/>
              </w:rPr>
            </w:pPr>
          </w:p>
        </w:tc>
        <w:tc>
          <w:tcPr>
            <w:tcW w:w="0" w:type="auto"/>
            <w:gridSpan w:val="3"/>
            <w:shd w:val="clear" w:color="auto" w:fill="00704A"/>
            <w:tcMar>
              <w:top w:w="40" w:type="dxa"/>
              <w:left w:w="20" w:type="dxa"/>
              <w:bottom w:w="40" w:type="dxa"/>
              <w:right w:w="20" w:type="dxa"/>
            </w:tcMar>
            <w:vAlign w:val="bottom"/>
          </w:tcPr>
          <w:p w14:paraId="40CB276B" w14:textId="77777777" w:rsidR="00584FB3" w:rsidRDefault="00786180">
            <w:pPr>
              <w:jc w:val="center"/>
              <w:textAlignment w:val="bottom"/>
            </w:pPr>
            <w:r>
              <w:rPr>
                <w:rFonts w:ascii="Times New Roman" w:eastAsia="宋体" w:hAnsi="Times New Roman"/>
                <w:b/>
                <w:bCs/>
                <w:color w:val="FFFFFF"/>
                <w:sz w:val="16"/>
                <w:szCs w:val="16"/>
              </w:rPr>
              <w:t>Dec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40CB276C"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76D" w14:textId="77777777" w:rsidR="00584FB3" w:rsidRDefault="00786180">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r>
      <w:tr w:rsidR="00584FB3" w14:paraId="40CB277B" w14:textId="77777777">
        <w:tc>
          <w:tcPr>
            <w:tcW w:w="0" w:type="auto"/>
            <w:gridSpan w:val="3"/>
            <w:shd w:val="clear" w:color="auto" w:fill="D7E4BC"/>
            <w:tcMar>
              <w:top w:w="40" w:type="dxa"/>
              <w:left w:w="20" w:type="dxa"/>
              <w:bottom w:w="40" w:type="dxa"/>
              <w:right w:w="20" w:type="dxa"/>
            </w:tcMar>
          </w:tcPr>
          <w:p w14:paraId="40CB276F" w14:textId="77777777" w:rsidR="00584FB3" w:rsidRDefault="00786180">
            <w:pPr>
              <w:textAlignment w:val="top"/>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top w:w="0" w:type="dxa"/>
              <w:left w:w="20" w:type="dxa"/>
              <w:bottom w:w="0" w:type="dxa"/>
              <w:right w:w="20" w:type="dxa"/>
            </w:tcMar>
          </w:tcPr>
          <w:p w14:paraId="40CB277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771"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77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773" w14:textId="77777777" w:rsidR="00584FB3" w:rsidRDefault="00584FB3">
            <w:pPr>
              <w:rPr>
                <w:rFonts w:ascii="宋体"/>
              </w:rPr>
            </w:pPr>
          </w:p>
        </w:tc>
        <w:tc>
          <w:tcPr>
            <w:tcW w:w="0" w:type="auto"/>
            <w:gridSpan w:val="3"/>
            <w:shd w:val="clear" w:color="auto" w:fill="auto"/>
          </w:tcPr>
          <w:p w14:paraId="40CB2774" w14:textId="77777777" w:rsidR="00584FB3" w:rsidRDefault="00584FB3">
            <w:pPr>
              <w:rPr>
                <w:rFonts w:ascii="宋体"/>
                <w:vanish/>
              </w:rPr>
            </w:pPr>
          </w:p>
        </w:tc>
        <w:tc>
          <w:tcPr>
            <w:tcW w:w="0" w:type="auto"/>
            <w:gridSpan w:val="3"/>
            <w:shd w:val="clear" w:color="auto" w:fill="auto"/>
          </w:tcPr>
          <w:p w14:paraId="40CB2775" w14:textId="77777777" w:rsidR="00584FB3" w:rsidRDefault="00584FB3">
            <w:pPr>
              <w:rPr>
                <w:rFonts w:ascii="宋体"/>
                <w:vanish/>
              </w:rPr>
            </w:pPr>
          </w:p>
        </w:tc>
        <w:tc>
          <w:tcPr>
            <w:tcW w:w="0" w:type="auto"/>
            <w:gridSpan w:val="3"/>
            <w:shd w:val="clear" w:color="auto" w:fill="auto"/>
          </w:tcPr>
          <w:p w14:paraId="40CB2776" w14:textId="77777777" w:rsidR="00584FB3" w:rsidRDefault="00584FB3">
            <w:pPr>
              <w:rPr>
                <w:rFonts w:ascii="宋体"/>
                <w:vanish/>
              </w:rPr>
            </w:pPr>
          </w:p>
        </w:tc>
        <w:tc>
          <w:tcPr>
            <w:tcW w:w="0" w:type="auto"/>
            <w:gridSpan w:val="3"/>
            <w:shd w:val="clear" w:color="auto" w:fill="auto"/>
          </w:tcPr>
          <w:p w14:paraId="40CB2777" w14:textId="77777777" w:rsidR="00584FB3" w:rsidRDefault="00584FB3">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77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779"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77A" w14:textId="77777777" w:rsidR="00584FB3" w:rsidRDefault="00584FB3">
            <w:pPr>
              <w:rPr>
                <w:rFonts w:ascii="宋体"/>
              </w:rPr>
            </w:pPr>
          </w:p>
        </w:tc>
      </w:tr>
      <w:tr w:rsidR="00584FB3" w14:paraId="40CB278C" w14:textId="77777777">
        <w:tc>
          <w:tcPr>
            <w:tcW w:w="0" w:type="auto"/>
            <w:gridSpan w:val="3"/>
            <w:shd w:val="clear" w:color="auto" w:fill="FFFFFF"/>
            <w:tcMar>
              <w:top w:w="40" w:type="dxa"/>
              <w:left w:w="380" w:type="dxa"/>
              <w:bottom w:w="40" w:type="dxa"/>
              <w:right w:w="20" w:type="dxa"/>
            </w:tcMar>
            <w:vAlign w:val="bottom"/>
          </w:tcPr>
          <w:p w14:paraId="40CB277C" w14:textId="77777777" w:rsidR="00584FB3" w:rsidRDefault="00786180">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40CB277D" w14:textId="77777777" w:rsidR="00584FB3" w:rsidRDefault="00786180">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40CB277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7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780" w14:textId="77777777" w:rsidR="00584FB3" w:rsidRDefault="00786180">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40CB278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82" w14:textId="77777777" w:rsidR="00584FB3" w:rsidRDefault="00584FB3">
            <w:pPr>
              <w:rPr>
                <w:rFonts w:ascii="宋体"/>
              </w:rPr>
            </w:pPr>
          </w:p>
        </w:tc>
        <w:tc>
          <w:tcPr>
            <w:tcW w:w="0" w:type="auto"/>
            <w:gridSpan w:val="3"/>
            <w:shd w:val="clear" w:color="auto" w:fill="auto"/>
          </w:tcPr>
          <w:p w14:paraId="40CB2783" w14:textId="77777777" w:rsidR="00584FB3" w:rsidRDefault="00584FB3">
            <w:pPr>
              <w:rPr>
                <w:rFonts w:ascii="宋体"/>
                <w:vanish/>
              </w:rPr>
            </w:pPr>
          </w:p>
        </w:tc>
        <w:tc>
          <w:tcPr>
            <w:tcW w:w="0" w:type="auto"/>
            <w:gridSpan w:val="3"/>
            <w:shd w:val="clear" w:color="auto" w:fill="auto"/>
          </w:tcPr>
          <w:p w14:paraId="40CB2784" w14:textId="77777777" w:rsidR="00584FB3" w:rsidRDefault="00584FB3">
            <w:pPr>
              <w:rPr>
                <w:rFonts w:ascii="宋体"/>
                <w:vanish/>
              </w:rPr>
            </w:pPr>
          </w:p>
        </w:tc>
        <w:tc>
          <w:tcPr>
            <w:tcW w:w="0" w:type="auto"/>
            <w:gridSpan w:val="3"/>
            <w:shd w:val="clear" w:color="auto" w:fill="auto"/>
          </w:tcPr>
          <w:p w14:paraId="40CB2785" w14:textId="77777777" w:rsidR="00584FB3" w:rsidRDefault="00584FB3">
            <w:pPr>
              <w:rPr>
                <w:rFonts w:ascii="宋体"/>
                <w:vanish/>
              </w:rPr>
            </w:pPr>
          </w:p>
        </w:tc>
        <w:tc>
          <w:tcPr>
            <w:tcW w:w="0" w:type="auto"/>
            <w:gridSpan w:val="3"/>
            <w:shd w:val="clear" w:color="auto" w:fill="auto"/>
          </w:tcPr>
          <w:p w14:paraId="40CB2786" w14:textId="77777777" w:rsidR="00584FB3" w:rsidRDefault="00584FB3">
            <w:pPr>
              <w:rPr>
                <w:rFonts w:ascii="宋体"/>
                <w:vanish/>
              </w:rPr>
            </w:pPr>
          </w:p>
        </w:tc>
        <w:tc>
          <w:tcPr>
            <w:tcW w:w="0" w:type="auto"/>
            <w:gridSpan w:val="2"/>
            <w:shd w:val="clear" w:color="auto" w:fill="FFFFFF"/>
            <w:tcMar>
              <w:top w:w="40" w:type="dxa"/>
              <w:left w:w="20" w:type="dxa"/>
              <w:bottom w:w="40" w:type="dxa"/>
              <w:right w:w="0" w:type="dxa"/>
            </w:tcMar>
            <w:vAlign w:val="bottom"/>
          </w:tcPr>
          <w:p w14:paraId="40CB2787" w14:textId="77777777" w:rsidR="00584FB3" w:rsidRDefault="00786180">
            <w:pPr>
              <w:jc w:val="right"/>
              <w:textAlignment w:val="bottom"/>
            </w:pPr>
            <w:r>
              <w:rPr>
                <w:rFonts w:ascii="Times New Roman" w:eastAsia="宋体" w:hAnsi="Times New Roman"/>
                <w:color w:val="000000"/>
                <w:sz w:val="20"/>
                <w:szCs w:val="20"/>
              </w:rPr>
              <w:t>10,029 </w:t>
            </w:r>
          </w:p>
        </w:tc>
        <w:tc>
          <w:tcPr>
            <w:tcW w:w="0" w:type="auto"/>
            <w:shd w:val="clear" w:color="auto" w:fill="FFFFFF"/>
            <w:tcMar>
              <w:top w:w="40" w:type="dxa"/>
              <w:left w:w="0" w:type="dxa"/>
              <w:bottom w:w="40" w:type="dxa"/>
              <w:right w:w="20" w:type="dxa"/>
            </w:tcMar>
            <w:vAlign w:val="bottom"/>
          </w:tcPr>
          <w:p w14:paraId="40CB278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8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78A" w14:textId="77777777" w:rsidR="00584FB3" w:rsidRDefault="00786180">
            <w:pPr>
              <w:jc w:val="right"/>
              <w:textAlignment w:val="bottom"/>
            </w:pPr>
            <w:r>
              <w:rPr>
                <w:rFonts w:ascii="Times New Roman" w:eastAsia="宋体" w:hAnsi="Times New Roman"/>
                <w:color w:val="000000"/>
                <w:sz w:val="20"/>
                <w:szCs w:val="20"/>
              </w:rPr>
              <w:t>10,020 </w:t>
            </w:r>
          </w:p>
        </w:tc>
        <w:tc>
          <w:tcPr>
            <w:tcW w:w="0" w:type="auto"/>
            <w:shd w:val="clear" w:color="auto" w:fill="FFFFFF"/>
            <w:tcMar>
              <w:top w:w="40" w:type="dxa"/>
              <w:left w:w="0" w:type="dxa"/>
              <w:bottom w:w="40" w:type="dxa"/>
              <w:right w:w="20" w:type="dxa"/>
            </w:tcMar>
            <w:vAlign w:val="bottom"/>
          </w:tcPr>
          <w:p w14:paraId="40CB278B" w14:textId="77777777" w:rsidR="00584FB3" w:rsidRDefault="00584FB3">
            <w:pPr>
              <w:jc w:val="right"/>
              <w:rPr>
                <w:rFonts w:ascii="宋体"/>
              </w:rPr>
            </w:pPr>
          </w:p>
        </w:tc>
      </w:tr>
      <w:tr w:rsidR="00584FB3" w14:paraId="40CB279D" w14:textId="77777777">
        <w:tc>
          <w:tcPr>
            <w:tcW w:w="0" w:type="auto"/>
            <w:gridSpan w:val="3"/>
            <w:shd w:val="clear" w:color="auto" w:fill="D7E4BC"/>
            <w:tcMar>
              <w:top w:w="40" w:type="dxa"/>
              <w:left w:w="380" w:type="dxa"/>
              <w:bottom w:w="40" w:type="dxa"/>
              <w:right w:w="20" w:type="dxa"/>
            </w:tcMar>
            <w:vAlign w:val="bottom"/>
          </w:tcPr>
          <w:p w14:paraId="40CB278D" w14:textId="77777777" w:rsidR="00584FB3" w:rsidRDefault="00786180">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0CB278E" w14:textId="77777777" w:rsidR="00584FB3" w:rsidRDefault="00786180">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40CB278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79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791" w14:textId="77777777" w:rsidR="00584FB3" w:rsidRDefault="00786180">
            <w:pPr>
              <w:jc w:val="right"/>
              <w:textAlignment w:val="bottom"/>
            </w:pPr>
            <w:r>
              <w:rPr>
                <w:rFonts w:ascii="Times New Roman" w:eastAsia="宋体" w:hAnsi="Times New Roman"/>
                <w:color w:val="000000"/>
                <w:sz w:val="20"/>
                <w:szCs w:val="20"/>
              </w:rPr>
              <w:t>90 </w:t>
            </w:r>
          </w:p>
        </w:tc>
        <w:tc>
          <w:tcPr>
            <w:tcW w:w="0" w:type="auto"/>
            <w:shd w:val="clear" w:color="auto" w:fill="D7E4BC"/>
            <w:tcMar>
              <w:top w:w="40" w:type="dxa"/>
              <w:left w:w="0" w:type="dxa"/>
              <w:bottom w:w="40" w:type="dxa"/>
              <w:right w:w="20" w:type="dxa"/>
            </w:tcMar>
            <w:vAlign w:val="bottom"/>
          </w:tcPr>
          <w:p w14:paraId="40CB279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793" w14:textId="77777777" w:rsidR="00584FB3" w:rsidRDefault="00584FB3">
            <w:pPr>
              <w:rPr>
                <w:rFonts w:ascii="宋体"/>
              </w:rPr>
            </w:pPr>
          </w:p>
        </w:tc>
        <w:tc>
          <w:tcPr>
            <w:tcW w:w="0" w:type="auto"/>
            <w:gridSpan w:val="3"/>
            <w:shd w:val="clear" w:color="auto" w:fill="auto"/>
          </w:tcPr>
          <w:p w14:paraId="40CB2794" w14:textId="77777777" w:rsidR="00584FB3" w:rsidRDefault="00584FB3">
            <w:pPr>
              <w:rPr>
                <w:rFonts w:ascii="宋体"/>
                <w:vanish/>
              </w:rPr>
            </w:pPr>
          </w:p>
        </w:tc>
        <w:tc>
          <w:tcPr>
            <w:tcW w:w="0" w:type="auto"/>
            <w:gridSpan w:val="3"/>
            <w:shd w:val="clear" w:color="auto" w:fill="auto"/>
          </w:tcPr>
          <w:p w14:paraId="40CB2795" w14:textId="77777777" w:rsidR="00584FB3" w:rsidRDefault="00584FB3">
            <w:pPr>
              <w:rPr>
                <w:rFonts w:ascii="宋体"/>
                <w:vanish/>
              </w:rPr>
            </w:pPr>
          </w:p>
        </w:tc>
        <w:tc>
          <w:tcPr>
            <w:tcW w:w="0" w:type="auto"/>
            <w:gridSpan w:val="3"/>
            <w:shd w:val="clear" w:color="auto" w:fill="auto"/>
          </w:tcPr>
          <w:p w14:paraId="40CB2796" w14:textId="77777777" w:rsidR="00584FB3" w:rsidRDefault="00584FB3">
            <w:pPr>
              <w:rPr>
                <w:rFonts w:ascii="宋体"/>
                <w:vanish/>
              </w:rPr>
            </w:pPr>
          </w:p>
        </w:tc>
        <w:tc>
          <w:tcPr>
            <w:tcW w:w="0" w:type="auto"/>
            <w:gridSpan w:val="3"/>
            <w:shd w:val="clear" w:color="auto" w:fill="auto"/>
          </w:tcPr>
          <w:p w14:paraId="40CB2797" w14:textId="77777777" w:rsidR="00584FB3" w:rsidRDefault="00584FB3">
            <w:pPr>
              <w:rPr>
                <w:rFonts w:ascii="宋体"/>
                <w:vanish/>
              </w:rPr>
            </w:pPr>
          </w:p>
        </w:tc>
        <w:tc>
          <w:tcPr>
            <w:tcW w:w="0" w:type="auto"/>
            <w:gridSpan w:val="2"/>
            <w:shd w:val="clear" w:color="auto" w:fill="D7E4BC"/>
            <w:tcMar>
              <w:top w:w="40" w:type="dxa"/>
              <w:left w:w="20" w:type="dxa"/>
              <w:bottom w:w="40" w:type="dxa"/>
              <w:right w:w="0" w:type="dxa"/>
            </w:tcMar>
            <w:vAlign w:val="bottom"/>
          </w:tcPr>
          <w:p w14:paraId="40CB2798" w14:textId="77777777" w:rsidR="00584FB3" w:rsidRDefault="00786180">
            <w:pPr>
              <w:jc w:val="right"/>
              <w:textAlignment w:val="bottom"/>
            </w:pPr>
            <w:r>
              <w:rPr>
                <w:rFonts w:ascii="Times New Roman" w:eastAsia="宋体" w:hAnsi="Times New Roman"/>
                <w:color w:val="000000"/>
                <w:sz w:val="20"/>
                <w:szCs w:val="20"/>
              </w:rPr>
              <w:t>8,279 </w:t>
            </w:r>
          </w:p>
        </w:tc>
        <w:tc>
          <w:tcPr>
            <w:tcW w:w="0" w:type="auto"/>
            <w:shd w:val="clear" w:color="auto" w:fill="D7E4BC"/>
            <w:tcMar>
              <w:top w:w="40" w:type="dxa"/>
              <w:left w:w="0" w:type="dxa"/>
              <w:bottom w:w="40" w:type="dxa"/>
              <w:right w:w="20" w:type="dxa"/>
            </w:tcMar>
            <w:vAlign w:val="bottom"/>
          </w:tcPr>
          <w:p w14:paraId="40CB279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79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79B" w14:textId="77777777" w:rsidR="00584FB3" w:rsidRDefault="00786180">
            <w:pPr>
              <w:jc w:val="right"/>
              <w:textAlignment w:val="bottom"/>
            </w:pPr>
            <w:r>
              <w:rPr>
                <w:rFonts w:ascii="Times New Roman" w:eastAsia="宋体" w:hAnsi="Times New Roman"/>
                <w:color w:val="000000"/>
                <w:sz w:val="20"/>
                <w:szCs w:val="20"/>
              </w:rPr>
              <w:t>8,183 </w:t>
            </w:r>
          </w:p>
        </w:tc>
        <w:tc>
          <w:tcPr>
            <w:tcW w:w="0" w:type="auto"/>
            <w:shd w:val="clear" w:color="auto" w:fill="D7E4BC"/>
            <w:tcMar>
              <w:top w:w="40" w:type="dxa"/>
              <w:left w:w="0" w:type="dxa"/>
              <w:bottom w:w="40" w:type="dxa"/>
              <w:right w:w="20" w:type="dxa"/>
            </w:tcMar>
            <w:vAlign w:val="bottom"/>
          </w:tcPr>
          <w:p w14:paraId="40CB279C" w14:textId="77777777" w:rsidR="00584FB3" w:rsidRDefault="00584FB3">
            <w:pPr>
              <w:jc w:val="right"/>
              <w:rPr>
                <w:rFonts w:ascii="宋体"/>
              </w:rPr>
            </w:pPr>
          </w:p>
        </w:tc>
      </w:tr>
      <w:tr w:rsidR="00584FB3" w14:paraId="40CB27AE" w14:textId="77777777">
        <w:tc>
          <w:tcPr>
            <w:tcW w:w="0" w:type="auto"/>
            <w:gridSpan w:val="3"/>
            <w:shd w:val="clear" w:color="auto" w:fill="FFFFFF"/>
            <w:tcMar>
              <w:top w:w="40" w:type="dxa"/>
              <w:left w:w="515" w:type="dxa"/>
              <w:bottom w:w="40" w:type="dxa"/>
              <w:right w:w="20" w:type="dxa"/>
            </w:tcMar>
          </w:tcPr>
          <w:p w14:paraId="40CB279E" w14:textId="77777777" w:rsidR="00584FB3" w:rsidRDefault="00786180">
            <w:pPr>
              <w:textAlignment w:val="top"/>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9F" w14:textId="77777777" w:rsidR="00584FB3" w:rsidRDefault="00786180">
            <w:pPr>
              <w:jc w:val="right"/>
              <w:textAlignment w:val="bottom"/>
            </w:pPr>
            <w:r>
              <w:rPr>
                <w:rFonts w:ascii="Times New Roman" w:eastAsia="宋体" w:hAnsi="Times New Roman"/>
                <w:color w:val="000000"/>
                <w:sz w:val="20"/>
                <w:szCs w:val="20"/>
              </w:rPr>
              <w:t>(46)</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A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A1"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A2" w14:textId="77777777" w:rsidR="00584FB3" w:rsidRDefault="00786180">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A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A4" w14:textId="77777777" w:rsidR="00584FB3" w:rsidRDefault="00584FB3">
            <w:pPr>
              <w:rPr>
                <w:rFonts w:ascii="宋体"/>
              </w:rPr>
            </w:pPr>
          </w:p>
        </w:tc>
        <w:tc>
          <w:tcPr>
            <w:tcW w:w="0" w:type="auto"/>
            <w:gridSpan w:val="3"/>
            <w:shd w:val="clear" w:color="auto" w:fill="auto"/>
          </w:tcPr>
          <w:p w14:paraId="40CB27A5" w14:textId="77777777" w:rsidR="00584FB3" w:rsidRDefault="00584FB3">
            <w:pPr>
              <w:rPr>
                <w:rFonts w:ascii="宋体"/>
                <w:vanish/>
              </w:rPr>
            </w:pPr>
          </w:p>
        </w:tc>
        <w:tc>
          <w:tcPr>
            <w:tcW w:w="0" w:type="auto"/>
            <w:gridSpan w:val="3"/>
            <w:shd w:val="clear" w:color="auto" w:fill="auto"/>
          </w:tcPr>
          <w:p w14:paraId="40CB27A6" w14:textId="77777777" w:rsidR="00584FB3" w:rsidRDefault="00584FB3">
            <w:pPr>
              <w:rPr>
                <w:rFonts w:ascii="宋体"/>
                <w:vanish/>
              </w:rPr>
            </w:pPr>
          </w:p>
        </w:tc>
        <w:tc>
          <w:tcPr>
            <w:tcW w:w="0" w:type="auto"/>
            <w:gridSpan w:val="3"/>
            <w:shd w:val="clear" w:color="auto" w:fill="auto"/>
          </w:tcPr>
          <w:p w14:paraId="40CB27A7" w14:textId="77777777" w:rsidR="00584FB3" w:rsidRDefault="00584FB3">
            <w:pPr>
              <w:rPr>
                <w:rFonts w:ascii="宋体"/>
                <w:vanish/>
              </w:rPr>
            </w:pPr>
          </w:p>
        </w:tc>
        <w:tc>
          <w:tcPr>
            <w:tcW w:w="0" w:type="auto"/>
            <w:gridSpan w:val="3"/>
            <w:shd w:val="clear" w:color="auto" w:fill="auto"/>
          </w:tcPr>
          <w:p w14:paraId="40CB27A8" w14:textId="77777777" w:rsidR="00584FB3" w:rsidRDefault="00584FB3">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A9" w14:textId="77777777" w:rsidR="00584FB3" w:rsidRDefault="00786180">
            <w:pPr>
              <w:jc w:val="right"/>
              <w:textAlignment w:val="bottom"/>
            </w:pPr>
            <w:r>
              <w:rPr>
                <w:rFonts w:ascii="Times New Roman" w:eastAsia="宋体" w:hAnsi="Times New Roman"/>
                <w:color w:val="000000"/>
                <w:sz w:val="20"/>
                <w:szCs w:val="20"/>
              </w:rPr>
              <w:t>18,308 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A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AB"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AC" w14:textId="77777777" w:rsidR="00584FB3" w:rsidRDefault="00786180">
            <w:pPr>
              <w:jc w:val="right"/>
              <w:textAlignment w:val="bottom"/>
            </w:pPr>
            <w:r>
              <w:rPr>
                <w:rFonts w:ascii="Times New Roman" w:eastAsia="宋体" w:hAnsi="Times New Roman"/>
                <w:color w:val="000000"/>
                <w:sz w:val="20"/>
                <w:szCs w:val="20"/>
              </w:rPr>
              <w:t>18,203 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AD" w14:textId="77777777" w:rsidR="00584FB3" w:rsidRDefault="00584FB3">
            <w:pPr>
              <w:jc w:val="right"/>
              <w:rPr>
                <w:rFonts w:ascii="宋体"/>
              </w:rPr>
            </w:pPr>
          </w:p>
        </w:tc>
      </w:tr>
      <w:tr w:rsidR="00584FB3" w14:paraId="40CB27BB" w14:textId="77777777">
        <w:tc>
          <w:tcPr>
            <w:tcW w:w="0" w:type="auto"/>
            <w:gridSpan w:val="3"/>
            <w:shd w:val="clear" w:color="auto" w:fill="D7E4BC"/>
            <w:tcMar>
              <w:top w:w="40" w:type="dxa"/>
              <w:left w:w="20" w:type="dxa"/>
              <w:bottom w:w="40" w:type="dxa"/>
              <w:right w:w="20" w:type="dxa"/>
            </w:tcMar>
          </w:tcPr>
          <w:p w14:paraId="40CB27AF" w14:textId="77777777" w:rsidR="00584FB3" w:rsidRDefault="00786180">
            <w:pPr>
              <w:textAlignment w:val="top"/>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tcPr>
          <w:p w14:paraId="40CB27B0"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7B1"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7B2"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7B3" w14:textId="77777777" w:rsidR="00584FB3" w:rsidRDefault="00584FB3">
            <w:pPr>
              <w:rPr>
                <w:rFonts w:ascii="宋体"/>
              </w:rPr>
            </w:pPr>
          </w:p>
        </w:tc>
        <w:tc>
          <w:tcPr>
            <w:tcW w:w="0" w:type="auto"/>
            <w:gridSpan w:val="3"/>
            <w:shd w:val="clear" w:color="auto" w:fill="auto"/>
          </w:tcPr>
          <w:p w14:paraId="40CB27B4" w14:textId="77777777" w:rsidR="00584FB3" w:rsidRDefault="00584FB3">
            <w:pPr>
              <w:rPr>
                <w:rFonts w:ascii="宋体"/>
                <w:vanish/>
              </w:rPr>
            </w:pPr>
          </w:p>
        </w:tc>
        <w:tc>
          <w:tcPr>
            <w:tcW w:w="0" w:type="auto"/>
            <w:gridSpan w:val="3"/>
            <w:shd w:val="clear" w:color="auto" w:fill="auto"/>
          </w:tcPr>
          <w:p w14:paraId="40CB27B5" w14:textId="77777777" w:rsidR="00584FB3" w:rsidRDefault="00584FB3">
            <w:pPr>
              <w:rPr>
                <w:rFonts w:ascii="宋体"/>
                <w:vanish/>
              </w:rPr>
            </w:pPr>
          </w:p>
        </w:tc>
        <w:tc>
          <w:tcPr>
            <w:tcW w:w="0" w:type="auto"/>
            <w:gridSpan w:val="3"/>
            <w:shd w:val="clear" w:color="auto" w:fill="auto"/>
          </w:tcPr>
          <w:p w14:paraId="40CB27B6" w14:textId="77777777" w:rsidR="00584FB3" w:rsidRDefault="00584FB3">
            <w:pPr>
              <w:rPr>
                <w:rFonts w:ascii="宋体"/>
                <w:vanish/>
              </w:rPr>
            </w:pPr>
          </w:p>
        </w:tc>
        <w:tc>
          <w:tcPr>
            <w:tcW w:w="0" w:type="auto"/>
            <w:gridSpan w:val="3"/>
            <w:shd w:val="clear" w:color="auto" w:fill="auto"/>
          </w:tcPr>
          <w:p w14:paraId="40CB27B7" w14:textId="77777777" w:rsidR="00584FB3" w:rsidRDefault="00584FB3">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7B8" w14:textId="77777777" w:rsidR="00584FB3" w:rsidRDefault="00584FB3">
            <w:pPr>
              <w:rPr>
                <w:rFonts w:ascii="宋体"/>
              </w:rPr>
            </w:pPr>
          </w:p>
        </w:tc>
        <w:tc>
          <w:tcPr>
            <w:tcW w:w="0" w:type="auto"/>
            <w:gridSpan w:val="3"/>
            <w:shd w:val="clear" w:color="auto" w:fill="D7E4BC"/>
            <w:tcMar>
              <w:top w:w="0" w:type="dxa"/>
              <w:left w:w="20" w:type="dxa"/>
              <w:bottom w:w="0" w:type="dxa"/>
              <w:right w:w="20" w:type="dxa"/>
            </w:tcMar>
          </w:tcPr>
          <w:p w14:paraId="40CB27B9" w14:textId="77777777" w:rsidR="00584FB3" w:rsidRDefault="00584FB3">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40CB27BA" w14:textId="77777777" w:rsidR="00584FB3" w:rsidRDefault="00584FB3">
            <w:pPr>
              <w:rPr>
                <w:rFonts w:ascii="宋体"/>
              </w:rPr>
            </w:pPr>
          </w:p>
        </w:tc>
      </w:tr>
      <w:tr w:rsidR="00584FB3" w14:paraId="40CB27CC" w14:textId="77777777">
        <w:tc>
          <w:tcPr>
            <w:tcW w:w="0" w:type="auto"/>
            <w:gridSpan w:val="3"/>
            <w:shd w:val="clear" w:color="auto" w:fill="FFFFFF"/>
            <w:tcMar>
              <w:top w:w="40" w:type="dxa"/>
              <w:left w:w="380" w:type="dxa"/>
              <w:bottom w:w="40" w:type="dxa"/>
              <w:right w:w="20" w:type="dxa"/>
            </w:tcMar>
          </w:tcPr>
          <w:p w14:paraId="40CB27BC" w14:textId="77777777" w:rsidR="00584FB3" w:rsidRDefault="00786180">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40CB27BD" w14:textId="77777777" w:rsidR="00584FB3" w:rsidRDefault="00786180">
            <w:pPr>
              <w:jc w:val="right"/>
              <w:textAlignment w:val="bottom"/>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bottom"/>
          </w:tcPr>
          <w:p w14:paraId="40CB27BE"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BF"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7C0" w14:textId="77777777" w:rsidR="00584FB3" w:rsidRDefault="00786180">
            <w:pPr>
              <w:jc w:val="right"/>
              <w:textAlignment w:val="bottom"/>
            </w:pPr>
            <w:r>
              <w:rPr>
                <w:rFonts w:ascii="Times New Roman" w:eastAsia="宋体" w:hAnsi="Times New Roman"/>
                <w:color w:val="000000"/>
                <w:sz w:val="20"/>
                <w:szCs w:val="20"/>
              </w:rPr>
              <w:t>199 </w:t>
            </w:r>
          </w:p>
        </w:tc>
        <w:tc>
          <w:tcPr>
            <w:tcW w:w="0" w:type="auto"/>
            <w:shd w:val="clear" w:color="auto" w:fill="FFFFFF"/>
            <w:tcMar>
              <w:top w:w="40" w:type="dxa"/>
              <w:left w:w="0" w:type="dxa"/>
              <w:bottom w:w="40" w:type="dxa"/>
              <w:right w:w="20" w:type="dxa"/>
            </w:tcMar>
            <w:vAlign w:val="bottom"/>
          </w:tcPr>
          <w:p w14:paraId="40CB27C1"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C2" w14:textId="77777777" w:rsidR="00584FB3" w:rsidRDefault="00584FB3">
            <w:pPr>
              <w:rPr>
                <w:rFonts w:ascii="宋体"/>
              </w:rPr>
            </w:pPr>
          </w:p>
        </w:tc>
        <w:tc>
          <w:tcPr>
            <w:tcW w:w="0" w:type="auto"/>
            <w:gridSpan w:val="3"/>
            <w:shd w:val="clear" w:color="auto" w:fill="auto"/>
          </w:tcPr>
          <w:p w14:paraId="40CB27C3" w14:textId="77777777" w:rsidR="00584FB3" w:rsidRDefault="00584FB3">
            <w:pPr>
              <w:rPr>
                <w:rFonts w:ascii="宋体"/>
                <w:vanish/>
              </w:rPr>
            </w:pPr>
          </w:p>
        </w:tc>
        <w:tc>
          <w:tcPr>
            <w:tcW w:w="0" w:type="auto"/>
            <w:gridSpan w:val="3"/>
            <w:shd w:val="clear" w:color="auto" w:fill="auto"/>
          </w:tcPr>
          <w:p w14:paraId="40CB27C4" w14:textId="77777777" w:rsidR="00584FB3" w:rsidRDefault="00584FB3">
            <w:pPr>
              <w:rPr>
                <w:rFonts w:ascii="宋体"/>
                <w:vanish/>
              </w:rPr>
            </w:pPr>
          </w:p>
        </w:tc>
        <w:tc>
          <w:tcPr>
            <w:tcW w:w="0" w:type="auto"/>
            <w:gridSpan w:val="3"/>
            <w:shd w:val="clear" w:color="auto" w:fill="auto"/>
          </w:tcPr>
          <w:p w14:paraId="40CB27C5" w14:textId="77777777" w:rsidR="00584FB3" w:rsidRDefault="00584FB3">
            <w:pPr>
              <w:rPr>
                <w:rFonts w:ascii="宋体"/>
                <w:vanish/>
              </w:rPr>
            </w:pPr>
          </w:p>
        </w:tc>
        <w:tc>
          <w:tcPr>
            <w:tcW w:w="0" w:type="auto"/>
            <w:gridSpan w:val="3"/>
            <w:shd w:val="clear" w:color="auto" w:fill="auto"/>
          </w:tcPr>
          <w:p w14:paraId="40CB27C6" w14:textId="77777777" w:rsidR="00584FB3" w:rsidRDefault="00584FB3">
            <w:pPr>
              <w:rPr>
                <w:rFonts w:ascii="宋体"/>
                <w:vanish/>
              </w:rPr>
            </w:pPr>
          </w:p>
        </w:tc>
        <w:tc>
          <w:tcPr>
            <w:tcW w:w="0" w:type="auto"/>
            <w:gridSpan w:val="2"/>
            <w:shd w:val="clear" w:color="auto" w:fill="FFFFFF"/>
            <w:tcMar>
              <w:top w:w="40" w:type="dxa"/>
              <w:left w:w="20" w:type="dxa"/>
              <w:bottom w:w="40" w:type="dxa"/>
              <w:right w:w="0" w:type="dxa"/>
            </w:tcMar>
            <w:vAlign w:val="bottom"/>
          </w:tcPr>
          <w:p w14:paraId="40CB27C7" w14:textId="77777777" w:rsidR="00584FB3" w:rsidRDefault="00786180">
            <w:pPr>
              <w:jc w:val="right"/>
              <w:textAlignment w:val="bottom"/>
            </w:pPr>
            <w:r>
              <w:rPr>
                <w:rFonts w:ascii="Times New Roman" w:eastAsia="宋体" w:hAnsi="Times New Roman"/>
                <w:color w:val="000000"/>
                <w:sz w:val="20"/>
                <w:szCs w:val="20"/>
              </w:rPr>
              <w:t>6,713 </w:t>
            </w:r>
          </w:p>
        </w:tc>
        <w:tc>
          <w:tcPr>
            <w:tcW w:w="0" w:type="auto"/>
            <w:shd w:val="clear" w:color="auto" w:fill="FFFFFF"/>
            <w:tcMar>
              <w:top w:w="40" w:type="dxa"/>
              <w:left w:w="0" w:type="dxa"/>
              <w:bottom w:w="40" w:type="dxa"/>
              <w:right w:w="20" w:type="dxa"/>
            </w:tcMar>
            <w:vAlign w:val="bottom"/>
          </w:tcPr>
          <w:p w14:paraId="40CB27C8"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C9" w14:textId="77777777" w:rsidR="00584FB3" w:rsidRDefault="00584FB3">
            <w:pPr>
              <w:rPr>
                <w:rFonts w:ascii="宋体"/>
              </w:rPr>
            </w:pPr>
          </w:p>
        </w:tc>
        <w:tc>
          <w:tcPr>
            <w:tcW w:w="0" w:type="auto"/>
            <w:gridSpan w:val="2"/>
            <w:shd w:val="clear" w:color="auto" w:fill="FFFFFF"/>
            <w:tcMar>
              <w:top w:w="40" w:type="dxa"/>
              <w:left w:w="20" w:type="dxa"/>
              <w:bottom w:w="40" w:type="dxa"/>
              <w:right w:w="0" w:type="dxa"/>
            </w:tcMar>
            <w:vAlign w:val="bottom"/>
          </w:tcPr>
          <w:p w14:paraId="40CB27CA" w14:textId="77777777" w:rsidR="00584FB3" w:rsidRDefault="00786180">
            <w:pPr>
              <w:jc w:val="right"/>
              <w:textAlignment w:val="bottom"/>
            </w:pPr>
            <w:r>
              <w:rPr>
                <w:rFonts w:ascii="Times New Roman" w:eastAsia="宋体" w:hAnsi="Times New Roman"/>
                <w:color w:val="000000"/>
                <w:sz w:val="20"/>
                <w:szCs w:val="20"/>
              </w:rPr>
              <w:t>6,059 </w:t>
            </w:r>
          </w:p>
        </w:tc>
        <w:tc>
          <w:tcPr>
            <w:tcW w:w="0" w:type="auto"/>
            <w:shd w:val="clear" w:color="auto" w:fill="FFFFFF"/>
            <w:tcMar>
              <w:top w:w="40" w:type="dxa"/>
              <w:left w:w="0" w:type="dxa"/>
              <w:bottom w:w="40" w:type="dxa"/>
              <w:right w:w="20" w:type="dxa"/>
            </w:tcMar>
            <w:vAlign w:val="bottom"/>
          </w:tcPr>
          <w:p w14:paraId="40CB27CB" w14:textId="77777777" w:rsidR="00584FB3" w:rsidRDefault="00584FB3">
            <w:pPr>
              <w:jc w:val="right"/>
              <w:rPr>
                <w:rFonts w:ascii="宋体"/>
              </w:rPr>
            </w:pPr>
          </w:p>
        </w:tc>
      </w:tr>
      <w:tr w:rsidR="00584FB3" w14:paraId="40CB27DD" w14:textId="77777777">
        <w:tc>
          <w:tcPr>
            <w:tcW w:w="0" w:type="auto"/>
            <w:gridSpan w:val="3"/>
            <w:shd w:val="clear" w:color="auto" w:fill="D7E4BC"/>
            <w:tcMar>
              <w:top w:w="40" w:type="dxa"/>
              <w:left w:w="380" w:type="dxa"/>
              <w:bottom w:w="40" w:type="dxa"/>
              <w:right w:w="20" w:type="dxa"/>
            </w:tcMar>
          </w:tcPr>
          <w:p w14:paraId="40CB27CD" w14:textId="77777777" w:rsidR="00584FB3" w:rsidRDefault="00786180">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0CB27CE" w14:textId="77777777" w:rsidR="00584FB3" w:rsidRDefault="00786180">
            <w:pPr>
              <w:jc w:val="right"/>
              <w:textAlignment w:val="bottom"/>
            </w:pPr>
            <w:r>
              <w:rPr>
                <w:rFonts w:ascii="Times New Roman" w:eastAsia="宋体" w:hAnsi="Times New Roman"/>
                <w:color w:val="000000"/>
                <w:sz w:val="20"/>
                <w:szCs w:val="20"/>
              </w:rPr>
              <w:t>139 </w:t>
            </w:r>
          </w:p>
        </w:tc>
        <w:tc>
          <w:tcPr>
            <w:tcW w:w="0" w:type="auto"/>
            <w:shd w:val="clear" w:color="auto" w:fill="D7E4BC"/>
            <w:tcMar>
              <w:top w:w="40" w:type="dxa"/>
              <w:left w:w="0" w:type="dxa"/>
              <w:bottom w:w="40" w:type="dxa"/>
              <w:right w:w="20" w:type="dxa"/>
            </w:tcMar>
            <w:vAlign w:val="bottom"/>
          </w:tcPr>
          <w:p w14:paraId="40CB27C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7D0"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7D1" w14:textId="77777777" w:rsidR="00584FB3" w:rsidRDefault="00786180">
            <w:pPr>
              <w:jc w:val="right"/>
              <w:textAlignment w:val="bottom"/>
            </w:pPr>
            <w:r>
              <w:rPr>
                <w:rFonts w:ascii="Times New Roman" w:eastAsia="宋体" w:hAnsi="Times New Roman"/>
                <w:color w:val="000000"/>
                <w:sz w:val="20"/>
                <w:szCs w:val="20"/>
              </w:rPr>
              <w:t>204 </w:t>
            </w:r>
          </w:p>
        </w:tc>
        <w:tc>
          <w:tcPr>
            <w:tcW w:w="0" w:type="auto"/>
            <w:shd w:val="clear" w:color="auto" w:fill="D7E4BC"/>
            <w:tcMar>
              <w:top w:w="40" w:type="dxa"/>
              <w:left w:w="0" w:type="dxa"/>
              <w:bottom w:w="40" w:type="dxa"/>
              <w:right w:w="20" w:type="dxa"/>
            </w:tcMar>
            <w:vAlign w:val="bottom"/>
          </w:tcPr>
          <w:p w14:paraId="40CB27D2"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7D3" w14:textId="77777777" w:rsidR="00584FB3" w:rsidRDefault="00584FB3">
            <w:pPr>
              <w:rPr>
                <w:rFonts w:ascii="宋体"/>
              </w:rPr>
            </w:pPr>
          </w:p>
        </w:tc>
        <w:tc>
          <w:tcPr>
            <w:tcW w:w="0" w:type="auto"/>
            <w:gridSpan w:val="3"/>
            <w:shd w:val="clear" w:color="auto" w:fill="auto"/>
          </w:tcPr>
          <w:p w14:paraId="40CB27D4" w14:textId="77777777" w:rsidR="00584FB3" w:rsidRDefault="00584FB3">
            <w:pPr>
              <w:rPr>
                <w:rFonts w:ascii="宋体"/>
                <w:vanish/>
              </w:rPr>
            </w:pPr>
          </w:p>
        </w:tc>
        <w:tc>
          <w:tcPr>
            <w:tcW w:w="0" w:type="auto"/>
            <w:gridSpan w:val="3"/>
            <w:shd w:val="clear" w:color="auto" w:fill="auto"/>
          </w:tcPr>
          <w:p w14:paraId="40CB27D5" w14:textId="77777777" w:rsidR="00584FB3" w:rsidRDefault="00584FB3">
            <w:pPr>
              <w:rPr>
                <w:rFonts w:ascii="宋体"/>
                <w:vanish/>
              </w:rPr>
            </w:pPr>
          </w:p>
        </w:tc>
        <w:tc>
          <w:tcPr>
            <w:tcW w:w="0" w:type="auto"/>
            <w:gridSpan w:val="3"/>
            <w:shd w:val="clear" w:color="auto" w:fill="auto"/>
          </w:tcPr>
          <w:p w14:paraId="40CB27D6" w14:textId="77777777" w:rsidR="00584FB3" w:rsidRDefault="00584FB3">
            <w:pPr>
              <w:rPr>
                <w:rFonts w:ascii="宋体"/>
                <w:vanish/>
              </w:rPr>
            </w:pPr>
          </w:p>
        </w:tc>
        <w:tc>
          <w:tcPr>
            <w:tcW w:w="0" w:type="auto"/>
            <w:gridSpan w:val="3"/>
            <w:shd w:val="clear" w:color="auto" w:fill="auto"/>
          </w:tcPr>
          <w:p w14:paraId="40CB27D7" w14:textId="77777777" w:rsidR="00584FB3" w:rsidRDefault="00584FB3">
            <w:pPr>
              <w:rPr>
                <w:rFonts w:ascii="宋体"/>
                <w:vanish/>
              </w:rPr>
            </w:pPr>
          </w:p>
        </w:tc>
        <w:tc>
          <w:tcPr>
            <w:tcW w:w="0" w:type="auto"/>
            <w:gridSpan w:val="2"/>
            <w:shd w:val="clear" w:color="auto" w:fill="D7E4BC"/>
            <w:tcMar>
              <w:top w:w="40" w:type="dxa"/>
              <w:left w:w="20" w:type="dxa"/>
              <w:bottom w:w="40" w:type="dxa"/>
              <w:right w:w="0" w:type="dxa"/>
            </w:tcMar>
            <w:vAlign w:val="bottom"/>
          </w:tcPr>
          <w:p w14:paraId="40CB27D8" w14:textId="77777777" w:rsidR="00584FB3" w:rsidRDefault="00786180">
            <w:pPr>
              <w:jc w:val="right"/>
              <w:textAlignment w:val="bottom"/>
            </w:pPr>
            <w:r>
              <w:rPr>
                <w:rFonts w:ascii="Times New Roman" w:eastAsia="宋体" w:hAnsi="Times New Roman"/>
                <w:color w:val="000000"/>
                <w:sz w:val="20"/>
                <w:szCs w:val="20"/>
              </w:rPr>
              <w:t>7,917 </w:t>
            </w:r>
          </w:p>
        </w:tc>
        <w:tc>
          <w:tcPr>
            <w:tcW w:w="0" w:type="auto"/>
            <w:shd w:val="clear" w:color="auto" w:fill="D7E4BC"/>
            <w:tcMar>
              <w:top w:w="40" w:type="dxa"/>
              <w:left w:w="0" w:type="dxa"/>
              <w:bottom w:w="40" w:type="dxa"/>
              <w:right w:w="20" w:type="dxa"/>
            </w:tcMar>
            <w:vAlign w:val="bottom"/>
          </w:tcPr>
          <w:p w14:paraId="40CB27D9"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7DA" w14:textId="77777777" w:rsidR="00584FB3" w:rsidRDefault="00584FB3">
            <w:pPr>
              <w:rPr>
                <w:rFonts w:ascii="宋体"/>
              </w:rPr>
            </w:pPr>
          </w:p>
        </w:tc>
        <w:tc>
          <w:tcPr>
            <w:tcW w:w="0" w:type="auto"/>
            <w:gridSpan w:val="2"/>
            <w:shd w:val="clear" w:color="auto" w:fill="D7E4BC"/>
            <w:tcMar>
              <w:top w:w="40" w:type="dxa"/>
              <w:left w:w="20" w:type="dxa"/>
              <w:bottom w:w="40" w:type="dxa"/>
              <w:right w:w="0" w:type="dxa"/>
            </w:tcMar>
            <w:vAlign w:val="bottom"/>
          </w:tcPr>
          <w:p w14:paraId="40CB27DB" w14:textId="77777777" w:rsidR="00584FB3" w:rsidRDefault="00786180">
            <w:pPr>
              <w:jc w:val="right"/>
              <w:textAlignment w:val="bottom"/>
            </w:pPr>
            <w:r>
              <w:rPr>
                <w:rFonts w:ascii="Times New Roman" w:eastAsia="宋体" w:hAnsi="Times New Roman"/>
                <w:color w:val="000000"/>
                <w:sz w:val="20"/>
                <w:szCs w:val="20"/>
              </w:rPr>
              <w:t>7,533 </w:t>
            </w:r>
          </w:p>
        </w:tc>
        <w:tc>
          <w:tcPr>
            <w:tcW w:w="0" w:type="auto"/>
            <w:shd w:val="clear" w:color="auto" w:fill="D7E4BC"/>
            <w:tcMar>
              <w:top w:w="40" w:type="dxa"/>
              <w:left w:w="0" w:type="dxa"/>
              <w:bottom w:w="40" w:type="dxa"/>
              <w:right w:w="20" w:type="dxa"/>
            </w:tcMar>
            <w:vAlign w:val="bottom"/>
          </w:tcPr>
          <w:p w14:paraId="40CB27DC" w14:textId="77777777" w:rsidR="00584FB3" w:rsidRDefault="00584FB3">
            <w:pPr>
              <w:jc w:val="right"/>
              <w:rPr>
                <w:rFonts w:ascii="宋体"/>
              </w:rPr>
            </w:pPr>
          </w:p>
        </w:tc>
      </w:tr>
      <w:tr w:rsidR="00584FB3" w14:paraId="40CB27EE" w14:textId="77777777">
        <w:tc>
          <w:tcPr>
            <w:tcW w:w="0" w:type="auto"/>
            <w:gridSpan w:val="3"/>
            <w:shd w:val="clear" w:color="auto" w:fill="FFFFFF"/>
            <w:tcMar>
              <w:top w:w="40" w:type="dxa"/>
              <w:left w:w="515" w:type="dxa"/>
              <w:bottom w:w="40" w:type="dxa"/>
              <w:right w:w="20" w:type="dxa"/>
            </w:tcMar>
          </w:tcPr>
          <w:p w14:paraId="40CB27DE" w14:textId="77777777" w:rsidR="00584FB3" w:rsidRDefault="00786180">
            <w:pPr>
              <w:textAlignment w:val="top"/>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DF" w14:textId="77777777" w:rsidR="00584FB3" w:rsidRDefault="00786180">
            <w:pPr>
              <w:jc w:val="right"/>
              <w:textAlignment w:val="bottom"/>
            </w:pPr>
            <w:r>
              <w:rPr>
                <w:rFonts w:ascii="Times New Roman" w:eastAsia="宋体" w:hAnsi="Times New Roman"/>
                <w:color w:val="000000"/>
                <w:sz w:val="20"/>
                <w:szCs w:val="20"/>
              </w:rPr>
              <w:t>324 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E0"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E1"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E2" w14:textId="77777777" w:rsidR="00584FB3" w:rsidRDefault="00786180">
            <w:pPr>
              <w:jc w:val="right"/>
              <w:textAlignment w:val="bottom"/>
            </w:pPr>
            <w:r>
              <w:rPr>
                <w:rFonts w:ascii="Times New Roman" w:eastAsia="宋体" w:hAnsi="Times New Roman"/>
                <w:color w:val="000000"/>
                <w:sz w:val="20"/>
                <w:szCs w:val="20"/>
              </w:rPr>
              <w:t>403 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E3"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E4" w14:textId="77777777" w:rsidR="00584FB3" w:rsidRDefault="00584FB3">
            <w:pPr>
              <w:rPr>
                <w:rFonts w:ascii="宋体"/>
              </w:rPr>
            </w:pPr>
          </w:p>
        </w:tc>
        <w:tc>
          <w:tcPr>
            <w:tcW w:w="0" w:type="auto"/>
            <w:gridSpan w:val="3"/>
            <w:shd w:val="clear" w:color="auto" w:fill="auto"/>
          </w:tcPr>
          <w:p w14:paraId="40CB27E5" w14:textId="77777777" w:rsidR="00584FB3" w:rsidRDefault="00584FB3">
            <w:pPr>
              <w:rPr>
                <w:rFonts w:ascii="宋体"/>
                <w:vanish/>
              </w:rPr>
            </w:pPr>
          </w:p>
        </w:tc>
        <w:tc>
          <w:tcPr>
            <w:tcW w:w="0" w:type="auto"/>
            <w:gridSpan w:val="3"/>
            <w:shd w:val="clear" w:color="auto" w:fill="auto"/>
          </w:tcPr>
          <w:p w14:paraId="40CB27E6" w14:textId="77777777" w:rsidR="00584FB3" w:rsidRDefault="00584FB3">
            <w:pPr>
              <w:rPr>
                <w:rFonts w:ascii="宋体"/>
                <w:vanish/>
              </w:rPr>
            </w:pPr>
          </w:p>
        </w:tc>
        <w:tc>
          <w:tcPr>
            <w:tcW w:w="0" w:type="auto"/>
            <w:gridSpan w:val="3"/>
            <w:shd w:val="clear" w:color="auto" w:fill="auto"/>
          </w:tcPr>
          <w:p w14:paraId="40CB27E7" w14:textId="77777777" w:rsidR="00584FB3" w:rsidRDefault="00584FB3">
            <w:pPr>
              <w:rPr>
                <w:rFonts w:ascii="宋体"/>
                <w:vanish/>
              </w:rPr>
            </w:pPr>
          </w:p>
        </w:tc>
        <w:tc>
          <w:tcPr>
            <w:tcW w:w="0" w:type="auto"/>
            <w:gridSpan w:val="3"/>
            <w:shd w:val="clear" w:color="auto" w:fill="auto"/>
          </w:tcPr>
          <w:p w14:paraId="40CB27E8" w14:textId="77777777" w:rsidR="00584FB3" w:rsidRDefault="00584FB3">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E9" w14:textId="77777777" w:rsidR="00584FB3" w:rsidRDefault="00786180">
            <w:pPr>
              <w:jc w:val="right"/>
              <w:textAlignment w:val="bottom"/>
            </w:pPr>
            <w:r>
              <w:rPr>
                <w:rFonts w:ascii="Times New Roman" w:eastAsia="宋体" w:hAnsi="Times New Roman"/>
                <w:color w:val="000000"/>
                <w:sz w:val="20"/>
                <w:szCs w:val="20"/>
              </w:rPr>
              <w:t>14,630 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EA" w14:textId="77777777" w:rsidR="00584FB3" w:rsidRDefault="00584FB3">
            <w:pPr>
              <w:jc w:val="right"/>
              <w:rPr>
                <w:rFonts w:ascii="宋体"/>
              </w:rPr>
            </w:pPr>
          </w:p>
        </w:tc>
        <w:tc>
          <w:tcPr>
            <w:tcW w:w="0" w:type="auto"/>
            <w:gridSpan w:val="3"/>
            <w:shd w:val="clear" w:color="auto" w:fill="FFFFFF"/>
            <w:tcMar>
              <w:top w:w="0" w:type="dxa"/>
              <w:left w:w="20" w:type="dxa"/>
              <w:bottom w:w="0" w:type="dxa"/>
              <w:right w:w="20" w:type="dxa"/>
            </w:tcMar>
          </w:tcPr>
          <w:p w14:paraId="40CB27EB" w14:textId="77777777" w:rsidR="00584FB3" w:rsidRDefault="00584FB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CB27EC" w14:textId="77777777" w:rsidR="00584FB3" w:rsidRDefault="00786180">
            <w:pPr>
              <w:jc w:val="right"/>
              <w:textAlignment w:val="bottom"/>
            </w:pPr>
            <w:r>
              <w:rPr>
                <w:rFonts w:ascii="Times New Roman" w:eastAsia="宋体" w:hAnsi="Times New Roman"/>
                <w:color w:val="000000"/>
                <w:sz w:val="20"/>
                <w:szCs w:val="20"/>
              </w:rPr>
              <w:t>13,592 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CB27ED" w14:textId="77777777" w:rsidR="00584FB3" w:rsidRDefault="00584FB3">
            <w:pPr>
              <w:jc w:val="right"/>
              <w:rPr>
                <w:rFonts w:ascii="宋体"/>
              </w:rPr>
            </w:pPr>
          </w:p>
        </w:tc>
      </w:tr>
      <w:tr w:rsidR="00584FB3" w14:paraId="40CB27FB" w14:textId="77777777">
        <w:trPr>
          <w:hidden/>
        </w:trPr>
        <w:tc>
          <w:tcPr>
            <w:tcW w:w="0" w:type="auto"/>
            <w:gridSpan w:val="3"/>
            <w:shd w:val="clear" w:color="auto" w:fill="auto"/>
          </w:tcPr>
          <w:p w14:paraId="40CB27EF" w14:textId="77777777" w:rsidR="00584FB3" w:rsidRDefault="00584FB3">
            <w:pPr>
              <w:rPr>
                <w:rFonts w:ascii="宋体"/>
                <w:vanish/>
              </w:rPr>
            </w:pPr>
          </w:p>
        </w:tc>
        <w:tc>
          <w:tcPr>
            <w:tcW w:w="0" w:type="auto"/>
            <w:gridSpan w:val="3"/>
            <w:shd w:val="clear" w:color="auto" w:fill="auto"/>
          </w:tcPr>
          <w:p w14:paraId="40CB27F0" w14:textId="77777777" w:rsidR="00584FB3" w:rsidRDefault="00584FB3">
            <w:pPr>
              <w:rPr>
                <w:rFonts w:ascii="宋体"/>
                <w:vanish/>
              </w:rPr>
            </w:pPr>
          </w:p>
        </w:tc>
        <w:tc>
          <w:tcPr>
            <w:tcW w:w="0" w:type="auto"/>
            <w:gridSpan w:val="3"/>
            <w:shd w:val="clear" w:color="auto" w:fill="auto"/>
          </w:tcPr>
          <w:p w14:paraId="40CB27F1" w14:textId="77777777" w:rsidR="00584FB3" w:rsidRDefault="00584FB3">
            <w:pPr>
              <w:rPr>
                <w:rFonts w:ascii="宋体"/>
                <w:vanish/>
              </w:rPr>
            </w:pPr>
          </w:p>
        </w:tc>
        <w:tc>
          <w:tcPr>
            <w:tcW w:w="0" w:type="auto"/>
            <w:gridSpan w:val="3"/>
            <w:shd w:val="clear" w:color="auto" w:fill="auto"/>
          </w:tcPr>
          <w:p w14:paraId="40CB27F2" w14:textId="77777777" w:rsidR="00584FB3" w:rsidRDefault="00584FB3">
            <w:pPr>
              <w:rPr>
                <w:rFonts w:ascii="宋体"/>
                <w:vanish/>
              </w:rPr>
            </w:pPr>
          </w:p>
        </w:tc>
        <w:tc>
          <w:tcPr>
            <w:tcW w:w="0" w:type="auto"/>
            <w:gridSpan w:val="3"/>
            <w:shd w:val="clear" w:color="auto" w:fill="auto"/>
          </w:tcPr>
          <w:p w14:paraId="40CB27F3" w14:textId="77777777" w:rsidR="00584FB3" w:rsidRDefault="00584FB3">
            <w:pPr>
              <w:rPr>
                <w:rFonts w:ascii="宋体"/>
                <w:vanish/>
              </w:rPr>
            </w:pPr>
          </w:p>
        </w:tc>
        <w:tc>
          <w:tcPr>
            <w:tcW w:w="0" w:type="auto"/>
            <w:gridSpan w:val="3"/>
            <w:shd w:val="clear" w:color="auto" w:fill="auto"/>
          </w:tcPr>
          <w:p w14:paraId="40CB27F4" w14:textId="77777777" w:rsidR="00584FB3" w:rsidRDefault="00584FB3">
            <w:pPr>
              <w:rPr>
                <w:rFonts w:ascii="宋体"/>
                <w:vanish/>
              </w:rPr>
            </w:pPr>
          </w:p>
        </w:tc>
        <w:tc>
          <w:tcPr>
            <w:tcW w:w="0" w:type="auto"/>
            <w:gridSpan w:val="3"/>
            <w:shd w:val="clear" w:color="auto" w:fill="auto"/>
          </w:tcPr>
          <w:p w14:paraId="40CB27F5" w14:textId="77777777" w:rsidR="00584FB3" w:rsidRDefault="00584FB3">
            <w:pPr>
              <w:rPr>
                <w:rFonts w:ascii="宋体"/>
                <w:vanish/>
              </w:rPr>
            </w:pPr>
          </w:p>
        </w:tc>
        <w:tc>
          <w:tcPr>
            <w:tcW w:w="0" w:type="auto"/>
            <w:gridSpan w:val="3"/>
            <w:shd w:val="clear" w:color="auto" w:fill="auto"/>
          </w:tcPr>
          <w:p w14:paraId="40CB27F6" w14:textId="77777777" w:rsidR="00584FB3" w:rsidRDefault="00584FB3">
            <w:pPr>
              <w:rPr>
                <w:rFonts w:ascii="宋体"/>
                <w:vanish/>
              </w:rPr>
            </w:pPr>
          </w:p>
        </w:tc>
        <w:tc>
          <w:tcPr>
            <w:tcW w:w="0" w:type="auto"/>
            <w:gridSpan w:val="3"/>
            <w:shd w:val="clear" w:color="auto" w:fill="auto"/>
          </w:tcPr>
          <w:p w14:paraId="40CB27F7" w14:textId="77777777" w:rsidR="00584FB3" w:rsidRDefault="00584FB3">
            <w:pPr>
              <w:rPr>
                <w:rFonts w:ascii="宋体"/>
                <w:vanish/>
              </w:rPr>
            </w:pPr>
          </w:p>
        </w:tc>
        <w:tc>
          <w:tcPr>
            <w:tcW w:w="0" w:type="auto"/>
            <w:gridSpan w:val="3"/>
            <w:shd w:val="clear" w:color="auto" w:fill="auto"/>
          </w:tcPr>
          <w:p w14:paraId="40CB27F8" w14:textId="77777777" w:rsidR="00584FB3" w:rsidRDefault="00584FB3">
            <w:pPr>
              <w:rPr>
                <w:rFonts w:ascii="宋体"/>
                <w:vanish/>
              </w:rPr>
            </w:pPr>
          </w:p>
        </w:tc>
        <w:tc>
          <w:tcPr>
            <w:tcW w:w="0" w:type="auto"/>
            <w:gridSpan w:val="3"/>
            <w:shd w:val="clear" w:color="auto" w:fill="auto"/>
          </w:tcPr>
          <w:p w14:paraId="40CB27F9" w14:textId="77777777" w:rsidR="00584FB3" w:rsidRDefault="00584FB3">
            <w:pPr>
              <w:rPr>
                <w:rFonts w:ascii="宋体"/>
                <w:vanish/>
              </w:rPr>
            </w:pPr>
          </w:p>
        </w:tc>
        <w:tc>
          <w:tcPr>
            <w:tcW w:w="0" w:type="auto"/>
            <w:gridSpan w:val="3"/>
            <w:shd w:val="clear" w:color="auto" w:fill="auto"/>
          </w:tcPr>
          <w:p w14:paraId="40CB27FA" w14:textId="77777777" w:rsidR="00584FB3" w:rsidRDefault="00584FB3">
            <w:pPr>
              <w:rPr>
                <w:rFonts w:ascii="宋体"/>
                <w:vanish/>
              </w:rPr>
            </w:pPr>
          </w:p>
        </w:tc>
      </w:tr>
      <w:tr w:rsidR="00584FB3" w14:paraId="40CB2808" w14:textId="77777777">
        <w:trPr>
          <w:hidden/>
        </w:trPr>
        <w:tc>
          <w:tcPr>
            <w:tcW w:w="0" w:type="auto"/>
            <w:gridSpan w:val="3"/>
            <w:shd w:val="clear" w:color="auto" w:fill="auto"/>
          </w:tcPr>
          <w:p w14:paraId="40CB27FC" w14:textId="77777777" w:rsidR="00584FB3" w:rsidRDefault="00584FB3">
            <w:pPr>
              <w:rPr>
                <w:rFonts w:ascii="宋体"/>
                <w:vanish/>
              </w:rPr>
            </w:pPr>
          </w:p>
        </w:tc>
        <w:tc>
          <w:tcPr>
            <w:tcW w:w="0" w:type="auto"/>
            <w:gridSpan w:val="3"/>
            <w:shd w:val="clear" w:color="auto" w:fill="auto"/>
          </w:tcPr>
          <w:p w14:paraId="40CB27FD" w14:textId="77777777" w:rsidR="00584FB3" w:rsidRDefault="00584FB3">
            <w:pPr>
              <w:rPr>
                <w:rFonts w:ascii="宋体"/>
                <w:vanish/>
              </w:rPr>
            </w:pPr>
          </w:p>
        </w:tc>
        <w:tc>
          <w:tcPr>
            <w:tcW w:w="0" w:type="auto"/>
            <w:gridSpan w:val="3"/>
            <w:shd w:val="clear" w:color="auto" w:fill="auto"/>
          </w:tcPr>
          <w:p w14:paraId="40CB27FE" w14:textId="77777777" w:rsidR="00584FB3" w:rsidRDefault="00584FB3">
            <w:pPr>
              <w:rPr>
                <w:rFonts w:ascii="宋体"/>
                <w:vanish/>
              </w:rPr>
            </w:pPr>
          </w:p>
        </w:tc>
        <w:tc>
          <w:tcPr>
            <w:tcW w:w="0" w:type="auto"/>
            <w:gridSpan w:val="3"/>
            <w:shd w:val="clear" w:color="auto" w:fill="auto"/>
          </w:tcPr>
          <w:p w14:paraId="40CB27FF" w14:textId="77777777" w:rsidR="00584FB3" w:rsidRDefault="00584FB3">
            <w:pPr>
              <w:rPr>
                <w:rFonts w:ascii="宋体"/>
                <w:vanish/>
              </w:rPr>
            </w:pPr>
          </w:p>
        </w:tc>
        <w:tc>
          <w:tcPr>
            <w:tcW w:w="0" w:type="auto"/>
            <w:gridSpan w:val="3"/>
            <w:shd w:val="clear" w:color="auto" w:fill="auto"/>
          </w:tcPr>
          <w:p w14:paraId="40CB2800" w14:textId="77777777" w:rsidR="00584FB3" w:rsidRDefault="00584FB3">
            <w:pPr>
              <w:rPr>
                <w:rFonts w:ascii="宋体"/>
                <w:vanish/>
              </w:rPr>
            </w:pPr>
          </w:p>
        </w:tc>
        <w:tc>
          <w:tcPr>
            <w:tcW w:w="0" w:type="auto"/>
            <w:gridSpan w:val="3"/>
            <w:shd w:val="clear" w:color="auto" w:fill="auto"/>
          </w:tcPr>
          <w:p w14:paraId="40CB2801" w14:textId="77777777" w:rsidR="00584FB3" w:rsidRDefault="00584FB3">
            <w:pPr>
              <w:rPr>
                <w:rFonts w:ascii="宋体"/>
                <w:vanish/>
              </w:rPr>
            </w:pPr>
          </w:p>
        </w:tc>
        <w:tc>
          <w:tcPr>
            <w:tcW w:w="0" w:type="auto"/>
            <w:gridSpan w:val="3"/>
            <w:shd w:val="clear" w:color="auto" w:fill="auto"/>
          </w:tcPr>
          <w:p w14:paraId="40CB2802" w14:textId="77777777" w:rsidR="00584FB3" w:rsidRDefault="00584FB3">
            <w:pPr>
              <w:rPr>
                <w:rFonts w:ascii="宋体"/>
                <w:vanish/>
              </w:rPr>
            </w:pPr>
          </w:p>
        </w:tc>
        <w:tc>
          <w:tcPr>
            <w:tcW w:w="0" w:type="auto"/>
            <w:gridSpan w:val="3"/>
            <w:shd w:val="clear" w:color="auto" w:fill="auto"/>
          </w:tcPr>
          <w:p w14:paraId="40CB2803" w14:textId="77777777" w:rsidR="00584FB3" w:rsidRDefault="00584FB3">
            <w:pPr>
              <w:rPr>
                <w:rFonts w:ascii="宋体"/>
                <w:vanish/>
              </w:rPr>
            </w:pPr>
          </w:p>
        </w:tc>
        <w:tc>
          <w:tcPr>
            <w:tcW w:w="0" w:type="auto"/>
            <w:gridSpan w:val="3"/>
            <w:shd w:val="clear" w:color="auto" w:fill="auto"/>
          </w:tcPr>
          <w:p w14:paraId="40CB2804" w14:textId="77777777" w:rsidR="00584FB3" w:rsidRDefault="00584FB3">
            <w:pPr>
              <w:rPr>
                <w:rFonts w:ascii="宋体"/>
                <w:vanish/>
              </w:rPr>
            </w:pPr>
          </w:p>
        </w:tc>
        <w:tc>
          <w:tcPr>
            <w:tcW w:w="0" w:type="auto"/>
            <w:gridSpan w:val="3"/>
            <w:shd w:val="clear" w:color="auto" w:fill="auto"/>
          </w:tcPr>
          <w:p w14:paraId="40CB2805" w14:textId="77777777" w:rsidR="00584FB3" w:rsidRDefault="00584FB3">
            <w:pPr>
              <w:rPr>
                <w:rFonts w:ascii="宋体"/>
                <w:vanish/>
              </w:rPr>
            </w:pPr>
          </w:p>
        </w:tc>
        <w:tc>
          <w:tcPr>
            <w:tcW w:w="0" w:type="auto"/>
            <w:gridSpan w:val="3"/>
            <w:shd w:val="clear" w:color="auto" w:fill="auto"/>
          </w:tcPr>
          <w:p w14:paraId="40CB2806" w14:textId="77777777" w:rsidR="00584FB3" w:rsidRDefault="00584FB3">
            <w:pPr>
              <w:rPr>
                <w:rFonts w:ascii="宋体"/>
                <w:vanish/>
              </w:rPr>
            </w:pPr>
          </w:p>
        </w:tc>
        <w:tc>
          <w:tcPr>
            <w:tcW w:w="0" w:type="auto"/>
            <w:gridSpan w:val="3"/>
            <w:shd w:val="clear" w:color="auto" w:fill="auto"/>
          </w:tcPr>
          <w:p w14:paraId="40CB2807" w14:textId="77777777" w:rsidR="00584FB3" w:rsidRDefault="00584FB3">
            <w:pPr>
              <w:rPr>
                <w:rFonts w:ascii="宋体"/>
                <w:vanish/>
              </w:rPr>
            </w:pPr>
          </w:p>
        </w:tc>
      </w:tr>
      <w:tr w:rsidR="00584FB3" w14:paraId="40CB2815" w14:textId="77777777">
        <w:trPr>
          <w:hidden/>
        </w:trPr>
        <w:tc>
          <w:tcPr>
            <w:tcW w:w="0" w:type="auto"/>
            <w:gridSpan w:val="3"/>
            <w:shd w:val="clear" w:color="auto" w:fill="auto"/>
          </w:tcPr>
          <w:p w14:paraId="40CB2809" w14:textId="77777777" w:rsidR="00584FB3" w:rsidRDefault="00584FB3">
            <w:pPr>
              <w:rPr>
                <w:rFonts w:ascii="宋体"/>
                <w:vanish/>
              </w:rPr>
            </w:pPr>
          </w:p>
        </w:tc>
        <w:tc>
          <w:tcPr>
            <w:tcW w:w="0" w:type="auto"/>
            <w:gridSpan w:val="3"/>
            <w:shd w:val="clear" w:color="auto" w:fill="auto"/>
          </w:tcPr>
          <w:p w14:paraId="40CB280A" w14:textId="77777777" w:rsidR="00584FB3" w:rsidRDefault="00584FB3">
            <w:pPr>
              <w:rPr>
                <w:rFonts w:ascii="宋体"/>
                <w:vanish/>
              </w:rPr>
            </w:pPr>
          </w:p>
        </w:tc>
        <w:tc>
          <w:tcPr>
            <w:tcW w:w="0" w:type="auto"/>
            <w:gridSpan w:val="3"/>
            <w:shd w:val="clear" w:color="auto" w:fill="auto"/>
          </w:tcPr>
          <w:p w14:paraId="40CB280B" w14:textId="77777777" w:rsidR="00584FB3" w:rsidRDefault="00584FB3">
            <w:pPr>
              <w:rPr>
                <w:rFonts w:ascii="宋体"/>
                <w:vanish/>
              </w:rPr>
            </w:pPr>
          </w:p>
        </w:tc>
        <w:tc>
          <w:tcPr>
            <w:tcW w:w="0" w:type="auto"/>
            <w:gridSpan w:val="3"/>
            <w:shd w:val="clear" w:color="auto" w:fill="auto"/>
          </w:tcPr>
          <w:p w14:paraId="40CB280C" w14:textId="77777777" w:rsidR="00584FB3" w:rsidRDefault="00584FB3">
            <w:pPr>
              <w:rPr>
                <w:rFonts w:ascii="宋体"/>
                <w:vanish/>
              </w:rPr>
            </w:pPr>
          </w:p>
        </w:tc>
        <w:tc>
          <w:tcPr>
            <w:tcW w:w="0" w:type="auto"/>
            <w:gridSpan w:val="3"/>
            <w:shd w:val="clear" w:color="auto" w:fill="auto"/>
          </w:tcPr>
          <w:p w14:paraId="40CB280D" w14:textId="77777777" w:rsidR="00584FB3" w:rsidRDefault="00584FB3">
            <w:pPr>
              <w:rPr>
                <w:rFonts w:ascii="宋体"/>
                <w:vanish/>
              </w:rPr>
            </w:pPr>
          </w:p>
        </w:tc>
        <w:tc>
          <w:tcPr>
            <w:tcW w:w="0" w:type="auto"/>
            <w:gridSpan w:val="3"/>
            <w:shd w:val="clear" w:color="auto" w:fill="auto"/>
          </w:tcPr>
          <w:p w14:paraId="40CB280E" w14:textId="77777777" w:rsidR="00584FB3" w:rsidRDefault="00584FB3">
            <w:pPr>
              <w:rPr>
                <w:rFonts w:ascii="宋体"/>
                <w:vanish/>
              </w:rPr>
            </w:pPr>
          </w:p>
        </w:tc>
        <w:tc>
          <w:tcPr>
            <w:tcW w:w="0" w:type="auto"/>
            <w:gridSpan w:val="3"/>
            <w:shd w:val="clear" w:color="auto" w:fill="auto"/>
          </w:tcPr>
          <w:p w14:paraId="40CB280F" w14:textId="77777777" w:rsidR="00584FB3" w:rsidRDefault="00584FB3">
            <w:pPr>
              <w:rPr>
                <w:rFonts w:ascii="宋体"/>
                <w:vanish/>
              </w:rPr>
            </w:pPr>
          </w:p>
        </w:tc>
        <w:tc>
          <w:tcPr>
            <w:tcW w:w="0" w:type="auto"/>
            <w:gridSpan w:val="3"/>
            <w:shd w:val="clear" w:color="auto" w:fill="auto"/>
          </w:tcPr>
          <w:p w14:paraId="40CB2810" w14:textId="77777777" w:rsidR="00584FB3" w:rsidRDefault="00584FB3">
            <w:pPr>
              <w:rPr>
                <w:rFonts w:ascii="宋体"/>
                <w:vanish/>
              </w:rPr>
            </w:pPr>
          </w:p>
        </w:tc>
        <w:tc>
          <w:tcPr>
            <w:tcW w:w="0" w:type="auto"/>
            <w:gridSpan w:val="3"/>
            <w:shd w:val="clear" w:color="auto" w:fill="auto"/>
          </w:tcPr>
          <w:p w14:paraId="40CB2811" w14:textId="77777777" w:rsidR="00584FB3" w:rsidRDefault="00584FB3">
            <w:pPr>
              <w:rPr>
                <w:rFonts w:ascii="宋体"/>
                <w:vanish/>
              </w:rPr>
            </w:pPr>
          </w:p>
        </w:tc>
        <w:tc>
          <w:tcPr>
            <w:tcW w:w="0" w:type="auto"/>
            <w:gridSpan w:val="3"/>
            <w:shd w:val="clear" w:color="auto" w:fill="auto"/>
          </w:tcPr>
          <w:p w14:paraId="40CB2812" w14:textId="77777777" w:rsidR="00584FB3" w:rsidRDefault="00584FB3">
            <w:pPr>
              <w:rPr>
                <w:rFonts w:ascii="宋体"/>
                <w:vanish/>
              </w:rPr>
            </w:pPr>
          </w:p>
        </w:tc>
        <w:tc>
          <w:tcPr>
            <w:tcW w:w="0" w:type="auto"/>
            <w:gridSpan w:val="3"/>
            <w:shd w:val="clear" w:color="auto" w:fill="auto"/>
          </w:tcPr>
          <w:p w14:paraId="40CB2813" w14:textId="77777777" w:rsidR="00584FB3" w:rsidRDefault="00584FB3">
            <w:pPr>
              <w:rPr>
                <w:rFonts w:ascii="宋体"/>
                <w:vanish/>
              </w:rPr>
            </w:pPr>
          </w:p>
        </w:tc>
        <w:tc>
          <w:tcPr>
            <w:tcW w:w="0" w:type="auto"/>
            <w:gridSpan w:val="3"/>
            <w:shd w:val="clear" w:color="auto" w:fill="auto"/>
          </w:tcPr>
          <w:p w14:paraId="40CB2814" w14:textId="77777777" w:rsidR="00584FB3" w:rsidRDefault="00584FB3">
            <w:pPr>
              <w:rPr>
                <w:rFonts w:ascii="宋体"/>
                <w:vanish/>
              </w:rPr>
            </w:pPr>
          </w:p>
        </w:tc>
      </w:tr>
      <w:tr w:rsidR="00584FB3" w14:paraId="40CB2822" w14:textId="77777777">
        <w:trPr>
          <w:hidden/>
        </w:trPr>
        <w:tc>
          <w:tcPr>
            <w:tcW w:w="0" w:type="auto"/>
            <w:gridSpan w:val="3"/>
            <w:shd w:val="clear" w:color="auto" w:fill="auto"/>
          </w:tcPr>
          <w:p w14:paraId="40CB2816" w14:textId="77777777" w:rsidR="00584FB3" w:rsidRDefault="00584FB3">
            <w:pPr>
              <w:rPr>
                <w:rFonts w:ascii="宋体"/>
                <w:vanish/>
              </w:rPr>
            </w:pPr>
          </w:p>
        </w:tc>
        <w:tc>
          <w:tcPr>
            <w:tcW w:w="0" w:type="auto"/>
            <w:gridSpan w:val="3"/>
            <w:shd w:val="clear" w:color="auto" w:fill="auto"/>
          </w:tcPr>
          <w:p w14:paraId="40CB2817" w14:textId="77777777" w:rsidR="00584FB3" w:rsidRDefault="00584FB3">
            <w:pPr>
              <w:rPr>
                <w:rFonts w:ascii="宋体"/>
                <w:vanish/>
              </w:rPr>
            </w:pPr>
          </w:p>
        </w:tc>
        <w:tc>
          <w:tcPr>
            <w:tcW w:w="0" w:type="auto"/>
            <w:gridSpan w:val="3"/>
            <w:shd w:val="clear" w:color="auto" w:fill="auto"/>
          </w:tcPr>
          <w:p w14:paraId="40CB2818" w14:textId="77777777" w:rsidR="00584FB3" w:rsidRDefault="00584FB3">
            <w:pPr>
              <w:rPr>
                <w:rFonts w:ascii="宋体"/>
                <w:vanish/>
              </w:rPr>
            </w:pPr>
          </w:p>
        </w:tc>
        <w:tc>
          <w:tcPr>
            <w:tcW w:w="0" w:type="auto"/>
            <w:gridSpan w:val="3"/>
            <w:shd w:val="clear" w:color="auto" w:fill="auto"/>
          </w:tcPr>
          <w:p w14:paraId="40CB2819" w14:textId="77777777" w:rsidR="00584FB3" w:rsidRDefault="00584FB3">
            <w:pPr>
              <w:rPr>
                <w:rFonts w:ascii="宋体"/>
                <w:vanish/>
              </w:rPr>
            </w:pPr>
          </w:p>
        </w:tc>
        <w:tc>
          <w:tcPr>
            <w:tcW w:w="0" w:type="auto"/>
            <w:gridSpan w:val="3"/>
            <w:shd w:val="clear" w:color="auto" w:fill="auto"/>
          </w:tcPr>
          <w:p w14:paraId="40CB281A" w14:textId="77777777" w:rsidR="00584FB3" w:rsidRDefault="00584FB3">
            <w:pPr>
              <w:rPr>
                <w:rFonts w:ascii="宋体"/>
                <w:vanish/>
              </w:rPr>
            </w:pPr>
          </w:p>
        </w:tc>
        <w:tc>
          <w:tcPr>
            <w:tcW w:w="0" w:type="auto"/>
            <w:gridSpan w:val="3"/>
            <w:shd w:val="clear" w:color="auto" w:fill="auto"/>
          </w:tcPr>
          <w:p w14:paraId="40CB281B" w14:textId="77777777" w:rsidR="00584FB3" w:rsidRDefault="00584FB3">
            <w:pPr>
              <w:rPr>
                <w:rFonts w:ascii="宋体"/>
                <w:vanish/>
              </w:rPr>
            </w:pPr>
          </w:p>
        </w:tc>
        <w:tc>
          <w:tcPr>
            <w:tcW w:w="0" w:type="auto"/>
            <w:gridSpan w:val="3"/>
            <w:shd w:val="clear" w:color="auto" w:fill="auto"/>
          </w:tcPr>
          <w:p w14:paraId="40CB281C" w14:textId="77777777" w:rsidR="00584FB3" w:rsidRDefault="00584FB3">
            <w:pPr>
              <w:rPr>
                <w:rFonts w:ascii="宋体"/>
                <w:vanish/>
              </w:rPr>
            </w:pPr>
          </w:p>
        </w:tc>
        <w:tc>
          <w:tcPr>
            <w:tcW w:w="0" w:type="auto"/>
            <w:gridSpan w:val="3"/>
            <w:shd w:val="clear" w:color="auto" w:fill="auto"/>
          </w:tcPr>
          <w:p w14:paraId="40CB281D" w14:textId="77777777" w:rsidR="00584FB3" w:rsidRDefault="00584FB3">
            <w:pPr>
              <w:rPr>
                <w:rFonts w:ascii="宋体"/>
                <w:vanish/>
              </w:rPr>
            </w:pPr>
          </w:p>
        </w:tc>
        <w:tc>
          <w:tcPr>
            <w:tcW w:w="0" w:type="auto"/>
            <w:gridSpan w:val="3"/>
            <w:shd w:val="clear" w:color="auto" w:fill="auto"/>
          </w:tcPr>
          <w:p w14:paraId="40CB281E" w14:textId="77777777" w:rsidR="00584FB3" w:rsidRDefault="00584FB3">
            <w:pPr>
              <w:rPr>
                <w:rFonts w:ascii="宋体"/>
                <w:vanish/>
              </w:rPr>
            </w:pPr>
          </w:p>
        </w:tc>
        <w:tc>
          <w:tcPr>
            <w:tcW w:w="0" w:type="auto"/>
            <w:gridSpan w:val="3"/>
            <w:shd w:val="clear" w:color="auto" w:fill="auto"/>
          </w:tcPr>
          <w:p w14:paraId="40CB281F" w14:textId="77777777" w:rsidR="00584FB3" w:rsidRDefault="00584FB3">
            <w:pPr>
              <w:rPr>
                <w:rFonts w:ascii="宋体"/>
                <w:vanish/>
              </w:rPr>
            </w:pPr>
          </w:p>
        </w:tc>
        <w:tc>
          <w:tcPr>
            <w:tcW w:w="0" w:type="auto"/>
            <w:gridSpan w:val="3"/>
            <w:shd w:val="clear" w:color="auto" w:fill="auto"/>
          </w:tcPr>
          <w:p w14:paraId="40CB2820" w14:textId="77777777" w:rsidR="00584FB3" w:rsidRDefault="00584FB3">
            <w:pPr>
              <w:rPr>
                <w:rFonts w:ascii="宋体"/>
                <w:vanish/>
              </w:rPr>
            </w:pPr>
          </w:p>
        </w:tc>
        <w:tc>
          <w:tcPr>
            <w:tcW w:w="0" w:type="auto"/>
            <w:gridSpan w:val="3"/>
            <w:shd w:val="clear" w:color="auto" w:fill="auto"/>
          </w:tcPr>
          <w:p w14:paraId="40CB2821" w14:textId="77777777" w:rsidR="00584FB3" w:rsidRDefault="00584FB3">
            <w:pPr>
              <w:rPr>
                <w:rFonts w:ascii="宋体"/>
                <w:vanish/>
              </w:rPr>
            </w:pPr>
          </w:p>
        </w:tc>
      </w:tr>
      <w:tr w:rsidR="00584FB3" w14:paraId="40CB2833" w14:textId="77777777">
        <w:tc>
          <w:tcPr>
            <w:tcW w:w="0" w:type="auto"/>
            <w:gridSpan w:val="3"/>
            <w:shd w:val="clear" w:color="auto" w:fill="D7E4BC"/>
            <w:tcMar>
              <w:top w:w="40" w:type="dxa"/>
              <w:left w:w="20" w:type="dxa"/>
              <w:bottom w:w="40" w:type="dxa"/>
              <w:right w:w="20" w:type="dxa"/>
            </w:tcMar>
          </w:tcPr>
          <w:p w14:paraId="40CB2823" w14:textId="77777777" w:rsidR="00584FB3" w:rsidRDefault="00786180">
            <w:pPr>
              <w:textAlignment w:val="top"/>
            </w:pPr>
            <w:r>
              <w:rPr>
                <w:rFonts w:ascii="Times New Roman" w:eastAsia="宋体" w:hAnsi="Times New Roman"/>
                <w:b/>
                <w:bCs/>
                <w:color w:val="000000"/>
                <w:sz w:val="20"/>
                <w:szCs w:val="20"/>
              </w:rPr>
              <w:t>Total Company</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2824" w14:textId="77777777" w:rsidR="00584FB3" w:rsidRDefault="00786180">
            <w:pPr>
              <w:jc w:val="right"/>
              <w:textAlignment w:val="bottom"/>
            </w:pPr>
            <w:r>
              <w:rPr>
                <w:rFonts w:ascii="Times New Roman" w:eastAsia="宋体" w:hAnsi="Times New Roman"/>
                <w:b/>
                <w:bCs/>
                <w:color w:val="000000"/>
                <w:sz w:val="20"/>
                <w:szCs w:val="20"/>
              </w:rPr>
              <w:t>278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2825"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826" w14:textId="77777777" w:rsidR="00584FB3" w:rsidRDefault="00584FB3">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2827" w14:textId="77777777" w:rsidR="00584FB3" w:rsidRDefault="00786180">
            <w:pPr>
              <w:jc w:val="right"/>
              <w:textAlignment w:val="bottom"/>
            </w:pPr>
            <w:r>
              <w:rPr>
                <w:rFonts w:ascii="Times New Roman" w:eastAsia="宋体" w:hAnsi="Times New Roman"/>
                <w:b/>
                <w:bCs/>
                <w:color w:val="000000"/>
                <w:sz w:val="20"/>
                <w:szCs w:val="20"/>
              </w:rPr>
              <w:t>539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2828"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829" w14:textId="77777777" w:rsidR="00584FB3" w:rsidRDefault="00584FB3">
            <w:pPr>
              <w:rPr>
                <w:rFonts w:ascii="宋体"/>
              </w:rPr>
            </w:pPr>
          </w:p>
        </w:tc>
        <w:tc>
          <w:tcPr>
            <w:tcW w:w="0" w:type="auto"/>
            <w:gridSpan w:val="3"/>
            <w:shd w:val="clear" w:color="auto" w:fill="auto"/>
          </w:tcPr>
          <w:p w14:paraId="40CB282A" w14:textId="77777777" w:rsidR="00584FB3" w:rsidRDefault="00584FB3">
            <w:pPr>
              <w:rPr>
                <w:rFonts w:ascii="宋体"/>
                <w:vanish/>
              </w:rPr>
            </w:pPr>
          </w:p>
        </w:tc>
        <w:tc>
          <w:tcPr>
            <w:tcW w:w="0" w:type="auto"/>
            <w:gridSpan w:val="3"/>
            <w:shd w:val="clear" w:color="auto" w:fill="auto"/>
          </w:tcPr>
          <w:p w14:paraId="40CB282B" w14:textId="77777777" w:rsidR="00584FB3" w:rsidRDefault="00584FB3">
            <w:pPr>
              <w:rPr>
                <w:rFonts w:ascii="宋体"/>
                <w:vanish/>
              </w:rPr>
            </w:pPr>
          </w:p>
        </w:tc>
        <w:tc>
          <w:tcPr>
            <w:tcW w:w="0" w:type="auto"/>
            <w:gridSpan w:val="3"/>
            <w:shd w:val="clear" w:color="auto" w:fill="auto"/>
          </w:tcPr>
          <w:p w14:paraId="40CB282C" w14:textId="77777777" w:rsidR="00584FB3" w:rsidRDefault="00584FB3">
            <w:pPr>
              <w:rPr>
                <w:rFonts w:ascii="宋体"/>
                <w:vanish/>
              </w:rPr>
            </w:pPr>
          </w:p>
        </w:tc>
        <w:tc>
          <w:tcPr>
            <w:tcW w:w="0" w:type="auto"/>
            <w:gridSpan w:val="3"/>
            <w:shd w:val="clear" w:color="auto" w:fill="auto"/>
          </w:tcPr>
          <w:p w14:paraId="40CB282D" w14:textId="77777777" w:rsidR="00584FB3" w:rsidRDefault="00584FB3">
            <w:pPr>
              <w:rPr>
                <w:rFonts w:ascii="宋体"/>
                <w:vanish/>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282E" w14:textId="77777777" w:rsidR="00584FB3" w:rsidRDefault="00786180">
            <w:pPr>
              <w:jc w:val="right"/>
              <w:textAlignment w:val="bottom"/>
            </w:pPr>
            <w:r>
              <w:rPr>
                <w:rFonts w:ascii="Times New Roman" w:eastAsia="宋体" w:hAnsi="Times New Roman"/>
                <w:b/>
                <w:bCs/>
                <w:color w:val="000000"/>
                <w:sz w:val="20"/>
                <w:szCs w:val="20"/>
              </w:rPr>
              <w:t>32,938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282F" w14:textId="77777777" w:rsidR="00584FB3" w:rsidRDefault="00584FB3">
            <w:pPr>
              <w:jc w:val="right"/>
              <w:rPr>
                <w:rFonts w:ascii="宋体"/>
              </w:rPr>
            </w:pPr>
          </w:p>
        </w:tc>
        <w:tc>
          <w:tcPr>
            <w:tcW w:w="0" w:type="auto"/>
            <w:gridSpan w:val="3"/>
            <w:shd w:val="clear" w:color="auto" w:fill="D7E4BC"/>
            <w:tcMar>
              <w:top w:w="0" w:type="dxa"/>
              <w:left w:w="20" w:type="dxa"/>
              <w:bottom w:w="0" w:type="dxa"/>
              <w:right w:w="20" w:type="dxa"/>
            </w:tcMar>
          </w:tcPr>
          <w:p w14:paraId="40CB2830" w14:textId="77777777" w:rsidR="00584FB3" w:rsidRDefault="00584FB3">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0CB2831" w14:textId="77777777" w:rsidR="00584FB3" w:rsidRDefault="00786180">
            <w:pPr>
              <w:jc w:val="right"/>
              <w:textAlignment w:val="bottom"/>
            </w:pPr>
            <w:r>
              <w:rPr>
                <w:rFonts w:ascii="Times New Roman" w:eastAsia="宋体" w:hAnsi="Times New Roman"/>
                <w:b/>
                <w:bCs/>
                <w:color w:val="000000"/>
                <w:sz w:val="20"/>
                <w:szCs w:val="20"/>
              </w:rPr>
              <w:t>31,795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40CB2832" w14:textId="77777777" w:rsidR="00584FB3" w:rsidRDefault="00584FB3">
            <w:pPr>
              <w:jc w:val="right"/>
              <w:rPr>
                <w:rFonts w:ascii="宋体"/>
              </w:rPr>
            </w:pPr>
          </w:p>
        </w:tc>
      </w:tr>
      <w:tr w:rsidR="00584FB3" w14:paraId="40CB2856" w14:textId="77777777">
        <w:trPr>
          <w:hidden/>
        </w:trPr>
        <w:tc>
          <w:tcPr>
            <w:tcW w:w="0" w:type="auto"/>
            <w:gridSpan w:val="3"/>
            <w:shd w:val="clear" w:color="auto" w:fill="auto"/>
          </w:tcPr>
          <w:p w14:paraId="40CB2834" w14:textId="77777777" w:rsidR="00584FB3" w:rsidRDefault="00584FB3">
            <w:pPr>
              <w:rPr>
                <w:rFonts w:ascii="宋体"/>
                <w:vanish/>
              </w:rPr>
            </w:pPr>
          </w:p>
        </w:tc>
        <w:tc>
          <w:tcPr>
            <w:tcW w:w="0" w:type="auto"/>
            <w:shd w:val="clear" w:color="auto" w:fill="auto"/>
          </w:tcPr>
          <w:p w14:paraId="40CB2835" w14:textId="77777777" w:rsidR="00584FB3" w:rsidRDefault="00584FB3">
            <w:pPr>
              <w:rPr>
                <w:rFonts w:ascii="宋体"/>
              </w:rPr>
            </w:pPr>
          </w:p>
        </w:tc>
        <w:tc>
          <w:tcPr>
            <w:tcW w:w="0" w:type="auto"/>
            <w:shd w:val="clear" w:color="auto" w:fill="auto"/>
          </w:tcPr>
          <w:p w14:paraId="40CB2836" w14:textId="77777777" w:rsidR="00584FB3" w:rsidRDefault="00584FB3">
            <w:pPr>
              <w:rPr>
                <w:rFonts w:ascii="宋体"/>
              </w:rPr>
            </w:pPr>
          </w:p>
        </w:tc>
        <w:tc>
          <w:tcPr>
            <w:tcW w:w="0" w:type="auto"/>
            <w:shd w:val="clear" w:color="auto" w:fill="auto"/>
          </w:tcPr>
          <w:p w14:paraId="40CB2837" w14:textId="77777777" w:rsidR="00584FB3" w:rsidRDefault="00584FB3">
            <w:pPr>
              <w:rPr>
                <w:rFonts w:ascii="宋体"/>
              </w:rPr>
            </w:pPr>
          </w:p>
        </w:tc>
        <w:tc>
          <w:tcPr>
            <w:tcW w:w="0" w:type="auto"/>
            <w:shd w:val="clear" w:color="auto" w:fill="auto"/>
          </w:tcPr>
          <w:p w14:paraId="40CB2838" w14:textId="77777777" w:rsidR="00584FB3" w:rsidRDefault="00584FB3">
            <w:pPr>
              <w:rPr>
                <w:rFonts w:ascii="宋体"/>
              </w:rPr>
            </w:pPr>
          </w:p>
        </w:tc>
        <w:tc>
          <w:tcPr>
            <w:tcW w:w="0" w:type="auto"/>
            <w:shd w:val="clear" w:color="auto" w:fill="auto"/>
          </w:tcPr>
          <w:p w14:paraId="40CB2839" w14:textId="77777777" w:rsidR="00584FB3" w:rsidRDefault="00584FB3">
            <w:pPr>
              <w:rPr>
                <w:rFonts w:ascii="宋体"/>
              </w:rPr>
            </w:pPr>
          </w:p>
        </w:tc>
        <w:tc>
          <w:tcPr>
            <w:tcW w:w="0" w:type="auto"/>
            <w:shd w:val="clear" w:color="auto" w:fill="auto"/>
          </w:tcPr>
          <w:p w14:paraId="40CB283A" w14:textId="77777777" w:rsidR="00584FB3" w:rsidRDefault="00584FB3">
            <w:pPr>
              <w:rPr>
                <w:rFonts w:ascii="宋体"/>
              </w:rPr>
            </w:pPr>
          </w:p>
        </w:tc>
        <w:tc>
          <w:tcPr>
            <w:tcW w:w="0" w:type="auto"/>
            <w:shd w:val="clear" w:color="auto" w:fill="auto"/>
          </w:tcPr>
          <w:p w14:paraId="40CB283B" w14:textId="77777777" w:rsidR="00584FB3" w:rsidRDefault="00584FB3">
            <w:pPr>
              <w:rPr>
                <w:rFonts w:ascii="宋体"/>
              </w:rPr>
            </w:pPr>
          </w:p>
        </w:tc>
        <w:tc>
          <w:tcPr>
            <w:tcW w:w="0" w:type="auto"/>
            <w:shd w:val="clear" w:color="auto" w:fill="auto"/>
          </w:tcPr>
          <w:p w14:paraId="40CB283C" w14:textId="77777777" w:rsidR="00584FB3" w:rsidRDefault="00584FB3">
            <w:pPr>
              <w:rPr>
                <w:rFonts w:ascii="宋体"/>
              </w:rPr>
            </w:pPr>
          </w:p>
        </w:tc>
        <w:tc>
          <w:tcPr>
            <w:tcW w:w="0" w:type="auto"/>
            <w:shd w:val="clear" w:color="auto" w:fill="auto"/>
          </w:tcPr>
          <w:p w14:paraId="40CB283D" w14:textId="77777777" w:rsidR="00584FB3" w:rsidRDefault="00584FB3">
            <w:pPr>
              <w:rPr>
                <w:rFonts w:ascii="宋体"/>
              </w:rPr>
            </w:pPr>
          </w:p>
        </w:tc>
        <w:tc>
          <w:tcPr>
            <w:tcW w:w="0" w:type="auto"/>
            <w:shd w:val="clear" w:color="auto" w:fill="auto"/>
          </w:tcPr>
          <w:p w14:paraId="40CB283E" w14:textId="77777777" w:rsidR="00584FB3" w:rsidRDefault="00584FB3">
            <w:pPr>
              <w:rPr>
                <w:rFonts w:ascii="宋体"/>
              </w:rPr>
            </w:pPr>
          </w:p>
        </w:tc>
        <w:tc>
          <w:tcPr>
            <w:tcW w:w="0" w:type="auto"/>
            <w:shd w:val="clear" w:color="auto" w:fill="auto"/>
          </w:tcPr>
          <w:p w14:paraId="40CB283F" w14:textId="77777777" w:rsidR="00584FB3" w:rsidRDefault="00584FB3">
            <w:pPr>
              <w:rPr>
                <w:rFonts w:ascii="宋体"/>
              </w:rPr>
            </w:pPr>
          </w:p>
        </w:tc>
        <w:tc>
          <w:tcPr>
            <w:tcW w:w="0" w:type="auto"/>
            <w:shd w:val="clear" w:color="auto" w:fill="auto"/>
          </w:tcPr>
          <w:p w14:paraId="40CB2840" w14:textId="77777777" w:rsidR="00584FB3" w:rsidRDefault="00584FB3">
            <w:pPr>
              <w:rPr>
                <w:rFonts w:ascii="宋体"/>
              </w:rPr>
            </w:pPr>
          </w:p>
        </w:tc>
        <w:tc>
          <w:tcPr>
            <w:tcW w:w="0" w:type="auto"/>
            <w:shd w:val="clear" w:color="auto" w:fill="auto"/>
          </w:tcPr>
          <w:p w14:paraId="40CB2841" w14:textId="77777777" w:rsidR="00584FB3" w:rsidRDefault="00584FB3">
            <w:pPr>
              <w:rPr>
                <w:rFonts w:ascii="宋体"/>
              </w:rPr>
            </w:pPr>
          </w:p>
        </w:tc>
        <w:tc>
          <w:tcPr>
            <w:tcW w:w="0" w:type="auto"/>
            <w:shd w:val="clear" w:color="auto" w:fill="auto"/>
          </w:tcPr>
          <w:p w14:paraId="40CB2842" w14:textId="77777777" w:rsidR="00584FB3" w:rsidRDefault="00584FB3">
            <w:pPr>
              <w:rPr>
                <w:rFonts w:ascii="宋体"/>
              </w:rPr>
            </w:pPr>
          </w:p>
        </w:tc>
        <w:tc>
          <w:tcPr>
            <w:tcW w:w="0" w:type="auto"/>
            <w:shd w:val="clear" w:color="auto" w:fill="auto"/>
          </w:tcPr>
          <w:p w14:paraId="40CB2843" w14:textId="77777777" w:rsidR="00584FB3" w:rsidRDefault="00584FB3">
            <w:pPr>
              <w:rPr>
                <w:rFonts w:ascii="宋体"/>
              </w:rPr>
            </w:pPr>
          </w:p>
        </w:tc>
        <w:tc>
          <w:tcPr>
            <w:tcW w:w="0" w:type="auto"/>
            <w:shd w:val="clear" w:color="auto" w:fill="auto"/>
          </w:tcPr>
          <w:p w14:paraId="40CB2844" w14:textId="77777777" w:rsidR="00584FB3" w:rsidRDefault="00584FB3">
            <w:pPr>
              <w:rPr>
                <w:rFonts w:ascii="宋体"/>
              </w:rPr>
            </w:pPr>
          </w:p>
        </w:tc>
        <w:tc>
          <w:tcPr>
            <w:tcW w:w="0" w:type="auto"/>
            <w:shd w:val="clear" w:color="auto" w:fill="auto"/>
          </w:tcPr>
          <w:p w14:paraId="40CB2845" w14:textId="77777777" w:rsidR="00584FB3" w:rsidRDefault="00584FB3">
            <w:pPr>
              <w:rPr>
                <w:rFonts w:ascii="宋体"/>
              </w:rPr>
            </w:pPr>
          </w:p>
        </w:tc>
        <w:tc>
          <w:tcPr>
            <w:tcW w:w="0" w:type="auto"/>
            <w:shd w:val="clear" w:color="auto" w:fill="auto"/>
          </w:tcPr>
          <w:p w14:paraId="40CB2846" w14:textId="77777777" w:rsidR="00584FB3" w:rsidRDefault="00584FB3">
            <w:pPr>
              <w:rPr>
                <w:rFonts w:ascii="宋体"/>
              </w:rPr>
            </w:pPr>
          </w:p>
        </w:tc>
        <w:tc>
          <w:tcPr>
            <w:tcW w:w="0" w:type="auto"/>
            <w:shd w:val="clear" w:color="auto" w:fill="auto"/>
          </w:tcPr>
          <w:p w14:paraId="40CB2847" w14:textId="77777777" w:rsidR="00584FB3" w:rsidRDefault="00584FB3">
            <w:pPr>
              <w:rPr>
                <w:rFonts w:ascii="宋体"/>
              </w:rPr>
            </w:pPr>
          </w:p>
        </w:tc>
        <w:tc>
          <w:tcPr>
            <w:tcW w:w="0" w:type="auto"/>
            <w:shd w:val="clear" w:color="auto" w:fill="auto"/>
          </w:tcPr>
          <w:p w14:paraId="40CB2848" w14:textId="77777777" w:rsidR="00584FB3" w:rsidRDefault="00584FB3">
            <w:pPr>
              <w:rPr>
                <w:rFonts w:ascii="宋体"/>
              </w:rPr>
            </w:pPr>
          </w:p>
        </w:tc>
        <w:tc>
          <w:tcPr>
            <w:tcW w:w="0" w:type="auto"/>
            <w:shd w:val="clear" w:color="auto" w:fill="auto"/>
          </w:tcPr>
          <w:p w14:paraId="40CB2849" w14:textId="77777777" w:rsidR="00584FB3" w:rsidRDefault="00584FB3">
            <w:pPr>
              <w:rPr>
                <w:rFonts w:ascii="宋体"/>
              </w:rPr>
            </w:pPr>
          </w:p>
        </w:tc>
        <w:tc>
          <w:tcPr>
            <w:tcW w:w="0" w:type="auto"/>
            <w:shd w:val="clear" w:color="auto" w:fill="auto"/>
          </w:tcPr>
          <w:p w14:paraId="40CB284A" w14:textId="77777777" w:rsidR="00584FB3" w:rsidRDefault="00584FB3">
            <w:pPr>
              <w:rPr>
                <w:rFonts w:ascii="宋体"/>
              </w:rPr>
            </w:pPr>
          </w:p>
        </w:tc>
        <w:tc>
          <w:tcPr>
            <w:tcW w:w="0" w:type="auto"/>
            <w:shd w:val="clear" w:color="auto" w:fill="auto"/>
          </w:tcPr>
          <w:p w14:paraId="40CB284B" w14:textId="77777777" w:rsidR="00584FB3" w:rsidRDefault="00584FB3">
            <w:pPr>
              <w:rPr>
                <w:rFonts w:ascii="宋体"/>
              </w:rPr>
            </w:pPr>
          </w:p>
        </w:tc>
        <w:tc>
          <w:tcPr>
            <w:tcW w:w="0" w:type="auto"/>
            <w:shd w:val="clear" w:color="auto" w:fill="auto"/>
          </w:tcPr>
          <w:p w14:paraId="40CB284C" w14:textId="77777777" w:rsidR="00584FB3" w:rsidRDefault="00584FB3">
            <w:pPr>
              <w:rPr>
                <w:rFonts w:ascii="宋体"/>
              </w:rPr>
            </w:pPr>
          </w:p>
        </w:tc>
        <w:tc>
          <w:tcPr>
            <w:tcW w:w="0" w:type="auto"/>
            <w:shd w:val="clear" w:color="auto" w:fill="auto"/>
          </w:tcPr>
          <w:p w14:paraId="40CB284D" w14:textId="77777777" w:rsidR="00584FB3" w:rsidRDefault="00584FB3">
            <w:pPr>
              <w:rPr>
                <w:rFonts w:ascii="宋体"/>
              </w:rPr>
            </w:pPr>
          </w:p>
        </w:tc>
        <w:tc>
          <w:tcPr>
            <w:tcW w:w="0" w:type="auto"/>
            <w:shd w:val="clear" w:color="auto" w:fill="auto"/>
          </w:tcPr>
          <w:p w14:paraId="40CB284E" w14:textId="77777777" w:rsidR="00584FB3" w:rsidRDefault="00584FB3">
            <w:pPr>
              <w:rPr>
                <w:rFonts w:ascii="宋体"/>
              </w:rPr>
            </w:pPr>
          </w:p>
        </w:tc>
        <w:tc>
          <w:tcPr>
            <w:tcW w:w="0" w:type="auto"/>
            <w:shd w:val="clear" w:color="auto" w:fill="auto"/>
          </w:tcPr>
          <w:p w14:paraId="40CB284F" w14:textId="77777777" w:rsidR="00584FB3" w:rsidRDefault="00584FB3">
            <w:pPr>
              <w:rPr>
                <w:rFonts w:ascii="宋体"/>
              </w:rPr>
            </w:pPr>
          </w:p>
        </w:tc>
        <w:tc>
          <w:tcPr>
            <w:tcW w:w="0" w:type="auto"/>
            <w:shd w:val="clear" w:color="auto" w:fill="auto"/>
          </w:tcPr>
          <w:p w14:paraId="40CB2850" w14:textId="77777777" w:rsidR="00584FB3" w:rsidRDefault="00584FB3">
            <w:pPr>
              <w:rPr>
                <w:rFonts w:ascii="宋体"/>
              </w:rPr>
            </w:pPr>
          </w:p>
        </w:tc>
        <w:tc>
          <w:tcPr>
            <w:tcW w:w="0" w:type="auto"/>
            <w:shd w:val="clear" w:color="auto" w:fill="auto"/>
          </w:tcPr>
          <w:p w14:paraId="40CB2851" w14:textId="77777777" w:rsidR="00584FB3" w:rsidRDefault="00584FB3">
            <w:pPr>
              <w:rPr>
                <w:rFonts w:ascii="宋体"/>
              </w:rPr>
            </w:pPr>
          </w:p>
        </w:tc>
        <w:tc>
          <w:tcPr>
            <w:tcW w:w="0" w:type="auto"/>
            <w:shd w:val="clear" w:color="auto" w:fill="auto"/>
          </w:tcPr>
          <w:p w14:paraId="40CB2852" w14:textId="77777777" w:rsidR="00584FB3" w:rsidRDefault="00584FB3">
            <w:pPr>
              <w:rPr>
                <w:rFonts w:ascii="宋体"/>
              </w:rPr>
            </w:pPr>
          </w:p>
        </w:tc>
        <w:tc>
          <w:tcPr>
            <w:tcW w:w="0" w:type="auto"/>
            <w:shd w:val="clear" w:color="auto" w:fill="auto"/>
          </w:tcPr>
          <w:p w14:paraId="40CB2853" w14:textId="77777777" w:rsidR="00584FB3" w:rsidRDefault="00584FB3">
            <w:pPr>
              <w:rPr>
                <w:rFonts w:ascii="宋体"/>
              </w:rPr>
            </w:pPr>
          </w:p>
        </w:tc>
        <w:tc>
          <w:tcPr>
            <w:tcW w:w="0" w:type="auto"/>
            <w:shd w:val="clear" w:color="auto" w:fill="auto"/>
          </w:tcPr>
          <w:p w14:paraId="40CB2854" w14:textId="77777777" w:rsidR="00584FB3" w:rsidRDefault="00584FB3">
            <w:pPr>
              <w:rPr>
                <w:rFonts w:ascii="宋体"/>
              </w:rPr>
            </w:pPr>
          </w:p>
        </w:tc>
        <w:tc>
          <w:tcPr>
            <w:tcW w:w="0" w:type="auto"/>
            <w:shd w:val="clear" w:color="auto" w:fill="auto"/>
          </w:tcPr>
          <w:p w14:paraId="40CB2855" w14:textId="77777777" w:rsidR="00584FB3" w:rsidRDefault="00584FB3">
            <w:pPr>
              <w:rPr>
                <w:rFonts w:ascii="宋体"/>
              </w:rPr>
            </w:pPr>
          </w:p>
        </w:tc>
      </w:tr>
      <w:tr w:rsidR="00584FB3" w14:paraId="40CB2879" w14:textId="77777777">
        <w:trPr>
          <w:hidden/>
        </w:trPr>
        <w:tc>
          <w:tcPr>
            <w:tcW w:w="0" w:type="auto"/>
            <w:gridSpan w:val="3"/>
            <w:shd w:val="clear" w:color="auto" w:fill="auto"/>
          </w:tcPr>
          <w:p w14:paraId="40CB2857" w14:textId="77777777" w:rsidR="00584FB3" w:rsidRDefault="00584FB3">
            <w:pPr>
              <w:rPr>
                <w:rFonts w:ascii="宋体"/>
                <w:vanish/>
              </w:rPr>
            </w:pPr>
          </w:p>
        </w:tc>
        <w:tc>
          <w:tcPr>
            <w:tcW w:w="0" w:type="auto"/>
            <w:shd w:val="clear" w:color="auto" w:fill="auto"/>
          </w:tcPr>
          <w:p w14:paraId="40CB2858" w14:textId="77777777" w:rsidR="00584FB3" w:rsidRDefault="00584FB3">
            <w:pPr>
              <w:rPr>
                <w:rFonts w:ascii="宋体"/>
              </w:rPr>
            </w:pPr>
          </w:p>
        </w:tc>
        <w:tc>
          <w:tcPr>
            <w:tcW w:w="0" w:type="auto"/>
            <w:shd w:val="clear" w:color="auto" w:fill="auto"/>
          </w:tcPr>
          <w:p w14:paraId="40CB2859" w14:textId="77777777" w:rsidR="00584FB3" w:rsidRDefault="00584FB3">
            <w:pPr>
              <w:rPr>
                <w:rFonts w:ascii="宋体"/>
              </w:rPr>
            </w:pPr>
          </w:p>
        </w:tc>
        <w:tc>
          <w:tcPr>
            <w:tcW w:w="0" w:type="auto"/>
            <w:shd w:val="clear" w:color="auto" w:fill="auto"/>
          </w:tcPr>
          <w:p w14:paraId="40CB285A" w14:textId="77777777" w:rsidR="00584FB3" w:rsidRDefault="00584FB3">
            <w:pPr>
              <w:rPr>
                <w:rFonts w:ascii="宋体"/>
              </w:rPr>
            </w:pPr>
          </w:p>
        </w:tc>
        <w:tc>
          <w:tcPr>
            <w:tcW w:w="0" w:type="auto"/>
            <w:shd w:val="clear" w:color="auto" w:fill="auto"/>
          </w:tcPr>
          <w:p w14:paraId="40CB285B" w14:textId="77777777" w:rsidR="00584FB3" w:rsidRDefault="00584FB3">
            <w:pPr>
              <w:rPr>
                <w:rFonts w:ascii="宋体"/>
              </w:rPr>
            </w:pPr>
          </w:p>
        </w:tc>
        <w:tc>
          <w:tcPr>
            <w:tcW w:w="0" w:type="auto"/>
            <w:shd w:val="clear" w:color="auto" w:fill="auto"/>
          </w:tcPr>
          <w:p w14:paraId="40CB285C" w14:textId="77777777" w:rsidR="00584FB3" w:rsidRDefault="00584FB3">
            <w:pPr>
              <w:rPr>
                <w:rFonts w:ascii="宋体"/>
              </w:rPr>
            </w:pPr>
          </w:p>
        </w:tc>
        <w:tc>
          <w:tcPr>
            <w:tcW w:w="0" w:type="auto"/>
            <w:shd w:val="clear" w:color="auto" w:fill="auto"/>
          </w:tcPr>
          <w:p w14:paraId="40CB285D" w14:textId="77777777" w:rsidR="00584FB3" w:rsidRDefault="00584FB3">
            <w:pPr>
              <w:rPr>
                <w:rFonts w:ascii="宋体"/>
              </w:rPr>
            </w:pPr>
          </w:p>
        </w:tc>
        <w:tc>
          <w:tcPr>
            <w:tcW w:w="0" w:type="auto"/>
            <w:shd w:val="clear" w:color="auto" w:fill="auto"/>
          </w:tcPr>
          <w:p w14:paraId="40CB285E" w14:textId="77777777" w:rsidR="00584FB3" w:rsidRDefault="00584FB3">
            <w:pPr>
              <w:rPr>
                <w:rFonts w:ascii="宋体"/>
              </w:rPr>
            </w:pPr>
          </w:p>
        </w:tc>
        <w:tc>
          <w:tcPr>
            <w:tcW w:w="0" w:type="auto"/>
            <w:shd w:val="clear" w:color="auto" w:fill="auto"/>
          </w:tcPr>
          <w:p w14:paraId="40CB285F" w14:textId="77777777" w:rsidR="00584FB3" w:rsidRDefault="00584FB3">
            <w:pPr>
              <w:rPr>
                <w:rFonts w:ascii="宋体"/>
              </w:rPr>
            </w:pPr>
          </w:p>
        </w:tc>
        <w:tc>
          <w:tcPr>
            <w:tcW w:w="0" w:type="auto"/>
            <w:shd w:val="clear" w:color="auto" w:fill="auto"/>
          </w:tcPr>
          <w:p w14:paraId="40CB2860" w14:textId="77777777" w:rsidR="00584FB3" w:rsidRDefault="00584FB3">
            <w:pPr>
              <w:rPr>
                <w:rFonts w:ascii="宋体"/>
              </w:rPr>
            </w:pPr>
          </w:p>
        </w:tc>
        <w:tc>
          <w:tcPr>
            <w:tcW w:w="0" w:type="auto"/>
            <w:shd w:val="clear" w:color="auto" w:fill="auto"/>
          </w:tcPr>
          <w:p w14:paraId="40CB2861" w14:textId="77777777" w:rsidR="00584FB3" w:rsidRDefault="00584FB3">
            <w:pPr>
              <w:rPr>
                <w:rFonts w:ascii="宋体"/>
              </w:rPr>
            </w:pPr>
          </w:p>
        </w:tc>
        <w:tc>
          <w:tcPr>
            <w:tcW w:w="0" w:type="auto"/>
            <w:shd w:val="clear" w:color="auto" w:fill="auto"/>
          </w:tcPr>
          <w:p w14:paraId="40CB2862" w14:textId="77777777" w:rsidR="00584FB3" w:rsidRDefault="00584FB3">
            <w:pPr>
              <w:rPr>
                <w:rFonts w:ascii="宋体"/>
              </w:rPr>
            </w:pPr>
          </w:p>
        </w:tc>
        <w:tc>
          <w:tcPr>
            <w:tcW w:w="0" w:type="auto"/>
            <w:shd w:val="clear" w:color="auto" w:fill="auto"/>
          </w:tcPr>
          <w:p w14:paraId="40CB2863" w14:textId="77777777" w:rsidR="00584FB3" w:rsidRDefault="00584FB3">
            <w:pPr>
              <w:rPr>
                <w:rFonts w:ascii="宋体"/>
              </w:rPr>
            </w:pPr>
          </w:p>
        </w:tc>
        <w:tc>
          <w:tcPr>
            <w:tcW w:w="0" w:type="auto"/>
            <w:shd w:val="clear" w:color="auto" w:fill="auto"/>
          </w:tcPr>
          <w:p w14:paraId="40CB2864" w14:textId="77777777" w:rsidR="00584FB3" w:rsidRDefault="00584FB3">
            <w:pPr>
              <w:rPr>
                <w:rFonts w:ascii="宋体"/>
              </w:rPr>
            </w:pPr>
          </w:p>
        </w:tc>
        <w:tc>
          <w:tcPr>
            <w:tcW w:w="0" w:type="auto"/>
            <w:shd w:val="clear" w:color="auto" w:fill="auto"/>
          </w:tcPr>
          <w:p w14:paraId="40CB2865" w14:textId="77777777" w:rsidR="00584FB3" w:rsidRDefault="00584FB3">
            <w:pPr>
              <w:rPr>
                <w:rFonts w:ascii="宋体"/>
              </w:rPr>
            </w:pPr>
          </w:p>
        </w:tc>
        <w:tc>
          <w:tcPr>
            <w:tcW w:w="0" w:type="auto"/>
            <w:shd w:val="clear" w:color="auto" w:fill="auto"/>
          </w:tcPr>
          <w:p w14:paraId="40CB2866" w14:textId="77777777" w:rsidR="00584FB3" w:rsidRDefault="00584FB3">
            <w:pPr>
              <w:rPr>
                <w:rFonts w:ascii="宋体"/>
              </w:rPr>
            </w:pPr>
          </w:p>
        </w:tc>
        <w:tc>
          <w:tcPr>
            <w:tcW w:w="0" w:type="auto"/>
            <w:shd w:val="clear" w:color="auto" w:fill="auto"/>
          </w:tcPr>
          <w:p w14:paraId="40CB2867" w14:textId="77777777" w:rsidR="00584FB3" w:rsidRDefault="00584FB3">
            <w:pPr>
              <w:rPr>
                <w:rFonts w:ascii="宋体"/>
              </w:rPr>
            </w:pPr>
          </w:p>
        </w:tc>
        <w:tc>
          <w:tcPr>
            <w:tcW w:w="0" w:type="auto"/>
            <w:shd w:val="clear" w:color="auto" w:fill="auto"/>
          </w:tcPr>
          <w:p w14:paraId="40CB2868" w14:textId="77777777" w:rsidR="00584FB3" w:rsidRDefault="00584FB3">
            <w:pPr>
              <w:rPr>
                <w:rFonts w:ascii="宋体"/>
              </w:rPr>
            </w:pPr>
          </w:p>
        </w:tc>
        <w:tc>
          <w:tcPr>
            <w:tcW w:w="0" w:type="auto"/>
            <w:shd w:val="clear" w:color="auto" w:fill="auto"/>
          </w:tcPr>
          <w:p w14:paraId="40CB2869" w14:textId="77777777" w:rsidR="00584FB3" w:rsidRDefault="00584FB3">
            <w:pPr>
              <w:rPr>
                <w:rFonts w:ascii="宋体"/>
              </w:rPr>
            </w:pPr>
          </w:p>
        </w:tc>
        <w:tc>
          <w:tcPr>
            <w:tcW w:w="0" w:type="auto"/>
            <w:shd w:val="clear" w:color="auto" w:fill="auto"/>
          </w:tcPr>
          <w:p w14:paraId="40CB286A" w14:textId="77777777" w:rsidR="00584FB3" w:rsidRDefault="00584FB3">
            <w:pPr>
              <w:rPr>
                <w:rFonts w:ascii="宋体"/>
              </w:rPr>
            </w:pPr>
          </w:p>
        </w:tc>
        <w:tc>
          <w:tcPr>
            <w:tcW w:w="0" w:type="auto"/>
            <w:shd w:val="clear" w:color="auto" w:fill="auto"/>
          </w:tcPr>
          <w:p w14:paraId="40CB286B" w14:textId="77777777" w:rsidR="00584FB3" w:rsidRDefault="00584FB3">
            <w:pPr>
              <w:rPr>
                <w:rFonts w:ascii="宋体"/>
              </w:rPr>
            </w:pPr>
          </w:p>
        </w:tc>
        <w:tc>
          <w:tcPr>
            <w:tcW w:w="0" w:type="auto"/>
            <w:shd w:val="clear" w:color="auto" w:fill="auto"/>
          </w:tcPr>
          <w:p w14:paraId="40CB286C" w14:textId="77777777" w:rsidR="00584FB3" w:rsidRDefault="00584FB3">
            <w:pPr>
              <w:rPr>
                <w:rFonts w:ascii="宋体"/>
              </w:rPr>
            </w:pPr>
          </w:p>
        </w:tc>
        <w:tc>
          <w:tcPr>
            <w:tcW w:w="0" w:type="auto"/>
            <w:shd w:val="clear" w:color="auto" w:fill="auto"/>
          </w:tcPr>
          <w:p w14:paraId="40CB286D" w14:textId="77777777" w:rsidR="00584FB3" w:rsidRDefault="00584FB3">
            <w:pPr>
              <w:rPr>
                <w:rFonts w:ascii="宋体"/>
              </w:rPr>
            </w:pPr>
          </w:p>
        </w:tc>
        <w:tc>
          <w:tcPr>
            <w:tcW w:w="0" w:type="auto"/>
            <w:shd w:val="clear" w:color="auto" w:fill="auto"/>
          </w:tcPr>
          <w:p w14:paraId="40CB286E" w14:textId="77777777" w:rsidR="00584FB3" w:rsidRDefault="00584FB3">
            <w:pPr>
              <w:rPr>
                <w:rFonts w:ascii="宋体"/>
              </w:rPr>
            </w:pPr>
          </w:p>
        </w:tc>
        <w:tc>
          <w:tcPr>
            <w:tcW w:w="0" w:type="auto"/>
            <w:shd w:val="clear" w:color="auto" w:fill="auto"/>
          </w:tcPr>
          <w:p w14:paraId="40CB286F" w14:textId="77777777" w:rsidR="00584FB3" w:rsidRDefault="00584FB3">
            <w:pPr>
              <w:rPr>
                <w:rFonts w:ascii="宋体"/>
              </w:rPr>
            </w:pPr>
          </w:p>
        </w:tc>
        <w:tc>
          <w:tcPr>
            <w:tcW w:w="0" w:type="auto"/>
            <w:shd w:val="clear" w:color="auto" w:fill="auto"/>
          </w:tcPr>
          <w:p w14:paraId="40CB2870" w14:textId="77777777" w:rsidR="00584FB3" w:rsidRDefault="00584FB3">
            <w:pPr>
              <w:rPr>
                <w:rFonts w:ascii="宋体"/>
              </w:rPr>
            </w:pPr>
          </w:p>
        </w:tc>
        <w:tc>
          <w:tcPr>
            <w:tcW w:w="0" w:type="auto"/>
            <w:shd w:val="clear" w:color="auto" w:fill="auto"/>
          </w:tcPr>
          <w:p w14:paraId="40CB2871" w14:textId="77777777" w:rsidR="00584FB3" w:rsidRDefault="00584FB3">
            <w:pPr>
              <w:rPr>
                <w:rFonts w:ascii="宋体"/>
              </w:rPr>
            </w:pPr>
          </w:p>
        </w:tc>
        <w:tc>
          <w:tcPr>
            <w:tcW w:w="0" w:type="auto"/>
            <w:shd w:val="clear" w:color="auto" w:fill="auto"/>
          </w:tcPr>
          <w:p w14:paraId="40CB2872" w14:textId="77777777" w:rsidR="00584FB3" w:rsidRDefault="00584FB3">
            <w:pPr>
              <w:rPr>
                <w:rFonts w:ascii="宋体"/>
              </w:rPr>
            </w:pPr>
          </w:p>
        </w:tc>
        <w:tc>
          <w:tcPr>
            <w:tcW w:w="0" w:type="auto"/>
            <w:shd w:val="clear" w:color="auto" w:fill="auto"/>
          </w:tcPr>
          <w:p w14:paraId="40CB2873" w14:textId="77777777" w:rsidR="00584FB3" w:rsidRDefault="00584FB3">
            <w:pPr>
              <w:rPr>
                <w:rFonts w:ascii="宋体"/>
              </w:rPr>
            </w:pPr>
          </w:p>
        </w:tc>
        <w:tc>
          <w:tcPr>
            <w:tcW w:w="0" w:type="auto"/>
            <w:shd w:val="clear" w:color="auto" w:fill="auto"/>
          </w:tcPr>
          <w:p w14:paraId="40CB2874" w14:textId="77777777" w:rsidR="00584FB3" w:rsidRDefault="00584FB3">
            <w:pPr>
              <w:rPr>
                <w:rFonts w:ascii="宋体"/>
              </w:rPr>
            </w:pPr>
          </w:p>
        </w:tc>
        <w:tc>
          <w:tcPr>
            <w:tcW w:w="0" w:type="auto"/>
            <w:shd w:val="clear" w:color="auto" w:fill="auto"/>
          </w:tcPr>
          <w:p w14:paraId="40CB2875" w14:textId="77777777" w:rsidR="00584FB3" w:rsidRDefault="00584FB3">
            <w:pPr>
              <w:rPr>
                <w:rFonts w:ascii="宋体"/>
              </w:rPr>
            </w:pPr>
          </w:p>
        </w:tc>
        <w:tc>
          <w:tcPr>
            <w:tcW w:w="0" w:type="auto"/>
            <w:shd w:val="clear" w:color="auto" w:fill="auto"/>
          </w:tcPr>
          <w:p w14:paraId="40CB2876" w14:textId="77777777" w:rsidR="00584FB3" w:rsidRDefault="00584FB3">
            <w:pPr>
              <w:rPr>
                <w:rFonts w:ascii="宋体"/>
              </w:rPr>
            </w:pPr>
          </w:p>
        </w:tc>
        <w:tc>
          <w:tcPr>
            <w:tcW w:w="0" w:type="auto"/>
            <w:shd w:val="clear" w:color="auto" w:fill="auto"/>
          </w:tcPr>
          <w:p w14:paraId="40CB2877" w14:textId="77777777" w:rsidR="00584FB3" w:rsidRDefault="00584FB3">
            <w:pPr>
              <w:rPr>
                <w:rFonts w:ascii="宋体"/>
              </w:rPr>
            </w:pPr>
          </w:p>
        </w:tc>
        <w:tc>
          <w:tcPr>
            <w:tcW w:w="0" w:type="auto"/>
            <w:shd w:val="clear" w:color="auto" w:fill="auto"/>
          </w:tcPr>
          <w:p w14:paraId="40CB2878" w14:textId="77777777" w:rsidR="00584FB3" w:rsidRDefault="00584FB3">
            <w:pPr>
              <w:rPr>
                <w:rFonts w:ascii="宋体"/>
              </w:rPr>
            </w:pPr>
          </w:p>
        </w:tc>
      </w:tr>
    </w:tbl>
    <w:p w14:paraId="40CB287A" w14:textId="77777777" w:rsidR="00584FB3" w:rsidRDefault="00584FB3">
      <w:pPr>
        <w:spacing w:before="100"/>
      </w:pPr>
    </w:p>
    <w:p w14:paraId="40CB287B" w14:textId="77777777" w:rsidR="00584FB3" w:rsidRDefault="00786180">
      <w:pPr>
        <w:spacing w:before="180"/>
      </w:pPr>
      <w:r>
        <w:rPr>
          <w:rFonts w:ascii="Times New Roman" w:eastAsia="宋体" w:hAnsi="Times New Roman"/>
          <w:b/>
          <w:bCs/>
          <w:color w:val="000000"/>
          <w:sz w:val="20"/>
          <w:szCs w:val="20"/>
        </w:rPr>
        <w:t>Financial Condition, Liquidity and Capital Resources</w:t>
      </w:r>
    </w:p>
    <w:p w14:paraId="40CB287C" w14:textId="77777777" w:rsidR="00584FB3" w:rsidRDefault="00786180">
      <w:pPr>
        <w:spacing w:before="120"/>
      </w:pPr>
      <w:r>
        <w:rPr>
          <w:rFonts w:ascii="Times New Roman" w:eastAsia="宋体" w:hAnsi="Times New Roman"/>
          <w:color w:val="000000"/>
          <w:sz w:val="20"/>
          <w:szCs w:val="20"/>
          <w:u w:val="single"/>
        </w:rPr>
        <w:t>Investment Overview</w:t>
      </w:r>
    </w:p>
    <w:p w14:paraId="40CB287D" w14:textId="77777777" w:rsidR="00584FB3" w:rsidRDefault="00786180">
      <w:pPr>
        <w:spacing w:before="120"/>
      </w:pPr>
      <w:r>
        <w:rPr>
          <w:rFonts w:ascii="Times New Roman" w:eastAsia="宋体" w:hAnsi="Times New Roman"/>
          <w:color w:val="000000"/>
          <w:sz w:val="20"/>
          <w:szCs w:val="20"/>
        </w:rPr>
        <w:t xml:space="preserve">Our cash and investments totaled $5.5 billion as of December 27, 2020 and $4.8 billion as of September 27, 2020. We actively manage our cash and investments in order to internally fund operating needs, make scheduled interest and principal payments on our </w:t>
      </w:r>
      <w:r>
        <w:rPr>
          <w:rFonts w:ascii="Times New Roman" w:eastAsia="宋体" w:hAnsi="Times New Roman"/>
          <w:color w:val="000000"/>
          <w:sz w:val="20"/>
          <w:szCs w:val="20"/>
        </w:rPr>
        <w:t>borrowings, make acquisitions and return cash to shareholders through common stock cash dividend payments and share repurchases. Our investment portfolio primarily includes highly liquid available-for-sale securities, including corporate debt securities, g</w:t>
      </w:r>
      <w:r>
        <w:rPr>
          <w:rFonts w:ascii="Times New Roman" w:eastAsia="宋体" w:hAnsi="Times New Roman"/>
          <w:color w:val="000000"/>
          <w:sz w:val="20"/>
          <w:szCs w:val="20"/>
        </w:rPr>
        <w:t xml:space="preserve">overnment treasury securities (foreign and domestic) and commercial paper. As of December 27, 2020, approximately $2.3 billion of cash was held in foreign subsidiaries. </w:t>
      </w:r>
    </w:p>
    <w:p w14:paraId="40CB287E" w14:textId="77777777" w:rsidR="00584FB3" w:rsidRDefault="00786180">
      <w:pPr>
        <w:spacing w:before="120"/>
      </w:pPr>
      <w:r>
        <w:rPr>
          <w:rFonts w:ascii="Times New Roman" w:eastAsia="宋体" w:hAnsi="Times New Roman"/>
          <w:color w:val="000000"/>
          <w:sz w:val="20"/>
          <w:szCs w:val="20"/>
          <w:u w:val="single"/>
        </w:rPr>
        <w:t>Borrowing Capacity</w:t>
      </w:r>
    </w:p>
    <w:p w14:paraId="40CB287F" w14:textId="77777777" w:rsidR="00584FB3" w:rsidRDefault="00786180">
      <w:pPr>
        <w:spacing w:before="120"/>
      </w:pPr>
      <w:r>
        <w:rPr>
          <w:rFonts w:ascii="Times New Roman" w:eastAsia="宋体" w:hAnsi="Times New Roman"/>
          <w:i/>
          <w:iCs/>
          <w:color w:val="000000"/>
          <w:sz w:val="20"/>
          <w:szCs w:val="20"/>
        </w:rPr>
        <w:t>The 2018 credit facility</w:t>
      </w:r>
    </w:p>
    <w:p w14:paraId="40CB2880" w14:textId="77777777" w:rsidR="00584FB3" w:rsidRDefault="00786180">
      <w:pPr>
        <w:spacing w:before="120"/>
      </w:pPr>
      <w:r>
        <w:rPr>
          <w:rFonts w:ascii="Times New Roman" w:eastAsia="宋体" w:hAnsi="Times New Roman"/>
          <w:color w:val="000000"/>
          <w:sz w:val="20"/>
          <w:szCs w:val="20"/>
        </w:rPr>
        <w:t>Our $2.0 billion unsecured 5-year revolvin</w:t>
      </w:r>
      <w:r>
        <w:rPr>
          <w:rFonts w:ascii="Times New Roman" w:eastAsia="宋体" w:hAnsi="Times New Roman"/>
          <w:color w:val="000000"/>
          <w:sz w:val="20"/>
          <w:szCs w:val="20"/>
        </w:rPr>
        <w:t>g credit facility ("the 2018 credit facility"), of which $150 million may be used for issuances of letters of credit, is currently set to mature on October 25, 2022. We have the option, subject to negotiation and agreement with the related banks, to increa</w:t>
      </w:r>
      <w:r>
        <w:rPr>
          <w:rFonts w:ascii="Times New Roman" w:eastAsia="宋体" w:hAnsi="Times New Roman"/>
          <w:color w:val="000000"/>
          <w:sz w:val="20"/>
          <w:szCs w:val="20"/>
        </w:rPr>
        <w:t>se the maximum commitment amount by an additional $500 million. Borrowings under the credit facility are subject to terms defined within the 2018 credit facility and will bear interest at a variable rate based on LIBOR, and, for U.S. dollar-denominated loa</w:t>
      </w:r>
      <w:r>
        <w:rPr>
          <w:rFonts w:ascii="Times New Roman" w:eastAsia="宋体" w:hAnsi="Times New Roman"/>
          <w:color w:val="000000"/>
          <w:sz w:val="20"/>
          <w:szCs w:val="20"/>
        </w:rPr>
        <w:t>ns under certain circumstances, a Base Rate, in each case plus an applicable margin. The applicable margin is based on the better of (i) the Company's long-term credit ratings assigned by Moody's and Standard &amp; Poor's rating agencies and (ii) the Company's</w:t>
      </w:r>
      <w:r>
        <w:rPr>
          <w:rFonts w:ascii="Times New Roman" w:eastAsia="宋体" w:hAnsi="Times New Roman"/>
          <w:color w:val="000000"/>
          <w:sz w:val="20"/>
          <w:szCs w:val="20"/>
        </w:rPr>
        <w:t xml:space="preserve"> fixed charge coverage ratio, pursuant to a pricing grid set forth in the five-year credit agreement. The current applicable margin is 1.100% for Eurocurrency Rate Loans and 0.100% for Base Rate Loans. The 2018 credit facility is available for general corp</w:t>
      </w:r>
      <w:r>
        <w:rPr>
          <w:rFonts w:ascii="Times New Roman" w:eastAsia="宋体" w:hAnsi="Times New Roman"/>
          <w:color w:val="000000"/>
          <w:sz w:val="20"/>
          <w:szCs w:val="20"/>
        </w:rPr>
        <w:t>orate purposes. As of December 27, 2020, we had no borrowings under the 2018 credit facility.</w:t>
      </w:r>
    </w:p>
    <w:p w14:paraId="40CB2881" w14:textId="77777777" w:rsidR="00584FB3" w:rsidRDefault="00786180">
      <w:pPr>
        <w:spacing w:before="120"/>
      </w:pPr>
      <w:r>
        <w:rPr>
          <w:rFonts w:ascii="Times New Roman" w:eastAsia="宋体" w:hAnsi="Times New Roman"/>
          <w:i/>
          <w:iCs/>
          <w:color w:val="000000"/>
          <w:sz w:val="20"/>
          <w:szCs w:val="20"/>
        </w:rPr>
        <w:t>The 364-day credit facility</w:t>
      </w:r>
    </w:p>
    <w:p w14:paraId="40CB2882" w14:textId="77777777" w:rsidR="00584FB3" w:rsidRDefault="00786180">
      <w:pPr>
        <w:spacing w:before="120"/>
      </w:pPr>
      <w:r>
        <w:rPr>
          <w:rFonts w:ascii="Times New Roman" w:eastAsia="宋体" w:hAnsi="Times New Roman"/>
          <w:color w:val="000000"/>
          <w:sz w:val="20"/>
          <w:szCs w:val="20"/>
        </w:rPr>
        <w:t>Our $1.0 billion unsecured 364-day credit facility (the "364-day credit facility"), of which no amount may be used for issuances of le</w:t>
      </w:r>
      <w:r>
        <w:rPr>
          <w:rFonts w:ascii="Times New Roman" w:eastAsia="宋体" w:hAnsi="Times New Roman"/>
          <w:color w:val="000000"/>
          <w:sz w:val="20"/>
          <w:szCs w:val="20"/>
        </w:rPr>
        <w:t>tters of credit, is currently set to mature on September 22, 2021. We have the option, subject to negotiation and agreement with the related banks, to increase the maximum commitment amount by an additional $500 million. Borrowings under the credit facilit</w:t>
      </w:r>
      <w:r>
        <w:rPr>
          <w:rFonts w:ascii="Times New Roman" w:eastAsia="宋体" w:hAnsi="Times New Roman"/>
          <w:color w:val="000000"/>
          <w:sz w:val="20"/>
          <w:szCs w:val="20"/>
        </w:rPr>
        <w:t>y are subject to terms defined within the 364-day credit facility and will bear interest at a variable rate based on LIBOR, and, for U.S. dollar-denominated loans under certain circumstances, a Base Rate, in each case plus an applicable margin. The applica</w:t>
      </w:r>
      <w:r>
        <w:rPr>
          <w:rFonts w:ascii="Times New Roman" w:eastAsia="宋体" w:hAnsi="Times New Roman"/>
          <w:color w:val="000000"/>
          <w:sz w:val="20"/>
          <w:szCs w:val="20"/>
        </w:rPr>
        <w:t>ble margin is based on the better of (i) the Company's long-term credit ratings assigned by Moody's and Standard &amp; Poor's rating agencies and (ii) the Company's fixed charge coverage ratio, pursuant to a pricing grid set forth in the 364-day credit agreeme</w:t>
      </w:r>
      <w:r>
        <w:rPr>
          <w:rFonts w:ascii="Times New Roman" w:eastAsia="宋体" w:hAnsi="Times New Roman"/>
          <w:color w:val="000000"/>
          <w:sz w:val="20"/>
          <w:szCs w:val="20"/>
        </w:rPr>
        <w:t>nt. The applicable margin is 1.150% for Eurocurrency Rate Loans and 0.150% for Base Rate Loans. The 364-day credit facility is available for general purposes. As of December 27, 2020, we had no borrowings under the 364-day credit facility.</w:t>
      </w:r>
    </w:p>
    <w:p w14:paraId="40CB2883" w14:textId="77777777" w:rsidR="00584FB3" w:rsidRDefault="00786180">
      <w:pPr>
        <w:spacing w:before="120"/>
      </w:pPr>
      <w:r>
        <w:rPr>
          <w:rFonts w:ascii="Times New Roman" w:eastAsia="宋体" w:hAnsi="Times New Roman"/>
          <w:color w:val="000000"/>
          <w:sz w:val="20"/>
          <w:szCs w:val="20"/>
        </w:rPr>
        <w:t>Due to the finan</w:t>
      </w:r>
      <w:r>
        <w:rPr>
          <w:rFonts w:ascii="Times New Roman" w:eastAsia="宋体" w:hAnsi="Times New Roman"/>
          <w:color w:val="000000"/>
          <w:sz w:val="20"/>
          <w:szCs w:val="20"/>
        </w:rPr>
        <w:t>cial impacts from COVID-19, we reached an agreement with our lenders to amend the fixed charge coverage ratio covenant for our combined $3 billion revolving lines of credit, through the fourth quarter of fiscal 2021.</w:t>
      </w:r>
    </w:p>
    <w:p w14:paraId="40CB2884" w14:textId="77777777" w:rsidR="00584FB3" w:rsidRDefault="00584FB3">
      <w:pPr>
        <w:spacing w:before="120"/>
      </w:pPr>
    </w:p>
    <w:p w14:paraId="40CB2885" w14:textId="77777777" w:rsidR="00584FB3" w:rsidRDefault="00786180">
      <w:pPr>
        <w:jc w:val="center"/>
      </w:pPr>
      <w:r>
        <w:rPr>
          <w:rFonts w:ascii="Times New Roman" w:eastAsia="宋体" w:hAnsi="Times New Roman"/>
          <w:color w:val="000000"/>
          <w:sz w:val="20"/>
          <w:szCs w:val="20"/>
        </w:rPr>
        <w:t>33</w:t>
      </w:r>
    </w:p>
    <w:p w14:paraId="40CB2886" w14:textId="77777777" w:rsidR="00584FB3" w:rsidRDefault="00786180">
      <w:r>
        <w:pict w14:anchorId="40CB2A56">
          <v:rect id="_x0000_i1057" style="width:415.3pt;height:1.5pt" o:hralign="center" o:hrstd="t" o:hr="t" fillcolor="#a0a0a0" stroked="f"/>
        </w:pict>
      </w:r>
    </w:p>
    <w:p w14:paraId="40CB2887" w14:textId="77777777" w:rsidR="00584FB3" w:rsidRDefault="00786180">
      <w:hyperlink r:id="rId110" w:anchor="i11706e4b673c41db9f2dcbdb897203bb_7" w:history="1">
        <w:r>
          <w:rPr>
            <w:rStyle w:val="a5"/>
            <w:rFonts w:ascii="Times New Roman" w:eastAsia="宋体" w:hAnsi="Times New Roman"/>
            <w:sz w:val="20"/>
            <w:szCs w:val="20"/>
          </w:rPr>
          <w:t>Table of Contents</w:t>
        </w:r>
      </w:hyperlink>
    </w:p>
    <w:p w14:paraId="40CB2888" w14:textId="77777777" w:rsidR="00584FB3" w:rsidRDefault="00786180">
      <w:pPr>
        <w:spacing w:before="120"/>
      </w:pPr>
      <w:r>
        <w:rPr>
          <w:rFonts w:ascii="Times New Roman" w:eastAsia="宋体" w:hAnsi="Times New Roman"/>
          <w:i/>
          <w:iCs/>
          <w:color w:val="000000"/>
          <w:sz w:val="20"/>
          <w:szCs w:val="20"/>
        </w:rPr>
        <w:t>Commercial Paper</w:t>
      </w:r>
    </w:p>
    <w:p w14:paraId="40CB2889" w14:textId="77777777" w:rsidR="00584FB3" w:rsidRDefault="00786180">
      <w:pPr>
        <w:spacing w:before="120"/>
      </w:pPr>
      <w:r>
        <w:rPr>
          <w:rFonts w:ascii="Times New Roman" w:eastAsia="宋体" w:hAnsi="Times New Roman"/>
          <w:color w:val="000000"/>
          <w:sz w:val="20"/>
          <w:szCs w:val="20"/>
        </w:rPr>
        <w:t>Under our commercial paper program, we may issue unsecured commercial paper notes up to a maximum agg</w:t>
      </w:r>
      <w:r>
        <w:rPr>
          <w:rFonts w:ascii="Times New Roman" w:eastAsia="宋体" w:hAnsi="Times New Roman"/>
          <w:color w:val="000000"/>
          <w:sz w:val="20"/>
          <w:szCs w:val="20"/>
        </w:rPr>
        <w:t>regate amount outstanding at any time of $3.0 billion, with individual maturities that may vary but not exceed 397 days from the date of issue. Amounts outstanding under the commercial paper program are required to be backstopped by available commitments u</w:t>
      </w:r>
      <w:r>
        <w:rPr>
          <w:rFonts w:ascii="Times New Roman" w:eastAsia="宋体" w:hAnsi="Times New Roman"/>
          <w:color w:val="000000"/>
          <w:sz w:val="20"/>
          <w:szCs w:val="20"/>
        </w:rPr>
        <w:t>nder the 2018 and 364-day credit facilities discussed above. The proceeds from borrowings under our commercial paper program may be used for working capital needs, capital expenditures and other corporate purposes, including, but not limited to, business e</w:t>
      </w:r>
      <w:r>
        <w:rPr>
          <w:rFonts w:ascii="Times New Roman" w:eastAsia="宋体" w:hAnsi="Times New Roman"/>
          <w:color w:val="000000"/>
          <w:sz w:val="20"/>
          <w:szCs w:val="20"/>
        </w:rPr>
        <w:t>xpansion, payment of cash dividends on our common stock and share repurchases. As of December 27, 2020, we had borrowings of $299.7 million outstanding, net of unamortized discount, under our commercial paper program, of which a majority will mature during</w:t>
      </w:r>
      <w:r>
        <w:rPr>
          <w:rFonts w:ascii="Times New Roman" w:eastAsia="宋体" w:hAnsi="Times New Roman"/>
          <w:color w:val="000000"/>
          <w:sz w:val="20"/>
          <w:szCs w:val="20"/>
        </w:rPr>
        <w:t xml:space="preserve"> the second quarter of fiscal 2021. As such, our total contractual borrowing capacity for general corporate purposes as of the end of our first quarter of fiscal 2021 was $2.7 billion when combining the unused commercial paper program and credit facilities</w:t>
      </w:r>
      <w:r>
        <w:rPr>
          <w:rFonts w:ascii="Times New Roman" w:eastAsia="宋体" w:hAnsi="Times New Roman"/>
          <w:color w:val="000000"/>
          <w:sz w:val="20"/>
          <w:szCs w:val="20"/>
        </w:rPr>
        <w:t>, less outstanding borrowing.</w:t>
      </w:r>
    </w:p>
    <w:p w14:paraId="40CB288A" w14:textId="77777777" w:rsidR="00584FB3" w:rsidRDefault="00786180">
      <w:pPr>
        <w:spacing w:before="120"/>
      </w:pPr>
      <w:r>
        <w:rPr>
          <w:rFonts w:ascii="Times New Roman" w:eastAsia="宋体" w:hAnsi="Times New Roman"/>
          <w:i/>
          <w:iCs/>
          <w:color w:val="000000"/>
          <w:sz w:val="20"/>
          <w:szCs w:val="20"/>
        </w:rPr>
        <w:t>Credit facilities in Japan</w:t>
      </w:r>
    </w:p>
    <w:p w14:paraId="40CB288B" w14:textId="77777777" w:rsidR="00584FB3" w:rsidRDefault="00786180">
      <w:pPr>
        <w:spacing w:before="120"/>
      </w:pPr>
      <w:r>
        <w:rPr>
          <w:rFonts w:ascii="Times New Roman" w:eastAsia="宋体" w:hAnsi="Times New Roman"/>
          <w:color w:val="000000"/>
          <w:sz w:val="20"/>
          <w:szCs w:val="20"/>
        </w:rPr>
        <w:t>Additionally, we hold Japanese yen-denominated credit facilities for the use of our Japan subsidiary. These are available for working capital needs and capital expenditures within our Japanese market</w:t>
      </w:r>
      <w:r>
        <w:rPr>
          <w:rFonts w:ascii="Times New Roman" w:eastAsia="宋体" w:hAnsi="Times New Roman"/>
          <w:color w:val="000000"/>
          <w:sz w:val="20"/>
          <w:szCs w:val="20"/>
        </w:rPr>
        <w:t>.</w:t>
      </w:r>
    </w:p>
    <w:p w14:paraId="40CB288C" w14:textId="77777777" w:rsidR="00584FB3" w:rsidRDefault="00786180">
      <w:pPr>
        <w:spacing w:before="120"/>
        <w:ind w:hanging="360"/>
      </w:pPr>
      <w:r>
        <w:rPr>
          <w:rFonts w:ascii="Times New Roman" w:eastAsia="宋体" w:hAnsi="Times New Roman"/>
          <w:color w:val="000000"/>
          <w:sz w:val="20"/>
          <w:szCs w:val="20"/>
        </w:rPr>
        <w:t>•A ¥10 billion, or $96.5 million, facility is currently set to mature on March 26, 2021. Borrowings under the credit facility are subject to terms defined within the facility and will bear interest at a variable rate based on TIBOR plus an applicable mar</w:t>
      </w:r>
      <w:r>
        <w:rPr>
          <w:rFonts w:ascii="Times New Roman" w:eastAsia="宋体" w:hAnsi="Times New Roman"/>
          <w:color w:val="000000"/>
          <w:sz w:val="20"/>
          <w:szCs w:val="20"/>
        </w:rPr>
        <w:t>gin of 0.300%.</w:t>
      </w:r>
    </w:p>
    <w:p w14:paraId="40CB288D" w14:textId="77777777" w:rsidR="00584FB3" w:rsidRDefault="00786180">
      <w:pPr>
        <w:spacing w:before="120"/>
        <w:ind w:hanging="360"/>
      </w:pPr>
      <w:r>
        <w:rPr>
          <w:rFonts w:ascii="Times New Roman" w:eastAsia="宋体" w:hAnsi="Times New Roman"/>
          <w:color w:val="000000"/>
          <w:sz w:val="20"/>
          <w:szCs w:val="20"/>
        </w:rPr>
        <w:t>•A ¥10 billion, or $96.5 million, facility is currently set to mature on October 29, 2021. Borrowings under the credit facility are subject to terms defined within the facility and will bear interest at a variable rate based on TIBOR plus an</w:t>
      </w:r>
      <w:r>
        <w:rPr>
          <w:rFonts w:ascii="Times New Roman" w:eastAsia="宋体" w:hAnsi="Times New Roman"/>
          <w:color w:val="000000"/>
          <w:sz w:val="20"/>
          <w:szCs w:val="20"/>
        </w:rPr>
        <w:t xml:space="preserve"> applicable margin of 0.350%. </w:t>
      </w:r>
    </w:p>
    <w:p w14:paraId="40CB288E" w14:textId="77777777" w:rsidR="00584FB3" w:rsidRDefault="00786180">
      <w:pPr>
        <w:spacing w:before="120"/>
        <w:ind w:hanging="360"/>
      </w:pPr>
      <w:r>
        <w:rPr>
          <w:rFonts w:ascii="Times New Roman" w:eastAsia="宋体" w:hAnsi="Times New Roman"/>
          <w:color w:val="000000"/>
          <w:sz w:val="20"/>
          <w:szCs w:val="20"/>
        </w:rPr>
        <w:t xml:space="preserve">•A ¥5 billion, or $48.2 million, facility is currently set to mature on December 30, 2021. Borrowings under the credit facility are subject to terms defined within the facility and will bear interest at a variable rate based </w:t>
      </w:r>
      <w:r>
        <w:rPr>
          <w:rFonts w:ascii="Times New Roman" w:eastAsia="宋体" w:hAnsi="Times New Roman"/>
          <w:color w:val="000000"/>
          <w:sz w:val="20"/>
          <w:szCs w:val="20"/>
        </w:rPr>
        <w:t xml:space="preserve">on TIBOR plus an applicable margin of 0.400%. </w:t>
      </w:r>
    </w:p>
    <w:p w14:paraId="40CB288F" w14:textId="77777777" w:rsidR="00584FB3" w:rsidRDefault="00786180">
      <w:pPr>
        <w:spacing w:before="120"/>
      </w:pPr>
      <w:r>
        <w:rPr>
          <w:rFonts w:ascii="Times New Roman" w:eastAsia="宋体" w:hAnsi="Times New Roman"/>
          <w:color w:val="000000"/>
          <w:sz w:val="20"/>
          <w:szCs w:val="20"/>
        </w:rPr>
        <w:t>As of December 27, 2020, we had $192.9 million of borrowings outstanding under these credit facilities.</w:t>
      </w:r>
    </w:p>
    <w:p w14:paraId="40CB2890" w14:textId="77777777" w:rsidR="00584FB3" w:rsidRDefault="00786180">
      <w:pPr>
        <w:spacing w:before="120"/>
      </w:pPr>
      <w:r>
        <w:rPr>
          <w:rFonts w:ascii="Times New Roman" w:eastAsia="宋体" w:hAnsi="Times New Roman"/>
          <w:color w:val="000000"/>
          <w:sz w:val="20"/>
          <w:szCs w:val="20"/>
        </w:rPr>
        <w:t xml:space="preserve">See </w:t>
      </w:r>
      <w:hyperlink r:id="rId111" w:anchor="i11706e4b673c41db9f2dcbdb897203bb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Debt, to the consolidated financial statements included in Item 1 of Part I of this 10-Q for details of the components of our long-term debt.</w:t>
      </w:r>
    </w:p>
    <w:p w14:paraId="40CB2891" w14:textId="77777777" w:rsidR="00584FB3" w:rsidRDefault="00786180">
      <w:pPr>
        <w:spacing w:before="120"/>
      </w:pPr>
      <w:r>
        <w:rPr>
          <w:rFonts w:ascii="Times New Roman" w:eastAsia="宋体" w:hAnsi="Times New Roman"/>
          <w:color w:val="000000"/>
          <w:sz w:val="20"/>
          <w:szCs w:val="20"/>
        </w:rPr>
        <w:t>Our ability to incur new liens and conduct sale and leaseback transactions on certain material properties is subject to compliance with terms of the indentures under which the Senior Notes were issued. As of December 27, 2020, we were in compliance with al</w:t>
      </w:r>
      <w:r>
        <w:rPr>
          <w:rFonts w:ascii="Times New Roman" w:eastAsia="宋体" w:hAnsi="Times New Roman"/>
          <w:color w:val="000000"/>
          <w:sz w:val="20"/>
          <w:szCs w:val="20"/>
        </w:rPr>
        <w:t xml:space="preserve">l applicable covenants. </w:t>
      </w:r>
    </w:p>
    <w:p w14:paraId="40CB2892" w14:textId="77777777" w:rsidR="00584FB3" w:rsidRDefault="00786180">
      <w:pPr>
        <w:spacing w:before="120"/>
      </w:pPr>
      <w:r>
        <w:rPr>
          <w:rFonts w:ascii="Times New Roman" w:eastAsia="宋体" w:hAnsi="Times New Roman"/>
          <w:color w:val="000000"/>
          <w:sz w:val="20"/>
          <w:szCs w:val="20"/>
          <w:u w:val="single"/>
        </w:rPr>
        <w:t>Use of Cash</w:t>
      </w:r>
    </w:p>
    <w:p w14:paraId="40CB2893" w14:textId="77777777" w:rsidR="00584FB3" w:rsidRDefault="00786180">
      <w:pPr>
        <w:spacing w:before="120"/>
      </w:pPr>
      <w:r>
        <w:rPr>
          <w:rFonts w:ascii="Times New Roman" w:eastAsia="宋体" w:hAnsi="Times New Roman"/>
          <w:color w:val="000000"/>
          <w:sz w:val="20"/>
          <w:szCs w:val="20"/>
        </w:rPr>
        <w:t>We expect to use our available cash and investments, including, but not limited to, additional potential future borrowings under the credit facilities, commercial paper program and the issuance of debt to support and invest in our core businesses, includin</w:t>
      </w:r>
      <w:r>
        <w:rPr>
          <w:rFonts w:ascii="Times New Roman" w:eastAsia="宋体" w:hAnsi="Times New Roman"/>
          <w:color w:val="000000"/>
          <w:sz w:val="20"/>
          <w:szCs w:val="20"/>
        </w:rPr>
        <w:t>g investing in new ways to serve our customers and supporting our store partners, repaying maturing debts, as well as returning cash to shareholders through common stock cash dividend payments and discretionary share repurchases and investing in new busine</w:t>
      </w:r>
      <w:r>
        <w:rPr>
          <w:rFonts w:ascii="Times New Roman" w:eastAsia="宋体" w:hAnsi="Times New Roman"/>
          <w:color w:val="000000"/>
          <w:sz w:val="20"/>
          <w:szCs w:val="20"/>
        </w:rPr>
        <w:t>ss opportunities related to our core and developing businesses. Further, we may use our available cash resources to make proportionate capital contributions to our investees. We may also seek strategic acquisitions to leverage existing capabilities and fur</w:t>
      </w:r>
      <w:r>
        <w:rPr>
          <w:rFonts w:ascii="Times New Roman" w:eastAsia="宋体" w:hAnsi="Times New Roman"/>
          <w:color w:val="000000"/>
          <w:sz w:val="20"/>
          <w:szCs w:val="20"/>
        </w:rPr>
        <w:t>ther build our business in support of our “Growth at Scale” agenda. Acquisitions may include increasing our ownership interests in our investees. Any decisions to increase such ownership interests will be driven by valuation and fit with our ownership stra</w:t>
      </w:r>
      <w:r>
        <w:rPr>
          <w:rFonts w:ascii="Times New Roman" w:eastAsia="宋体" w:hAnsi="Times New Roman"/>
          <w:color w:val="000000"/>
          <w:sz w:val="20"/>
          <w:szCs w:val="20"/>
        </w:rPr>
        <w:t xml:space="preserve">tegy. </w:t>
      </w:r>
    </w:p>
    <w:p w14:paraId="40CB2894" w14:textId="77777777" w:rsidR="00584FB3" w:rsidRDefault="00786180">
      <w:pPr>
        <w:spacing w:before="120"/>
      </w:pPr>
      <w:r>
        <w:rPr>
          <w:rFonts w:ascii="Times New Roman" w:eastAsia="宋体" w:hAnsi="Times New Roman"/>
          <w:color w:val="000000"/>
          <w:sz w:val="20"/>
          <w:szCs w:val="20"/>
        </w:rPr>
        <w:t>We believe that net future cash flows generated from operations and existing cash and investments both domestically and internationally combined with our ability to leverage our balance sheet through the issuance of debt will be sufficient to financ</w:t>
      </w:r>
      <w:r>
        <w:rPr>
          <w:rFonts w:ascii="Times New Roman" w:eastAsia="宋体" w:hAnsi="Times New Roman"/>
          <w:color w:val="000000"/>
          <w:sz w:val="20"/>
          <w:szCs w:val="20"/>
        </w:rPr>
        <w:t>e capital requirements for our core businesses as well as shareholder distributions for the foreseeable future. Significant new joint ventures, acquisitions and/or other new business opportunities may require additional outside funding. We have borrowed fu</w:t>
      </w:r>
      <w:r>
        <w:rPr>
          <w:rFonts w:ascii="Times New Roman" w:eastAsia="宋体" w:hAnsi="Times New Roman"/>
          <w:color w:val="000000"/>
          <w:sz w:val="20"/>
          <w:szCs w:val="20"/>
        </w:rPr>
        <w:t>nds and continue to believe we have the ability to do so at reasonable interest rates; however, additional borrowings would result in increased interest expense in the future. In this regard, we may incur additional debt, within targeted levels, as part of</w:t>
      </w:r>
      <w:r>
        <w:rPr>
          <w:rFonts w:ascii="Times New Roman" w:eastAsia="宋体" w:hAnsi="Times New Roman"/>
          <w:color w:val="000000"/>
          <w:sz w:val="20"/>
          <w:szCs w:val="20"/>
        </w:rPr>
        <w:t xml:space="preserve"> our plans to fund our capital programs, including cash returns to shareholders through future dividends and discretionary share repurchases. To further strengthen our liquidity in the near term, we currently expect the suspension of share repurchases to c</w:t>
      </w:r>
      <w:r>
        <w:rPr>
          <w:rFonts w:ascii="Times New Roman" w:eastAsia="宋体" w:hAnsi="Times New Roman"/>
          <w:color w:val="000000"/>
          <w:sz w:val="20"/>
          <w:szCs w:val="20"/>
        </w:rPr>
        <w:t>ontinue into late fiscal 2021. If necessary, we may pursue additional sources of financing, including both short-term and long-term borrowings and debt issuances.</w:t>
      </w:r>
    </w:p>
    <w:p w14:paraId="40CB2895" w14:textId="77777777" w:rsidR="00584FB3" w:rsidRDefault="00786180">
      <w:pPr>
        <w:spacing w:before="120"/>
      </w:pPr>
      <w:r>
        <w:rPr>
          <w:rFonts w:ascii="Times New Roman" w:eastAsia="宋体" w:hAnsi="Times New Roman"/>
          <w:color w:val="000000"/>
          <w:sz w:val="20"/>
          <w:szCs w:val="20"/>
        </w:rPr>
        <w:t>We regularly review our cash positions and our determination of indefinite reinvestment of fo</w:t>
      </w:r>
      <w:r>
        <w:rPr>
          <w:rFonts w:ascii="Times New Roman" w:eastAsia="宋体" w:hAnsi="Times New Roman"/>
          <w:color w:val="000000"/>
          <w:sz w:val="20"/>
          <w:szCs w:val="20"/>
        </w:rPr>
        <w:t xml:space="preserve">reign earnings. In the event we determine that all or a portion of such foreign earnings are no longer indefinitely reinvested, we may be subject to additional </w:t>
      </w:r>
    </w:p>
    <w:p w14:paraId="40CB2896" w14:textId="77777777" w:rsidR="00584FB3" w:rsidRDefault="00786180">
      <w:pPr>
        <w:jc w:val="center"/>
      </w:pPr>
      <w:r>
        <w:rPr>
          <w:rFonts w:ascii="Times New Roman" w:eastAsia="宋体" w:hAnsi="Times New Roman"/>
          <w:color w:val="000000"/>
          <w:sz w:val="20"/>
          <w:szCs w:val="20"/>
        </w:rPr>
        <w:t>34</w:t>
      </w:r>
    </w:p>
    <w:p w14:paraId="40CB2897" w14:textId="77777777" w:rsidR="00584FB3" w:rsidRDefault="00786180">
      <w:r>
        <w:pict w14:anchorId="40CB2A57">
          <v:rect id="_x0000_i1058" style="width:415.3pt;height:1.5pt" o:hralign="center" o:hrstd="t" o:hr="t" fillcolor="#a0a0a0" stroked="f"/>
        </w:pict>
      </w:r>
    </w:p>
    <w:p w14:paraId="40CB2898" w14:textId="77777777" w:rsidR="00584FB3" w:rsidRDefault="00786180">
      <w:hyperlink r:id="rId112" w:anchor="i11706e4b673c41db9f2dcbdb897203bb_7" w:history="1">
        <w:r>
          <w:rPr>
            <w:rStyle w:val="a5"/>
            <w:rFonts w:ascii="Times New Roman" w:eastAsia="宋体" w:hAnsi="Times New Roman"/>
            <w:sz w:val="20"/>
            <w:szCs w:val="20"/>
          </w:rPr>
          <w:t>Table of Contents</w:t>
        </w:r>
      </w:hyperlink>
    </w:p>
    <w:p w14:paraId="40CB2899" w14:textId="77777777" w:rsidR="00584FB3" w:rsidRDefault="00786180">
      <w:pPr>
        <w:spacing w:before="120"/>
      </w:pPr>
      <w:r>
        <w:rPr>
          <w:rFonts w:ascii="Times New Roman" w:eastAsia="宋体" w:hAnsi="Times New Roman"/>
          <w:color w:val="000000"/>
          <w:sz w:val="20"/>
          <w:szCs w:val="20"/>
        </w:rPr>
        <w:t>foreign withholding taxes and U.S. state income taxes, which could be material. We do not anticipate the need for repatriated funds to the U.S. to satisfy domestic liquidity n</w:t>
      </w:r>
      <w:r>
        <w:rPr>
          <w:rFonts w:ascii="Times New Roman" w:eastAsia="宋体" w:hAnsi="Times New Roman"/>
          <w:color w:val="000000"/>
          <w:sz w:val="20"/>
          <w:szCs w:val="20"/>
        </w:rPr>
        <w:t>eeds.</w:t>
      </w:r>
    </w:p>
    <w:p w14:paraId="40CB289A" w14:textId="77777777" w:rsidR="00584FB3" w:rsidRDefault="00786180">
      <w:pPr>
        <w:spacing w:before="120"/>
      </w:pPr>
      <w:r>
        <w:rPr>
          <w:rFonts w:ascii="Times New Roman" w:eastAsia="宋体" w:hAnsi="Times New Roman"/>
          <w:color w:val="000000"/>
          <w:sz w:val="20"/>
          <w:szCs w:val="20"/>
        </w:rPr>
        <w:t>In November 2020, our Board of Directors approved a quarterly cash dividend to shareholders of $0.45 per share to be paid on March 5, 2021 to shareholders of record as of the close of business on February 18, 2021. As of the date of this report, we d</w:t>
      </w:r>
      <w:r>
        <w:rPr>
          <w:rFonts w:ascii="Times New Roman" w:eastAsia="宋体" w:hAnsi="Times New Roman"/>
          <w:color w:val="000000"/>
          <w:sz w:val="20"/>
          <w:szCs w:val="20"/>
        </w:rPr>
        <w:t>o not expect to reduce our quarterly dividend as a result of the COVID-19 pandemic.</w:t>
      </w:r>
    </w:p>
    <w:p w14:paraId="40CB289B" w14:textId="77777777" w:rsidR="00584FB3" w:rsidRDefault="00786180">
      <w:pPr>
        <w:spacing w:before="120"/>
      </w:pPr>
      <w:r>
        <w:rPr>
          <w:rFonts w:ascii="Times New Roman" w:eastAsia="宋体" w:hAnsi="Times New Roman"/>
          <w:color w:val="000000"/>
          <w:sz w:val="20"/>
          <w:szCs w:val="20"/>
        </w:rPr>
        <w:t>On April 8, 2020, we announced a temporary suspension of our share repurchase program. Repurchases pursuant to this program were last made in mid-March 2020. As of December</w:t>
      </w:r>
      <w:r>
        <w:rPr>
          <w:rFonts w:ascii="Times New Roman" w:eastAsia="宋体" w:hAnsi="Times New Roman"/>
          <w:color w:val="000000"/>
          <w:sz w:val="20"/>
          <w:szCs w:val="20"/>
        </w:rPr>
        <w:t xml:space="preserve"> 27, 2020, 48.9 million shares remained available for repurchase under current authorizations. The existing share repurchase program remains authorized by the Board of Directors, however, we have temporarily suspended our share repurchase program until we </w:t>
      </w:r>
      <w:r>
        <w:rPr>
          <w:rFonts w:ascii="Times New Roman" w:eastAsia="宋体" w:hAnsi="Times New Roman"/>
          <w:color w:val="000000"/>
          <w:sz w:val="20"/>
          <w:szCs w:val="20"/>
        </w:rPr>
        <w:t>restore certain financial leverage targets, which we currently expect to occur in late fiscal 2021.</w:t>
      </w:r>
    </w:p>
    <w:p w14:paraId="40CB289C" w14:textId="77777777" w:rsidR="00584FB3" w:rsidRDefault="00786180">
      <w:pPr>
        <w:spacing w:before="120"/>
      </w:pPr>
      <w:r>
        <w:rPr>
          <w:rFonts w:ascii="Times New Roman" w:eastAsia="宋体" w:hAnsi="Times New Roman"/>
          <w:color w:val="000000"/>
          <w:sz w:val="20"/>
          <w:szCs w:val="20"/>
        </w:rPr>
        <w:t>Other than normal operating expenses, cash requirements for the remainder of fiscal 2021 are expected to consist primarily of capital expenditures for inves</w:t>
      </w:r>
      <w:r>
        <w:rPr>
          <w:rFonts w:ascii="Times New Roman" w:eastAsia="宋体" w:hAnsi="Times New Roman"/>
          <w:color w:val="000000"/>
          <w:sz w:val="20"/>
          <w:szCs w:val="20"/>
        </w:rPr>
        <w:t xml:space="preserve">tments in our new and existing stores and our supply chain and corporate facilities. Total capital expenditures for fiscal 2021 are expected to be approximately $1.9 billion. </w:t>
      </w:r>
    </w:p>
    <w:p w14:paraId="40CB289D" w14:textId="77777777" w:rsidR="00584FB3" w:rsidRDefault="00786180">
      <w:pPr>
        <w:spacing w:before="120"/>
      </w:pPr>
      <w:r>
        <w:rPr>
          <w:rFonts w:ascii="Times New Roman" w:eastAsia="宋体" w:hAnsi="Times New Roman"/>
          <w:color w:val="000000"/>
          <w:sz w:val="20"/>
          <w:szCs w:val="20"/>
          <w:u w:val="single"/>
        </w:rPr>
        <w:t>Cash Flows</w:t>
      </w:r>
    </w:p>
    <w:p w14:paraId="40CB289E" w14:textId="77777777" w:rsidR="00584FB3" w:rsidRDefault="00786180">
      <w:pPr>
        <w:spacing w:before="120"/>
      </w:pPr>
      <w:r>
        <w:rPr>
          <w:rFonts w:ascii="Times New Roman" w:eastAsia="宋体" w:hAnsi="Times New Roman"/>
          <w:color w:val="000000"/>
          <w:sz w:val="20"/>
          <w:szCs w:val="20"/>
        </w:rPr>
        <w:t xml:space="preserve">Cash provided by operating activities was $1.8 billion for the first </w:t>
      </w:r>
      <w:r>
        <w:rPr>
          <w:rFonts w:ascii="Times New Roman" w:eastAsia="宋体" w:hAnsi="Times New Roman"/>
          <w:color w:val="000000"/>
          <w:sz w:val="20"/>
          <w:szCs w:val="20"/>
        </w:rPr>
        <w:t>quarter of fiscal 2021, compared to $1.8 billion for the same period in fiscal 2020. Although our net earnings were negatively impacted by the COVID-19 pandemic, our cash flows from operations were flat when compared to the same period in fiscal 2020. This</w:t>
      </w:r>
      <w:r>
        <w:rPr>
          <w:rFonts w:ascii="Times New Roman" w:eastAsia="宋体" w:hAnsi="Times New Roman"/>
          <w:color w:val="000000"/>
          <w:sz w:val="20"/>
          <w:szCs w:val="20"/>
        </w:rPr>
        <w:t xml:space="preserve"> is largely attributable to the non-cash loss on retirement and impairment of assets and improvements to our working capital.</w:t>
      </w:r>
    </w:p>
    <w:p w14:paraId="40CB289F" w14:textId="77777777" w:rsidR="00584FB3" w:rsidRDefault="00786180">
      <w:pPr>
        <w:spacing w:before="120"/>
      </w:pPr>
      <w:r>
        <w:rPr>
          <w:rFonts w:ascii="Times New Roman" w:eastAsia="宋体" w:hAnsi="Times New Roman"/>
          <w:color w:val="000000"/>
          <w:sz w:val="20"/>
          <w:szCs w:val="20"/>
        </w:rPr>
        <w:t>Cash used in investing activities for the first quarter of fiscal 2021 totaled $0.3 billion, compared to cash used in investing ac</w:t>
      </w:r>
      <w:r>
        <w:rPr>
          <w:rFonts w:ascii="Times New Roman" w:eastAsia="宋体" w:hAnsi="Times New Roman"/>
          <w:color w:val="000000"/>
          <w:sz w:val="20"/>
          <w:szCs w:val="20"/>
        </w:rPr>
        <w:t>tivities of $0.4 billion for the same period in fiscal 2020. The change was primarily due to lower existing and new store investments, partially offset by higher maturities and calls of investments.</w:t>
      </w:r>
    </w:p>
    <w:p w14:paraId="40CB28A0" w14:textId="77777777" w:rsidR="00584FB3" w:rsidRDefault="00786180">
      <w:pPr>
        <w:spacing w:before="120"/>
      </w:pPr>
      <w:r>
        <w:rPr>
          <w:rFonts w:ascii="Times New Roman" w:eastAsia="宋体" w:hAnsi="Times New Roman"/>
          <w:color w:val="000000"/>
          <w:sz w:val="20"/>
          <w:szCs w:val="20"/>
        </w:rPr>
        <w:t>Cash used in financing activities for the first quarter o</w:t>
      </w:r>
      <w:r>
        <w:rPr>
          <w:rFonts w:ascii="Times New Roman" w:eastAsia="宋体" w:hAnsi="Times New Roman"/>
          <w:color w:val="000000"/>
          <w:sz w:val="20"/>
          <w:szCs w:val="20"/>
        </w:rPr>
        <w:t>f fiscal 2021 totaled $1.0 billion compared to cash used in financing activities of $1.1 billion for the same period in fiscal 2020. The change was primarily due to temporary suspension of our share repurchase program, partially offset by increased debt re</w:t>
      </w:r>
      <w:r>
        <w:rPr>
          <w:rFonts w:ascii="Times New Roman" w:eastAsia="宋体" w:hAnsi="Times New Roman"/>
          <w:color w:val="000000"/>
          <w:sz w:val="20"/>
          <w:szCs w:val="20"/>
        </w:rPr>
        <w:t>payments and lower net proceeds from new debt issuances.</w:t>
      </w:r>
    </w:p>
    <w:p w14:paraId="40CB28A1" w14:textId="77777777" w:rsidR="00584FB3" w:rsidRDefault="00786180">
      <w:pPr>
        <w:spacing w:before="180"/>
      </w:pPr>
      <w:r>
        <w:rPr>
          <w:rFonts w:ascii="Times New Roman" w:eastAsia="宋体" w:hAnsi="Times New Roman"/>
          <w:b/>
          <w:bCs/>
          <w:color w:val="000000"/>
          <w:sz w:val="20"/>
          <w:szCs w:val="20"/>
        </w:rPr>
        <w:t>Contractual Obligations</w:t>
      </w:r>
    </w:p>
    <w:p w14:paraId="40CB28A2" w14:textId="77777777" w:rsidR="00584FB3" w:rsidRDefault="00786180">
      <w:pPr>
        <w:spacing w:before="120"/>
      </w:pPr>
      <w:r>
        <w:rPr>
          <w:rFonts w:ascii="Times New Roman" w:eastAsia="宋体" w:hAnsi="Times New Roman"/>
          <w:color w:val="000000"/>
          <w:sz w:val="20"/>
          <w:szCs w:val="20"/>
        </w:rPr>
        <w:t>In Management’s Discussion and Analysis of Financial Condition and Results of Operations included in the 10-K, we disclosed that we had $35.4 billion in total contractual obli</w:t>
      </w:r>
      <w:r>
        <w:rPr>
          <w:rFonts w:ascii="Times New Roman" w:eastAsia="宋体" w:hAnsi="Times New Roman"/>
          <w:color w:val="000000"/>
          <w:sz w:val="20"/>
          <w:szCs w:val="20"/>
        </w:rPr>
        <w:t>gations as of September 27, 2020. There have been no material changes to our total obligations during the period covered by this 10-Q outside of the normal course of our business.</w:t>
      </w:r>
    </w:p>
    <w:p w14:paraId="40CB28A3" w14:textId="77777777" w:rsidR="00584FB3" w:rsidRDefault="00786180">
      <w:pPr>
        <w:spacing w:before="180"/>
      </w:pPr>
      <w:r>
        <w:rPr>
          <w:rFonts w:ascii="Times New Roman" w:eastAsia="宋体" w:hAnsi="Times New Roman"/>
          <w:b/>
          <w:bCs/>
          <w:color w:val="000000"/>
          <w:sz w:val="20"/>
          <w:szCs w:val="20"/>
        </w:rPr>
        <w:t>Off-Balance Sheet Arrangements</w:t>
      </w:r>
    </w:p>
    <w:p w14:paraId="40CB28A4" w14:textId="77777777" w:rsidR="00584FB3" w:rsidRDefault="00786180">
      <w:pPr>
        <w:spacing w:before="120"/>
      </w:pPr>
      <w:r>
        <w:rPr>
          <w:rFonts w:ascii="Times New Roman" w:eastAsia="宋体" w:hAnsi="Times New Roman"/>
          <w:color w:val="000000"/>
          <w:sz w:val="20"/>
          <w:szCs w:val="20"/>
        </w:rPr>
        <w:t>There has been no material change in our off-</w:t>
      </w:r>
      <w:r>
        <w:rPr>
          <w:rFonts w:ascii="Times New Roman" w:eastAsia="宋体" w:hAnsi="Times New Roman"/>
          <w:color w:val="000000"/>
          <w:sz w:val="20"/>
          <w:szCs w:val="20"/>
        </w:rPr>
        <w:t>balance sheet arrangements discussed in Management’s Discussion and Analysis of Financial Condition and Results of Operations included in the 10-K.</w:t>
      </w:r>
    </w:p>
    <w:p w14:paraId="40CB28A5" w14:textId="77777777" w:rsidR="00584FB3" w:rsidRDefault="00786180">
      <w:pPr>
        <w:spacing w:before="180"/>
      </w:pPr>
      <w:r>
        <w:rPr>
          <w:rFonts w:ascii="Times New Roman" w:eastAsia="宋体" w:hAnsi="Times New Roman"/>
          <w:b/>
          <w:bCs/>
          <w:color w:val="000000"/>
          <w:sz w:val="20"/>
          <w:szCs w:val="20"/>
        </w:rPr>
        <w:t>Commodity Prices, Availability and General Risk Conditions</w:t>
      </w:r>
    </w:p>
    <w:p w14:paraId="40CB28A6" w14:textId="77777777" w:rsidR="00584FB3" w:rsidRDefault="00786180">
      <w:pPr>
        <w:spacing w:before="120"/>
      </w:pPr>
      <w:r>
        <w:rPr>
          <w:rFonts w:ascii="Times New Roman" w:eastAsia="宋体" w:hAnsi="Times New Roman"/>
          <w:color w:val="000000"/>
          <w:sz w:val="20"/>
          <w:szCs w:val="20"/>
        </w:rPr>
        <w:t>Commodity price risk represents our primary marke</w:t>
      </w:r>
      <w:r>
        <w:rPr>
          <w:rFonts w:ascii="Times New Roman" w:eastAsia="宋体" w:hAnsi="Times New Roman"/>
          <w:color w:val="000000"/>
          <w:sz w:val="20"/>
          <w:szCs w:val="20"/>
        </w:rPr>
        <w:t xml:space="preserve">t risk, generated by our purchases of green coffee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addition to coffee, we also purchase significant amounts of dairy products to support the needs of our company-operated stores. The price and availability of these c</w:t>
      </w:r>
      <w:r>
        <w:rPr>
          <w:rFonts w:ascii="Times New Roman" w:eastAsia="宋体" w:hAnsi="Times New Roman"/>
          <w:color w:val="000000"/>
          <w:sz w:val="20"/>
          <w:szCs w:val="20"/>
        </w:rPr>
        <w:t>ommodities directly impact our results of operations, and we expect commodity prices, particularly coffee, to impact future results of operations. For additional details, see Product Supply in Item 1 of the 10-K, as well as Risk Factors in Item 1A of the 1</w:t>
      </w:r>
      <w:r>
        <w:rPr>
          <w:rFonts w:ascii="Times New Roman" w:eastAsia="宋体" w:hAnsi="Times New Roman"/>
          <w:color w:val="000000"/>
          <w:sz w:val="20"/>
          <w:szCs w:val="20"/>
        </w:rPr>
        <w:t>0-K.</w:t>
      </w:r>
    </w:p>
    <w:p w14:paraId="40CB28A7" w14:textId="77777777" w:rsidR="00584FB3" w:rsidRDefault="00786180">
      <w:pPr>
        <w:spacing w:before="180"/>
      </w:pPr>
      <w:r>
        <w:rPr>
          <w:rFonts w:ascii="Times New Roman" w:eastAsia="宋体" w:hAnsi="Times New Roman"/>
          <w:b/>
          <w:bCs/>
          <w:color w:val="000000"/>
          <w:sz w:val="20"/>
          <w:szCs w:val="20"/>
        </w:rPr>
        <w:t>Seasonality and Quarterly Results</w:t>
      </w:r>
    </w:p>
    <w:p w14:paraId="40CB28A8" w14:textId="77777777" w:rsidR="00584FB3" w:rsidRDefault="00786180">
      <w:pPr>
        <w:spacing w:before="120"/>
      </w:pPr>
      <w:r>
        <w:rPr>
          <w:rFonts w:ascii="Times New Roman" w:eastAsia="宋体" w:hAnsi="Times New Roman"/>
          <w:color w:val="000000"/>
          <w:sz w:val="20"/>
          <w:szCs w:val="20"/>
        </w:rPr>
        <w:t>Our business is subject to moderate seasonal fluctuations, of which our fiscal second quarter typically experiences lower revenues and operating income. However, the COVID-19 outbreak may have an impact on consumer be</w:t>
      </w:r>
      <w:r>
        <w:rPr>
          <w:rFonts w:ascii="Times New Roman" w:eastAsia="宋体" w:hAnsi="Times New Roman"/>
          <w:color w:val="000000"/>
          <w:sz w:val="20"/>
          <w:szCs w:val="20"/>
        </w:rPr>
        <w:t>haviors and customer traffic that result in changes in the seasonal fluctuations of our business. Additionally, as our stored value cards are issued to and loaded by customers during the holiday season, we tend to have higher cash flows from operations dur</w:t>
      </w:r>
      <w:r>
        <w:rPr>
          <w:rFonts w:ascii="Times New Roman" w:eastAsia="宋体" w:hAnsi="Times New Roman"/>
          <w:color w:val="000000"/>
          <w:sz w:val="20"/>
          <w:szCs w:val="20"/>
        </w:rPr>
        <w:t>ing the first quarter of the fiscal year. However, since revenues from our stored value cards are recognized upon redemption and not when cash is loaded, the impact of seasonal fluctuations on the consolidated statements of earnings is much less pronounced</w:t>
      </w:r>
      <w:r>
        <w:rPr>
          <w:rFonts w:ascii="Times New Roman" w:eastAsia="宋体" w:hAnsi="Times New Roman"/>
          <w:color w:val="000000"/>
          <w:sz w:val="20"/>
          <w:szCs w:val="20"/>
        </w:rPr>
        <w:t>. As a result of moderate seasonal fluctuations, results for any quarter are not necessarily indicative of the results that may be achieved for the full fiscal year.</w:t>
      </w:r>
    </w:p>
    <w:p w14:paraId="40CB28A9" w14:textId="77777777" w:rsidR="00584FB3" w:rsidRDefault="00786180">
      <w:pPr>
        <w:jc w:val="center"/>
      </w:pPr>
      <w:r>
        <w:rPr>
          <w:rFonts w:ascii="Times New Roman" w:eastAsia="宋体" w:hAnsi="Times New Roman"/>
          <w:color w:val="000000"/>
          <w:sz w:val="20"/>
          <w:szCs w:val="20"/>
        </w:rPr>
        <w:t>35</w:t>
      </w:r>
    </w:p>
    <w:p w14:paraId="40CB28AA" w14:textId="77777777" w:rsidR="00584FB3" w:rsidRDefault="00786180">
      <w:r>
        <w:pict w14:anchorId="40CB2A58">
          <v:rect id="_x0000_i1059" style="width:415.3pt;height:1.5pt" o:hralign="center" o:hrstd="t" o:hr="t" fillcolor="#a0a0a0" stroked="f"/>
        </w:pict>
      </w:r>
    </w:p>
    <w:p w14:paraId="40CB28AB" w14:textId="77777777" w:rsidR="00584FB3" w:rsidRDefault="00786180">
      <w:hyperlink r:id="rId113" w:anchor="i11706e4b673c41db9f2dcbdb897203bb_7" w:history="1">
        <w:r>
          <w:rPr>
            <w:rStyle w:val="a5"/>
            <w:rFonts w:ascii="Times New Roman" w:eastAsia="宋体" w:hAnsi="Times New Roman"/>
            <w:sz w:val="20"/>
            <w:szCs w:val="20"/>
          </w:rPr>
          <w:t>Table of Contents</w:t>
        </w:r>
      </w:hyperlink>
    </w:p>
    <w:p w14:paraId="40CB28AC" w14:textId="77777777" w:rsidR="00584FB3" w:rsidRDefault="00786180">
      <w:pPr>
        <w:spacing w:before="180"/>
      </w:pPr>
      <w:r>
        <w:rPr>
          <w:rFonts w:ascii="Times New Roman" w:eastAsia="宋体" w:hAnsi="Times New Roman"/>
          <w:b/>
          <w:bCs/>
          <w:color w:val="000000"/>
          <w:sz w:val="20"/>
          <w:szCs w:val="20"/>
        </w:rPr>
        <w:t>RECENT ACCOUNTING PRONOUNCEMENTS</w:t>
      </w:r>
    </w:p>
    <w:p w14:paraId="40CB28AD" w14:textId="77777777" w:rsidR="00584FB3" w:rsidRDefault="00786180">
      <w:pPr>
        <w:spacing w:before="120"/>
      </w:pPr>
      <w:r>
        <w:rPr>
          <w:rFonts w:ascii="Times New Roman" w:eastAsia="宋体" w:hAnsi="Times New Roman"/>
          <w:color w:val="000000"/>
          <w:sz w:val="20"/>
          <w:szCs w:val="20"/>
        </w:rPr>
        <w:t xml:space="preserve">See </w:t>
      </w:r>
      <w:hyperlink r:id="rId114" w:anchor="i11706e4b673c41db9f2dcbdb897203bb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to the consolidated financial statements included in Item 1 of Part I of this 10-Q, for a detailed description of recent accounting pronouncements.</w:t>
      </w:r>
    </w:p>
    <w:p w14:paraId="40CB28AE" w14:textId="77777777" w:rsidR="00584FB3" w:rsidRDefault="00786180">
      <w:pP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 xml:space="preserve">Quantitative and </w:t>
      </w:r>
      <w:r>
        <w:rPr>
          <w:rFonts w:ascii="Times New Roman" w:eastAsia="宋体" w:hAnsi="Times New Roman"/>
          <w:b/>
          <w:bCs/>
          <w:i/>
          <w:iCs/>
          <w:color w:val="00704A"/>
          <w:sz w:val="20"/>
          <w:szCs w:val="20"/>
        </w:rPr>
        <w:t>Qualitative Disclosures About Market Risk</w:t>
      </w:r>
    </w:p>
    <w:p w14:paraId="40CB28AF" w14:textId="77777777" w:rsidR="00584FB3" w:rsidRDefault="00786180">
      <w:pPr>
        <w:spacing w:before="120"/>
      </w:pPr>
      <w:r>
        <w:rPr>
          <w:rFonts w:ascii="Times New Roman" w:eastAsia="宋体" w:hAnsi="Times New Roman"/>
          <w:color w:val="000000"/>
          <w:sz w:val="20"/>
          <w:szCs w:val="20"/>
        </w:rPr>
        <w:t>There has been no material change in the commodity price risk, foreign currency exchange risk, equity security price risk or interest rate risk discussed in Item 7A of the 10-K.</w:t>
      </w:r>
    </w:p>
    <w:p w14:paraId="40CB28B0" w14:textId="77777777" w:rsidR="00584FB3" w:rsidRDefault="00786180">
      <w:pP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and Procedures</w:t>
      </w:r>
    </w:p>
    <w:p w14:paraId="40CB28B1" w14:textId="77777777" w:rsidR="00584FB3" w:rsidRDefault="00786180">
      <w:pPr>
        <w:spacing w:before="120"/>
      </w:pPr>
      <w:r>
        <w:rPr>
          <w:rFonts w:ascii="Times New Roman" w:eastAsia="宋体" w:hAnsi="Times New Roman"/>
          <w:color w:val="000000"/>
          <w:sz w:val="20"/>
          <w:szCs w:val="20"/>
        </w:rPr>
        <w:t>We maintain disclosure controls and procedures that are designed to ensure that material information required to be disclosed in our periodic reports filed or submitted under the Securities Exchange Act of 1934, as amended (the “Ex</w:t>
      </w:r>
      <w:r>
        <w:rPr>
          <w:rFonts w:ascii="Times New Roman" w:eastAsia="宋体" w:hAnsi="Times New Roman"/>
          <w:color w:val="000000"/>
          <w:sz w:val="20"/>
          <w:szCs w:val="20"/>
        </w:rPr>
        <w:t>change Act”), is recorded, processed, summarized and reported within the time periods specified in the SEC’s rules and forms. Our disclosure controls and procedures are also designed to ensure that information required to be disclosed in the reports we fil</w:t>
      </w:r>
      <w:r>
        <w:rPr>
          <w:rFonts w:ascii="Times New Roman" w:eastAsia="宋体" w:hAnsi="Times New Roman"/>
          <w:color w:val="000000"/>
          <w:sz w:val="20"/>
          <w:szCs w:val="20"/>
        </w:rPr>
        <w:t>e or submit under the Exchange Act is accumulated and communicated to our management, including our principal executive officer and principal financial officer as appropriate, to allow timely decisions regarding required disclosure.</w:t>
      </w:r>
    </w:p>
    <w:p w14:paraId="40CB28B2" w14:textId="77777777" w:rsidR="00584FB3" w:rsidRDefault="00786180">
      <w:pPr>
        <w:spacing w:before="120"/>
      </w:pPr>
      <w:r>
        <w:rPr>
          <w:rFonts w:ascii="Times New Roman" w:eastAsia="宋体" w:hAnsi="Times New Roman"/>
          <w:color w:val="000000"/>
          <w:sz w:val="20"/>
          <w:szCs w:val="20"/>
        </w:rPr>
        <w:t>During the first quarte</w:t>
      </w:r>
      <w:r>
        <w:rPr>
          <w:rFonts w:ascii="Times New Roman" w:eastAsia="宋体" w:hAnsi="Times New Roman"/>
          <w:color w:val="000000"/>
          <w:sz w:val="20"/>
          <w:szCs w:val="20"/>
        </w:rPr>
        <w:t>r of fiscal 2021, we carried out an evaluation, under the supervision and with the participation of our management, including our chief executive officer and our chief financial officer, of the effectiveness of the design and operation of the disclosure co</w:t>
      </w:r>
      <w:r>
        <w:rPr>
          <w:rFonts w:ascii="Times New Roman" w:eastAsia="宋体" w:hAnsi="Times New Roman"/>
          <w:color w:val="000000"/>
          <w:sz w:val="20"/>
          <w:szCs w:val="20"/>
        </w:rPr>
        <w:t>ntrols and procedures, as defined in Rules 13a-15(e) and 15d-15(e) under the Exchange Act. Based upon that evaluation, our chief executive officer and chief financial officer concluded that our disclosure controls and procedures were effective, as of the e</w:t>
      </w:r>
      <w:r>
        <w:rPr>
          <w:rFonts w:ascii="Times New Roman" w:eastAsia="宋体" w:hAnsi="Times New Roman"/>
          <w:color w:val="000000"/>
          <w:sz w:val="20"/>
          <w:szCs w:val="20"/>
        </w:rPr>
        <w:t>nd of the period covered by this report (December 27, 2020).</w:t>
      </w:r>
    </w:p>
    <w:p w14:paraId="40CB28B3" w14:textId="77777777" w:rsidR="00584FB3" w:rsidRDefault="00786180">
      <w:pPr>
        <w:spacing w:before="120"/>
      </w:pPr>
      <w:r>
        <w:rPr>
          <w:rFonts w:ascii="Times New Roman" w:eastAsia="宋体" w:hAnsi="Times New Roman"/>
          <w:color w:val="000000"/>
          <w:sz w:val="20"/>
          <w:szCs w:val="20"/>
        </w:rPr>
        <w:t>There were no changes in our internal control over financial reporting (as defined in Rules 13a-15(f) and 15d-15(f) of the Exchange Act) during our most recently completed fiscal quarter that mat</w:t>
      </w:r>
      <w:r>
        <w:rPr>
          <w:rFonts w:ascii="Times New Roman" w:eastAsia="宋体" w:hAnsi="Times New Roman"/>
          <w:color w:val="000000"/>
          <w:sz w:val="20"/>
          <w:szCs w:val="20"/>
        </w:rPr>
        <w:t>erially affected or are reasonably likely to materially affect internal control over financial reporting.</w:t>
      </w:r>
    </w:p>
    <w:p w14:paraId="40CB28B4" w14:textId="77777777" w:rsidR="00584FB3" w:rsidRDefault="00786180">
      <w:pPr>
        <w:spacing w:before="120"/>
      </w:pPr>
      <w:r>
        <w:rPr>
          <w:rFonts w:ascii="Times New Roman" w:eastAsia="宋体" w:hAnsi="Times New Roman"/>
          <w:color w:val="000000"/>
          <w:sz w:val="20"/>
          <w:szCs w:val="20"/>
        </w:rPr>
        <w:t xml:space="preserve">The certifications required by Section 302 of the Sarbanes-Oxley Act of 2002 are filed as exhibits </w:t>
      </w:r>
      <w:hyperlink r:id="rId115"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116" w:history="1">
        <w:r>
          <w:rPr>
            <w:rStyle w:val="a5"/>
            <w:rFonts w:ascii="Times New Roman" w:eastAsia="宋体" w:hAnsi="Times New Roman"/>
            <w:sz w:val="20"/>
            <w:szCs w:val="20"/>
          </w:rPr>
          <w:t>31.2</w:t>
        </w:r>
      </w:hyperlink>
      <w:r>
        <w:rPr>
          <w:rFonts w:ascii="Times New Roman" w:eastAsia="宋体" w:hAnsi="Times New Roman"/>
          <w:color w:val="000000"/>
          <w:sz w:val="20"/>
          <w:szCs w:val="20"/>
        </w:rPr>
        <w:t xml:space="preserve"> to this 10-Q.</w:t>
      </w:r>
    </w:p>
    <w:p w14:paraId="40CB28B5" w14:textId="77777777" w:rsidR="00584FB3" w:rsidRDefault="00786180">
      <w:pPr>
        <w:jc w:val="center"/>
      </w:pPr>
      <w:r>
        <w:rPr>
          <w:rFonts w:ascii="Times New Roman" w:eastAsia="宋体" w:hAnsi="Times New Roman"/>
          <w:color w:val="000000"/>
          <w:sz w:val="20"/>
          <w:szCs w:val="20"/>
        </w:rPr>
        <w:t>36</w:t>
      </w:r>
    </w:p>
    <w:p w14:paraId="40CB28B6" w14:textId="77777777" w:rsidR="00584FB3" w:rsidRDefault="00786180">
      <w:r>
        <w:pict w14:anchorId="40CB2A59">
          <v:rect id="_x0000_i1060" style="width:415.3pt;height:1.5pt" o:hralign="center" o:hrstd="t" o:hr="t" fillcolor="#a0a0a0" stroked="f"/>
        </w:pict>
      </w:r>
    </w:p>
    <w:p w14:paraId="40CB28B7" w14:textId="77777777" w:rsidR="00584FB3" w:rsidRDefault="00786180">
      <w:hyperlink r:id="rId117" w:anchor="i11706e4b673c41db9f2dcbdb897203bb_7" w:history="1">
        <w:r>
          <w:rPr>
            <w:rStyle w:val="a5"/>
            <w:rFonts w:ascii="Times New Roman" w:eastAsia="宋体" w:hAnsi="Times New Roman"/>
            <w:sz w:val="20"/>
            <w:szCs w:val="20"/>
          </w:rPr>
          <w:t>Table of Contents</w:t>
        </w:r>
      </w:hyperlink>
    </w:p>
    <w:p w14:paraId="40CB28B8" w14:textId="77777777" w:rsidR="00584FB3" w:rsidRDefault="00786180">
      <w:pPr>
        <w:spacing w:before="180" w:after="100"/>
        <w:jc w:val="center"/>
      </w:pPr>
      <w:r>
        <w:rPr>
          <w:rFonts w:ascii="Times New Roman" w:eastAsia="宋体" w:hAnsi="Times New Roman"/>
          <w:b/>
          <w:bCs/>
          <w:color w:val="00704A"/>
          <w:sz w:val="20"/>
          <w:szCs w:val="20"/>
        </w:rPr>
        <w:t>PART II — OTHER INFORMATION</w:t>
      </w:r>
    </w:p>
    <w:p w14:paraId="40CB28B9" w14:textId="77777777" w:rsidR="00584FB3" w:rsidRDefault="00786180">
      <w:pP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40CB28BA" w14:textId="77777777" w:rsidR="00584FB3" w:rsidRDefault="00786180">
      <w:pPr>
        <w:spacing w:before="120"/>
      </w:pPr>
      <w:r>
        <w:rPr>
          <w:rFonts w:ascii="Times New Roman" w:eastAsia="宋体" w:hAnsi="Times New Roman"/>
          <w:color w:val="000000"/>
          <w:sz w:val="20"/>
          <w:szCs w:val="20"/>
        </w:rPr>
        <w:t xml:space="preserve">See </w:t>
      </w:r>
      <w:hyperlink r:id="rId118" w:anchor="i11706e4b673c41db9f2dcbdb897203bb_79" w:history="1">
        <w:r>
          <w:rPr>
            <w:rStyle w:val="a5"/>
            <w:rFonts w:ascii="Times New Roman" w:eastAsia="宋体" w:hAnsi="Times New Roman"/>
            <w:sz w:val="20"/>
            <w:szCs w:val="20"/>
          </w:rPr>
          <w:t>Note 13</w:t>
        </w:r>
      </w:hyperlink>
      <w:r>
        <w:rPr>
          <w:rFonts w:ascii="Times New Roman" w:eastAsia="宋体" w:hAnsi="Times New Roman"/>
          <w:color w:val="000000"/>
          <w:sz w:val="20"/>
          <w:szCs w:val="20"/>
        </w:rPr>
        <w:t>, Commitments and Contingencies, to the consolidated financial statements included in Item 1 of Part I of this 10-Q for information regarding certain legal proceedings</w:t>
      </w:r>
      <w:r>
        <w:rPr>
          <w:rFonts w:ascii="Times New Roman" w:eastAsia="宋体" w:hAnsi="Times New Roman"/>
          <w:color w:val="000000"/>
          <w:sz w:val="20"/>
          <w:szCs w:val="20"/>
        </w:rPr>
        <w:t xml:space="preserve"> in which we are involved.</w:t>
      </w:r>
    </w:p>
    <w:p w14:paraId="40CB28BB" w14:textId="77777777" w:rsidR="00584FB3" w:rsidRDefault="00786180">
      <w:pP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Factors</w:t>
      </w:r>
    </w:p>
    <w:p w14:paraId="40CB28BC" w14:textId="77777777" w:rsidR="00584FB3" w:rsidRDefault="00786180">
      <w:pPr>
        <w:spacing w:before="120"/>
      </w:pPr>
      <w:r>
        <w:rPr>
          <w:rFonts w:ascii="Times New Roman" w:eastAsia="宋体" w:hAnsi="Times New Roman"/>
          <w:color w:val="000000"/>
          <w:sz w:val="20"/>
          <w:szCs w:val="20"/>
        </w:rPr>
        <w:t>There have been no material changes to the risk factors previously disclosed in the 10-K.</w:t>
      </w:r>
    </w:p>
    <w:p w14:paraId="40CB28BD" w14:textId="77777777" w:rsidR="00584FB3" w:rsidRDefault="00786180">
      <w:pPr>
        <w:spacing w:before="180"/>
        <w:ind w:hanging="360"/>
      </w:pPr>
      <w:r>
        <w:rPr>
          <w:rFonts w:ascii="Times New Roman" w:eastAsia="宋体" w:hAnsi="Times New Roman"/>
          <w:b/>
          <w:bCs/>
          <w:i/>
          <w:iCs/>
          <w:color w:val="00704A"/>
          <w:sz w:val="20"/>
          <w:szCs w:val="20"/>
        </w:rPr>
        <w:t>Item 2.</w:t>
      </w:r>
      <w:hyperlink r:id="rId119" w:anchor="i11706e4b673c41db9f2dcbdb897203bb_148" w:history="1">
        <w:r>
          <w:rPr>
            <w:rStyle w:val="a5"/>
            <w:rFonts w:ascii="Times New Roman" w:eastAsia="宋体" w:hAnsi="Times New Roman"/>
            <w:b/>
            <w:bCs/>
            <w:i/>
            <w:iCs/>
            <w:color w:val="00704A"/>
            <w:sz w:val="20"/>
            <w:szCs w:val="20"/>
            <w:u w:val="none"/>
          </w:rPr>
          <w:t>Unregistered Sales of Equity Securities and Use of Proceeds</w:t>
        </w:r>
      </w:hyperlink>
    </w:p>
    <w:p w14:paraId="40CB28BE" w14:textId="77777777" w:rsidR="00584FB3" w:rsidRDefault="00786180">
      <w:pPr>
        <w:spacing w:before="120"/>
      </w:pPr>
      <w:r>
        <w:rPr>
          <w:rFonts w:ascii="Times New Roman" w:eastAsia="宋体" w:hAnsi="Times New Roman"/>
          <w:color w:val="000000"/>
          <w:sz w:val="20"/>
          <w:szCs w:val="20"/>
        </w:rPr>
        <w:t>Shares under our ongoing share repurchase</w:t>
      </w:r>
      <w:r>
        <w:rPr>
          <w:rFonts w:ascii="Times New Roman" w:eastAsia="宋体" w:hAnsi="Times New Roman"/>
          <w:color w:val="000000"/>
          <w:sz w:val="20"/>
          <w:szCs w:val="20"/>
        </w:rPr>
        <w:t xml:space="preserve"> program may be repurchased in open market transactions, including pursuant to a trading plan adopted in accordance with Rule 10b5-1 of the Exchange Act, or through privately negotiated transactions. The timing, manner, price and amount of repurchases will</w:t>
      </w:r>
      <w:r>
        <w:rPr>
          <w:rFonts w:ascii="Times New Roman" w:eastAsia="宋体" w:hAnsi="Times New Roman"/>
          <w:color w:val="000000"/>
          <w:sz w:val="20"/>
          <w:szCs w:val="20"/>
        </w:rPr>
        <w:t xml:space="preserve"> be determined at our discretion and the share repurchase program may be suspended, terminated or modified at any time for any reason. On April 8, 2020, we announced a temporary suspension of our share repurchase program. During the first fiscal quarter en</w:t>
      </w:r>
      <w:r>
        <w:rPr>
          <w:rFonts w:ascii="Times New Roman" w:eastAsia="宋体" w:hAnsi="Times New Roman"/>
          <w:color w:val="000000"/>
          <w:sz w:val="20"/>
          <w:szCs w:val="20"/>
        </w:rPr>
        <w:t>ded December 27, 2020, there was no share repurchase activity.</w:t>
      </w:r>
    </w:p>
    <w:p w14:paraId="40CB28BF" w14:textId="77777777" w:rsidR="00584FB3" w:rsidRDefault="00786180">
      <w:pPr>
        <w:jc w:val="center"/>
      </w:pPr>
      <w:r>
        <w:rPr>
          <w:rFonts w:ascii="Times New Roman" w:eastAsia="宋体" w:hAnsi="Times New Roman"/>
          <w:color w:val="000000"/>
          <w:sz w:val="20"/>
          <w:szCs w:val="20"/>
        </w:rPr>
        <w:t>37</w:t>
      </w:r>
    </w:p>
    <w:p w14:paraId="40CB28C0" w14:textId="77777777" w:rsidR="00584FB3" w:rsidRDefault="00786180">
      <w:r>
        <w:pict w14:anchorId="40CB2A5A">
          <v:rect id="_x0000_i1061" style="width:415.3pt;height:1.5pt" o:hralign="center" o:hrstd="t" o:hr="t" fillcolor="#a0a0a0" stroked="f"/>
        </w:pict>
      </w:r>
    </w:p>
    <w:p w14:paraId="40CB28C1" w14:textId="77777777" w:rsidR="00584FB3" w:rsidRDefault="00786180">
      <w:hyperlink r:id="rId120" w:anchor="i11706e4b673c41db9f2dcbdb897203bb_7" w:history="1">
        <w:r>
          <w:rPr>
            <w:rStyle w:val="a5"/>
            <w:rFonts w:ascii="Times New Roman" w:eastAsia="宋体" w:hAnsi="Times New Roman"/>
            <w:sz w:val="20"/>
            <w:szCs w:val="20"/>
          </w:rPr>
          <w:t>Table of Contents</w:t>
        </w:r>
      </w:hyperlink>
    </w:p>
    <w:p w14:paraId="40CB28C2" w14:textId="77777777" w:rsidR="00584FB3" w:rsidRDefault="00786180">
      <w:pP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4949" w:type="pct"/>
        <w:jc w:val="center"/>
        <w:tblCellMar>
          <w:top w:w="15" w:type="dxa"/>
          <w:left w:w="15" w:type="dxa"/>
          <w:bottom w:w="15" w:type="dxa"/>
          <w:right w:w="15" w:type="dxa"/>
        </w:tblCellMar>
        <w:tblLook w:val="04A0" w:firstRow="1" w:lastRow="0" w:firstColumn="1" w:lastColumn="0" w:noHBand="0" w:noVBand="1"/>
      </w:tblPr>
      <w:tblGrid>
        <w:gridCol w:w="73"/>
        <w:gridCol w:w="467"/>
        <w:gridCol w:w="36"/>
        <w:gridCol w:w="36"/>
        <w:gridCol w:w="36"/>
        <w:gridCol w:w="36"/>
        <w:gridCol w:w="39"/>
        <w:gridCol w:w="3293"/>
        <w:gridCol w:w="38"/>
        <w:gridCol w:w="36"/>
        <w:gridCol w:w="36"/>
        <w:gridCol w:w="36"/>
        <w:gridCol w:w="60"/>
        <w:gridCol w:w="146"/>
        <w:gridCol w:w="37"/>
        <w:gridCol w:w="60"/>
        <w:gridCol w:w="146"/>
        <w:gridCol w:w="36"/>
        <w:gridCol w:w="36"/>
        <w:gridCol w:w="36"/>
        <w:gridCol w:w="36"/>
        <w:gridCol w:w="89"/>
        <w:gridCol w:w="256"/>
        <w:gridCol w:w="37"/>
        <w:gridCol w:w="89"/>
        <w:gridCol w:w="256"/>
        <w:gridCol w:w="36"/>
        <w:gridCol w:w="36"/>
        <w:gridCol w:w="36"/>
        <w:gridCol w:w="36"/>
        <w:gridCol w:w="93"/>
        <w:gridCol w:w="375"/>
        <w:gridCol w:w="36"/>
        <w:gridCol w:w="92"/>
        <w:gridCol w:w="374"/>
        <w:gridCol w:w="36"/>
        <w:gridCol w:w="36"/>
        <w:gridCol w:w="36"/>
        <w:gridCol w:w="36"/>
        <w:gridCol w:w="77"/>
        <w:gridCol w:w="221"/>
        <w:gridCol w:w="37"/>
        <w:gridCol w:w="76"/>
        <w:gridCol w:w="220"/>
        <w:gridCol w:w="36"/>
        <w:gridCol w:w="36"/>
        <w:gridCol w:w="36"/>
        <w:gridCol w:w="36"/>
        <w:gridCol w:w="86"/>
        <w:gridCol w:w="247"/>
        <w:gridCol w:w="36"/>
        <w:gridCol w:w="85"/>
        <w:gridCol w:w="246"/>
        <w:gridCol w:w="36"/>
      </w:tblGrid>
      <w:tr w:rsidR="00584FB3" w14:paraId="40CB28F9" w14:textId="77777777">
        <w:trPr>
          <w:jc w:val="center"/>
        </w:trPr>
        <w:tc>
          <w:tcPr>
            <w:tcW w:w="50" w:type="pct"/>
            <w:shd w:val="clear" w:color="auto" w:fill="auto"/>
          </w:tcPr>
          <w:p w14:paraId="40CB28C3" w14:textId="77777777" w:rsidR="00584FB3" w:rsidRDefault="00584FB3">
            <w:pPr>
              <w:rPr>
                <w:rFonts w:ascii="宋体"/>
              </w:rPr>
            </w:pPr>
          </w:p>
        </w:tc>
        <w:tc>
          <w:tcPr>
            <w:tcW w:w="321" w:type="pct"/>
            <w:shd w:val="clear" w:color="auto" w:fill="auto"/>
          </w:tcPr>
          <w:p w14:paraId="40CB28C4" w14:textId="77777777" w:rsidR="00584FB3" w:rsidRDefault="00584FB3">
            <w:pPr>
              <w:rPr>
                <w:rFonts w:ascii="宋体"/>
              </w:rPr>
            </w:pPr>
          </w:p>
        </w:tc>
        <w:tc>
          <w:tcPr>
            <w:tcW w:w="5" w:type="pct"/>
            <w:shd w:val="clear" w:color="auto" w:fill="auto"/>
          </w:tcPr>
          <w:p w14:paraId="40CB28C5" w14:textId="77777777" w:rsidR="00584FB3" w:rsidRDefault="00584FB3">
            <w:pPr>
              <w:rPr>
                <w:rFonts w:ascii="宋体"/>
              </w:rPr>
            </w:pPr>
          </w:p>
        </w:tc>
        <w:tc>
          <w:tcPr>
            <w:tcW w:w="5" w:type="pct"/>
            <w:shd w:val="clear" w:color="auto" w:fill="auto"/>
          </w:tcPr>
          <w:p w14:paraId="40CB28C6" w14:textId="77777777" w:rsidR="00584FB3" w:rsidRDefault="00584FB3">
            <w:pPr>
              <w:rPr>
                <w:rFonts w:ascii="宋体"/>
              </w:rPr>
            </w:pPr>
          </w:p>
        </w:tc>
        <w:tc>
          <w:tcPr>
            <w:tcW w:w="26" w:type="pct"/>
            <w:shd w:val="clear" w:color="auto" w:fill="auto"/>
          </w:tcPr>
          <w:p w14:paraId="40CB28C7" w14:textId="77777777" w:rsidR="00584FB3" w:rsidRDefault="00584FB3">
            <w:pPr>
              <w:rPr>
                <w:rFonts w:ascii="宋体"/>
              </w:rPr>
            </w:pPr>
          </w:p>
        </w:tc>
        <w:tc>
          <w:tcPr>
            <w:tcW w:w="5" w:type="pct"/>
            <w:shd w:val="clear" w:color="auto" w:fill="auto"/>
          </w:tcPr>
          <w:p w14:paraId="40CB28C8" w14:textId="77777777" w:rsidR="00584FB3" w:rsidRDefault="00584FB3">
            <w:pPr>
              <w:rPr>
                <w:rFonts w:ascii="宋体"/>
              </w:rPr>
            </w:pPr>
          </w:p>
        </w:tc>
        <w:tc>
          <w:tcPr>
            <w:tcW w:w="50" w:type="pct"/>
            <w:shd w:val="clear" w:color="auto" w:fill="auto"/>
          </w:tcPr>
          <w:p w14:paraId="40CB28C9" w14:textId="77777777" w:rsidR="00584FB3" w:rsidRDefault="00584FB3">
            <w:pPr>
              <w:rPr>
                <w:rFonts w:ascii="宋体"/>
              </w:rPr>
            </w:pPr>
          </w:p>
        </w:tc>
        <w:tc>
          <w:tcPr>
            <w:tcW w:w="2278" w:type="pct"/>
            <w:shd w:val="clear" w:color="auto" w:fill="auto"/>
          </w:tcPr>
          <w:p w14:paraId="40CB28CA" w14:textId="77777777" w:rsidR="00584FB3" w:rsidRDefault="00584FB3">
            <w:pPr>
              <w:rPr>
                <w:rFonts w:ascii="宋体"/>
              </w:rPr>
            </w:pPr>
          </w:p>
        </w:tc>
        <w:tc>
          <w:tcPr>
            <w:tcW w:w="5" w:type="pct"/>
            <w:shd w:val="clear" w:color="auto" w:fill="auto"/>
          </w:tcPr>
          <w:p w14:paraId="40CB28CB" w14:textId="77777777" w:rsidR="00584FB3" w:rsidRDefault="00584FB3">
            <w:pPr>
              <w:rPr>
                <w:rFonts w:ascii="宋体"/>
              </w:rPr>
            </w:pPr>
          </w:p>
        </w:tc>
        <w:tc>
          <w:tcPr>
            <w:tcW w:w="5" w:type="pct"/>
            <w:shd w:val="clear" w:color="auto" w:fill="auto"/>
          </w:tcPr>
          <w:p w14:paraId="40CB28CC" w14:textId="77777777" w:rsidR="00584FB3" w:rsidRDefault="00584FB3">
            <w:pPr>
              <w:rPr>
                <w:rFonts w:ascii="宋体"/>
              </w:rPr>
            </w:pPr>
          </w:p>
        </w:tc>
        <w:tc>
          <w:tcPr>
            <w:tcW w:w="26" w:type="pct"/>
            <w:shd w:val="clear" w:color="auto" w:fill="auto"/>
          </w:tcPr>
          <w:p w14:paraId="40CB28CD" w14:textId="77777777" w:rsidR="00584FB3" w:rsidRDefault="00584FB3">
            <w:pPr>
              <w:rPr>
                <w:rFonts w:ascii="宋体"/>
              </w:rPr>
            </w:pPr>
          </w:p>
        </w:tc>
        <w:tc>
          <w:tcPr>
            <w:tcW w:w="5" w:type="pct"/>
            <w:shd w:val="clear" w:color="auto" w:fill="auto"/>
          </w:tcPr>
          <w:p w14:paraId="40CB28CE" w14:textId="77777777" w:rsidR="00584FB3" w:rsidRDefault="00584FB3">
            <w:pPr>
              <w:rPr>
                <w:rFonts w:ascii="宋体"/>
              </w:rPr>
            </w:pPr>
          </w:p>
        </w:tc>
        <w:tc>
          <w:tcPr>
            <w:tcW w:w="50" w:type="pct"/>
            <w:shd w:val="clear" w:color="auto" w:fill="auto"/>
          </w:tcPr>
          <w:p w14:paraId="40CB28CF" w14:textId="77777777" w:rsidR="00584FB3" w:rsidRDefault="00584FB3">
            <w:pPr>
              <w:rPr>
                <w:rFonts w:ascii="宋体"/>
              </w:rPr>
            </w:pPr>
          </w:p>
        </w:tc>
        <w:tc>
          <w:tcPr>
            <w:tcW w:w="122" w:type="pct"/>
            <w:shd w:val="clear" w:color="auto" w:fill="auto"/>
          </w:tcPr>
          <w:p w14:paraId="40CB28D0" w14:textId="77777777" w:rsidR="00584FB3" w:rsidRDefault="00584FB3">
            <w:pPr>
              <w:rPr>
                <w:rFonts w:ascii="宋体"/>
              </w:rPr>
            </w:pPr>
          </w:p>
        </w:tc>
        <w:tc>
          <w:tcPr>
            <w:tcW w:w="5" w:type="pct"/>
            <w:shd w:val="clear" w:color="auto" w:fill="auto"/>
          </w:tcPr>
          <w:p w14:paraId="40CB28D1" w14:textId="77777777" w:rsidR="00584FB3" w:rsidRDefault="00584FB3">
            <w:pPr>
              <w:rPr>
                <w:rFonts w:ascii="宋体"/>
              </w:rPr>
            </w:pPr>
          </w:p>
        </w:tc>
        <w:tc>
          <w:tcPr>
            <w:tcW w:w="50" w:type="pct"/>
            <w:shd w:val="clear" w:color="auto" w:fill="auto"/>
          </w:tcPr>
          <w:p w14:paraId="40CB28D2" w14:textId="77777777" w:rsidR="00584FB3" w:rsidRDefault="00584FB3">
            <w:pPr>
              <w:rPr>
                <w:rFonts w:ascii="宋体"/>
              </w:rPr>
            </w:pPr>
          </w:p>
        </w:tc>
        <w:tc>
          <w:tcPr>
            <w:tcW w:w="122" w:type="pct"/>
            <w:shd w:val="clear" w:color="auto" w:fill="auto"/>
          </w:tcPr>
          <w:p w14:paraId="40CB28D3" w14:textId="77777777" w:rsidR="00584FB3" w:rsidRDefault="00584FB3">
            <w:pPr>
              <w:rPr>
                <w:rFonts w:ascii="宋体"/>
              </w:rPr>
            </w:pPr>
          </w:p>
        </w:tc>
        <w:tc>
          <w:tcPr>
            <w:tcW w:w="5" w:type="pct"/>
            <w:shd w:val="clear" w:color="auto" w:fill="auto"/>
          </w:tcPr>
          <w:p w14:paraId="40CB28D4" w14:textId="77777777" w:rsidR="00584FB3" w:rsidRDefault="00584FB3">
            <w:pPr>
              <w:rPr>
                <w:rFonts w:ascii="宋体"/>
              </w:rPr>
            </w:pPr>
          </w:p>
        </w:tc>
        <w:tc>
          <w:tcPr>
            <w:tcW w:w="5" w:type="pct"/>
            <w:shd w:val="clear" w:color="auto" w:fill="auto"/>
          </w:tcPr>
          <w:p w14:paraId="40CB28D5" w14:textId="77777777" w:rsidR="00584FB3" w:rsidRDefault="00584FB3">
            <w:pPr>
              <w:rPr>
                <w:rFonts w:ascii="宋体"/>
              </w:rPr>
            </w:pPr>
          </w:p>
        </w:tc>
        <w:tc>
          <w:tcPr>
            <w:tcW w:w="26" w:type="pct"/>
            <w:shd w:val="clear" w:color="auto" w:fill="auto"/>
          </w:tcPr>
          <w:p w14:paraId="40CB28D6" w14:textId="77777777" w:rsidR="00584FB3" w:rsidRDefault="00584FB3">
            <w:pPr>
              <w:rPr>
                <w:rFonts w:ascii="宋体"/>
              </w:rPr>
            </w:pPr>
          </w:p>
        </w:tc>
        <w:tc>
          <w:tcPr>
            <w:tcW w:w="5" w:type="pct"/>
            <w:shd w:val="clear" w:color="auto" w:fill="auto"/>
          </w:tcPr>
          <w:p w14:paraId="40CB28D7" w14:textId="77777777" w:rsidR="00584FB3" w:rsidRDefault="00584FB3">
            <w:pPr>
              <w:rPr>
                <w:rFonts w:ascii="宋体"/>
              </w:rPr>
            </w:pPr>
          </w:p>
        </w:tc>
        <w:tc>
          <w:tcPr>
            <w:tcW w:w="50" w:type="pct"/>
            <w:shd w:val="clear" w:color="auto" w:fill="auto"/>
          </w:tcPr>
          <w:p w14:paraId="40CB28D8" w14:textId="77777777" w:rsidR="00584FB3" w:rsidRDefault="00584FB3">
            <w:pPr>
              <w:rPr>
                <w:rFonts w:ascii="宋体"/>
              </w:rPr>
            </w:pPr>
          </w:p>
        </w:tc>
        <w:tc>
          <w:tcPr>
            <w:tcW w:w="144" w:type="pct"/>
            <w:shd w:val="clear" w:color="auto" w:fill="auto"/>
          </w:tcPr>
          <w:p w14:paraId="40CB28D9" w14:textId="77777777" w:rsidR="00584FB3" w:rsidRDefault="00584FB3">
            <w:pPr>
              <w:rPr>
                <w:rFonts w:ascii="宋体"/>
              </w:rPr>
            </w:pPr>
          </w:p>
        </w:tc>
        <w:tc>
          <w:tcPr>
            <w:tcW w:w="5" w:type="pct"/>
            <w:shd w:val="clear" w:color="auto" w:fill="auto"/>
          </w:tcPr>
          <w:p w14:paraId="40CB28DA" w14:textId="77777777" w:rsidR="00584FB3" w:rsidRDefault="00584FB3">
            <w:pPr>
              <w:rPr>
                <w:rFonts w:ascii="宋体"/>
              </w:rPr>
            </w:pPr>
          </w:p>
        </w:tc>
        <w:tc>
          <w:tcPr>
            <w:tcW w:w="50" w:type="pct"/>
            <w:shd w:val="clear" w:color="auto" w:fill="auto"/>
          </w:tcPr>
          <w:p w14:paraId="40CB28DB" w14:textId="77777777" w:rsidR="00584FB3" w:rsidRDefault="00584FB3">
            <w:pPr>
              <w:rPr>
                <w:rFonts w:ascii="宋体"/>
              </w:rPr>
            </w:pPr>
          </w:p>
        </w:tc>
        <w:tc>
          <w:tcPr>
            <w:tcW w:w="144" w:type="pct"/>
            <w:shd w:val="clear" w:color="auto" w:fill="auto"/>
          </w:tcPr>
          <w:p w14:paraId="40CB28DC" w14:textId="77777777" w:rsidR="00584FB3" w:rsidRDefault="00584FB3">
            <w:pPr>
              <w:rPr>
                <w:rFonts w:ascii="宋体"/>
              </w:rPr>
            </w:pPr>
          </w:p>
        </w:tc>
        <w:tc>
          <w:tcPr>
            <w:tcW w:w="5" w:type="pct"/>
            <w:shd w:val="clear" w:color="auto" w:fill="auto"/>
          </w:tcPr>
          <w:p w14:paraId="40CB28DD" w14:textId="77777777" w:rsidR="00584FB3" w:rsidRDefault="00584FB3">
            <w:pPr>
              <w:rPr>
                <w:rFonts w:ascii="宋体"/>
              </w:rPr>
            </w:pPr>
          </w:p>
        </w:tc>
        <w:tc>
          <w:tcPr>
            <w:tcW w:w="5" w:type="pct"/>
            <w:shd w:val="clear" w:color="auto" w:fill="auto"/>
          </w:tcPr>
          <w:p w14:paraId="40CB28DE" w14:textId="77777777" w:rsidR="00584FB3" w:rsidRDefault="00584FB3">
            <w:pPr>
              <w:rPr>
                <w:rFonts w:ascii="宋体"/>
              </w:rPr>
            </w:pPr>
          </w:p>
        </w:tc>
        <w:tc>
          <w:tcPr>
            <w:tcW w:w="26" w:type="pct"/>
            <w:shd w:val="clear" w:color="auto" w:fill="auto"/>
          </w:tcPr>
          <w:p w14:paraId="40CB28DF" w14:textId="77777777" w:rsidR="00584FB3" w:rsidRDefault="00584FB3">
            <w:pPr>
              <w:rPr>
                <w:rFonts w:ascii="宋体"/>
              </w:rPr>
            </w:pPr>
          </w:p>
        </w:tc>
        <w:tc>
          <w:tcPr>
            <w:tcW w:w="5" w:type="pct"/>
            <w:shd w:val="clear" w:color="auto" w:fill="auto"/>
          </w:tcPr>
          <w:p w14:paraId="40CB28E0" w14:textId="77777777" w:rsidR="00584FB3" w:rsidRDefault="00584FB3">
            <w:pPr>
              <w:rPr>
                <w:rFonts w:ascii="宋体"/>
              </w:rPr>
            </w:pPr>
          </w:p>
        </w:tc>
        <w:tc>
          <w:tcPr>
            <w:tcW w:w="50" w:type="pct"/>
            <w:shd w:val="clear" w:color="auto" w:fill="auto"/>
          </w:tcPr>
          <w:p w14:paraId="40CB28E1" w14:textId="77777777" w:rsidR="00584FB3" w:rsidRDefault="00584FB3">
            <w:pPr>
              <w:rPr>
                <w:rFonts w:ascii="宋体"/>
              </w:rPr>
            </w:pPr>
          </w:p>
        </w:tc>
        <w:tc>
          <w:tcPr>
            <w:tcW w:w="203" w:type="pct"/>
            <w:shd w:val="clear" w:color="auto" w:fill="auto"/>
          </w:tcPr>
          <w:p w14:paraId="40CB28E2" w14:textId="77777777" w:rsidR="00584FB3" w:rsidRDefault="00584FB3">
            <w:pPr>
              <w:rPr>
                <w:rFonts w:ascii="宋体"/>
              </w:rPr>
            </w:pPr>
          </w:p>
        </w:tc>
        <w:tc>
          <w:tcPr>
            <w:tcW w:w="5" w:type="pct"/>
            <w:shd w:val="clear" w:color="auto" w:fill="auto"/>
          </w:tcPr>
          <w:p w14:paraId="40CB28E3" w14:textId="77777777" w:rsidR="00584FB3" w:rsidRDefault="00584FB3">
            <w:pPr>
              <w:rPr>
                <w:rFonts w:ascii="宋体"/>
              </w:rPr>
            </w:pPr>
          </w:p>
        </w:tc>
        <w:tc>
          <w:tcPr>
            <w:tcW w:w="50" w:type="pct"/>
            <w:shd w:val="clear" w:color="auto" w:fill="auto"/>
          </w:tcPr>
          <w:p w14:paraId="40CB28E4" w14:textId="77777777" w:rsidR="00584FB3" w:rsidRDefault="00584FB3">
            <w:pPr>
              <w:rPr>
                <w:rFonts w:ascii="宋体"/>
              </w:rPr>
            </w:pPr>
          </w:p>
        </w:tc>
        <w:tc>
          <w:tcPr>
            <w:tcW w:w="203" w:type="pct"/>
            <w:shd w:val="clear" w:color="auto" w:fill="auto"/>
          </w:tcPr>
          <w:p w14:paraId="40CB28E5" w14:textId="77777777" w:rsidR="00584FB3" w:rsidRDefault="00584FB3">
            <w:pPr>
              <w:rPr>
                <w:rFonts w:ascii="宋体"/>
              </w:rPr>
            </w:pPr>
          </w:p>
        </w:tc>
        <w:tc>
          <w:tcPr>
            <w:tcW w:w="5" w:type="pct"/>
            <w:shd w:val="clear" w:color="auto" w:fill="auto"/>
          </w:tcPr>
          <w:p w14:paraId="40CB28E6" w14:textId="77777777" w:rsidR="00584FB3" w:rsidRDefault="00584FB3">
            <w:pPr>
              <w:rPr>
                <w:rFonts w:ascii="宋体"/>
              </w:rPr>
            </w:pPr>
          </w:p>
        </w:tc>
        <w:tc>
          <w:tcPr>
            <w:tcW w:w="5" w:type="pct"/>
            <w:shd w:val="clear" w:color="auto" w:fill="auto"/>
          </w:tcPr>
          <w:p w14:paraId="40CB28E7" w14:textId="77777777" w:rsidR="00584FB3" w:rsidRDefault="00584FB3">
            <w:pPr>
              <w:rPr>
                <w:rFonts w:ascii="宋体"/>
              </w:rPr>
            </w:pPr>
          </w:p>
        </w:tc>
        <w:tc>
          <w:tcPr>
            <w:tcW w:w="26" w:type="pct"/>
            <w:shd w:val="clear" w:color="auto" w:fill="auto"/>
          </w:tcPr>
          <w:p w14:paraId="40CB28E8" w14:textId="77777777" w:rsidR="00584FB3" w:rsidRDefault="00584FB3">
            <w:pPr>
              <w:rPr>
                <w:rFonts w:ascii="宋体"/>
              </w:rPr>
            </w:pPr>
          </w:p>
        </w:tc>
        <w:tc>
          <w:tcPr>
            <w:tcW w:w="5" w:type="pct"/>
            <w:shd w:val="clear" w:color="auto" w:fill="auto"/>
          </w:tcPr>
          <w:p w14:paraId="40CB28E9" w14:textId="77777777" w:rsidR="00584FB3" w:rsidRDefault="00584FB3">
            <w:pPr>
              <w:rPr>
                <w:rFonts w:ascii="宋体"/>
              </w:rPr>
            </w:pPr>
          </w:p>
        </w:tc>
        <w:tc>
          <w:tcPr>
            <w:tcW w:w="50" w:type="pct"/>
            <w:shd w:val="clear" w:color="auto" w:fill="auto"/>
          </w:tcPr>
          <w:p w14:paraId="40CB28EA" w14:textId="77777777" w:rsidR="00584FB3" w:rsidRDefault="00584FB3">
            <w:pPr>
              <w:rPr>
                <w:rFonts w:ascii="宋体"/>
              </w:rPr>
            </w:pPr>
          </w:p>
        </w:tc>
        <w:tc>
          <w:tcPr>
            <w:tcW w:w="144" w:type="pct"/>
            <w:shd w:val="clear" w:color="auto" w:fill="auto"/>
          </w:tcPr>
          <w:p w14:paraId="40CB28EB" w14:textId="77777777" w:rsidR="00584FB3" w:rsidRDefault="00584FB3">
            <w:pPr>
              <w:rPr>
                <w:rFonts w:ascii="宋体"/>
              </w:rPr>
            </w:pPr>
          </w:p>
        </w:tc>
        <w:tc>
          <w:tcPr>
            <w:tcW w:w="5" w:type="pct"/>
            <w:shd w:val="clear" w:color="auto" w:fill="auto"/>
          </w:tcPr>
          <w:p w14:paraId="40CB28EC" w14:textId="77777777" w:rsidR="00584FB3" w:rsidRDefault="00584FB3">
            <w:pPr>
              <w:rPr>
                <w:rFonts w:ascii="宋体"/>
              </w:rPr>
            </w:pPr>
          </w:p>
        </w:tc>
        <w:tc>
          <w:tcPr>
            <w:tcW w:w="50" w:type="pct"/>
            <w:shd w:val="clear" w:color="auto" w:fill="auto"/>
          </w:tcPr>
          <w:p w14:paraId="40CB28ED" w14:textId="77777777" w:rsidR="00584FB3" w:rsidRDefault="00584FB3">
            <w:pPr>
              <w:rPr>
                <w:rFonts w:ascii="宋体"/>
              </w:rPr>
            </w:pPr>
          </w:p>
        </w:tc>
        <w:tc>
          <w:tcPr>
            <w:tcW w:w="144" w:type="pct"/>
            <w:shd w:val="clear" w:color="auto" w:fill="auto"/>
          </w:tcPr>
          <w:p w14:paraId="40CB28EE" w14:textId="77777777" w:rsidR="00584FB3" w:rsidRDefault="00584FB3">
            <w:pPr>
              <w:rPr>
                <w:rFonts w:ascii="宋体"/>
              </w:rPr>
            </w:pPr>
          </w:p>
        </w:tc>
        <w:tc>
          <w:tcPr>
            <w:tcW w:w="5" w:type="pct"/>
            <w:shd w:val="clear" w:color="auto" w:fill="auto"/>
          </w:tcPr>
          <w:p w14:paraId="40CB28EF" w14:textId="77777777" w:rsidR="00584FB3" w:rsidRDefault="00584FB3">
            <w:pPr>
              <w:rPr>
                <w:rFonts w:ascii="宋体"/>
              </w:rPr>
            </w:pPr>
          </w:p>
        </w:tc>
        <w:tc>
          <w:tcPr>
            <w:tcW w:w="5" w:type="pct"/>
            <w:shd w:val="clear" w:color="auto" w:fill="auto"/>
          </w:tcPr>
          <w:p w14:paraId="40CB28F0" w14:textId="77777777" w:rsidR="00584FB3" w:rsidRDefault="00584FB3">
            <w:pPr>
              <w:rPr>
                <w:rFonts w:ascii="宋体"/>
              </w:rPr>
            </w:pPr>
          </w:p>
        </w:tc>
        <w:tc>
          <w:tcPr>
            <w:tcW w:w="26" w:type="pct"/>
            <w:shd w:val="clear" w:color="auto" w:fill="auto"/>
          </w:tcPr>
          <w:p w14:paraId="40CB28F1" w14:textId="77777777" w:rsidR="00584FB3" w:rsidRDefault="00584FB3">
            <w:pPr>
              <w:rPr>
                <w:rFonts w:ascii="宋体"/>
              </w:rPr>
            </w:pPr>
          </w:p>
        </w:tc>
        <w:tc>
          <w:tcPr>
            <w:tcW w:w="5" w:type="pct"/>
            <w:shd w:val="clear" w:color="auto" w:fill="auto"/>
          </w:tcPr>
          <w:p w14:paraId="40CB28F2" w14:textId="77777777" w:rsidR="00584FB3" w:rsidRDefault="00584FB3">
            <w:pPr>
              <w:rPr>
                <w:rFonts w:ascii="宋体"/>
              </w:rPr>
            </w:pPr>
          </w:p>
        </w:tc>
        <w:tc>
          <w:tcPr>
            <w:tcW w:w="50" w:type="pct"/>
            <w:shd w:val="clear" w:color="auto" w:fill="auto"/>
          </w:tcPr>
          <w:p w14:paraId="40CB28F3" w14:textId="77777777" w:rsidR="00584FB3" w:rsidRDefault="00584FB3">
            <w:pPr>
              <w:rPr>
                <w:rFonts w:ascii="宋体"/>
              </w:rPr>
            </w:pPr>
          </w:p>
        </w:tc>
        <w:tc>
          <w:tcPr>
            <w:tcW w:w="144" w:type="pct"/>
            <w:shd w:val="clear" w:color="auto" w:fill="auto"/>
          </w:tcPr>
          <w:p w14:paraId="40CB28F4" w14:textId="77777777" w:rsidR="00584FB3" w:rsidRDefault="00584FB3">
            <w:pPr>
              <w:rPr>
                <w:rFonts w:ascii="宋体"/>
              </w:rPr>
            </w:pPr>
          </w:p>
        </w:tc>
        <w:tc>
          <w:tcPr>
            <w:tcW w:w="5" w:type="pct"/>
            <w:shd w:val="clear" w:color="auto" w:fill="auto"/>
          </w:tcPr>
          <w:p w14:paraId="40CB28F5" w14:textId="77777777" w:rsidR="00584FB3" w:rsidRDefault="00584FB3">
            <w:pPr>
              <w:rPr>
                <w:rFonts w:ascii="宋体"/>
              </w:rPr>
            </w:pPr>
          </w:p>
        </w:tc>
        <w:tc>
          <w:tcPr>
            <w:tcW w:w="50" w:type="pct"/>
            <w:shd w:val="clear" w:color="auto" w:fill="auto"/>
          </w:tcPr>
          <w:p w14:paraId="40CB28F6" w14:textId="77777777" w:rsidR="00584FB3" w:rsidRDefault="00584FB3">
            <w:pPr>
              <w:rPr>
                <w:rFonts w:ascii="宋体"/>
              </w:rPr>
            </w:pPr>
          </w:p>
        </w:tc>
        <w:tc>
          <w:tcPr>
            <w:tcW w:w="144" w:type="pct"/>
            <w:shd w:val="clear" w:color="auto" w:fill="auto"/>
          </w:tcPr>
          <w:p w14:paraId="40CB28F7" w14:textId="77777777" w:rsidR="00584FB3" w:rsidRDefault="00584FB3">
            <w:pPr>
              <w:rPr>
                <w:rFonts w:ascii="宋体"/>
              </w:rPr>
            </w:pPr>
          </w:p>
        </w:tc>
        <w:tc>
          <w:tcPr>
            <w:tcW w:w="5" w:type="pct"/>
            <w:shd w:val="clear" w:color="auto" w:fill="auto"/>
          </w:tcPr>
          <w:p w14:paraId="40CB28F8" w14:textId="77777777" w:rsidR="00584FB3" w:rsidRDefault="00584FB3">
            <w:pPr>
              <w:rPr>
                <w:rFonts w:ascii="宋体"/>
              </w:rPr>
            </w:pPr>
          </w:p>
        </w:tc>
      </w:tr>
      <w:tr w:rsidR="00584FB3" w14:paraId="40CB2901" w14:textId="77777777">
        <w:trPr>
          <w:jc w:val="center"/>
        </w:trPr>
        <w:tc>
          <w:tcPr>
            <w:tcW w:w="0" w:type="auto"/>
            <w:gridSpan w:val="3"/>
            <w:shd w:val="clear" w:color="auto" w:fill="auto"/>
            <w:tcMar>
              <w:top w:w="40" w:type="dxa"/>
              <w:left w:w="20" w:type="dxa"/>
              <w:bottom w:w="40" w:type="dxa"/>
              <w:right w:w="20" w:type="dxa"/>
            </w:tcMar>
            <w:vAlign w:val="bottom"/>
          </w:tcPr>
          <w:p w14:paraId="40CB28FA"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B28FB"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B28FC" w14:textId="77777777" w:rsidR="00584FB3" w:rsidRDefault="0078618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0CB28FD" w14:textId="77777777" w:rsidR="00584FB3" w:rsidRDefault="00584FB3">
            <w:pPr>
              <w:rPr>
                <w:rFonts w:ascii="宋体"/>
              </w:rPr>
            </w:pPr>
          </w:p>
        </w:tc>
        <w:tc>
          <w:tcPr>
            <w:tcW w:w="0" w:type="auto"/>
            <w:gridSpan w:val="33"/>
            <w:shd w:val="clear" w:color="auto" w:fill="00704A"/>
            <w:tcMar>
              <w:top w:w="40" w:type="dxa"/>
              <w:left w:w="20" w:type="dxa"/>
              <w:bottom w:w="40" w:type="dxa"/>
              <w:right w:w="20" w:type="dxa"/>
            </w:tcMar>
            <w:vAlign w:val="bottom"/>
          </w:tcPr>
          <w:p w14:paraId="40CB28FE" w14:textId="77777777" w:rsidR="00584FB3" w:rsidRDefault="00786180">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tcPr>
          <w:p w14:paraId="40CB28FF" w14:textId="77777777" w:rsidR="00584FB3" w:rsidRDefault="00584FB3">
            <w:pPr>
              <w:rPr>
                <w:rFonts w:ascii="宋体"/>
              </w:rPr>
            </w:pPr>
          </w:p>
        </w:tc>
        <w:tc>
          <w:tcPr>
            <w:tcW w:w="0" w:type="auto"/>
            <w:gridSpan w:val="6"/>
            <w:shd w:val="clear" w:color="auto" w:fill="auto"/>
            <w:tcMar>
              <w:top w:w="40" w:type="dxa"/>
              <w:left w:w="20" w:type="dxa"/>
              <w:bottom w:w="40" w:type="dxa"/>
              <w:right w:w="20" w:type="dxa"/>
            </w:tcMar>
            <w:vAlign w:val="bottom"/>
          </w:tcPr>
          <w:p w14:paraId="40CB2900" w14:textId="77777777" w:rsidR="00584FB3" w:rsidRDefault="00786180">
            <w:pPr>
              <w:textAlignment w:val="bottom"/>
            </w:pPr>
            <w:r>
              <w:rPr>
                <w:rFonts w:ascii="Times New Roman" w:eastAsia="宋体" w:hAnsi="Times New Roman"/>
                <w:color w:val="000000"/>
                <w:sz w:val="16"/>
                <w:szCs w:val="16"/>
              </w:rPr>
              <w:t> </w:t>
            </w:r>
          </w:p>
        </w:tc>
      </w:tr>
      <w:tr w:rsidR="00584FB3" w14:paraId="40CB2912" w14:textId="77777777">
        <w:trPr>
          <w:jc w:val="center"/>
        </w:trPr>
        <w:tc>
          <w:tcPr>
            <w:tcW w:w="0" w:type="auto"/>
            <w:gridSpan w:val="3"/>
            <w:shd w:val="clear" w:color="auto" w:fill="00704A"/>
            <w:tcMar>
              <w:top w:w="40" w:type="dxa"/>
              <w:left w:w="20" w:type="dxa"/>
              <w:bottom w:w="40" w:type="dxa"/>
              <w:right w:w="20" w:type="dxa"/>
            </w:tcMar>
            <w:vAlign w:val="bottom"/>
          </w:tcPr>
          <w:p w14:paraId="40CB2902" w14:textId="77777777" w:rsidR="00584FB3" w:rsidRDefault="00786180">
            <w:pPr>
              <w:jc w:val="center"/>
              <w:textAlignment w:val="bottom"/>
            </w:pPr>
            <w:r>
              <w:rPr>
                <w:rFonts w:ascii="Times New Roman" w:eastAsia="宋体" w:hAnsi="Times New Roman"/>
                <w:b/>
                <w:bCs/>
                <w:color w:val="FFFFFF"/>
                <w:sz w:val="16"/>
                <w:szCs w:val="16"/>
              </w:rPr>
              <w:t>Exhibit</w:t>
            </w:r>
          </w:p>
          <w:p w14:paraId="40CB2903" w14:textId="77777777" w:rsidR="00584FB3" w:rsidRDefault="00786180">
            <w:pP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top w:w="0" w:type="dxa"/>
              <w:left w:w="20" w:type="dxa"/>
              <w:bottom w:w="0" w:type="dxa"/>
              <w:right w:w="20" w:type="dxa"/>
            </w:tcMar>
          </w:tcPr>
          <w:p w14:paraId="40CB2904" w14:textId="77777777" w:rsidR="00584FB3" w:rsidRDefault="00584FB3">
            <w:pPr>
              <w:rPr>
                <w:rFonts w:ascii="宋体"/>
              </w:rPr>
            </w:pPr>
          </w:p>
        </w:tc>
        <w:tc>
          <w:tcPr>
            <w:tcW w:w="0" w:type="auto"/>
            <w:gridSpan w:val="3"/>
            <w:shd w:val="clear" w:color="auto" w:fill="00704A"/>
            <w:tcMar>
              <w:top w:w="40" w:type="dxa"/>
              <w:left w:w="20" w:type="dxa"/>
              <w:bottom w:w="40" w:type="dxa"/>
              <w:right w:w="20" w:type="dxa"/>
            </w:tcMar>
            <w:vAlign w:val="bottom"/>
          </w:tcPr>
          <w:p w14:paraId="40CB2905" w14:textId="77777777" w:rsidR="00584FB3" w:rsidRDefault="00786180">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tcPr>
          <w:p w14:paraId="40CB2906" w14:textId="77777777" w:rsidR="00584FB3" w:rsidRDefault="00584FB3">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40CB2907" w14:textId="77777777" w:rsidR="00584FB3" w:rsidRDefault="00786180">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tcMar>
              <w:top w:w="0" w:type="dxa"/>
              <w:left w:w="20" w:type="dxa"/>
              <w:bottom w:w="0" w:type="dxa"/>
              <w:right w:w="20" w:type="dxa"/>
            </w:tcMar>
          </w:tcPr>
          <w:p w14:paraId="40CB2908" w14:textId="77777777" w:rsidR="00584FB3" w:rsidRDefault="00584FB3">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40CB2909" w14:textId="77777777" w:rsidR="00584FB3" w:rsidRDefault="00786180">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tcMar>
              <w:top w:w="0" w:type="dxa"/>
              <w:left w:w="20" w:type="dxa"/>
              <w:bottom w:w="0" w:type="dxa"/>
              <w:right w:w="20" w:type="dxa"/>
            </w:tcMar>
          </w:tcPr>
          <w:p w14:paraId="40CB290A" w14:textId="77777777" w:rsidR="00584FB3" w:rsidRDefault="00584FB3">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40CB290B" w14:textId="77777777" w:rsidR="00584FB3" w:rsidRDefault="00786180">
            <w:pPr>
              <w:jc w:val="center"/>
              <w:textAlignment w:val="bottom"/>
            </w:pPr>
            <w:r>
              <w:rPr>
                <w:rFonts w:ascii="Times New Roman" w:eastAsia="宋体" w:hAnsi="Times New Roman"/>
                <w:b/>
                <w:bCs/>
                <w:color w:val="FFFFFF"/>
                <w:sz w:val="16"/>
                <w:szCs w:val="16"/>
              </w:rPr>
              <w:t>Date of</w:t>
            </w:r>
          </w:p>
          <w:p w14:paraId="40CB290C" w14:textId="77777777" w:rsidR="00584FB3" w:rsidRDefault="00786180">
            <w:pP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tcMar>
              <w:top w:w="0" w:type="dxa"/>
              <w:left w:w="20" w:type="dxa"/>
              <w:bottom w:w="0" w:type="dxa"/>
              <w:right w:w="20" w:type="dxa"/>
            </w:tcMar>
          </w:tcPr>
          <w:p w14:paraId="40CB290D" w14:textId="77777777" w:rsidR="00584FB3" w:rsidRDefault="00584FB3">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40CB290E" w14:textId="77777777" w:rsidR="00584FB3" w:rsidRDefault="00786180">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tcMar>
              <w:top w:w="0" w:type="dxa"/>
              <w:left w:w="20" w:type="dxa"/>
              <w:bottom w:w="0" w:type="dxa"/>
              <w:right w:w="20" w:type="dxa"/>
            </w:tcMar>
          </w:tcPr>
          <w:p w14:paraId="40CB290F" w14:textId="77777777" w:rsidR="00584FB3" w:rsidRDefault="00584FB3">
            <w:pPr>
              <w:rPr>
                <w:rFonts w:ascii="宋体"/>
              </w:rPr>
            </w:pPr>
          </w:p>
        </w:tc>
        <w:tc>
          <w:tcPr>
            <w:tcW w:w="0" w:type="auto"/>
            <w:gridSpan w:val="6"/>
            <w:shd w:val="clear" w:color="auto" w:fill="00704A"/>
            <w:tcMar>
              <w:top w:w="40" w:type="dxa"/>
              <w:left w:w="20" w:type="dxa"/>
              <w:bottom w:w="40" w:type="dxa"/>
              <w:right w:w="20" w:type="dxa"/>
            </w:tcMar>
            <w:vAlign w:val="bottom"/>
          </w:tcPr>
          <w:p w14:paraId="40CB2910" w14:textId="77777777" w:rsidR="00584FB3" w:rsidRDefault="00786180">
            <w:pPr>
              <w:jc w:val="center"/>
              <w:textAlignment w:val="bottom"/>
            </w:pPr>
            <w:r>
              <w:rPr>
                <w:rFonts w:ascii="Times New Roman" w:eastAsia="宋体" w:hAnsi="Times New Roman"/>
                <w:b/>
                <w:bCs/>
                <w:color w:val="FFFFFF"/>
                <w:sz w:val="16"/>
                <w:szCs w:val="16"/>
              </w:rPr>
              <w:t>Filed</w:t>
            </w:r>
          </w:p>
          <w:p w14:paraId="40CB2911" w14:textId="77777777" w:rsidR="00584FB3" w:rsidRDefault="00786180">
            <w:pPr>
              <w:jc w:val="center"/>
              <w:textAlignment w:val="bottom"/>
            </w:pPr>
            <w:r>
              <w:rPr>
                <w:rFonts w:ascii="Times New Roman" w:eastAsia="宋体" w:hAnsi="Times New Roman"/>
                <w:b/>
                <w:bCs/>
                <w:color w:val="FFFFFF"/>
                <w:sz w:val="16"/>
                <w:szCs w:val="16"/>
              </w:rPr>
              <w:t>Herewith</w:t>
            </w:r>
          </w:p>
        </w:tc>
      </w:tr>
      <w:tr w:rsidR="00584FB3" w14:paraId="40CB2920"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40CB2913" w14:textId="77777777" w:rsidR="00584FB3" w:rsidRDefault="00786180">
            <w:pPr>
              <w:jc w:val="center"/>
              <w:textAlignment w:val="center"/>
            </w:pPr>
            <w:hyperlink r:id="rId121" w:history="1">
              <w:r>
                <w:rPr>
                  <w:rStyle w:val="a5"/>
                  <w:rFonts w:ascii="Times New Roman" w:eastAsia="宋体" w:hAnsi="Times New Roman"/>
                  <w:sz w:val="20"/>
                  <w:szCs w:val="20"/>
                </w:rPr>
                <w:t>3.1</w:t>
              </w:r>
            </w:hyperlink>
          </w:p>
        </w:tc>
        <w:tc>
          <w:tcPr>
            <w:tcW w:w="0" w:type="auto"/>
            <w:gridSpan w:val="3"/>
            <w:shd w:val="clear" w:color="auto" w:fill="D7E4BC"/>
            <w:tcMar>
              <w:top w:w="0" w:type="dxa"/>
              <w:left w:w="20" w:type="dxa"/>
              <w:bottom w:w="0" w:type="dxa"/>
              <w:right w:w="20" w:type="dxa"/>
            </w:tcMar>
          </w:tcPr>
          <w:p w14:paraId="40CB2914" w14:textId="77777777" w:rsidR="00584FB3" w:rsidRDefault="00584FB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40CB2915" w14:textId="77777777" w:rsidR="00584FB3" w:rsidRDefault="00786180">
            <w:pPr>
              <w:textAlignment w:val="top"/>
            </w:pPr>
            <w:hyperlink r:id="rId122"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D7E4BC"/>
            <w:tcMar>
              <w:top w:w="0" w:type="dxa"/>
              <w:left w:w="20" w:type="dxa"/>
              <w:bottom w:w="0" w:type="dxa"/>
              <w:right w:w="20" w:type="dxa"/>
            </w:tcMar>
          </w:tcPr>
          <w:p w14:paraId="40CB2916" w14:textId="77777777" w:rsidR="00584FB3" w:rsidRDefault="00584FB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40CB2917" w14:textId="77777777" w:rsidR="00584FB3" w:rsidRDefault="00786180">
            <w:pPr>
              <w:jc w:val="center"/>
              <w:textAlignment w:val="center"/>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tcPr>
          <w:p w14:paraId="40CB2918" w14:textId="77777777" w:rsidR="00584FB3" w:rsidRDefault="00584FB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40CB2919" w14:textId="77777777" w:rsidR="00584FB3" w:rsidRDefault="00786180">
            <w:pPr>
              <w:jc w:val="center"/>
              <w:textAlignment w:val="center"/>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40CB291A" w14:textId="77777777" w:rsidR="00584FB3" w:rsidRDefault="00584FB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40CB291B" w14:textId="77777777" w:rsidR="00584FB3" w:rsidRDefault="00786180">
            <w:pPr>
              <w:jc w:val="center"/>
              <w:textAlignment w:val="center"/>
            </w:pPr>
            <w:r>
              <w:rPr>
                <w:rFonts w:ascii="Times New Roman" w:eastAsia="宋体" w:hAnsi="Times New Roman"/>
                <w:color w:val="000000"/>
                <w:sz w:val="20"/>
                <w:szCs w:val="20"/>
              </w:rPr>
              <w:t>04/28/2015</w:t>
            </w:r>
          </w:p>
        </w:tc>
        <w:tc>
          <w:tcPr>
            <w:tcW w:w="0" w:type="auto"/>
            <w:gridSpan w:val="3"/>
            <w:shd w:val="clear" w:color="auto" w:fill="D7E4BC"/>
            <w:tcMar>
              <w:top w:w="0" w:type="dxa"/>
              <w:left w:w="20" w:type="dxa"/>
              <w:bottom w:w="0" w:type="dxa"/>
              <w:right w:w="20" w:type="dxa"/>
            </w:tcMar>
          </w:tcPr>
          <w:p w14:paraId="40CB291C" w14:textId="77777777" w:rsidR="00584FB3" w:rsidRDefault="00584FB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40CB291D" w14:textId="77777777" w:rsidR="00584FB3" w:rsidRDefault="00786180">
            <w:pPr>
              <w:jc w:val="center"/>
              <w:textAlignment w:val="center"/>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tcPr>
          <w:p w14:paraId="40CB291E" w14:textId="77777777" w:rsidR="00584FB3" w:rsidRDefault="00584FB3">
            <w:pPr>
              <w:rPr>
                <w:rFonts w:ascii="宋体"/>
              </w:rPr>
            </w:pPr>
          </w:p>
        </w:tc>
        <w:tc>
          <w:tcPr>
            <w:tcW w:w="0" w:type="auto"/>
            <w:gridSpan w:val="6"/>
            <w:shd w:val="clear" w:color="auto" w:fill="D7E4BC"/>
            <w:tcMar>
              <w:top w:w="0" w:type="dxa"/>
              <w:left w:w="20" w:type="dxa"/>
              <w:bottom w:w="0" w:type="dxa"/>
              <w:right w:w="20" w:type="dxa"/>
            </w:tcMar>
          </w:tcPr>
          <w:p w14:paraId="40CB291F" w14:textId="77777777" w:rsidR="00584FB3" w:rsidRDefault="00584FB3">
            <w:pPr>
              <w:rPr>
                <w:rFonts w:ascii="宋体"/>
              </w:rPr>
            </w:pPr>
          </w:p>
        </w:tc>
      </w:tr>
      <w:tr w:rsidR="00584FB3" w14:paraId="40CB292E" w14:textId="77777777">
        <w:trPr>
          <w:jc w:val="center"/>
        </w:trPr>
        <w:tc>
          <w:tcPr>
            <w:tcW w:w="0" w:type="auto"/>
            <w:gridSpan w:val="3"/>
            <w:shd w:val="clear" w:color="auto" w:fill="FFFFFF"/>
            <w:tcMar>
              <w:top w:w="40" w:type="dxa"/>
              <w:left w:w="20" w:type="dxa"/>
              <w:bottom w:w="40" w:type="dxa"/>
              <w:right w:w="20" w:type="dxa"/>
            </w:tcMar>
          </w:tcPr>
          <w:p w14:paraId="40CB2921" w14:textId="77777777" w:rsidR="00584FB3" w:rsidRDefault="00786180">
            <w:pPr>
              <w:jc w:val="center"/>
              <w:textAlignment w:val="top"/>
            </w:pPr>
            <w:hyperlink r:id="rId123" w:history="1">
              <w:r>
                <w:rPr>
                  <w:rStyle w:val="a5"/>
                  <w:rFonts w:ascii="Times New Roman" w:eastAsia="宋体" w:hAnsi="Times New Roman"/>
                  <w:sz w:val="20"/>
                  <w:szCs w:val="20"/>
                </w:rPr>
                <w:t>3.2</w:t>
              </w:r>
            </w:hyperlink>
          </w:p>
        </w:tc>
        <w:tc>
          <w:tcPr>
            <w:tcW w:w="0" w:type="auto"/>
            <w:gridSpan w:val="3"/>
            <w:shd w:val="clear" w:color="auto" w:fill="FFFFFF"/>
            <w:tcMar>
              <w:top w:w="0" w:type="dxa"/>
              <w:left w:w="20" w:type="dxa"/>
              <w:bottom w:w="0" w:type="dxa"/>
              <w:right w:w="20" w:type="dxa"/>
            </w:tcMar>
          </w:tcPr>
          <w:p w14:paraId="40CB2922"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tcPr>
          <w:p w14:paraId="40CB2923" w14:textId="77777777" w:rsidR="00584FB3" w:rsidRDefault="00786180">
            <w:pPr>
              <w:textAlignment w:val="top"/>
            </w:pPr>
            <w:hyperlink r:id="rId124" w:history="1">
              <w:r>
                <w:rPr>
                  <w:rStyle w:val="a5"/>
                  <w:rFonts w:ascii="Times New Roman" w:eastAsia="宋体" w:hAnsi="Times New Roman"/>
                  <w:sz w:val="20"/>
                  <w:szCs w:val="20"/>
                </w:rPr>
                <w:t>Amended a</w:t>
              </w:r>
              <w:r>
                <w:rPr>
                  <w:rStyle w:val="a5"/>
                  <w:rFonts w:ascii="Times New Roman" w:eastAsia="宋体" w:hAnsi="Times New Roman"/>
                  <w:sz w:val="20"/>
                  <w:szCs w:val="20"/>
                </w:rPr>
                <w:t>nd Restated Bylaws of Starbucks Corporation (As amended and restated through June 1, 2018)</w:t>
              </w:r>
            </w:hyperlink>
          </w:p>
        </w:tc>
        <w:tc>
          <w:tcPr>
            <w:tcW w:w="0" w:type="auto"/>
            <w:gridSpan w:val="3"/>
            <w:shd w:val="clear" w:color="auto" w:fill="FFFFFF"/>
            <w:tcMar>
              <w:top w:w="0" w:type="dxa"/>
              <w:left w:w="20" w:type="dxa"/>
              <w:bottom w:w="0" w:type="dxa"/>
              <w:right w:w="20" w:type="dxa"/>
            </w:tcMar>
          </w:tcPr>
          <w:p w14:paraId="40CB2924"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25" w14:textId="77777777" w:rsidR="00584FB3" w:rsidRDefault="00786180">
            <w:pPr>
              <w:jc w:val="center"/>
              <w:textAlignment w:val="center"/>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40CB2926"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27" w14:textId="77777777" w:rsidR="00584FB3" w:rsidRDefault="00786180">
            <w:pPr>
              <w:jc w:val="center"/>
              <w:textAlignment w:val="center"/>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40CB2928"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29" w14:textId="77777777" w:rsidR="00584FB3" w:rsidRDefault="00786180">
            <w:pPr>
              <w:jc w:val="center"/>
              <w:textAlignment w:val="center"/>
            </w:pPr>
            <w:r>
              <w:rPr>
                <w:rFonts w:ascii="Times New Roman" w:eastAsia="宋体" w:hAnsi="Times New Roman"/>
                <w:color w:val="000000"/>
                <w:sz w:val="20"/>
                <w:szCs w:val="20"/>
              </w:rPr>
              <w:t>06/05/2018</w:t>
            </w:r>
          </w:p>
        </w:tc>
        <w:tc>
          <w:tcPr>
            <w:tcW w:w="0" w:type="auto"/>
            <w:gridSpan w:val="3"/>
            <w:shd w:val="clear" w:color="auto" w:fill="FFFFFF"/>
            <w:tcMar>
              <w:top w:w="0" w:type="dxa"/>
              <w:left w:w="20" w:type="dxa"/>
              <w:bottom w:w="0" w:type="dxa"/>
              <w:right w:w="20" w:type="dxa"/>
            </w:tcMar>
          </w:tcPr>
          <w:p w14:paraId="40CB292A"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2B" w14:textId="77777777" w:rsidR="00584FB3" w:rsidRDefault="00786180">
            <w:pPr>
              <w:jc w:val="center"/>
              <w:textAlignment w:val="center"/>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tcPr>
          <w:p w14:paraId="40CB292C" w14:textId="77777777" w:rsidR="00584FB3" w:rsidRDefault="00584FB3">
            <w:pPr>
              <w:rPr>
                <w:rFonts w:ascii="宋体"/>
              </w:rPr>
            </w:pPr>
          </w:p>
        </w:tc>
        <w:tc>
          <w:tcPr>
            <w:tcW w:w="0" w:type="auto"/>
            <w:gridSpan w:val="6"/>
            <w:shd w:val="clear" w:color="auto" w:fill="FFFFFF"/>
            <w:tcMar>
              <w:top w:w="0" w:type="dxa"/>
              <w:left w:w="20" w:type="dxa"/>
              <w:bottom w:w="0" w:type="dxa"/>
              <w:right w:w="20" w:type="dxa"/>
            </w:tcMar>
          </w:tcPr>
          <w:p w14:paraId="40CB292D" w14:textId="77777777" w:rsidR="00584FB3" w:rsidRDefault="00584FB3">
            <w:pPr>
              <w:rPr>
                <w:rFonts w:ascii="宋体"/>
              </w:rPr>
            </w:pPr>
          </w:p>
        </w:tc>
      </w:tr>
      <w:tr w:rsidR="00584FB3" w14:paraId="40CB293C" w14:textId="77777777">
        <w:trPr>
          <w:jc w:val="center"/>
        </w:trPr>
        <w:tc>
          <w:tcPr>
            <w:tcW w:w="0" w:type="auto"/>
            <w:gridSpan w:val="3"/>
            <w:shd w:val="clear" w:color="auto" w:fill="D7E4BC"/>
            <w:tcMar>
              <w:top w:w="40" w:type="dxa"/>
              <w:left w:w="20" w:type="dxa"/>
              <w:bottom w:w="40" w:type="dxa"/>
              <w:right w:w="20" w:type="dxa"/>
            </w:tcMar>
          </w:tcPr>
          <w:p w14:paraId="40CB292F" w14:textId="77777777" w:rsidR="00584FB3" w:rsidRDefault="00786180">
            <w:pPr>
              <w:jc w:val="center"/>
              <w:textAlignment w:val="top"/>
            </w:pPr>
            <w:hyperlink r:id="rId125" w:history="1">
              <w:r>
                <w:rPr>
                  <w:rStyle w:val="a5"/>
                  <w:rFonts w:ascii="Times New Roman" w:eastAsia="宋体" w:hAnsi="Times New Roman"/>
                  <w:sz w:val="20"/>
                  <w:szCs w:val="20"/>
                </w:rPr>
                <w:t>31.1</w:t>
              </w:r>
            </w:hyperlink>
          </w:p>
        </w:tc>
        <w:tc>
          <w:tcPr>
            <w:tcW w:w="0" w:type="auto"/>
            <w:gridSpan w:val="3"/>
            <w:shd w:val="clear" w:color="auto" w:fill="D7E4BC"/>
            <w:tcMar>
              <w:top w:w="0" w:type="dxa"/>
              <w:left w:w="20" w:type="dxa"/>
              <w:bottom w:w="0" w:type="dxa"/>
              <w:right w:w="20" w:type="dxa"/>
            </w:tcMar>
          </w:tcPr>
          <w:p w14:paraId="40CB2930"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tcPr>
          <w:p w14:paraId="40CB2931" w14:textId="77777777" w:rsidR="00584FB3" w:rsidRDefault="00786180">
            <w:pPr>
              <w:textAlignment w:val="top"/>
            </w:pPr>
            <w:hyperlink r:id="rId126" w:history="1">
              <w:r>
                <w:rPr>
                  <w:rStyle w:val="a5"/>
                  <w:rFonts w:ascii="Times New Roman" w:eastAsia="宋体" w:hAnsi="Times New Roman"/>
                  <w:sz w:val="20"/>
                  <w:szCs w:val="20"/>
                </w:rPr>
                <w:t>Certification of Principal Executive Officer Pursuant to Rule 13a-14(a) of the Securities Exchange Act of 1934, As Adopted Pursuant to Section 302 o</w:t>
              </w:r>
              <w:r>
                <w:rPr>
                  <w:rStyle w:val="a5"/>
                  <w:rFonts w:ascii="Times New Roman" w:eastAsia="宋体" w:hAnsi="Times New Roman"/>
                  <w:sz w:val="20"/>
                  <w:szCs w:val="20"/>
                </w:rPr>
                <w:t>f the Sarbanes-Oxley Act of 2002</w:t>
              </w:r>
            </w:hyperlink>
          </w:p>
        </w:tc>
        <w:tc>
          <w:tcPr>
            <w:tcW w:w="0" w:type="auto"/>
            <w:gridSpan w:val="3"/>
            <w:shd w:val="clear" w:color="auto" w:fill="D7E4BC"/>
            <w:tcMar>
              <w:top w:w="0" w:type="dxa"/>
              <w:left w:w="20" w:type="dxa"/>
              <w:bottom w:w="0" w:type="dxa"/>
              <w:right w:w="20" w:type="dxa"/>
            </w:tcMar>
          </w:tcPr>
          <w:p w14:paraId="40CB2932"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33"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34"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35"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36"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37"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38"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39"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3A"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3B" w14:textId="77777777" w:rsidR="00584FB3" w:rsidRDefault="00786180">
            <w:pPr>
              <w:jc w:val="center"/>
              <w:textAlignment w:val="center"/>
            </w:pPr>
            <w:r>
              <w:rPr>
                <w:rFonts w:ascii="Times New Roman" w:eastAsia="宋体" w:hAnsi="Times New Roman"/>
                <w:color w:val="000000"/>
                <w:sz w:val="20"/>
                <w:szCs w:val="20"/>
              </w:rPr>
              <w:t>X</w:t>
            </w:r>
          </w:p>
        </w:tc>
      </w:tr>
      <w:tr w:rsidR="00584FB3" w14:paraId="40CB294A" w14:textId="77777777">
        <w:trPr>
          <w:jc w:val="center"/>
        </w:trPr>
        <w:tc>
          <w:tcPr>
            <w:tcW w:w="0" w:type="auto"/>
            <w:gridSpan w:val="3"/>
            <w:shd w:val="clear" w:color="auto" w:fill="FFFFFF"/>
            <w:tcMar>
              <w:top w:w="40" w:type="dxa"/>
              <w:left w:w="20" w:type="dxa"/>
              <w:bottom w:w="40" w:type="dxa"/>
              <w:right w:w="20" w:type="dxa"/>
            </w:tcMar>
          </w:tcPr>
          <w:p w14:paraId="40CB293D" w14:textId="77777777" w:rsidR="00584FB3" w:rsidRDefault="00786180">
            <w:pPr>
              <w:jc w:val="center"/>
              <w:textAlignment w:val="top"/>
            </w:pPr>
            <w:hyperlink r:id="rId127" w:history="1">
              <w:r>
                <w:rPr>
                  <w:rStyle w:val="a5"/>
                  <w:rFonts w:ascii="Times New Roman" w:eastAsia="宋体" w:hAnsi="Times New Roman"/>
                  <w:sz w:val="20"/>
                  <w:szCs w:val="20"/>
                </w:rPr>
                <w:t>31.2</w:t>
              </w:r>
            </w:hyperlink>
          </w:p>
        </w:tc>
        <w:tc>
          <w:tcPr>
            <w:tcW w:w="0" w:type="auto"/>
            <w:gridSpan w:val="3"/>
            <w:shd w:val="clear" w:color="auto" w:fill="FFFFFF"/>
            <w:tcMar>
              <w:top w:w="0" w:type="dxa"/>
              <w:left w:w="20" w:type="dxa"/>
              <w:bottom w:w="0" w:type="dxa"/>
              <w:right w:w="20" w:type="dxa"/>
            </w:tcMar>
          </w:tcPr>
          <w:p w14:paraId="40CB293E"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tcPr>
          <w:p w14:paraId="40CB293F" w14:textId="77777777" w:rsidR="00584FB3" w:rsidRDefault="00786180">
            <w:pPr>
              <w:textAlignment w:val="top"/>
            </w:pPr>
            <w:hyperlink r:id="rId128" w:history="1">
              <w:r>
                <w:rPr>
                  <w:rStyle w:val="a5"/>
                  <w:rFonts w:ascii="Times New Roman" w:eastAsia="宋体" w:hAnsi="Times New Roman"/>
                  <w:sz w:val="20"/>
                  <w:szCs w:val="20"/>
                </w:rPr>
                <w:t>Certifi</w:t>
              </w:r>
              <w:r>
                <w:rPr>
                  <w:rStyle w:val="a5"/>
                  <w:rFonts w:ascii="Times New Roman" w:eastAsia="宋体" w:hAnsi="Times New Roman"/>
                  <w:sz w:val="20"/>
                  <w:szCs w:val="20"/>
                </w:rPr>
                <w:t>cation of Principal Financial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tcPr>
          <w:p w14:paraId="40CB2940"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41"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42"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43"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44"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45"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46"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47"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48"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49" w14:textId="77777777" w:rsidR="00584FB3" w:rsidRDefault="00786180">
            <w:pPr>
              <w:jc w:val="center"/>
              <w:textAlignment w:val="center"/>
            </w:pPr>
            <w:r>
              <w:rPr>
                <w:rFonts w:ascii="Times New Roman" w:eastAsia="宋体" w:hAnsi="Times New Roman"/>
                <w:color w:val="000000"/>
                <w:sz w:val="20"/>
                <w:szCs w:val="20"/>
              </w:rPr>
              <w:t>X</w:t>
            </w:r>
          </w:p>
        </w:tc>
      </w:tr>
      <w:tr w:rsidR="00584FB3" w14:paraId="40CB2958" w14:textId="77777777">
        <w:trPr>
          <w:jc w:val="center"/>
        </w:trPr>
        <w:tc>
          <w:tcPr>
            <w:tcW w:w="0" w:type="auto"/>
            <w:gridSpan w:val="3"/>
            <w:shd w:val="clear" w:color="auto" w:fill="D7E4BC"/>
            <w:tcMar>
              <w:top w:w="40" w:type="dxa"/>
              <w:left w:w="20" w:type="dxa"/>
              <w:bottom w:w="40" w:type="dxa"/>
              <w:right w:w="20" w:type="dxa"/>
            </w:tcMar>
          </w:tcPr>
          <w:p w14:paraId="40CB294B" w14:textId="77777777" w:rsidR="00584FB3" w:rsidRDefault="00786180">
            <w:pPr>
              <w:jc w:val="center"/>
              <w:textAlignment w:val="top"/>
            </w:pPr>
            <w:hyperlink r:id="rId129" w:history="1">
              <w:r>
                <w:rPr>
                  <w:rStyle w:val="a5"/>
                  <w:rFonts w:ascii="Times New Roman" w:eastAsia="宋体" w:hAnsi="Times New Roman"/>
                  <w:sz w:val="20"/>
                  <w:szCs w:val="20"/>
                </w:rPr>
                <w:t>32*</w:t>
              </w:r>
            </w:hyperlink>
          </w:p>
        </w:tc>
        <w:tc>
          <w:tcPr>
            <w:tcW w:w="0" w:type="auto"/>
            <w:gridSpan w:val="3"/>
            <w:shd w:val="clear" w:color="auto" w:fill="D7E4BC"/>
            <w:tcMar>
              <w:top w:w="0" w:type="dxa"/>
              <w:left w:w="20" w:type="dxa"/>
              <w:bottom w:w="0" w:type="dxa"/>
              <w:right w:w="20" w:type="dxa"/>
            </w:tcMar>
          </w:tcPr>
          <w:p w14:paraId="40CB294C"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tcPr>
          <w:p w14:paraId="40CB294D" w14:textId="77777777" w:rsidR="00584FB3" w:rsidRDefault="00786180">
            <w:pPr>
              <w:textAlignment w:val="top"/>
            </w:pPr>
            <w:hyperlink r:id="rId130" w:history="1">
              <w:r>
                <w:rPr>
                  <w:rStyle w:val="a5"/>
                  <w:rFonts w:ascii="Times New Roman" w:eastAsia="宋体" w:hAnsi="Times New Roman"/>
                  <w:sz w:val="20"/>
                  <w:szCs w:val="20"/>
                </w:rPr>
                <w:t>Certificat</w:t>
              </w:r>
              <w:r>
                <w:rPr>
                  <w:rStyle w:val="a5"/>
                  <w:rFonts w:ascii="Times New Roman" w:eastAsia="宋体" w:hAnsi="Times New Roman"/>
                  <w:sz w:val="20"/>
                  <w:szCs w:val="20"/>
                </w:rPr>
                <w:t>ions of Principal Executive Officer and Principal Financial Officer Pursuant to 18 U.S.C. Section 1350, As Adopted Pursuant to Section 906 of the Sarbanes-Oxley Act of 2002</w:t>
              </w:r>
            </w:hyperlink>
          </w:p>
        </w:tc>
        <w:tc>
          <w:tcPr>
            <w:tcW w:w="0" w:type="auto"/>
            <w:gridSpan w:val="3"/>
            <w:shd w:val="clear" w:color="auto" w:fill="D7E4BC"/>
            <w:tcMar>
              <w:top w:w="0" w:type="dxa"/>
              <w:left w:w="20" w:type="dxa"/>
              <w:bottom w:w="0" w:type="dxa"/>
              <w:right w:w="20" w:type="dxa"/>
            </w:tcMar>
          </w:tcPr>
          <w:p w14:paraId="40CB294E"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4F"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50"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51"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52"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53"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54"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55"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56"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57" w14:textId="77777777" w:rsidR="00584FB3" w:rsidRDefault="00786180">
            <w:pPr>
              <w:jc w:val="center"/>
              <w:textAlignment w:val="center"/>
            </w:pPr>
            <w:r>
              <w:rPr>
                <w:rFonts w:ascii="Times New Roman" w:eastAsia="宋体" w:hAnsi="Times New Roman"/>
                <w:color w:val="000000"/>
                <w:sz w:val="20"/>
                <w:szCs w:val="20"/>
              </w:rPr>
              <w:t>—</w:t>
            </w:r>
          </w:p>
        </w:tc>
      </w:tr>
      <w:tr w:rsidR="00584FB3" w14:paraId="40CB2966" w14:textId="77777777">
        <w:trPr>
          <w:jc w:val="center"/>
        </w:trPr>
        <w:tc>
          <w:tcPr>
            <w:tcW w:w="0" w:type="auto"/>
            <w:gridSpan w:val="3"/>
            <w:shd w:val="clear" w:color="auto" w:fill="FFFFFF"/>
            <w:tcMar>
              <w:top w:w="40" w:type="dxa"/>
              <w:left w:w="20" w:type="dxa"/>
              <w:bottom w:w="40" w:type="dxa"/>
              <w:right w:w="20" w:type="dxa"/>
            </w:tcMar>
          </w:tcPr>
          <w:p w14:paraId="40CB2959" w14:textId="77777777" w:rsidR="00584FB3" w:rsidRDefault="00786180">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tcPr>
          <w:p w14:paraId="40CB295A" w14:textId="77777777" w:rsidR="00584FB3" w:rsidRDefault="00584FB3">
            <w:pPr>
              <w:rPr>
                <w:rFonts w:ascii="宋体"/>
              </w:rPr>
            </w:pPr>
          </w:p>
        </w:tc>
        <w:tc>
          <w:tcPr>
            <w:tcW w:w="0" w:type="auto"/>
            <w:gridSpan w:val="3"/>
            <w:shd w:val="clear" w:color="auto" w:fill="FFFFFF"/>
            <w:tcMar>
              <w:top w:w="40" w:type="dxa"/>
              <w:left w:w="20" w:type="dxa"/>
              <w:bottom w:w="40" w:type="dxa"/>
              <w:right w:w="20" w:type="dxa"/>
            </w:tcMar>
          </w:tcPr>
          <w:p w14:paraId="40CB295B" w14:textId="77777777" w:rsidR="00584FB3" w:rsidRDefault="00786180">
            <w:pPr>
              <w:textAlignment w:val="top"/>
            </w:pPr>
            <w:r>
              <w:rPr>
                <w:rFonts w:ascii="Times New Roman" w:eastAsia="宋体" w:hAnsi="Times New Roman"/>
                <w:color w:val="000000"/>
                <w:sz w:val="20"/>
                <w:szCs w:val="20"/>
              </w:rPr>
              <w:t xml:space="preserve">The following financial statements from the </w:t>
            </w:r>
            <w:r>
              <w:rPr>
                <w:rFonts w:ascii="Times New Roman" w:eastAsia="宋体" w:hAnsi="Times New Roman"/>
                <w:color w:val="000000"/>
                <w:sz w:val="20"/>
                <w:szCs w:val="20"/>
              </w:rPr>
              <w:t>Company's 10-Q for the fiscal quarter ended December 27, 2020, formatted in iXBRL: (i) Consolidated Statements of Earnings, (ii) Consolidated Statements of Comprehensive Income, (iii) Consolidated Balance Sheets, (iv) Consolidated Statements of Cash Flows,</w:t>
            </w:r>
            <w:r>
              <w:rPr>
                <w:rFonts w:ascii="Times New Roman" w:eastAsia="宋体" w:hAnsi="Times New Roman"/>
                <w:color w:val="000000"/>
                <w:sz w:val="20"/>
                <w:szCs w:val="20"/>
              </w:rPr>
              <w:t xml:space="preserve"> (v) Consolidated Statements of Equity and (vi) Notes to Consolidated Financial Statements</w:t>
            </w:r>
          </w:p>
        </w:tc>
        <w:tc>
          <w:tcPr>
            <w:tcW w:w="0" w:type="auto"/>
            <w:gridSpan w:val="3"/>
            <w:shd w:val="clear" w:color="auto" w:fill="FFFFFF"/>
            <w:tcMar>
              <w:top w:w="0" w:type="dxa"/>
              <w:left w:w="20" w:type="dxa"/>
              <w:bottom w:w="0" w:type="dxa"/>
              <w:right w:w="20" w:type="dxa"/>
            </w:tcMar>
          </w:tcPr>
          <w:p w14:paraId="40CB295C"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5D"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5E"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5F"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60"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61"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62"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63"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40CB2964" w14:textId="77777777" w:rsidR="00584FB3" w:rsidRDefault="00584FB3">
            <w:pPr>
              <w:rPr>
                <w:rFonts w:ascii="宋体"/>
              </w:rPr>
            </w:pPr>
          </w:p>
        </w:tc>
        <w:tc>
          <w:tcPr>
            <w:tcW w:w="0" w:type="auto"/>
            <w:gridSpan w:val="6"/>
            <w:shd w:val="clear" w:color="auto" w:fill="FFFFFF"/>
            <w:tcMar>
              <w:top w:w="40" w:type="dxa"/>
              <w:left w:w="20" w:type="dxa"/>
              <w:bottom w:w="40" w:type="dxa"/>
              <w:right w:w="20" w:type="dxa"/>
            </w:tcMar>
            <w:vAlign w:val="center"/>
          </w:tcPr>
          <w:p w14:paraId="40CB2965" w14:textId="77777777" w:rsidR="00584FB3" w:rsidRDefault="00786180">
            <w:pPr>
              <w:jc w:val="center"/>
              <w:textAlignment w:val="center"/>
            </w:pPr>
            <w:r>
              <w:rPr>
                <w:rFonts w:ascii="Times New Roman" w:eastAsia="宋体" w:hAnsi="Times New Roman"/>
                <w:color w:val="000000"/>
                <w:sz w:val="20"/>
                <w:szCs w:val="20"/>
              </w:rPr>
              <w:t>X</w:t>
            </w:r>
          </w:p>
        </w:tc>
      </w:tr>
      <w:tr w:rsidR="00584FB3" w14:paraId="40CB2974" w14:textId="77777777">
        <w:trPr>
          <w:jc w:val="center"/>
        </w:trPr>
        <w:tc>
          <w:tcPr>
            <w:tcW w:w="0" w:type="auto"/>
            <w:gridSpan w:val="3"/>
            <w:shd w:val="clear" w:color="auto" w:fill="D7E4BC"/>
            <w:tcMar>
              <w:top w:w="40" w:type="dxa"/>
              <w:left w:w="20" w:type="dxa"/>
              <w:bottom w:w="40" w:type="dxa"/>
              <w:right w:w="20" w:type="dxa"/>
            </w:tcMar>
          </w:tcPr>
          <w:p w14:paraId="40CB2967" w14:textId="77777777" w:rsidR="00584FB3" w:rsidRDefault="00786180">
            <w:pPr>
              <w:jc w:val="center"/>
              <w:textAlignment w:val="top"/>
            </w:pPr>
            <w:r>
              <w:rPr>
                <w:rFonts w:ascii="Times New Roman" w:eastAsia="宋体" w:hAnsi="Times New Roman"/>
                <w:color w:val="000000"/>
                <w:sz w:val="20"/>
                <w:szCs w:val="20"/>
              </w:rPr>
              <w:t>104</w:t>
            </w:r>
          </w:p>
        </w:tc>
        <w:tc>
          <w:tcPr>
            <w:tcW w:w="0" w:type="auto"/>
            <w:gridSpan w:val="3"/>
            <w:shd w:val="clear" w:color="auto" w:fill="D7E4BC"/>
            <w:tcMar>
              <w:top w:w="0" w:type="dxa"/>
              <w:left w:w="20" w:type="dxa"/>
              <w:bottom w:w="0" w:type="dxa"/>
              <w:right w:w="20" w:type="dxa"/>
            </w:tcMar>
          </w:tcPr>
          <w:p w14:paraId="40CB2968" w14:textId="77777777" w:rsidR="00584FB3" w:rsidRDefault="00584FB3">
            <w:pPr>
              <w:rPr>
                <w:rFonts w:ascii="宋体"/>
              </w:rPr>
            </w:pPr>
          </w:p>
        </w:tc>
        <w:tc>
          <w:tcPr>
            <w:tcW w:w="0" w:type="auto"/>
            <w:gridSpan w:val="3"/>
            <w:shd w:val="clear" w:color="auto" w:fill="D7E4BC"/>
            <w:tcMar>
              <w:top w:w="40" w:type="dxa"/>
              <w:left w:w="20" w:type="dxa"/>
              <w:bottom w:w="40" w:type="dxa"/>
              <w:right w:w="20" w:type="dxa"/>
            </w:tcMar>
          </w:tcPr>
          <w:p w14:paraId="40CB2969" w14:textId="77777777" w:rsidR="00584FB3" w:rsidRDefault="00786180">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D7E4BC"/>
            <w:tcMar>
              <w:top w:w="0" w:type="dxa"/>
              <w:left w:w="20" w:type="dxa"/>
              <w:bottom w:w="0" w:type="dxa"/>
              <w:right w:w="20" w:type="dxa"/>
            </w:tcMar>
          </w:tcPr>
          <w:p w14:paraId="40CB296A"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6B"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6C"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6D"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6E"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6F"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70"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71" w14:textId="77777777" w:rsidR="00584FB3" w:rsidRDefault="00786180">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40CB2972" w14:textId="77777777" w:rsidR="00584FB3" w:rsidRDefault="00584FB3">
            <w:pPr>
              <w:rPr>
                <w:rFonts w:ascii="宋体"/>
              </w:rPr>
            </w:pPr>
          </w:p>
        </w:tc>
        <w:tc>
          <w:tcPr>
            <w:tcW w:w="0" w:type="auto"/>
            <w:gridSpan w:val="6"/>
            <w:shd w:val="clear" w:color="auto" w:fill="D7E4BC"/>
            <w:tcMar>
              <w:top w:w="40" w:type="dxa"/>
              <w:left w:w="20" w:type="dxa"/>
              <w:bottom w:w="40" w:type="dxa"/>
              <w:right w:w="20" w:type="dxa"/>
            </w:tcMar>
            <w:vAlign w:val="center"/>
          </w:tcPr>
          <w:p w14:paraId="40CB2973" w14:textId="77777777" w:rsidR="00584FB3" w:rsidRDefault="00786180">
            <w:pPr>
              <w:jc w:val="center"/>
              <w:textAlignment w:val="center"/>
            </w:pPr>
            <w:r>
              <w:rPr>
                <w:rFonts w:ascii="Times New Roman" w:eastAsia="宋体" w:hAnsi="Times New Roman"/>
                <w:color w:val="000000"/>
                <w:sz w:val="20"/>
                <w:szCs w:val="20"/>
              </w:rPr>
              <w:t>X</w:t>
            </w:r>
          </w:p>
        </w:tc>
      </w:tr>
      <w:tr w:rsidR="00584FB3" w14:paraId="40CB299D" w14:textId="77777777">
        <w:trPr>
          <w:jc w:val="center"/>
          <w:hidden/>
        </w:trPr>
        <w:tc>
          <w:tcPr>
            <w:tcW w:w="0" w:type="auto"/>
            <w:gridSpan w:val="3"/>
            <w:shd w:val="clear" w:color="auto" w:fill="auto"/>
          </w:tcPr>
          <w:p w14:paraId="40CB2975" w14:textId="77777777" w:rsidR="00584FB3" w:rsidRDefault="00584FB3">
            <w:pPr>
              <w:rPr>
                <w:rFonts w:ascii="宋体"/>
                <w:vanish/>
              </w:rPr>
            </w:pPr>
          </w:p>
        </w:tc>
        <w:tc>
          <w:tcPr>
            <w:tcW w:w="0" w:type="auto"/>
            <w:gridSpan w:val="3"/>
            <w:shd w:val="clear" w:color="auto" w:fill="auto"/>
          </w:tcPr>
          <w:p w14:paraId="40CB2976" w14:textId="77777777" w:rsidR="00584FB3" w:rsidRDefault="00584FB3">
            <w:pPr>
              <w:rPr>
                <w:rFonts w:ascii="宋体"/>
                <w:vanish/>
              </w:rPr>
            </w:pPr>
          </w:p>
        </w:tc>
        <w:tc>
          <w:tcPr>
            <w:tcW w:w="0" w:type="auto"/>
            <w:gridSpan w:val="3"/>
            <w:shd w:val="clear" w:color="auto" w:fill="auto"/>
          </w:tcPr>
          <w:p w14:paraId="40CB2977" w14:textId="77777777" w:rsidR="00584FB3" w:rsidRDefault="00584FB3">
            <w:pPr>
              <w:rPr>
                <w:rFonts w:ascii="宋体"/>
                <w:vanish/>
              </w:rPr>
            </w:pPr>
          </w:p>
        </w:tc>
        <w:tc>
          <w:tcPr>
            <w:tcW w:w="0" w:type="auto"/>
            <w:gridSpan w:val="3"/>
            <w:shd w:val="clear" w:color="auto" w:fill="auto"/>
          </w:tcPr>
          <w:p w14:paraId="40CB2978" w14:textId="77777777" w:rsidR="00584FB3" w:rsidRDefault="00584FB3">
            <w:pPr>
              <w:rPr>
                <w:rFonts w:ascii="宋体"/>
                <w:vanish/>
              </w:rPr>
            </w:pPr>
          </w:p>
        </w:tc>
        <w:tc>
          <w:tcPr>
            <w:tcW w:w="0" w:type="auto"/>
            <w:gridSpan w:val="3"/>
            <w:shd w:val="clear" w:color="auto" w:fill="auto"/>
          </w:tcPr>
          <w:p w14:paraId="40CB2979" w14:textId="77777777" w:rsidR="00584FB3" w:rsidRDefault="00584FB3">
            <w:pPr>
              <w:rPr>
                <w:rFonts w:ascii="宋体"/>
                <w:vanish/>
              </w:rPr>
            </w:pPr>
          </w:p>
        </w:tc>
        <w:tc>
          <w:tcPr>
            <w:tcW w:w="0" w:type="auto"/>
            <w:gridSpan w:val="3"/>
            <w:shd w:val="clear" w:color="auto" w:fill="auto"/>
          </w:tcPr>
          <w:p w14:paraId="40CB297A" w14:textId="77777777" w:rsidR="00584FB3" w:rsidRDefault="00584FB3">
            <w:pPr>
              <w:rPr>
                <w:rFonts w:ascii="宋体"/>
                <w:vanish/>
              </w:rPr>
            </w:pPr>
          </w:p>
        </w:tc>
        <w:tc>
          <w:tcPr>
            <w:tcW w:w="0" w:type="auto"/>
            <w:gridSpan w:val="3"/>
            <w:shd w:val="clear" w:color="auto" w:fill="auto"/>
          </w:tcPr>
          <w:p w14:paraId="40CB297B" w14:textId="77777777" w:rsidR="00584FB3" w:rsidRDefault="00584FB3">
            <w:pPr>
              <w:rPr>
                <w:rFonts w:ascii="宋体"/>
                <w:vanish/>
              </w:rPr>
            </w:pPr>
          </w:p>
        </w:tc>
        <w:tc>
          <w:tcPr>
            <w:tcW w:w="0" w:type="auto"/>
            <w:shd w:val="clear" w:color="auto" w:fill="auto"/>
          </w:tcPr>
          <w:p w14:paraId="40CB297C" w14:textId="77777777" w:rsidR="00584FB3" w:rsidRDefault="00584FB3">
            <w:pPr>
              <w:rPr>
                <w:rFonts w:ascii="宋体"/>
              </w:rPr>
            </w:pPr>
          </w:p>
        </w:tc>
        <w:tc>
          <w:tcPr>
            <w:tcW w:w="0" w:type="auto"/>
            <w:shd w:val="clear" w:color="auto" w:fill="auto"/>
          </w:tcPr>
          <w:p w14:paraId="40CB297D" w14:textId="77777777" w:rsidR="00584FB3" w:rsidRDefault="00584FB3">
            <w:pPr>
              <w:rPr>
                <w:rFonts w:ascii="宋体"/>
              </w:rPr>
            </w:pPr>
          </w:p>
        </w:tc>
        <w:tc>
          <w:tcPr>
            <w:tcW w:w="0" w:type="auto"/>
            <w:shd w:val="clear" w:color="auto" w:fill="auto"/>
          </w:tcPr>
          <w:p w14:paraId="40CB297E" w14:textId="77777777" w:rsidR="00584FB3" w:rsidRDefault="00584FB3">
            <w:pPr>
              <w:rPr>
                <w:rFonts w:ascii="宋体"/>
              </w:rPr>
            </w:pPr>
          </w:p>
        </w:tc>
        <w:tc>
          <w:tcPr>
            <w:tcW w:w="0" w:type="auto"/>
            <w:shd w:val="clear" w:color="auto" w:fill="auto"/>
          </w:tcPr>
          <w:p w14:paraId="40CB297F" w14:textId="77777777" w:rsidR="00584FB3" w:rsidRDefault="00584FB3">
            <w:pPr>
              <w:rPr>
                <w:rFonts w:ascii="宋体"/>
              </w:rPr>
            </w:pPr>
          </w:p>
        </w:tc>
        <w:tc>
          <w:tcPr>
            <w:tcW w:w="0" w:type="auto"/>
            <w:shd w:val="clear" w:color="auto" w:fill="auto"/>
          </w:tcPr>
          <w:p w14:paraId="40CB2980" w14:textId="77777777" w:rsidR="00584FB3" w:rsidRDefault="00584FB3">
            <w:pPr>
              <w:rPr>
                <w:rFonts w:ascii="宋体"/>
              </w:rPr>
            </w:pPr>
          </w:p>
        </w:tc>
        <w:tc>
          <w:tcPr>
            <w:tcW w:w="0" w:type="auto"/>
            <w:shd w:val="clear" w:color="auto" w:fill="auto"/>
          </w:tcPr>
          <w:p w14:paraId="40CB2981" w14:textId="77777777" w:rsidR="00584FB3" w:rsidRDefault="00584FB3">
            <w:pPr>
              <w:rPr>
                <w:rFonts w:ascii="宋体"/>
              </w:rPr>
            </w:pPr>
          </w:p>
        </w:tc>
        <w:tc>
          <w:tcPr>
            <w:tcW w:w="0" w:type="auto"/>
            <w:shd w:val="clear" w:color="auto" w:fill="auto"/>
          </w:tcPr>
          <w:p w14:paraId="40CB2982" w14:textId="77777777" w:rsidR="00584FB3" w:rsidRDefault="00584FB3">
            <w:pPr>
              <w:rPr>
                <w:rFonts w:ascii="宋体"/>
              </w:rPr>
            </w:pPr>
          </w:p>
        </w:tc>
        <w:tc>
          <w:tcPr>
            <w:tcW w:w="0" w:type="auto"/>
            <w:shd w:val="clear" w:color="auto" w:fill="auto"/>
          </w:tcPr>
          <w:p w14:paraId="40CB2983" w14:textId="77777777" w:rsidR="00584FB3" w:rsidRDefault="00584FB3">
            <w:pPr>
              <w:rPr>
                <w:rFonts w:ascii="宋体"/>
              </w:rPr>
            </w:pPr>
          </w:p>
        </w:tc>
        <w:tc>
          <w:tcPr>
            <w:tcW w:w="0" w:type="auto"/>
            <w:shd w:val="clear" w:color="auto" w:fill="auto"/>
          </w:tcPr>
          <w:p w14:paraId="40CB2984" w14:textId="77777777" w:rsidR="00584FB3" w:rsidRDefault="00584FB3">
            <w:pPr>
              <w:rPr>
                <w:rFonts w:ascii="宋体"/>
              </w:rPr>
            </w:pPr>
          </w:p>
        </w:tc>
        <w:tc>
          <w:tcPr>
            <w:tcW w:w="0" w:type="auto"/>
            <w:shd w:val="clear" w:color="auto" w:fill="auto"/>
          </w:tcPr>
          <w:p w14:paraId="40CB2985" w14:textId="77777777" w:rsidR="00584FB3" w:rsidRDefault="00584FB3">
            <w:pPr>
              <w:rPr>
                <w:rFonts w:ascii="宋体"/>
              </w:rPr>
            </w:pPr>
          </w:p>
        </w:tc>
        <w:tc>
          <w:tcPr>
            <w:tcW w:w="0" w:type="auto"/>
            <w:shd w:val="clear" w:color="auto" w:fill="auto"/>
          </w:tcPr>
          <w:p w14:paraId="40CB2986" w14:textId="77777777" w:rsidR="00584FB3" w:rsidRDefault="00584FB3">
            <w:pPr>
              <w:rPr>
                <w:rFonts w:ascii="宋体"/>
              </w:rPr>
            </w:pPr>
          </w:p>
        </w:tc>
        <w:tc>
          <w:tcPr>
            <w:tcW w:w="0" w:type="auto"/>
            <w:shd w:val="clear" w:color="auto" w:fill="auto"/>
          </w:tcPr>
          <w:p w14:paraId="40CB2987" w14:textId="77777777" w:rsidR="00584FB3" w:rsidRDefault="00584FB3">
            <w:pPr>
              <w:rPr>
                <w:rFonts w:ascii="宋体"/>
              </w:rPr>
            </w:pPr>
          </w:p>
        </w:tc>
        <w:tc>
          <w:tcPr>
            <w:tcW w:w="0" w:type="auto"/>
            <w:shd w:val="clear" w:color="auto" w:fill="auto"/>
          </w:tcPr>
          <w:p w14:paraId="40CB2988" w14:textId="77777777" w:rsidR="00584FB3" w:rsidRDefault="00584FB3">
            <w:pPr>
              <w:rPr>
                <w:rFonts w:ascii="宋体"/>
              </w:rPr>
            </w:pPr>
          </w:p>
        </w:tc>
        <w:tc>
          <w:tcPr>
            <w:tcW w:w="0" w:type="auto"/>
            <w:shd w:val="clear" w:color="auto" w:fill="auto"/>
          </w:tcPr>
          <w:p w14:paraId="40CB2989" w14:textId="77777777" w:rsidR="00584FB3" w:rsidRDefault="00584FB3">
            <w:pPr>
              <w:rPr>
                <w:rFonts w:ascii="宋体"/>
              </w:rPr>
            </w:pPr>
          </w:p>
        </w:tc>
        <w:tc>
          <w:tcPr>
            <w:tcW w:w="0" w:type="auto"/>
            <w:shd w:val="clear" w:color="auto" w:fill="auto"/>
          </w:tcPr>
          <w:p w14:paraId="40CB298A" w14:textId="77777777" w:rsidR="00584FB3" w:rsidRDefault="00584FB3">
            <w:pPr>
              <w:rPr>
                <w:rFonts w:ascii="宋体"/>
              </w:rPr>
            </w:pPr>
          </w:p>
        </w:tc>
        <w:tc>
          <w:tcPr>
            <w:tcW w:w="0" w:type="auto"/>
            <w:shd w:val="clear" w:color="auto" w:fill="auto"/>
          </w:tcPr>
          <w:p w14:paraId="40CB298B" w14:textId="77777777" w:rsidR="00584FB3" w:rsidRDefault="00584FB3">
            <w:pPr>
              <w:rPr>
                <w:rFonts w:ascii="宋体"/>
              </w:rPr>
            </w:pPr>
          </w:p>
        </w:tc>
        <w:tc>
          <w:tcPr>
            <w:tcW w:w="0" w:type="auto"/>
            <w:shd w:val="clear" w:color="auto" w:fill="auto"/>
          </w:tcPr>
          <w:p w14:paraId="40CB298C" w14:textId="77777777" w:rsidR="00584FB3" w:rsidRDefault="00584FB3">
            <w:pPr>
              <w:rPr>
                <w:rFonts w:ascii="宋体"/>
              </w:rPr>
            </w:pPr>
          </w:p>
        </w:tc>
        <w:tc>
          <w:tcPr>
            <w:tcW w:w="0" w:type="auto"/>
            <w:shd w:val="clear" w:color="auto" w:fill="auto"/>
          </w:tcPr>
          <w:p w14:paraId="40CB298D" w14:textId="77777777" w:rsidR="00584FB3" w:rsidRDefault="00584FB3">
            <w:pPr>
              <w:rPr>
                <w:rFonts w:ascii="宋体"/>
              </w:rPr>
            </w:pPr>
          </w:p>
        </w:tc>
        <w:tc>
          <w:tcPr>
            <w:tcW w:w="0" w:type="auto"/>
            <w:shd w:val="clear" w:color="auto" w:fill="auto"/>
          </w:tcPr>
          <w:p w14:paraId="40CB298E" w14:textId="77777777" w:rsidR="00584FB3" w:rsidRDefault="00584FB3">
            <w:pPr>
              <w:rPr>
                <w:rFonts w:ascii="宋体"/>
              </w:rPr>
            </w:pPr>
          </w:p>
        </w:tc>
        <w:tc>
          <w:tcPr>
            <w:tcW w:w="0" w:type="auto"/>
            <w:shd w:val="clear" w:color="auto" w:fill="auto"/>
          </w:tcPr>
          <w:p w14:paraId="40CB298F" w14:textId="77777777" w:rsidR="00584FB3" w:rsidRDefault="00584FB3">
            <w:pPr>
              <w:rPr>
                <w:rFonts w:ascii="宋体"/>
              </w:rPr>
            </w:pPr>
          </w:p>
        </w:tc>
        <w:tc>
          <w:tcPr>
            <w:tcW w:w="0" w:type="auto"/>
            <w:shd w:val="clear" w:color="auto" w:fill="auto"/>
          </w:tcPr>
          <w:p w14:paraId="40CB2990" w14:textId="77777777" w:rsidR="00584FB3" w:rsidRDefault="00584FB3">
            <w:pPr>
              <w:rPr>
                <w:rFonts w:ascii="宋体"/>
              </w:rPr>
            </w:pPr>
          </w:p>
        </w:tc>
        <w:tc>
          <w:tcPr>
            <w:tcW w:w="0" w:type="auto"/>
            <w:shd w:val="clear" w:color="auto" w:fill="auto"/>
          </w:tcPr>
          <w:p w14:paraId="40CB2991" w14:textId="77777777" w:rsidR="00584FB3" w:rsidRDefault="00584FB3">
            <w:pPr>
              <w:rPr>
                <w:rFonts w:ascii="宋体"/>
              </w:rPr>
            </w:pPr>
          </w:p>
        </w:tc>
        <w:tc>
          <w:tcPr>
            <w:tcW w:w="0" w:type="auto"/>
            <w:shd w:val="clear" w:color="auto" w:fill="auto"/>
          </w:tcPr>
          <w:p w14:paraId="40CB2992" w14:textId="77777777" w:rsidR="00584FB3" w:rsidRDefault="00584FB3">
            <w:pPr>
              <w:rPr>
                <w:rFonts w:ascii="宋体"/>
              </w:rPr>
            </w:pPr>
          </w:p>
        </w:tc>
        <w:tc>
          <w:tcPr>
            <w:tcW w:w="0" w:type="auto"/>
            <w:shd w:val="clear" w:color="auto" w:fill="auto"/>
          </w:tcPr>
          <w:p w14:paraId="40CB2993" w14:textId="77777777" w:rsidR="00584FB3" w:rsidRDefault="00584FB3">
            <w:pPr>
              <w:rPr>
                <w:rFonts w:ascii="宋体"/>
              </w:rPr>
            </w:pPr>
          </w:p>
        </w:tc>
        <w:tc>
          <w:tcPr>
            <w:tcW w:w="0" w:type="auto"/>
            <w:shd w:val="clear" w:color="auto" w:fill="auto"/>
          </w:tcPr>
          <w:p w14:paraId="40CB2994" w14:textId="77777777" w:rsidR="00584FB3" w:rsidRDefault="00584FB3">
            <w:pPr>
              <w:rPr>
                <w:rFonts w:ascii="宋体"/>
              </w:rPr>
            </w:pPr>
          </w:p>
        </w:tc>
        <w:tc>
          <w:tcPr>
            <w:tcW w:w="0" w:type="auto"/>
            <w:shd w:val="clear" w:color="auto" w:fill="auto"/>
          </w:tcPr>
          <w:p w14:paraId="40CB2995" w14:textId="77777777" w:rsidR="00584FB3" w:rsidRDefault="00584FB3">
            <w:pPr>
              <w:rPr>
                <w:rFonts w:ascii="宋体"/>
              </w:rPr>
            </w:pPr>
          </w:p>
        </w:tc>
        <w:tc>
          <w:tcPr>
            <w:tcW w:w="0" w:type="auto"/>
            <w:shd w:val="clear" w:color="auto" w:fill="auto"/>
          </w:tcPr>
          <w:p w14:paraId="40CB2996" w14:textId="77777777" w:rsidR="00584FB3" w:rsidRDefault="00584FB3">
            <w:pPr>
              <w:rPr>
                <w:rFonts w:ascii="宋体"/>
              </w:rPr>
            </w:pPr>
          </w:p>
        </w:tc>
        <w:tc>
          <w:tcPr>
            <w:tcW w:w="0" w:type="auto"/>
            <w:shd w:val="clear" w:color="auto" w:fill="auto"/>
          </w:tcPr>
          <w:p w14:paraId="40CB2997" w14:textId="77777777" w:rsidR="00584FB3" w:rsidRDefault="00584FB3">
            <w:pPr>
              <w:rPr>
                <w:rFonts w:ascii="宋体"/>
              </w:rPr>
            </w:pPr>
          </w:p>
        </w:tc>
        <w:tc>
          <w:tcPr>
            <w:tcW w:w="0" w:type="auto"/>
            <w:shd w:val="clear" w:color="auto" w:fill="auto"/>
          </w:tcPr>
          <w:p w14:paraId="40CB2998" w14:textId="77777777" w:rsidR="00584FB3" w:rsidRDefault="00584FB3">
            <w:pPr>
              <w:rPr>
                <w:rFonts w:ascii="宋体"/>
              </w:rPr>
            </w:pPr>
          </w:p>
        </w:tc>
        <w:tc>
          <w:tcPr>
            <w:tcW w:w="0" w:type="auto"/>
            <w:shd w:val="clear" w:color="auto" w:fill="auto"/>
          </w:tcPr>
          <w:p w14:paraId="40CB2999" w14:textId="77777777" w:rsidR="00584FB3" w:rsidRDefault="00584FB3">
            <w:pPr>
              <w:rPr>
                <w:rFonts w:ascii="宋体"/>
              </w:rPr>
            </w:pPr>
          </w:p>
        </w:tc>
        <w:tc>
          <w:tcPr>
            <w:tcW w:w="0" w:type="auto"/>
            <w:shd w:val="clear" w:color="auto" w:fill="auto"/>
          </w:tcPr>
          <w:p w14:paraId="40CB299A" w14:textId="77777777" w:rsidR="00584FB3" w:rsidRDefault="00584FB3">
            <w:pPr>
              <w:rPr>
                <w:rFonts w:ascii="宋体"/>
              </w:rPr>
            </w:pPr>
          </w:p>
        </w:tc>
        <w:tc>
          <w:tcPr>
            <w:tcW w:w="0" w:type="auto"/>
            <w:shd w:val="clear" w:color="auto" w:fill="auto"/>
          </w:tcPr>
          <w:p w14:paraId="40CB299B" w14:textId="77777777" w:rsidR="00584FB3" w:rsidRDefault="00584FB3">
            <w:pPr>
              <w:rPr>
                <w:rFonts w:ascii="宋体"/>
              </w:rPr>
            </w:pPr>
          </w:p>
        </w:tc>
        <w:tc>
          <w:tcPr>
            <w:tcW w:w="0" w:type="auto"/>
            <w:shd w:val="clear" w:color="auto" w:fill="auto"/>
          </w:tcPr>
          <w:p w14:paraId="40CB299C" w14:textId="77777777" w:rsidR="00584FB3" w:rsidRDefault="00584FB3">
            <w:pPr>
              <w:rPr>
                <w:rFonts w:ascii="宋体"/>
              </w:rPr>
            </w:pPr>
          </w:p>
        </w:tc>
      </w:tr>
      <w:tr w:rsidR="00584FB3" w14:paraId="40CB29BA" w14:textId="77777777">
        <w:trPr>
          <w:jc w:val="center"/>
          <w:hidden/>
        </w:trPr>
        <w:tc>
          <w:tcPr>
            <w:tcW w:w="0" w:type="auto"/>
            <w:gridSpan w:val="3"/>
            <w:shd w:val="clear" w:color="auto" w:fill="auto"/>
          </w:tcPr>
          <w:p w14:paraId="40CB299E" w14:textId="77777777" w:rsidR="00584FB3" w:rsidRDefault="00584FB3">
            <w:pPr>
              <w:rPr>
                <w:rFonts w:ascii="宋体"/>
                <w:vanish/>
              </w:rPr>
            </w:pPr>
          </w:p>
        </w:tc>
        <w:tc>
          <w:tcPr>
            <w:tcW w:w="0" w:type="auto"/>
            <w:gridSpan w:val="3"/>
            <w:shd w:val="clear" w:color="auto" w:fill="auto"/>
          </w:tcPr>
          <w:p w14:paraId="40CB299F" w14:textId="77777777" w:rsidR="00584FB3" w:rsidRDefault="00584FB3">
            <w:pPr>
              <w:rPr>
                <w:rFonts w:ascii="宋体"/>
                <w:vanish/>
              </w:rPr>
            </w:pPr>
          </w:p>
        </w:tc>
        <w:tc>
          <w:tcPr>
            <w:tcW w:w="0" w:type="auto"/>
            <w:gridSpan w:val="3"/>
            <w:shd w:val="clear" w:color="auto" w:fill="auto"/>
          </w:tcPr>
          <w:p w14:paraId="40CB29A0" w14:textId="77777777" w:rsidR="00584FB3" w:rsidRDefault="00584FB3">
            <w:pPr>
              <w:rPr>
                <w:rFonts w:ascii="宋体"/>
                <w:vanish/>
              </w:rPr>
            </w:pPr>
          </w:p>
        </w:tc>
        <w:tc>
          <w:tcPr>
            <w:tcW w:w="0" w:type="auto"/>
            <w:gridSpan w:val="3"/>
            <w:shd w:val="clear" w:color="auto" w:fill="auto"/>
          </w:tcPr>
          <w:p w14:paraId="40CB29A1" w14:textId="77777777" w:rsidR="00584FB3" w:rsidRDefault="00584FB3">
            <w:pPr>
              <w:rPr>
                <w:rFonts w:ascii="宋体"/>
                <w:vanish/>
              </w:rPr>
            </w:pPr>
          </w:p>
        </w:tc>
        <w:tc>
          <w:tcPr>
            <w:tcW w:w="0" w:type="auto"/>
            <w:gridSpan w:val="3"/>
            <w:shd w:val="clear" w:color="auto" w:fill="auto"/>
          </w:tcPr>
          <w:p w14:paraId="40CB29A2" w14:textId="77777777" w:rsidR="00584FB3" w:rsidRDefault="00584FB3">
            <w:pPr>
              <w:rPr>
                <w:rFonts w:ascii="宋体"/>
                <w:vanish/>
              </w:rPr>
            </w:pPr>
          </w:p>
        </w:tc>
        <w:tc>
          <w:tcPr>
            <w:tcW w:w="0" w:type="auto"/>
            <w:gridSpan w:val="3"/>
            <w:shd w:val="clear" w:color="auto" w:fill="auto"/>
          </w:tcPr>
          <w:p w14:paraId="40CB29A3" w14:textId="77777777" w:rsidR="00584FB3" w:rsidRDefault="00584FB3">
            <w:pPr>
              <w:rPr>
                <w:rFonts w:ascii="宋体"/>
                <w:vanish/>
              </w:rPr>
            </w:pPr>
          </w:p>
        </w:tc>
        <w:tc>
          <w:tcPr>
            <w:tcW w:w="0" w:type="auto"/>
            <w:gridSpan w:val="3"/>
            <w:shd w:val="clear" w:color="auto" w:fill="auto"/>
          </w:tcPr>
          <w:p w14:paraId="40CB29A4" w14:textId="77777777" w:rsidR="00584FB3" w:rsidRDefault="00584FB3">
            <w:pPr>
              <w:rPr>
                <w:rFonts w:ascii="宋体"/>
                <w:vanish/>
              </w:rPr>
            </w:pPr>
          </w:p>
        </w:tc>
        <w:tc>
          <w:tcPr>
            <w:tcW w:w="0" w:type="auto"/>
            <w:gridSpan w:val="3"/>
            <w:shd w:val="clear" w:color="auto" w:fill="auto"/>
          </w:tcPr>
          <w:p w14:paraId="40CB29A5" w14:textId="77777777" w:rsidR="00584FB3" w:rsidRDefault="00584FB3">
            <w:pPr>
              <w:rPr>
                <w:rFonts w:ascii="宋体"/>
                <w:vanish/>
              </w:rPr>
            </w:pPr>
          </w:p>
        </w:tc>
        <w:tc>
          <w:tcPr>
            <w:tcW w:w="0" w:type="auto"/>
            <w:gridSpan w:val="3"/>
            <w:shd w:val="clear" w:color="auto" w:fill="auto"/>
          </w:tcPr>
          <w:p w14:paraId="40CB29A6" w14:textId="77777777" w:rsidR="00584FB3" w:rsidRDefault="00584FB3">
            <w:pPr>
              <w:rPr>
                <w:rFonts w:ascii="宋体"/>
                <w:vanish/>
              </w:rPr>
            </w:pPr>
          </w:p>
        </w:tc>
        <w:tc>
          <w:tcPr>
            <w:tcW w:w="0" w:type="auto"/>
            <w:gridSpan w:val="3"/>
            <w:shd w:val="clear" w:color="auto" w:fill="auto"/>
          </w:tcPr>
          <w:p w14:paraId="40CB29A7" w14:textId="77777777" w:rsidR="00584FB3" w:rsidRDefault="00584FB3">
            <w:pPr>
              <w:rPr>
                <w:rFonts w:ascii="宋体"/>
                <w:vanish/>
              </w:rPr>
            </w:pPr>
          </w:p>
        </w:tc>
        <w:tc>
          <w:tcPr>
            <w:tcW w:w="0" w:type="auto"/>
            <w:gridSpan w:val="3"/>
            <w:shd w:val="clear" w:color="auto" w:fill="auto"/>
          </w:tcPr>
          <w:p w14:paraId="40CB29A8" w14:textId="77777777" w:rsidR="00584FB3" w:rsidRDefault="00584FB3">
            <w:pPr>
              <w:rPr>
                <w:rFonts w:ascii="宋体"/>
                <w:vanish/>
              </w:rPr>
            </w:pPr>
          </w:p>
        </w:tc>
        <w:tc>
          <w:tcPr>
            <w:tcW w:w="0" w:type="auto"/>
            <w:gridSpan w:val="3"/>
            <w:shd w:val="clear" w:color="auto" w:fill="auto"/>
          </w:tcPr>
          <w:p w14:paraId="40CB29A9" w14:textId="77777777" w:rsidR="00584FB3" w:rsidRDefault="00584FB3">
            <w:pPr>
              <w:rPr>
                <w:rFonts w:ascii="宋体"/>
                <w:vanish/>
              </w:rPr>
            </w:pPr>
          </w:p>
        </w:tc>
        <w:tc>
          <w:tcPr>
            <w:tcW w:w="0" w:type="auto"/>
            <w:gridSpan w:val="3"/>
            <w:shd w:val="clear" w:color="auto" w:fill="auto"/>
          </w:tcPr>
          <w:p w14:paraId="40CB29AA" w14:textId="77777777" w:rsidR="00584FB3" w:rsidRDefault="00584FB3">
            <w:pPr>
              <w:rPr>
                <w:rFonts w:ascii="宋体"/>
                <w:vanish/>
              </w:rPr>
            </w:pPr>
          </w:p>
        </w:tc>
        <w:tc>
          <w:tcPr>
            <w:tcW w:w="0" w:type="auto"/>
            <w:shd w:val="clear" w:color="auto" w:fill="auto"/>
          </w:tcPr>
          <w:p w14:paraId="40CB29AB" w14:textId="77777777" w:rsidR="00584FB3" w:rsidRDefault="00584FB3">
            <w:pPr>
              <w:rPr>
                <w:rFonts w:ascii="宋体"/>
              </w:rPr>
            </w:pPr>
          </w:p>
        </w:tc>
        <w:tc>
          <w:tcPr>
            <w:tcW w:w="0" w:type="auto"/>
            <w:shd w:val="clear" w:color="auto" w:fill="auto"/>
          </w:tcPr>
          <w:p w14:paraId="40CB29AC" w14:textId="77777777" w:rsidR="00584FB3" w:rsidRDefault="00584FB3">
            <w:pPr>
              <w:rPr>
                <w:rFonts w:ascii="宋体"/>
              </w:rPr>
            </w:pPr>
          </w:p>
        </w:tc>
        <w:tc>
          <w:tcPr>
            <w:tcW w:w="0" w:type="auto"/>
            <w:shd w:val="clear" w:color="auto" w:fill="auto"/>
          </w:tcPr>
          <w:p w14:paraId="40CB29AD" w14:textId="77777777" w:rsidR="00584FB3" w:rsidRDefault="00584FB3">
            <w:pPr>
              <w:rPr>
                <w:rFonts w:ascii="宋体"/>
              </w:rPr>
            </w:pPr>
          </w:p>
        </w:tc>
        <w:tc>
          <w:tcPr>
            <w:tcW w:w="0" w:type="auto"/>
            <w:shd w:val="clear" w:color="auto" w:fill="auto"/>
          </w:tcPr>
          <w:p w14:paraId="40CB29AE" w14:textId="77777777" w:rsidR="00584FB3" w:rsidRDefault="00584FB3">
            <w:pPr>
              <w:rPr>
                <w:rFonts w:ascii="宋体"/>
              </w:rPr>
            </w:pPr>
          </w:p>
        </w:tc>
        <w:tc>
          <w:tcPr>
            <w:tcW w:w="0" w:type="auto"/>
            <w:shd w:val="clear" w:color="auto" w:fill="auto"/>
          </w:tcPr>
          <w:p w14:paraId="40CB29AF" w14:textId="77777777" w:rsidR="00584FB3" w:rsidRDefault="00584FB3">
            <w:pPr>
              <w:rPr>
                <w:rFonts w:ascii="宋体"/>
              </w:rPr>
            </w:pPr>
          </w:p>
        </w:tc>
        <w:tc>
          <w:tcPr>
            <w:tcW w:w="0" w:type="auto"/>
            <w:shd w:val="clear" w:color="auto" w:fill="auto"/>
          </w:tcPr>
          <w:p w14:paraId="40CB29B0" w14:textId="77777777" w:rsidR="00584FB3" w:rsidRDefault="00584FB3">
            <w:pPr>
              <w:rPr>
                <w:rFonts w:ascii="宋体"/>
              </w:rPr>
            </w:pPr>
          </w:p>
        </w:tc>
        <w:tc>
          <w:tcPr>
            <w:tcW w:w="0" w:type="auto"/>
            <w:shd w:val="clear" w:color="auto" w:fill="auto"/>
          </w:tcPr>
          <w:p w14:paraId="40CB29B1" w14:textId="77777777" w:rsidR="00584FB3" w:rsidRDefault="00584FB3">
            <w:pPr>
              <w:rPr>
                <w:rFonts w:ascii="宋体"/>
              </w:rPr>
            </w:pPr>
          </w:p>
        </w:tc>
        <w:tc>
          <w:tcPr>
            <w:tcW w:w="0" w:type="auto"/>
            <w:shd w:val="clear" w:color="auto" w:fill="auto"/>
          </w:tcPr>
          <w:p w14:paraId="40CB29B2" w14:textId="77777777" w:rsidR="00584FB3" w:rsidRDefault="00584FB3">
            <w:pPr>
              <w:rPr>
                <w:rFonts w:ascii="宋体"/>
              </w:rPr>
            </w:pPr>
          </w:p>
        </w:tc>
        <w:tc>
          <w:tcPr>
            <w:tcW w:w="0" w:type="auto"/>
            <w:shd w:val="clear" w:color="auto" w:fill="auto"/>
          </w:tcPr>
          <w:p w14:paraId="40CB29B3" w14:textId="77777777" w:rsidR="00584FB3" w:rsidRDefault="00584FB3">
            <w:pPr>
              <w:rPr>
                <w:rFonts w:ascii="宋体"/>
              </w:rPr>
            </w:pPr>
          </w:p>
        </w:tc>
        <w:tc>
          <w:tcPr>
            <w:tcW w:w="0" w:type="auto"/>
            <w:shd w:val="clear" w:color="auto" w:fill="auto"/>
          </w:tcPr>
          <w:p w14:paraId="40CB29B4" w14:textId="77777777" w:rsidR="00584FB3" w:rsidRDefault="00584FB3">
            <w:pPr>
              <w:rPr>
                <w:rFonts w:ascii="宋体"/>
              </w:rPr>
            </w:pPr>
          </w:p>
        </w:tc>
        <w:tc>
          <w:tcPr>
            <w:tcW w:w="0" w:type="auto"/>
            <w:shd w:val="clear" w:color="auto" w:fill="auto"/>
          </w:tcPr>
          <w:p w14:paraId="40CB29B5" w14:textId="77777777" w:rsidR="00584FB3" w:rsidRDefault="00584FB3">
            <w:pPr>
              <w:rPr>
                <w:rFonts w:ascii="宋体"/>
              </w:rPr>
            </w:pPr>
          </w:p>
        </w:tc>
        <w:tc>
          <w:tcPr>
            <w:tcW w:w="0" w:type="auto"/>
            <w:shd w:val="clear" w:color="auto" w:fill="auto"/>
          </w:tcPr>
          <w:p w14:paraId="40CB29B6" w14:textId="77777777" w:rsidR="00584FB3" w:rsidRDefault="00584FB3">
            <w:pPr>
              <w:rPr>
                <w:rFonts w:ascii="宋体"/>
              </w:rPr>
            </w:pPr>
          </w:p>
        </w:tc>
        <w:tc>
          <w:tcPr>
            <w:tcW w:w="0" w:type="auto"/>
            <w:shd w:val="clear" w:color="auto" w:fill="auto"/>
          </w:tcPr>
          <w:p w14:paraId="40CB29B7" w14:textId="77777777" w:rsidR="00584FB3" w:rsidRDefault="00584FB3">
            <w:pPr>
              <w:rPr>
                <w:rFonts w:ascii="宋体"/>
              </w:rPr>
            </w:pPr>
          </w:p>
        </w:tc>
        <w:tc>
          <w:tcPr>
            <w:tcW w:w="0" w:type="auto"/>
            <w:shd w:val="clear" w:color="auto" w:fill="auto"/>
          </w:tcPr>
          <w:p w14:paraId="40CB29B8" w14:textId="77777777" w:rsidR="00584FB3" w:rsidRDefault="00584FB3">
            <w:pPr>
              <w:rPr>
                <w:rFonts w:ascii="宋体"/>
              </w:rPr>
            </w:pPr>
          </w:p>
        </w:tc>
        <w:tc>
          <w:tcPr>
            <w:tcW w:w="0" w:type="auto"/>
            <w:shd w:val="clear" w:color="auto" w:fill="auto"/>
          </w:tcPr>
          <w:p w14:paraId="40CB29B9" w14:textId="77777777" w:rsidR="00584FB3" w:rsidRDefault="00584FB3">
            <w:pPr>
              <w:rPr>
                <w:rFonts w:ascii="宋体"/>
              </w:rPr>
            </w:pPr>
          </w:p>
        </w:tc>
      </w:tr>
    </w:tbl>
    <w:p w14:paraId="40CB29BB" w14:textId="77777777" w:rsidR="00584FB3" w:rsidRDefault="00584FB3"/>
    <w:p w14:paraId="40CB29BC" w14:textId="77777777" w:rsidR="00584FB3" w:rsidRDefault="00786180">
      <w:r>
        <w:rPr>
          <w:rFonts w:ascii="Times New Roman" w:eastAsia="宋体" w:hAnsi="Times New Roman"/>
          <w:color w:val="000000"/>
          <w:sz w:val="20"/>
          <w:szCs w:val="20"/>
        </w:rPr>
        <w:t>* Furnished herewith.</w:t>
      </w:r>
    </w:p>
    <w:p w14:paraId="40CB29BD" w14:textId="77777777" w:rsidR="00584FB3" w:rsidRDefault="00584FB3"/>
    <w:p w14:paraId="40CB29BE" w14:textId="77777777" w:rsidR="00584FB3" w:rsidRDefault="00584FB3"/>
    <w:p w14:paraId="40CB29BF" w14:textId="77777777" w:rsidR="00584FB3" w:rsidRDefault="00786180">
      <w:pPr>
        <w:jc w:val="center"/>
      </w:pPr>
      <w:r>
        <w:rPr>
          <w:rFonts w:ascii="Times New Roman" w:eastAsia="宋体" w:hAnsi="Times New Roman"/>
          <w:color w:val="000000"/>
          <w:sz w:val="20"/>
          <w:szCs w:val="20"/>
        </w:rPr>
        <w:t>38</w:t>
      </w:r>
    </w:p>
    <w:p w14:paraId="40CB29C0" w14:textId="77777777" w:rsidR="00584FB3" w:rsidRDefault="00786180">
      <w:r>
        <w:pict w14:anchorId="40CB2A5B">
          <v:rect id="_x0000_i1062" style="width:415.3pt;height:1.5pt" o:hralign="center" o:hrstd="t" o:hr="t" fillcolor="#a0a0a0" stroked="f"/>
        </w:pict>
      </w:r>
    </w:p>
    <w:p w14:paraId="40CB29C1" w14:textId="77777777" w:rsidR="00584FB3" w:rsidRDefault="00786180">
      <w:hyperlink r:id="rId131" w:anchor="i11706e4b673c41db9f2dcbdb897203bb_7" w:history="1">
        <w:r>
          <w:rPr>
            <w:rStyle w:val="a5"/>
            <w:rFonts w:ascii="Times New Roman" w:eastAsia="宋体" w:hAnsi="Times New Roman"/>
            <w:sz w:val="20"/>
            <w:szCs w:val="20"/>
          </w:rPr>
          <w:t>Table of Contents</w:t>
        </w:r>
      </w:hyperlink>
    </w:p>
    <w:p w14:paraId="40CB29C2" w14:textId="77777777" w:rsidR="00584FB3" w:rsidRDefault="00786180">
      <w:pPr>
        <w:jc w:val="center"/>
      </w:pPr>
      <w:r>
        <w:rPr>
          <w:rFonts w:ascii="Times New Roman" w:eastAsia="宋体" w:hAnsi="Times New Roman"/>
          <w:b/>
          <w:bCs/>
          <w:color w:val="000000"/>
          <w:sz w:val="20"/>
          <w:szCs w:val="20"/>
        </w:rPr>
        <w:t>SIGNATURES</w:t>
      </w:r>
    </w:p>
    <w:p w14:paraId="40CB29C3" w14:textId="77777777" w:rsidR="00584FB3" w:rsidRDefault="00786180">
      <w:pPr>
        <w:spacing w:before="100"/>
      </w:pPr>
      <w:r>
        <w:rPr>
          <w:rFonts w:ascii="Times New Roman" w:eastAsia="宋体" w:hAnsi="Times New Roman"/>
          <w:color w:val="000000"/>
          <w:sz w:val="20"/>
          <w:szCs w:val="20"/>
        </w:rPr>
        <w:t>Pursuant to the requirements of the Securities Exchange Act of 1934, the r</w:t>
      </w:r>
      <w:r>
        <w:rPr>
          <w:rFonts w:ascii="Times New Roman" w:eastAsia="宋体" w:hAnsi="Times New Roman"/>
          <w:color w:val="000000"/>
          <w:sz w:val="20"/>
          <w:szCs w:val="20"/>
        </w:rPr>
        <w:t>egistrant has duly caused this report to be signed on its behalf by the undersigned thereunto duly authorized.</w:t>
      </w:r>
    </w:p>
    <w:p w14:paraId="40CB29C4" w14:textId="77777777" w:rsidR="00584FB3" w:rsidRDefault="00786180">
      <w:pPr>
        <w:spacing w:before="180"/>
      </w:pPr>
      <w:r>
        <w:rPr>
          <w:rFonts w:ascii="Times New Roman" w:eastAsia="宋体" w:hAnsi="Times New Roman"/>
          <w:color w:val="000000"/>
          <w:sz w:val="20"/>
          <w:szCs w:val="20"/>
        </w:rPr>
        <w:t xml:space="preserve">January 26, 2021 </w:t>
      </w:r>
    </w:p>
    <w:p w14:paraId="40CB29C5" w14:textId="77777777" w:rsidR="00584FB3" w:rsidRDefault="00786180">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63"/>
        <w:gridCol w:w="4958"/>
        <w:gridCol w:w="36"/>
        <w:gridCol w:w="80"/>
        <w:gridCol w:w="240"/>
        <w:gridCol w:w="37"/>
        <w:gridCol w:w="36"/>
        <w:gridCol w:w="36"/>
        <w:gridCol w:w="36"/>
        <w:gridCol w:w="40"/>
        <w:gridCol w:w="2713"/>
        <w:gridCol w:w="36"/>
      </w:tblGrid>
      <w:tr w:rsidR="00584FB3" w14:paraId="40CB29D2" w14:textId="77777777">
        <w:tc>
          <w:tcPr>
            <w:tcW w:w="50" w:type="pct"/>
            <w:shd w:val="clear" w:color="auto" w:fill="auto"/>
          </w:tcPr>
          <w:p w14:paraId="40CB29C6" w14:textId="77777777" w:rsidR="00584FB3" w:rsidRDefault="00584FB3">
            <w:pPr>
              <w:rPr>
                <w:rFonts w:ascii="宋体"/>
              </w:rPr>
            </w:pPr>
          </w:p>
        </w:tc>
        <w:tc>
          <w:tcPr>
            <w:tcW w:w="2994" w:type="pct"/>
            <w:shd w:val="clear" w:color="auto" w:fill="auto"/>
          </w:tcPr>
          <w:p w14:paraId="40CB29C7" w14:textId="77777777" w:rsidR="00584FB3" w:rsidRDefault="00584FB3">
            <w:pPr>
              <w:rPr>
                <w:rFonts w:ascii="宋体"/>
              </w:rPr>
            </w:pPr>
          </w:p>
        </w:tc>
        <w:tc>
          <w:tcPr>
            <w:tcW w:w="5" w:type="pct"/>
            <w:shd w:val="clear" w:color="auto" w:fill="auto"/>
          </w:tcPr>
          <w:p w14:paraId="40CB29C8" w14:textId="77777777" w:rsidR="00584FB3" w:rsidRDefault="00584FB3">
            <w:pPr>
              <w:rPr>
                <w:rFonts w:ascii="宋体"/>
              </w:rPr>
            </w:pPr>
          </w:p>
        </w:tc>
        <w:tc>
          <w:tcPr>
            <w:tcW w:w="50" w:type="pct"/>
            <w:shd w:val="clear" w:color="auto" w:fill="auto"/>
          </w:tcPr>
          <w:p w14:paraId="40CB29C9" w14:textId="77777777" w:rsidR="00584FB3" w:rsidRDefault="00584FB3">
            <w:pPr>
              <w:rPr>
                <w:rFonts w:ascii="宋体"/>
              </w:rPr>
            </w:pPr>
          </w:p>
        </w:tc>
        <w:tc>
          <w:tcPr>
            <w:tcW w:w="150" w:type="pct"/>
            <w:shd w:val="clear" w:color="auto" w:fill="auto"/>
          </w:tcPr>
          <w:p w14:paraId="40CB29CA" w14:textId="77777777" w:rsidR="00584FB3" w:rsidRDefault="00584FB3">
            <w:pPr>
              <w:rPr>
                <w:rFonts w:ascii="宋体"/>
              </w:rPr>
            </w:pPr>
          </w:p>
        </w:tc>
        <w:tc>
          <w:tcPr>
            <w:tcW w:w="5" w:type="pct"/>
            <w:shd w:val="clear" w:color="auto" w:fill="auto"/>
          </w:tcPr>
          <w:p w14:paraId="40CB29CB" w14:textId="77777777" w:rsidR="00584FB3" w:rsidRDefault="00584FB3">
            <w:pPr>
              <w:rPr>
                <w:rFonts w:ascii="宋体"/>
              </w:rPr>
            </w:pPr>
          </w:p>
        </w:tc>
        <w:tc>
          <w:tcPr>
            <w:tcW w:w="5" w:type="pct"/>
            <w:shd w:val="clear" w:color="auto" w:fill="auto"/>
          </w:tcPr>
          <w:p w14:paraId="40CB29CC" w14:textId="77777777" w:rsidR="00584FB3" w:rsidRDefault="00584FB3">
            <w:pPr>
              <w:rPr>
                <w:rFonts w:ascii="宋体"/>
              </w:rPr>
            </w:pPr>
          </w:p>
        </w:tc>
        <w:tc>
          <w:tcPr>
            <w:tcW w:w="26" w:type="pct"/>
            <w:shd w:val="clear" w:color="auto" w:fill="auto"/>
          </w:tcPr>
          <w:p w14:paraId="40CB29CD" w14:textId="77777777" w:rsidR="00584FB3" w:rsidRDefault="00584FB3">
            <w:pPr>
              <w:rPr>
                <w:rFonts w:ascii="宋体"/>
              </w:rPr>
            </w:pPr>
          </w:p>
        </w:tc>
        <w:tc>
          <w:tcPr>
            <w:tcW w:w="5" w:type="pct"/>
            <w:shd w:val="clear" w:color="auto" w:fill="auto"/>
          </w:tcPr>
          <w:p w14:paraId="40CB29CE" w14:textId="77777777" w:rsidR="00584FB3" w:rsidRDefault="00584FB3">
            <w:pPr>
              <w:rPr>
                <w:rFonts w:ascii="宋体"/>
              </w:rPr>
            </w:pPr>
          </w:p>
        </w:tc>
        <w:tc>
          <w:tcPr>
            <w:tcW w:w="50" w:type="pct"/>
            <w:shd w:val="clear" w:color="auto" w:fill="auto"/>
          </w:tcPr>
          <w:p w14:paraId="40CB29CF" w14:textId="77777777" w:rsidR="00584FB3" w:rsidRDefault="00584FB3">
            <w:pPr>
              <w:rPr>
                <w:rFonts w:ascii="宋体"/>
              </w:rPr>
            </w:pPr>
          </w:p>
        </w:tc>
        <w:tc>
          <w:tcPr>
            <w:tcW w:w="1653" w:type="pct"/>
            <w:shd w:val="clear" w:color="auto" w:fill="auto"/>
          </w:tcPr>
          <w:p w14:paraId="40CB29D0" w14:textId="77777777" w:rsidR="00584FB3" w:rsidRDefault="00584FB3">
            <w:pPr>
              <w:rPr>
                <w:rFonts w:ascii="宋体"/>
              </w:rPr>
            </w:pPr>
          </w:p>
        </w:tc>
        <w:tc>
          <w:tcPr>
            <w:tcW w:w="5" w:type="pct"/>
            <w:shd w:val="clear" w:color="auto" w:fill="auto"/>
          </w:tcPr>
          <w:p w14:paraId="40CB29D1" w14:textId="77777777" w:rsidR="00584FB3" w:rsidRDefault="00584FB3">
            <w:pPr>
              <w:rPr>
                <w:rFonts w:ascii="宋体"/>
              </w:rPr>
            </w:pPr>
          </w:p>
        </w:tc>
      </w:tr>
      <w:tr w:rsidR="00584FB3" w14:paraId="40CB29D5" w14:textId="77777777">
        <w:tc>
          <w:tcPr>
            <w:tcW w:w="0" w:type="auto"/>
            <w:gridSpan w:val="3"/>
            <w:shd w:val="clear" w:color="auto" w:fill="auto"/>
            <w:tcMar>
              <w:top w:w="0" w:type="dxa"/>
              <w:left w:w="20" w:type="dxa"/>
              <w:bottom w:w="0" w:type="dxa"/>
              <w:right w:w="20" w:type="dxa"/>
            </w:tcMar>
          </w:tcPr>
          <w:p w14:paraId="40CB29D3" w14:textId="77777777" w:rsidR="00584FB3" w:rsidRDefault="00584FB3">
            <w:pPr>
              <w:rPr>
                <w:rFonts w:ascii="宋体"/>
              </w:rPr>
            </w:pPr>
          </w:p>
        </w:tc>
        <w:tc>
          <w:tcPr>
            <w:tcW w:w="0" w:type="auto"/>
            <w:gridSpan w:val="9"/>
            <w:shd w:val="clear" w:color="auto" w:fill="auto"/>
            <w:tcMar>
              <w:top w:w="40" w:type="dxa"/>
              <w:left w:w="20" w:type="dxa"/>
              <w:bottom w:w="40" w:type="dxa"/>
              <w:right w:w="20" w:type="dxa"/>
            </w:tcMar>
          </w:tcPr>
          <w:p w14:paraId="40CB29D4" w14:textId="77777777" w:rsidR="00584FB3" w:rsidRDefault="00786180">
            <w:pPr>
              <w:textAlignment w:val="top"/>
            </w:pPr>
            <w:r>
              <w:rPr>
                <w:rFonts w:ascii="Times New Roman" w:eastAsia="宋体" w:hAnsi="Times New Roman"/>
                <w:b/>
                <w:bCs/>
                <w:color w:val="000000"/>
                <w:sz w:val="20"/>
                <w:szCs w:val="20"/>
              </w:rPr>
              <w:t>STARBUCKS CORPORATION</w:t>
            </w:r>
          </w:p>
        </w:tc>
      </w:tr>
      <w:tr w:rsidR="00584FB3" w14:paraId="40CB29D9" w14:textId="77777777">
        <w:trPr>
          <w:trHeight w:val="300"/>
        </w:trPr>
        <w:tc>
          <w:tcPr>
            <w:tcW w:w="0" w:type="auto"/>
            <w:gridSpan w:val="3"/>
            <w:shd w:val="clear" w:color="auto" w:fill="auto"/>
            <w:tcMar>
              <w:top w:w="0" w:type="dxa"/>
              <w:left w:w="20" w:type="dxa"/>
              <w:bottom w:w="0" w:type="dxa"/>
              <w:right w:w="20" w:type="dxa"/>
            </w:tcMar>
          </w:tcPr>
          <w:p w14:paraId="40CB29D6"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9D7" w14:textId="77777777" w:rsidR="00584FB3" w:rsidRDefault="00584FB3">
            <w:pPr>
              <w:rPr>
                <w:rFonts w:ascii="宋体"/>
              </w:rPr>
            </w:pPr>
          </w:p>
        </w:tc>
        <w:tc>
          <w:tcPr>
            <w:tcW w:w="0" w:type="auto"/>
            <w:gridSpan w:val="6"/>
            <w:shd w:val="clear" w:color="auto" w:fill="auto"/>
            <w:tcMar>
              <w:top w:w="0" w:type="dxa"/>
              <w:left w:w="20" w:type="dxa"/>
              <w:bottom w:w="0" w:type="dxa"/>
              <w:right w:w="20" w:type="dxa"/>
            </w:tcMar>
          </w:tcPr>
          <w:p w14:paraId="40CB29D8" w14:textId="77777777" w:rsidR="00584FB3" w:rsidRDefault="00584FB3">
            <w:pPr>
              <w:rPr>
                <w:rFonts w:ascii="宋体"/>
              </w:rPr>
            </w:pPr>
          </w:p>
        </w:tc>
      </w:tr>
      <w:tr w:rsidR="00584FB3" w14:paraId="40CB29DE" w14:textId="77777777">
        <w:tc>
          <w:tcPr>
            <w:tcW w:w="0" w:type="auto"/>
            <w:gridSpan w:val="3"/>
            <w:shd w:val="clear" w:color="auto" w:fill="auto"/>
            <w:tcMar>
              <w:top w:w="0" w:type="dxa"/>
              <w:left w:w="20" w:type="dxa"/>
              <w:bottom w:w="0" w:type="dxa"/>
              <w:right w:w="20" w:type="dxa"/>
            </w:tcMar>
          </w:tcPr>
          <w:p w14:paraId="40CB29DA"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tcPr>
          <w:p w14:paraId="40CB29DB" w14:textId="77777777" w:rsidR="00584FB3" w:rsidRDefault="00786180">
            <w:pP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0CB29DC"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B29DD" w14:textId="77777777" w:rsidR="00584FB3" w:rsidRDefault="00786180">
            <w:pPr>
              <w:textAlignment w:val="bottom"/>
            </w:pPr>
            <w:r>
              <w:rPr>
                <w:rFonts w:ascii="Times New Roman" w:eastAsia="宋体" w:hAnsi="Times New Roman"/>
                <w:color w:val="000000"/>
                <w:sz w:val="20"/>
                <w:szCs w:val="20"/>
              </w:rPr>
              <w:t>/s/ Patrick J. Grismer</w:t>
            </w:r>
          </w:p>
        </w:tc>
      </w:tr>
      <w:tr w:rsidR="00584FB3" w14:paraId="40CB29E3" w14:textId="77777777">
        <w:tc>
          <w:tcPr>
            <w:tcW w:w="0" w:type="auto"/>
            <w:gridSpan w:val="3"/>
            <w:shd w:val="clear" w:color="auto" w:fill="auto"/>
            <w:tcMar>
              <w:top w:w="0" w:type="dxa"/>
              <w:left w:w="20" w:type="dxa"/>
              <w:bottom w:w="0" w:type="dxa"/>
              <w:right w:w="20" w:type="dxa"/>
            </w:tcMar>
          </w:tcPr>
          <w:p w14:paraId="40CB29DF"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9E0"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9E1" w14:textId="77777777" w:rsidR="00584FB3" w:rsidRDefault="00584FB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CB29E2" w14:textId="77777777" w:rsidR="00584FB3" w:rsidRDefault="00786180">
            <w:pPr>
              <w:textAlignment w:val="bottom"/>
            </w:pPr>
            <w:r>
              <w:rPr>
                <w:rFonts w:ascii="Times New Roman" w:eastAsia="宋体" w:hAnsi="Times New Roman"/>
                <w:color w:val="000000"/>
                <w:sz w:val="20"/>
                <w:szCs w:val="20"/>
              </w:rPr>
              <w:t>Patrick J. Grismer</w:t>
            </w:r>
          </w:p>
        </w:tc>
      </w:tr>
      <w:tr w:rsidR="00584FB3" w14:paraId="40CB29E8" w14:textId="77777777">
        <w:tc>
          <w:tcPr>
            <w:tcW w:w="0" w:type="auto"/>
            <w:gridSpan w:val="3"/>
            <w:shd w:val="clear" w:color="auto" w:fill="auto"/>
            <w:tcMar>
              <w:top w:w="0" w:type="dxa"/>
              <w:left w:w="20" w:type="dxa"/>
              <w:bottom w:w="0" w:type="dxa"/>
              <w:right w:w="20" w:type="dxa"/>
            </w:tcMar>
          </w:tcPr>
          <w:p w14:paraId="40CB29E4"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9E5"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9E6"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B29E7" w14:textId="77777777" w:rsidR="00584FB3" w:rsidRDefault="00786180">
            <w:pPr>
              <w:textAlignment w:val="bottom"/>
            </w:pPr>
            <w:r>
              <w:rPr>
                <w:rFonts w:ascii="Times New Roman" w:eastAsia="宋体" w:hAnsi="Times New Roman"/>
                <w:color w:val="000000"/>
                <w:sz w:val="20"/>
                <w:szCs w:val="20"/>
              </w:rPr>
              <w:t xml:space="preserve">executive vice </w:t>
            </w:r>
            <w:r>
              <w:rPr>
                <w:rFonts w:ascii="Times New Roman" w:eastAsia="宋体" w:hAnsi="Times New Roman"/>
                <w:color w:val="000000"/>
                <w:sz w:val="20"/>
                <w:szCs w:val="20"/>
              </w:rPr>
              <w:t>president, chief financial officer</w:t>
            </w:r>
          </w:p>
        </w:tc>
      </w:tr>
      <w:tr w:rsidR="00584FB3" w14:paraId="40CB29EE" w14:textId="77777777">
        <w:tc>
          <w:tcPr>
            <w:tcW w:w="0" w:type="auto"/>
            <w:gridSpan w:val="3"/>
            <w:shd w:val="clear" w:color="auto" w:fill="auto"/>
            <w:tcMar>
              <w:top w:w="0" w:type="dxa"/>
              <w:left w:w="20" w:type="dxa"/>
              <w:bottom w:w="0" w:type="dxa"/>
              <w:right w:w="20" w:type="dxa"/>
            </w:tcMar>
          </w:tcPr>
          <w:p w14:paraId="40CB29E9"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9EA" w14:textId="77777777" w:rsidR="00584FB3" w:rsidRDefault="00584FB3">
            <w:pPr>
              <w:rPr>
                <w:rFonts w:ascii="宋体"/>
              </w:rPr>
            </w:pPr>
          </w:p>
        </w:tc>
        <w:tc>
          <w:tcPr>
            <w:tcW w:w="0" w:type="auto"/>
            <w:gridSpan w:val="3"/>
            <w:shd w:val="clear" w:color="auto" w:fill="auto"/>
            <w:tcMar>
              <w:top w:w="0" w:type="dxa"/>
              <w:left w:w="20" w:type="dxa"/>
              <w:bottom w:w="0" w:type="dxa"/>
              <w:right w:w="20" w:type="dxa"/>
            </w:tcMar>
          </w:tcPr>
          <w:p w14:paraId="40CB29EB" w14:textId="77777777" w:rsidR="00584FB3" w:rsidRDefault="00584FB3">
            <w:pPr>
              <w:rPr>
                <w:rFonts w:ascii="宋体"/>
              </w:rPr>
            </w:pPr>
          </w:p>
        </w:tc>
        <w:tc>
          <w:tcPr>
            <w:tcW w:w="0" w:type="auto"/>
            <w:gridSpan w:val="3"/>
            <w:shd w:val="clear" w:color="auto" w:fill="auto"/>
            <w:tcMar>
              <w:top w:w="40" w:type="dxa"/>
              <w:left w:w="20" w:type="dxa"/>
              <w:bottom w:w="40" w:type="dxa"/>
              <w:right w:w="20" w:type="dxa"/>
            </w:tcMar>
            <w:vAlign w:val="bottom"/>
          </w:tcPr>
          <w:p w14:paraId="40CB29EC" w14:textId="77777777" w:rsidR="00584FB3" w:rsidRDefault="00786180">
            <w:pPr>
              <w:textAlignment w:val="bottom"/>
            </w:pPr>
            <w:r>
              <w:rPr>
                <w:rFonts w:ascii="Times New Roman" w:eastAsia="宋体" w:hAnsi="Times New Roman"/>
                <w:color w:val="000000"/>
                <w:sz w:val="20"/>
                <w:szCs w:val="20"/>
              </w:rPr>
              <w:t>Signing on behalf of the registrant and as</w:t>
            </w:r>
          </w:p>
          <w:p w14:paraId="40CB29ED" w14:textId="77777777" w:rsidR="00584FB3" w:rsidRDefault="00786180">
            <w:pPr>
              <w:textAlignment w:val="bottom"/>
            </w:pPr>
            <w:r>
              <w:rPr>
                <w:rFonts w:ascii="Times New Roman" w:eastAsia="宋体" w:hAnsi="Times New Roman"/>
                <w:color w:val="000000"/>
                <w:sz w:val="20"/>
                <w:szCs w:val="20"/>
              </w:rPr>
              <w:t>principal financial officer</w:t>
            </w:r>
          </w:p>
        </w:tc>
      </w:tr>
    </w:tbl>
    <w:p w14:paraId="40CB29EF" w14:textId="77777777" w:rsidR="00584FB3" w:rsidRDefault="00584FB3"/>
    <w:p w14:paraId="40CB29F0" w14:textId="77777777" w:rsidR="00584FB3" w:rsidRDefault="00786180">
      <w:pPr>
        <w:jc w:val="center"/>
      </w:pPr>
      <w:r>
        <w:rPr>
          <w:rFonts w:ascii="Times New Roman" w:eastAsia="宋体" w:hAnsi="Times New Roman"/>
          <w:color w:val="000000"/>
          <w:sz w:val="20"/>
          <w:szCs w:val="20"/>
        </w:rPr>
        <w:t>39</w:t>
      </w:r>
    </w:p>
    <w:p w14:paraId="40CB29F1" w14:textId="77777777" w:rsidR="00584FB3" w:rsidRDefault="0078618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0CB2A5C" wp14:editId="40CB2A5D">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9F3" w14:textId="77777777">
        <w:trPr>
          <w:tblCellSpacing w:w="15" w:type="dxa"/>
        </w:trPr>
        <w:tc>
          <w:tcPr>
            <w:tcW w:w="0" w:type="auto"/>
            <w:shd w:val="clear" w:color="auto" w:fill="auto"/>
            <w:vAlign w:val="center"/>
          </w:tcPr>
          <w:p w14:paraId="40CB29F2" w14:textId="77777777" w:rsidR="00584FB3" w:rsidRDefault="00584FB3">
            <w:pPr>
              <w:rPr>
                <w:rFonts w:ascii="宋体"/>
              </w:rPr>
            </w:pPr>
          </w:p>
        </w:tc>
      </w:tr>
    </w:tbl>
    <w:p w14:paraId="40CB29F4"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9F6" w14:textId="77777777">
        <w:trPr>
          <w:tblCellSpacing w:w="15" w:type="dxa"/>
        </w:trPr>
        <w:tc>
          <w:tcPr>
            <w:tcW w:w="0" w:type="auto"/>
            <w:shd w:val="clear" w:color="auto" w:fill="auto"/>
            <w:vAlign w:val="center"/>
          </w:tcPr>
          <w:p w14:paraId="40CB29F5" w14:textId="77777777" w:rsidR="00584FB3" w:rsidRDefault="00584FB3">
            <w:pPr>
              <w:rPr>
                <w:rFonts w:ascii="宋体"/>
              </w:rPr>
            </w:pPr>
          </w:p>
        </w:tc>
      </w:tr>
    </w:tbl>
    <w:p w14:paraId="40CB29F7"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9F9" w14:textId="77777777">
        <w:trPr>
          <w:tblCellSpacing w:w="15" w:type="dxa"/>
        </w:trPr>
        <w:tc>
          <w:tcPr>
            <w:tcW w:w="0" w:type="auto"/>
            <w:shd w:val="clear" w:color="auto" w:fill="auto"/>
            <w:vAlign w:val="center"/>
          </w:tcPr>
          <w:p w14:paraId="40CB29F8" w14:textId="77777777" w:rsidR="00584FB3" w:rsidRDefault="00584FB3">
            <w:pPr>
              <w:rPr>
                <w:rFonts w:ascii="宋体"/>
              </w:rPr>
            </w:pPr>
          </w:p>
        </w:tc>
      </w:tr>
    </w:tbl>
    <w:p w14:paraId="40CB29FA"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9FC" w14:textId="77777777">
        <w:trPr>
          <w:tblCellSpacing w:w="15" w:type="dxa"/>
        </w:trPr>
        <w:tc>
          <w:tcPr>
            <w:tcW w:w="0" w:type="auto"/>
            <w:shd w:val="clear" w:color="auto" w:fill="auto"/>
            <w:vAlign w:val="center"/>
          </w:tcPr>
          <w:p w14:paraId="40CB29FB" w14:textId="77777777" w:rsidR="00584FB3" w:rsidRDefault="00584FB3">
            <w:pPr>
              <w:rPr>
                <w:rFonts w:ascii="宋体"/>
              </w:rPr>
            </w:pPr>
          </w:p>
        </w:tc>
      </w:tr>
    </w:tbl>
    <w:p w14:paraId="40CB29FD" w14:textId="77777777" w:rsidR="00584FB3" w:rsidRDefault="00786180">
      <w:r>
        <w:rPr>
          <w:rFonts w:ascii="宋体" w:eastAsia="宋体" w:hAnsi="宋体" w:cs="宋体"/>
        </w:rPr>
        <w:t xml:space="preserve">Previous Next </w:t>
      </w:r>
    </w:p>
    <w:p w14:paraId="40CB29FE" w14:textId="77777777" w:rsidR="00584FB3" w:rsidRDefault="00786180">
      <w:pPr>
        <w:pStyle w:val="a3"/>
      </w:pPr>
      <w:r>
        <w:t>Settings</w:t>
      </w:r>
    </w:p>
    <w:p w14:paraId="40CB29FF" w14:textId="77777777" w:rsidR="00584FB3" w:rsidRDefault="00786180">
      <w:pPr>
        <w:pStyle w:val="Style4"/>
      </w:pPr>
      <w:r>
        <w:t>窗体顶端</w:t>
      </w:r>
    </w:p>
    <w:p w14:paraId="40CB2A00" w14:textId="77777777" w:rsidR="00584FB3" w:rsidRDefault="0078618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0CB2A5E" wp14:editId="40CB2A5F">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0CB2A01" w14:textId="77777777" w:rsidR="00584FB3" w:rsidRDefault="0078618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0CB2A60" wp14:editId="40CB2A61">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0CB2A02" w14:textId="77777777" w:rsidR="00584FB3" w:rsidRDefault="00786180">
      <w:r>
        <w:pict w14:anchorId="40CB2A62">
          <v:rect id="_x0000_i1063" style="width:415.3pt;height:1.5pt" o:hralign="center" o:hrstd="t" o:hr="t" fillcolor="#a0a0a0" stroked="f"/>
        </w:pict>
      </w:r>
    </w:p>
    <w:p w14:paraId="40CB2A03" w14:textId="77777777" w:rsidR="00584FB3" w:rsidRDefault="00786180">
      <w:r>
        <w:rPr>
          <w:rFonts w:ascii="宋体" w:eastAsia="宋体" w:hAnsi="宋体" w:cs="宋体"/>
        </w:rPr>
        <w:t xml:space="preserve">Tagged Data </w:t>
      </w:r>
    </w:p>
    <w:p w14:paraId="40CB2A04" w14:textId="77777777" w:rsidR="00584FB3" w:rsidRDefault="00786180">
      <w:r>
        <w:rPr>
          <w:rFonts w:ascii="monospace" w:eastAsia="monospace" w:hAnsi="monospace" w:cs="monospace"/>
          <w:noProof/>
        </w:rPr>
        <mc:AlternateContent>
          <mc:Choice Requires="wps">
            <w:drawing>
              <wp:inline distT="0" distB="0" distL="114300" distR="114300" wp14:anchorId="40CB2A63" wp14:editId="40CB2A64">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0CB2A05" w14:textId="77777777" w:rsidR="00584FB3" w:rsidRDefault="00786180">
      <w:r>
        <w:rPr>
          <w:rFonts w:ascii="宋体" w:eastAsia="宋体" w:hAnsi="宋体" w:cs="宋体"/>
        </w:rPr>
        <w:t>Save</w:t>
      </w:r>
    </w:p>
    <w:p w14:paraId="40CB2A06" w14:textId="77777777" w:rsidR="00584FB3" w:rsidRDefault="00786180">
      <w:r>
        <w:rPr>
          <w:rFonts w:ascii="宋体" w:eastAsia="宋体" w:hAnsi="宋体" w:cs="宋体"/>
        </w:rPr>
        <w:t>Reset</w:t>
      </w:r>
    </w:p>
    <w:p w14:paraId="40CB2A07" w14:textId="77777777" w:rsidR="00584FB3" w:rsidRDefault="00786180">
      <w:r>
        <w:pict w14:anchorId="40CB2A65">
          <v:rect id="_x0000_i1064" style="width:415.3pt;height:1.5pt" o:hralign="center" o:hrstd="t" o:hr="t" fillcolor="#a0a0a0" stroked="f"/>
        </w:pict>
      </w:r>
    </w:p>
    <w:p w14:paraId="40CB2A08" w14:textId="77777777" w:rsidR="00584FB3" w:rsidRDefault="00786180">
      <w:r>
        <w:rPr>
          <w:rFonts w:ascii="宋体" w:eastAsia="宋体" w:hAnsi="宋体" w:cs="宋体"/>
        </w:rPr>
        <w:t xml:space="preserve">Search Results </w:t>
      </w:r>
    </w:p>
    <w:p w14:paraId="40CB2A09" w14:textId="77777777" w:rsidR="00584FB3" w:rsidRDefault="00786180">
      <w:r>
        <w:rPr>
          <w:rFonts w:ascii="monospace" w:eastAsia="monospace" w:hAnsi="monospace" w:cs="monospace"/>
          <w:noProof/>
        </w:rPr>
        <mc:AlternateContent>
          <mc:Choice Requires="wps">
            <w:drawing>
              <wp:inline distT="0" distB="0" distL="114300" distR="114300" wp14:anchorId="40CB2A66" wp14:editId="40CB2A67">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0CB2A0A" w14:textId="77777777" w:rsidR="00584FB3" w:rsidRDefault="00786180">
      <w:r>
        <w:rPr>
          <w:rFonts w:ascii="宋体" w:eastAsia="宋体" w:hAnsi="宋体" w:cs="宋体"/>
        </w:rPr>
        <w:t>Save</w:t>
      </w:r>
    </w:p>
    <w:p w14:paraId="40CB2A0B" w14:textId="77777777" w:rsidR="00584FB3" w:rsidRDefault="00786180">
      <w:r>
        <w:rPr>
          <w:rFonts w:ascii="宋体" w:eastAsia="宋体" w:hAnsi="宋体" w:cs="宋体"/>
        </w:rPr>
        <w:t>Reset</w:t>
      </w:r>
    </w:p>
    <w:p w14:paraId="40CB2A0C" w14:textId="77777777" w:rsidR="00584FB3" w:rsidRDefault="00786180">
      <w:r>
        <w:pict w14:anchorId="40CB2A68">
          <v:rect id="_x0000_i1065" style="width:415.3pt;height:1.5pt" o:hralign="center" o:hrstd="t" o:hr="t" fillcolor="#a0a0a0" stroked="f"/>
        </w:pict>
      </w:r>
    </w:p>
    <w:p w14:paraId="40CB2A0D" w14:textId="77777777" w:rsidR="00584FB3" w:rsidRDefault="00786180">
      <w:r>
        <w:rPr>
          <w:rFonts w:ascii="宋体" w:eastAsia="宋体" w:hAnsi="宋体" w:cs="宋体"/>
        </w:rPr>
        <w:t xml:space="preserve">Selected Fact </w:t>
      </w:r>
    </w:p>
    <w:p w14:paraId="40CB2A0E" w14:textId="77777777" w:rsidR="00584FB3" w:rsidRDefault="00786180">
      <w:r>
        <w:rPr>
          <w:rFonts w:ascii="monospace" w:eastAsia="monospace" w:hAnsi="monospace" w:cs="monospace"/>
          <w:noProof/>
        </w:rPr>
        <mc:AlternateContent>
          <mc:Choice Requires="wps">
            <w:drawing>
              <wp:inline distT="0" distB="0" distL="114300" distR="114300" wp14:anchorId="40CB2A69" wp14:editId="40CB2A6A">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0CB2A0F" w14:textId="77777777" w:rsidR="00584FB3" w:rsidRDefault="00786180">
      <w:r>
        <w:rPr>
          <w:rFonts w:ascii="宋体" w:eastAsia="宋体" w:hAnsi="宋体" w:cs="宋体"/>
        </w:rPr>
        <w:t>Save</w:t>
      </w:r>
    </w:p>
    <w:p w14:paraId="40CB2A10" w14:textId="77777777" w:rsidR="00584FB3" w:rsidRDefault="00786180">
      <w:r>
        <w:rPr>
          <w:rFonts w:ascii="宋体" w:eastAsia="宋体" w:hAnsi="宋体" w:cs="宋体"/>
        </w:rPr>
        <w:t>Reset</w:t>
      </w:r>
    </w:p>
    <w:p w14:paraId="40CB2A11" w14:textId="77777777" w:rsidR="00584FB3" w:rsidRDefault="00786180">
      <w:r>
        <w:pict w14:anchorId="40CB2A6B">
          <v:rect id="_x0000_i1066" style="width:415.3pt;height:1.5pt" o:hralign="center" o:hrstd="t" o:hr="t" fillcolor="#a0a0a0" stroked="f"/>
        </w:pict>
      </w:r>
    </w:p>
    <w:p w14:paraId="40CB2A12" w14:textId="77777777" w:rsidR="00584FB3" w:rsidRDefault="00786180">
      <w:r>
        <w:rPr>
          <w:rFonts w:ascii="宋体" w:eastAsia="宋体" w:hAnsi="宋体" w:cs="宋体"/>
        </w:rPr>
        <w:t xml:space="preserve">Tag Shading (hover) </w:t>
      </w:r>
    </w:p>
    <w:p w14:paraId="40CB2A13" w14:textId="77777777" w:rsidR="00584FB3" w:rsidRDefault="00786180">
      <w:r>
        <w:rPr>
          <w:rFonts w:ascii="monospace" w:eastAsia="monospace" w:hAnsi="monospace" w:cs="monospace"/>
          <w:noProof/>
        </w:rPr>
        <mc:AlternateContent>
          <mc:Choice Requires="wps">
            <w:drawing>
              <wp:inline distT="0" distB="0" distL="114300" distR="114300" wp14:anchorId="40CB2A6C" wp14:editId="40CB2A6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0CB2A14" w14:textId="77777777" w:rsidR="00584FB3" w:rsidRDefault="00786180">
      <w:r>
        <w:rPr>
          <w:rFonts w:ascii="宋体" w:eastAsia="宋体" w:hAnsi="宋体" w:cs="宋体"/>
        </w:rPr>
        <w:t>Save</w:t>
      </w:r>
    </w:p>
    <w:p w14:paraId="40CB2A15" w14:textId="77777777" w:rsidR="00584FB3" w:rsidRDefault="00786180">
      <w:r>
        <w:rPr>
          <w:rFonts w:ascii="宋体" w:eastAsia="宋体" w:hAnsi="宋体" w:cs="宋体"/>
        </w:rPr>
        <w:t>Reset</w:t>
      </w:r>
    </w:p>
    <w:p w14:paraId="40CB2A16" w14:textId="77777777" w:rsidR="00584FB3" w:rsidRDefault="00786180">
      <w:pPr>
        <w:pStyle w:val="Style5"/>
      </w:pPr>
      <w:r>
        <w:t>窗体底端</w:t>
      </w:r>
    </w:p>
    <w:p w14:paraId="40CB2A17" w14:textId="77777777" w:rsidR="00584FB3" w:rsidRDefault="0078618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0CB2A6E" wp14:editId="40CB2A6F">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19" w14:textId="77777777">
        <w:trPr>
          <w:tblCellSpacing w:w="15" w:type="dxa"/>
        </w:trPr>
        <w:tc>
          <w:tcPr>
            <w:tcW w:w="0" w:type="auto"/>
            <w:shd w:val="clear" w:color="auto" w:fill="auto"/>
            <w:vAlign w:val="center"/>
          </w:tcPr>
          <w:p w14:paraId="40CB2A18" w14:textId="77777777" w:rsidR="00584FB3" w:rsidRDefault="00584FB3">
            <w:pPr>
              <w:rPr>
                <w:rFonts w:ascii="宋体"/>
              </w:rPr>
            </w:pPr>
          </w:p>
        </w:tc>
      </w:tr>
    </w:tbl>
    <w:p w14:paraId="40CB2A1A"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1C" w14:textId="77777777">
        <w:trPr>
          <w:tblCellSpacing w:w="15" w:type="dxa"/>
        </w:trPr>
        <w:tc>
          <w:tcPr>
            <w:tcW w:w="0" w:type="auto"/>
            <w:shd w:val="clear" w:color="auto" w:fill="auto"/>
            <w:vAlign w:val="center"/>
          </w:tcPr>
          <w:p w14:paraId="40CB2A1B" w14:textId="77777777" w:rsidR="00584FB3" w:rsidRDefault="00584FB3">
            <w:pPr>
              <w:rPr>
                <w:rFonts w:ascii="宋体"/>
              </w:rPr>
            </w:pPr>
          </w:p>
        </w:tc>
      </w:tr>
    </w:tbl>
    <w:p w14:paraId="40CB2A1D"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1F" w14:textId="77777777">
        <w:trPr>
          <w:tblCellSpacing w:w="15" w:type="dxa"/>
        </w:trPr>
        <w:tc>
          <w:tcPr>
            <w:tcW w:w="0" w:type="auto"/>
            <w:shd w:val="clear" w:color="auto" w:fill="auto"/>
            <w:vAlign w:val="center"/>
          </w:tcPr>
          <w:p w14:paraId="40CB2A1E" w14:textId="77777777" w:rsidR="00584FB3" w:rsidRDefault="00584FB3">
            <w:pPr>
              <w:rPr>
                <w:rFonts w:ascii="宋体"/>
              </w:rPr>
            </w:pPr>
          </w:p>
        </w:tc>
      </w:tr>
    </w:tbl>
    <w:p w14:paraId="40CB2A20"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22" w14:textId="77777777">
        <w:trPr>
          <w:tblCellSpacing w:w="15" w:type="dxa"/>
        </w:trPr>
        <w:tc>
          <w:tcPr>
            <w:tcW w:w="0" w:type="auto"/>
            <w:shd w:val="clear" w:color="auto" w:fill="auto"/>
            <w:vAlign w:val="center"/>
          </w:tcPr>
          <w:p w14:paraId="40CB2A21" w14:textId="77777777" w:rsidR="00584FB3" w:rsidRDefault="00584FB3">
            <w:pPr>
              <w:rPr>
                <w:rFonts w:ascii="宋体"/>
              </w:rPr>
            </w:pPr>
          </w:p>
        </w:tc>
      </w:tr>
    </w:tbl>
    <w:p w14:paraId="40CB2A23" w14:textId="77777777" w:rsidR="00584FB3" w:rsidRDefault="00786180">
      <w:r>
        <w:rPr>
          <w:rFonts w:ascii="宋体" w:eastAsia="宋体" w:hAnsi="宋体" w:cs="宋体"/>
        </w:rPr>
        <w:t xml:space="preserve">Previous Next </w:t>
      </w:r>
    </w:p>
    <w:p w14:paraId="40CB2A24" w14:textId="77777777" w:rsidR="00584FB3" w:rsidRDefault="00786180">
      <w:pPr>
        <w:pStyle w:val="a3"/>
      </w:pPr>
      <w:r>
        <w:t xml:space="preserve">Nested Facts / </w:t>
      </w:r>
    </w:p>
    <w:p w14:paraId="40CB2A25" w14:textId="77777777" w:rsidR="00584FB3" w:rsidRDefault="00786180">
      <w:r>
        <w:rPr>
          <w:rFonts w:ascii="宋体" w:eastAsia="宋体" w:hAnsi="宋体" w:cs="宋体"/>
        </w:rPr>
        <w:t xml:space="preserve">Previous Next </w:t>
      </w:r>
    </w:p>
    <w:p w14:paraId="40CB2A26" w14:textId="77777777" w:rsidR="00584FB3" w:rsidRDefault="0078618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0CB2A70" wp14:editId="40CB2A71">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28" w14:textId="77777777">
        <w:trPr>
          <w:tblCellSpacing w:w="15" w:type="dxa"/>
        </w:trPr>
        <w:tc>
          <w:tcPr>
            <w:tcW w:w="0" w:type="auto"/>
            <w:shd w:val="clear" w:color="auto" w:fill="auto"/>
            <w:vAlign w:val="center"/>
          </w:tcPr>
          <w:p w14:paraId="40CB2A27" w14:textId="77777777" w:rsidR="00584FB3" w:rsidRDefault="00584FB3">
            <w:pPr>
              <w:rPr>
                <w:rFonts w:ascii="宋体"/>
              </w:rPr>
            </w:pPr>
          </w:p>
        </w:tc>
      </w:tr>
    </w:tbl>
    <w:p w14:paraId="40CB2A29"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2B" w14:textId="77777777">
        <w:trPr>
          <w:tblCellSpacing w:w="15" w:type="dxa"/>
        </w:trPr>
        <w:tc>
          <w:tcPr>
            <w:tcW w:w="0" w:type="auto"/>
            <w:shd w:val="clear" w:color="auto" w:fill="auto"/>
            <w:vAlign w:val="center"/>
          </w:tcPr>
          <w:p w14:paraId="40CB2A2A" w14:textId="77777777" w:rsidR="00584FB3" w:rsidRDefault="00584FB3">
            <w:pPr>
              <w:rPr>
                <w:rFonts w:ascii="宋体"/>
              </w:rPr>
            </w:pPr>
          </w:p>
        </w:tc>
      </w:tr>
    </w:tbl>
    <w:p w14:paraId="40CB2A2C"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2E" w14:textId="77777777">
        <w:trPr>
          <w:tblCellSpacing w:w="15" w:type="dxa"/>
        </w:trPr>
        <w:tc>
          <w:tcPr>
            <w:tcW w:w="0" w:type="auto"/>
            <w:shd w:val="clear" w:color="auto" w:fill="auto"/>
            <w:vAlign w:val="center"/>
          </w:tcPr>
          <w:p w14:paraId="40CB2A2D" w14:textId="77777777" w:rsidR="00584FB3" w:rsidRDefault="00584FB3">
            <w:pPr>
              <w:rPr>
                <w:rFonts w:ascii="宋体"/>
              </w:rPr>
            </w:pPr>
          </w:p>
        </w:tc>
      </w:tr>
    </w:tbl>
    <w:p w14:paraId="40CB2A2F" w14:textId="77777777" w:rsidR="00584FB3" w:rsidRDefault="00584F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FB3" w14:paraId="40CB2A31" w14:textId="77777777">
        <w:trPr>
          <w:tblCellSpacing w:w="15" w:type="dxa"/>
        </w:trPr>
        <w:tc>
          <w:tcPr>
            <w:tcW w:w="0" w:type="auto"/>
            <w:shd w:val="clear" w:color="auto" w:fill="auto"/>
            <w:vAlign w:val="center"/>
          </w:tcPr>
          <w:p w14:paraId="40CB2A30" w14:textId="77777777" w:rsidR="00584FB3" w:rsidRDefault="00584FB3">
            <w:pPr>
              <w:rPr>
                <w:rFonts w:ascii="宋体"/>
              </w:rPr>
            </w:pPr>
          </w:p>
        </w:tc>
      </w:tr>
    </w:tbl>
    <w:p w14:paraId="40CB2A32" w14:textId="77777777" w:rsidR="00584FB3" w:rsidRDefault="00786180">
      <w:r>
        <w:rPr>
          <w:rFonts w:ascii="宋体" w:eastAsia="宋体" w:hAnsi="宋体" w:cs="宋体"/>
        </w:rPr>
        <w:t xml:space="preserve">Previous Next </w:t>
      </w:r>
    </w:p>
    <w:p w14:paraId="40CB2A33" w14:textId="77777777" w:rsidR="00584FB3" w:rsidRDefault="00584FB3"/>
    <w:sectPr w:rsidR="00584FB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0DE0" w14:textId="77777777" w:rsidR="00786180" w:rsidRDefault="00786180" w:rsidP="00786180">
      <w:r>
        <w:separator/>
      </w:r>
    </w:p>
  </w:endnote>
  <w:endnote w:type="continuationSeparator" w:id="0">
    <w:p w14:paraId="6A0A2B37" w14:textId="77777777" w:rsidR="00786180" w:rsidRDefault="00786180" w:rsidP="00786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88AD4" w14:textId="77777777" w:rsidR="00786180" w:rsidRDefault="00786180" w:rsidP="00786180">
      <w:r>
        <w:separator/>
      </w:r>
    </w:p>
  </w:footnote>
  <w:footnote w:type="continuationSeparator" w:id="0">
    <w:p w14:paraId="660EAD84" w14:textId="77777777" w:rsidR="00786180" w:rsidRDefault="00786180" w:rsidP="00786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77925D"/>
    <w:rsid w:val="00584FB3"/>
    <w:rsid w:val="00786180"/>
    <w:rsid w:val="1F779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CAFCFF"/>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8618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86180"/>
    <w:rPr>
      <w:rFonts w:asciiTheme="minorEastAsia" w:hAnsiTheme="minorEastAsia" w:cs="Times New Roman"/>
      <w:sz w:val="18"/>
      <w:szCs w:val="18"/>
    </w:rPr>
  </w:style>
  <w:style w:type="paragraph" w:styleId="a8">
    <w:name w:val="footer"/>
    <w:basedOn w:val="a"/>
    <w:link w:val="a9"/>
    <w:rsid w:val="00786180"/>
    <w:pPr>
      <w:tabs>
        <w:tab w:val="center" w:pos="4153"/>
        <w:tab w:val="right" w:pos="8306"/>
      </w:tabs>
      <w:snapToGrid w:val="0"/>
    </w:pPr>
    <w:rPr>
      <w:sz w:val="18"/>
      <w:szCs w:val="18"/>
    </w:rPr>
  </w:style>
  <w:style w:type="character" w:customStyle="1" w:styleId="a9">
    <w:name w:val="页脚 字符"/>
    <w:basedOn w:val="a0"/>
    <w:link w:val="a8"/>
    <w:rsid w:val="0078618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1000029/sbux-20201227.htm" TargetMode="External"/><Relationship Id="rId21" Type="http://schemas.openxmlformats.org/officeDocument/2006/relationships/hyperlink" Target="https://www.sec.gov/ix?doc=/Archives/edgar/data/0000829224/000082922421000029/sbux-20201227.htm" TargetMode="External"/><Relationship Id="rId42" Type="http://schemas.openxmlformats.org/officeDocument/2006/relationships/hyperlink" Target="https://www.sec.gov/ix?doc=/Archives/edgar/data/0000829224/000082922421000029/sbux-20201227.htm" TargetMode="External"/><Relationship Id="rId63" Type="http://schemas.openxmlformats.org/officeDocument/2006/relationships/hyperlink" Target="https://www.sec.gov/ix?doc=/Archives/edgar/data/0000829224/000082922421000029/sbux-20201227.htm" TargetMode="External"/><Relationship Id="rId84" Type="http://schemas.openxmlformats.org/officeDocument/2006/relationships/hyperlink" Target="https://www.sec.gov/ix?doc=/Archives/edgar/data/0000829224/000082922421000029/sbux-20201227.htm" TargetMode="External"/><Relationship Id="rId16" Type="http://schemas.openxmlformats.org/officeDocument/2006/relationships/hyperlink" Target="https://www.sec.gov/ix?doc=/Archives/edgar/data/0000829224/000082922421000029/sbux-20201227.htm" TargetMode="External"/><Relationship Id="rId107" Type="http://schemas.openxmlformats.org/officeDocument/2006/relationships/hyperlink" Target="https://www.sec.gov/ix?doc=/Archives/edgar/data/0000829224/000082922421000029/sbux-20201227.htm" TargetMode="External"/><Relationship Id="rId11" Type="http://schemas.openxmlformats.org/officeDocument/2006/relationships/hyperlink" Target="https://www.sec.gov/ix?doc=/Archives/edgar/data/0000829224/000082922421000029/sbux-20201227.htm" TargetMode="External"/><Relationship Id="rId32" Type="http://schemas.openxmlformats.org/officeDocument/2006/relationships/hyperlink" Target="https://www.sec.gov/ix?doc=/Archives/edgar/data/0000829224/000082922421000029/sbux-20201227.htm" TargetMode="External"/><Relationship Id="rId37" Type="http://schemas.openxmlformats.org/officeDocument/2006/relationships/hyperlink" Target="https://www.sec.gov/ix?doc=/Archives/edgar/data/0000829224/000082922421000029/sbux-20201227.htm" TargetMode="External"/><Relationship Id="rId53" Type="http://schemas.openxmlformats.org/officeDocument/2006/relationships/hyperlink" Target="https://www.sec.gov/ix?doc=/Archives/edgar/data/0000829224/000082922421000029/sbux-20201227.htm" TargetMode="External"/><Relationship Id="rId58" Type="http://schemas.openxmlformats.org/officeDocument/2006/relationships/hyperlink" Target="https://www.sec.gov/ix?doc=/Archives/edgar/data/0000829224/000082922421000029/sbux-20201227.htm" TargetMode="External"/><Relationship Id="rId74" Type="http://schemas.openxmlformats.org/officeDocument/2006/relationships/hyperlink" Target="https://www.sec.gov/ix?doc=/Archives/edgar/data/0000829224/000082922421000029/sbux-20201227.htm" TargetMode="External"/><Relationship Id="rId79" Type="http://schemas.openxmlformats.org/officeDocument/2006/relationships/hyperlink" Target="https://www.sec.gov/ix?doc=/Archives/edgar/data/0000829224/000082922421000029/sbux-20201227.htm" TargetMode="External"/><Relationship Id="rId102" Type="http://schemas.openxmlformats.org/officeDocument/2006/relationships/hyperlink" Target="https://www.sec.gov/ix?doc=/Archives/edgar/data/0000829224/000082922421000029/sbux-20201227.htm" TargetMode="External"/><Relationship Id="rId123" Type="http://schemas.openxmlformats.org/officeDocument/2006/relationships/hyperlink" Target="http://www.sec.gov/Archives/edgar/data/829224/000119312518183697/d596086dex31.htm" TargetMode="External"/><Relationship Id="rId128" Type="http://schemas.openxmlformats.org/officeDocument/2006/relationships/hyperlink" Target="https://www.sec.gov/Archives/edgar/data/0000829224/000082922421000029/sbux-12272020xexhibit312.htm" TargetMode="External"/><Relationship Id="rId5" Type="http://schemas.openxmlformats.org/officeDocument/2006/relationships/endnotes" Target="endnotes.xml"/><Relationship Id="rId90" Type="http://schemas.openxmlformats.org/officeDocument/2006/relationships/hyperlink" Target="https://www.sec.gov/ix?doc=/Archives/edgar/data/0000829224/000082922421000029/sbux-20201227.htm" TargetMode="External"/><Relationship Id="rId95" Type="http://schemas.openxmlformats.org/officeDocument/2006/relationships/hyperlink" Target="https://www.sec.gov/ix?doc=/Archives/edgar/data/0000829224/000082922421000029/sbux-20201227.htm" TargetMode="External"/><Relationship Id="rId22" Type="http://schemas.openxmlformats.org/officeDocument/2006/relationships/hyperlink" Target="https://www.sec.gov/ix?doc=/Archives/edgar/data/0000829224/000082922421000029/sbux-20201227.htm" TargetMode="External"/><Relationship Id="rId27" Type="http://schemas.openxmlformats.org/officeDocument/2006/relationships/hyperlink" Target="https://www.sec.gov/ix?doc=/Archives/edgar/data/0000829224/000082922421000029/sbux-20201227.htm" TargetMode="External"/><Relationship Id="rId43" Type="http://schemas.openxmlformats.org/officeDocument/2006/relationships/hyperlink" Target="https://www.sec.gov/ix?doc=/Archives/edgar/data/0000829224/000082922421000029/sbux-20201227.htm" TargetMode="External"/><Relationship Id="rId48" Type="http://schemas.openxmlformats.org/officeDocument/2006/relationships/hyperlink" Target="https://www.sec.gov/ix?doc=/Archives/edgar/data/0000829224/000082922421000029/sbux-20201227.htm" TargetMode="External"/><Relationship Id="rId64" Type="http://schemas.openxmlformats.org/officeDocument/2006/relationships/hyperlink" Target="https://www.sec.gov/ix?doc=/Archives/edgar/data/0000829224/000082922421000029/sbux-20201227.htm" TargetMode="External"/><Relationship Id="rId69" Type="http://schemas.openxmlformats.org/officeDocument/2006/relationships/hyperlink" Target="https://www.sec.gov/ix?doc=/Archives/edgar/data/0000829224/000082922421000029/sbux-20201227.htm" TargetMode="External"/><Relationship Id="rId113" Type="http://schemas.openxmlformats.org/officeDocument/2006/relationships/hyperlink" Target="https://www.sec.gov/ix?doc=/Archives/edgar/data/0000829224/000082922421000029/sbux-20201227.htm" TargetMode="External"/><Relationship Id="rId118" Type="http://schemas.openxmlformats.org/officeDocument/2006/relationships/hyperlink" Target="https://www.sec.gov/ix?doc=/Archives/edgar/data/0000829224/000082922421000029/sbux-20201227.htm" TargetMode="External"/><Relationship Id="rId80" Type="http://schemas.openxmlformats.org/officeDocument/2006/relationships/hyperlink" Target="https://www.sec.gov/ix?doc=/Archives/edgar/data/0000829224/000082922421000029/sbux-20201227.htm" TargetMode="External"/><Relationship Id="rId85" Type="http://schemas.openxmlformats.org/officeDocument/2006/relationships/hyperlink" Target="https://www.sec.gov/ix?doc=/Archives/edgar/data/0000829224/000082922421000029/sbux-20201227.htm" TargetMode="External"/><Relationship Id="rId12" Type="http://schemas.openxmlformats.org/officeDocument/2006/relationships/hyperlink" Target="https://www.sec.gov/ix?doc=/Archives/edgar/data/0000829224/000082922421000029/sbux-20201227.htm" TargetMode="External"/><Relationship Id="rId17" Type="http://schemas.openxmlformats.org/officeDocument/2006/relationships/hyperlink" Target="https://www.sec.gov/ix?doc=/Archives/edgar/data/0000829224/000082922421000029/sbux-20201227.htm" TargetMode="External"/><Relationship Id="rId33" Type="http://schemas.openxmlformats.org/officeDocument/2006/relationships/hyperlink" Target="https://www.sec.gov/ix?doc=/Archives/edgar/data/0000829224/000082922421000029/sbux-20201227.htm" TargetMode="External"/><Relationship Id="rId38" Type="http://schemas.openxmlformats.org/officeDocument/2006/relationships/hyperlink" Target="https://www.sec.gov/ix?doc=/Archives/edgar/data/0000829224/000082922421000029/sbux-20201227.htm" TargetMode="External"/><Relationship Id="rId59" Type="http://schemas.openxmlformats.org/officeDocument/2006/relationships/hyperlink" Target="https://www.sec.gov/ix?doc=/Archives/edgar/data/0000829224/000082922421000029/sbux-20201227.htm" TargetMode="External"/><Relationship Id="rId103" Type="http://schemas.openxmlformats.org/officeDocument/2006/relationships/hyperlink" Target="https://www.sec.gov/ix?doc=/Archives/edgar/data/0000829224/000082922421000029/sbux-20201227.htm" TargetMode="External"/><Relationship Id="rId108" Type="http://schemas.openxmlformats.org/officeDocument/2006/relationships/hyperlink" Target="https://www.sec.gov/ix?doc=/Archives/edgar/data/0000829224/000082922421000029/sbux-20201227.htm" TargetMode="External"/><Relationship Id="rId124" Type="http://schemas.openxmlformats.org/officeDocument/2006/relationships/hyperlink" Target="http://www.sec.gov/Archives/edgar/data/829224/000119312518183697/d596086dex31.htm" TargetMode="External"/><Relationship Id="rId129" Type="http://schemas.openxmlformats.org/officeDocument/2006/relationships/hyperlink" Target="https://www.sec.gov/Archives/edgar/data/0000829224/000082922421000029/sbux-12272020xexhibit32.htm" TargetMode="External"/><Relationship Id="rId54" Type="http://schemas.openxmlformats.org/officeDocument/2006/relationships/hyperlink" Target="https://www.sec.gov/ix?doc=/Archives/edgar/data/0000829224/000082922421000029/sbux-20201227.htm" TargetMode="External"/><Relationship Id="rId70" Type="http://schemas.openxmlformats.org/officeDocument/2006/relationships/hyperlink" Target="https://www.sec.gov/ix?doc=/Archives/edgar/data/0000829224/000082922421000029/sbux-20201227.htm" TargetMode="External"/><Relationship Id="rId75" Type="http://schemas.openxmlformats.org/officeDocument/2006/relationships/hyperlink" Target="https://www.sec.gov/ix?doc=/Archives/edgar/data/0000829224/000082922421000029/sbux-20201227.htm" TargetMode="External"/><Relationship Id="rId91" Type="http://schemas.openxmlformats.org/officeDocument/2006/relationships/hyperlink" Target="https://www.sec.gov/ix?doc=/Archives/edgar/data/0000829224/000082922421000029/sbux-20201227.htm" TargetMode="External"/><Relationship Id="rId96" Type="http://schemas.openxmlformats.org/officeDocument/2006/relationships/hyperlink" Target="https://www.sec.gov/ix?doc=/Archives/edgar/data/0000829224/000082922421000029/sbux-20201227.htm" TargetMode="External"/><Relationship Id="rId1" Type="http://schemas.openxmlformats.org/officeDocument/2006/relationships/styles" Target="styles.xml"/><Relationship Id="rId23" Type="http://schemas.openxmlformats.org/officeDocument/2006/relationships/hyperlink" Target="https://www.sec.gov/ix?doc=/Archives/edgar/data/0000829224/000082922421000029/sbux-20201227.htm" TargetMode="External"/><Relationship Id="rId28" Type="http://schemas.openxmlformats.org/officeDocument/2006/relationships/hyperlink" Target="https://www.sec.gov/ix?doc=/Archives/edgar/data/0000829224/000082922421000029/sbux-20201227.htm" TargetMode="External"/><Relationship Id="rId49" Type="http://schemas.openxmlformats.org/officeDocument/2006/relationships/hyperlink" Target="https://www.sec.gov/ix?doc=/Archives/edgar/data/0000829224/000082922421000029/sbux-20201227.htm" TargetMode="External"/><Relationship Id="rId114" Type="http://schemas.openxmlformats.org/officeDocument/2006/relationships/hyperlink" Target="https://www.sec.gov/ix?doc=/Archives/edgar/data/0000829224/000082922421000029/sbux-20201227.htm" TargetMode="External"/><Relationship Id="rId119" Type="http://schemas.openxmlformats.org/officeDocument/2006/relationships/hyperlink" Target="https://www.sec.gov/ix?doc=/Archives/edgar/data/0000829224/000082922421000029/sbux-20201227.htm" TargetMode="External"/><Relationship Id="rId44" Type="http://schemas.openxmlformats.org/officeDocument/2006/relationships/hyperlink" Target="https://www.sec.gov/ix?doc=/Archives/edgar/data/0000829224/000082922421000029/sbux-20201227.htm" TargetMode="External"/><Relationship Id="rId60" Type="http://schemas.openxmlformats.org/officeDocument/2006/relationships/hyperlink" Target="https://www.sec.gov/ix?doc=/Archives/edgar/data/0000829224/000082922421000029/sbux-20201227.htm" TargetMode="External"/><Relationship Id="rId65" Type="http://schemas.openxmlformats.org/officeDocument/2006/relationships/hyperlink" Target="https://www.sec.gov/ix?doc=/Archives/edgar/data/0000829224/000082922421000029/sbux-20201227.htm" TargetMode="External"/><Relationship Id="rId81" Type="http://schemas.openxmlformats.org/officeDocument/2006/relationships/hyperlink" Target="https://www.sec.gov/ix?doc=/Archives/edgar/data/0000829224/000082922421000029/sbux-20201227.htm" TargetMode="External"/><Relationship Id="rId86" Type="http://schemas.openxmlformats.org/officeDocument/2006/relationships/hyperlink" Target="https://www.sec.gov/ix?doc=/Archives/edgar/data/0000829224/000082922421000029/sbux-20201227.htm" TargetMode="External"/><Relationship Id="rId130" Type="http://schemas.openxmlformats.org/officeDocument/2006/relationships/hyperlink" Target="https://www.sec.gov/Archives/edgar/data/0000829224/000082922421000029/sbux-12272020xexhibit32.htm" TargetMode="External"/><Relationship Id="rId13" Type="http://schemas.openxmlformats.org/officeDocument/2006/relationships/hyperlink" Target="https://www.sec.gov/ix?doc=/Archives/edgar/data/0000829224/000082922421000029/sbux-20201227.htm" TargetMode="External"/><Relationship Id="rId18" Type="http://schemas.openxmlformats.org/officeDocument/2006/relationships/hyperlink" Target="https://www.sec.gov/ix?doc=/Archives/edgar/data/0000829224/000082922421000029/sbux-20201227.htm" TargetMode="External"/><Relationship Id="rId39" Type="http://schemas.openxmlformats.org/officeDocument/2006/relationships/hyperlink" Target="https://www.sec.gov/ix?doc=/Archives/edgar/data/0000829224/000082922421000029/sbux-20201227.htm" TargetMode="External"/><Relationship Id="rId109" Type="http://schemas.openxmlformats.org/officeDocument/2006/relationships/hyperlink" Target="https://www.sec.gov/ix?doc=/Archives/edgar/data/0000829224/000082922421000029/sbux-20201227.htm" TargetMode="External"/><Relationship Id="rId34" Type="http://schemas.openxmlformats.org/officeDocument/2006/relationships/hyperlink" Target="https://www.sec.gov/ix?doc=/Archives/edgar/data/0000829224/000082922421000029/sbux-20201227.htm" TargetMode="External"/><Relationship Id="rId50" Type="http://schemas.openxmlformats.org/officeDocument/2006/relationships/hyperlink" Target="https://www.sec.gov/ix?doc=/Archives/edgar/data/0000829224/000082922421000029/sbux-20201227.htm" TargetMode="External"/><Relationship Id="rId55" Type="http://schemas.openxmlformats.org/officeDocument/2006/relationships/hyperlink" Target="https://www.sec.gov/ix?doc=/Archives/edgar/data/0000829224/000082922421000029/sbux-20201227.htm" TargetMode="External"/><Relationship Id="rId76" Type="http://schemas.openxmlformats.org/officeDocument/2006/relationships/hyperlink" Target="https://www.sec.gov/ix?doc=/Archives/edgar/data/0000829224/000082922421000029/sbux-20201227.htm" TargetMode="External"/><Relationship Id="rId97" Type="http://schemas.openxmlformats.org/officeDocument/2006/relationships/hyperlink" Target="https://www.sec.gov/ix?doc=/Archives/edgar/data/0000829224/000082922421000029/sbux-20201227.htm" TargetMode="External"/><Relationship Id="rId104" Type="http://schemas.openxmlformats.org/officeDocument/2006/relationships/hyperlink" Target="https://www.sec.gov/ix?doc=/Archives/edgar/data/0000829224/000082922421000029/sbux-20201227.htm" TargetMode="External"/><Relationship Id="rId120" Type="http://schemas.openxmlformats.org/officeDocument/2006/relationships/hyperlink" Target="https://www.sec.gov/ix?doc=/Archives/edgar/data/0000829224/000082922421000029/sbux-20201227.htm" TargetMode="External"/><Relationship Id="rId125" Type="http://schemas.openxmlformats.org/officeDocument/2006/relationships/hyperlink" Target="https://www.sec.gov/Archives/edgar/data/0000829224/000082922421000029/sbux-12272020xexhibit311.htm" TargetMode="External"/><Relationship Id="rId7" Type="http://schemas.openxmlformats.org/officeDocument/2006/relationships/hyperlink" Target="https://www.sec.gov/ix?doc=/Archives/edgar/data/0000829224/000082922421000029/sbux-20201227.htm" TargetMode="External"/><Relationship Id="rId71" Type="http://schemas.openxmlformats.org/officeDocument/2006/relationships/hyperlink" Target="https://www.sec.gov/ix?doc=/Archives/edgar/data/0000829224/000082922421000029/sbux-20201227.htm" TargetMode="External"/><Relationship Id="rId92" Type="http://schemas.openxmlformats.org/officeDocument/2006/relationships/hyperlink" Target="https://www.sec.gov/ix?doc=/Archives/edgar/data/0000829224/000082922421000029/sbux-20201227.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1000029/sbux-20201227.htm" TargetMode="External"/><Relationship Id="rId24" Type="http://schemas.openxmlformats.org/officeDocument/2006/relationships/hyperlink" Target="https://www.sec.gov/ix?doc=/Archives/edgar/data/0000829224/000082922421000029/sbux-20201227.htm" TargetMode="External"/><Relationship Id="rId40" Type="http://schemas.openxmlformats.org/officeDocument/2006/relationships/hyperlink" Target="https://www.sec.gov/ix?doc=/Archives/edgar/data/0000829224/000082922421000029/sbux-20201227.htm" TargetMode="External"/><Relationship Id="rId45" Type="http://schemas.openxmlformats.org/officeDocument/2006/relationships/hyperlink" Target="https://www.sec.gov/ix?doc=/Archives/edgar/data/0000829224/000082922421000029/sbux-20201227.htm" TargetMode="External"/><Relationship Id="rId66" Type="http://schemas.openxmlformats.org/officeDocument/2006/relationships/hyperlink" Target="https://www.sec.gov/ix?doc=/Archives/edgar/data/0000829224/000082922421000029/sbux-20201227.htm" TargetMode="External"/><Relationship Id="rId87" Type="http://schemas.openxmlformats.org/officeDocument/2006/relationships/hyperlink" Target="https://www.sec.gov/ix?doc=/Archives/edgar/data/0000829224/000082922421000029/sbux-20201227.htm" TargetMode="External"/><Relationship Id="rId110" Type="http://schemas.openxmlformats.org/officeDocument/2006/relationships/hyperlink" Target="https://www.sec.gov/ix?doc=/Archives/edgar/data/0000829224/000082922421000029/sbux-20201227.htm" TargetMode="External"/><Relationship Id="rId115" Type="http://schemas.openxmlformats.org/officeDocument/2006/relationships/hyperlink" Target="https://www.sec.gov/Archives/edgar/data/0000829224/000082922421000029/sbux-12272020xexhibit311.htm" TargetMode="External"/><Relationship Id="rId131" Type="http://schemas.openxmlformats.org/officeDocument/2006/relationships/hyperlink" Target="https://www.sec.gov/ix?doc=/Archives/edgar/data/0000829224/000082922421000029/sbux-20201227.htm" TargetMode="External"/><Relationship Id="rId61" Type="http://schemas.openxmlformats.org/officeDocument/2006/relationships/hyperlink" Target="https://www.sec.gov/ix?doc=/Archives/edgar/data/0000829224/000082922421000029/sbux-20201227.htm" TargetMode="External"/><Relationship Id="rId82" Type="http://schemas.openxmlformats.org/officeDocument/2006/relationships/hyperlink" Target="https://www.sec.gov/ix?doc=/Archives/edgar/data/0000829224/000082922421000029/sbux-20201227.htm" TargetMode="External"/><Relationship Id="rId19" Type="http://schemas.openxmlformats.org/officeDocument/2006/relationships/hyperlink" Target="https://www.sec.gov/ix?doc=/Archives/edgar/data/0000829224/000082922421000029/sbux-20201227.htm" TargetMode="External"/><Relationship Id="rId14" Type="http://schemas.openxmlformats.org/officeDocument/2006/relationships/hyperlink" Target="https://www.sec.gov/ix?doc=/Archives/edgar/data/0000829224/000082922421000029/sbux-20201227.htm" TargetMode="External"/><Relationship Id="rId30" Type="http://schemas.openxmlformats.org/officeDocument/2006/relationships/hyperlink" Target="https://www.sec.gov/ix?doc=/Archives/edgar/data/0000829224/000082922421000029/sbux-20201227.htm" TargetMode="External"/><Relationship Id="rId35" Type="http://schemas.openxmlformats.org/officeDocument/2006/relationships/hyperlink" Target="https://www.sec.gov/ix?doc=/Archives/edgar/data/0000829224/000082922421000029/sbux-20201227.htm" TargetMode="External"/><Relationship Id="rId56" Type="http://schemas.openxmlformats.org/officeDocument/2006/relationships/hyperlink" Target="https://www.sec.gov/ix?doc=/Archives/edgar/data/0000829224/000082922421000029/sbux-20201227.htm" TargetMode="External"/><Relationship Id="rId77" Type="http://schemas.openxmlformats.org/officeDocument/2006/relationships/hyperlink" Target="https://www.sec.gov/ix?doc=/Archives/edgar/data/0000829224/000082922421000029/sbux-20201227.htm" TargetMode="External"/><Relationship Id="rId100" Type="http://schemas.openxmlformats.org/officeDocument/2006/relationships/hyperlink" Target="https://www.sec.gov/ix?doc=/Archives/edgar/data/0000829224/000082922421000029/sbux-20201227.htm" TargetMode="External"/><Relationship Id="rId105" Type="http://schemas.openxmlformats.org/officeDocument/2006/relationships/hyperlink" Target="https://www.sec.gov/ix?doc=/Archives/edgar/data/0000829224/000082922421000029/sbux-20201227.htm" TargetMode="External"/><Relationship Id="rId126" Type="http://schemas.openxmlformats.org/officeDocument/2006/relationships/hyperlink" Target="https://www.sec.gov/Archives/edgar/data/0000829224/000082922421000029/sbux-12272020xexhibit311.htm" TargetMode="External"/><Relationship Id="rId8" Type="http://schemas.openxmlformats.org/officeDocument/2006/relationships/hyperlink" Target="https://www.sec.gov/ix?doc=/Archives/edgar/data/0000829224/000082922421000029/sbux-20201227.htm" TargetMode="External"/><Relationship Id="rId51" Type="http://schemas.openxmlformats.org/officeDocument/2006/relationships/hyperlink" Target="https://www.sec.gov/ix?doc=/Archives/edgar/data/0000829224/000082922421000029/sbux-20201227.htm" TargetMode="External"/><Relationship Id="rId72" Type="http://schemas.openxmlformats.org/officeDocument/2006/relationships/hyperlink" Target="https://www.sec.gov/ix?doc=/Archives/edgar/data/0000829224/000082922421000029/sbux-20201227.htm" TargetMode="External"/><Relationship Id="rId93" Type="http://schemas.openxmlformats.org/officeDocument/2006/relationships/hyperlink" Target="https://www.sec.gov/ix?doc=/Archives/edgar/data/0000829224/000082922421000029/sbux-20201227.htm" TargetMode="External"/><Relationship Id="rId98" Type="http://schemas.openxmlformats.org/officeDocument/2006/relationships/hyperlink" Target="https://www.sec.gov/ix?doc=/Archives/edgar/data/0000829224/000082922421000029/sbux-20201227.htm" TargetMode="External"/><Relationship Id="rId121" Type="http://schemas.openxmlformats.org/officeDocument/2006/relationships/hyperlink" Target="http://www.sec.gov/Archives/edgar/data/829224/000082922415000017/sbux-3292015xexhibit31.htm" TargetMode="External"/><Relationship Id="rId3" Type="http://schemas.openxmlformats.org/officeDocument/2006/relationships/webSettings" Target="webSettings.xml"/><Relationship Id="rId25" Type="http://schemas.openxmlformats.org/officeDocument/2006/relationships/hyperlink" Target="https://www.sec.gov/ix?doc=/Archives/edgar/data/0000829224/000082922421000029/sbux-20201227.htm" TargetMode="External"/><Relationship Id="rId46" Type="http://schemas.openxmlformats.org/officeDocument/2006/relationships/hyperlink" Target="https://www.sec.gov/ix?doc=/Archives/edgar/data/0000829224/000082922421000029/sbux-20201227.htm" TargetMode="External"/><Relationship Id="rId67" Type="http://schemas.openxmlformats.org/officeDocument/2006/relationships/hyperlink" Target="https://www.sec.gov/ix?doc=/Archives/edgar/data/0000829224/000082922421000029/sbux-20201227.htm" TargetMode="External"/><Relationship Id="rId116" Type="http://schemas.openxmlformats.org/officeDocument/2006/relationships/hyperlink" Target="https://www.sec.gov/Archives/edgar/data/0000829224/000082922421000029/sbux-12272020xexhibit312.htm" TargetMode="External"/><Relationship Id="rId20" Type="http://schemas.openxmlformats.org/officeDocument/2006/relationships/hyperlink" Target="https://www.sec.gov/ix?doc=/Archives/edgar/data/0000829224/000082922421000029/sbux-20201227.htm" TargetMode="External"/><Relationship Id="rId41" Type="http://schemas.openxmlformats.org/officeDocument/2006/relationships/hyperlink" Target="https://www.sec.gov/ix?doc=/Archives/edgar/data/0000829224/000082922421000029/sbux-20201227.htm" TargetMode="External"/><Relationship Id="rId62" Type="http://schemas.openxmlformats.org/officeDocument/2006/relationships/hyperlink" Target="https://www.sec.gov/ix?doc=/Archives/edgar/data/0000829224/000082922421000029/sbux-20201227.htm" TargetMode="External"/><Relationship Id="rId83" Type="http://schemas.openxmlformats.org/officeDocument/2006/relationships/hyperlink" Target="https://www.sec.gov/ix?doc=/Archives/edgar/data/0000829224/000082922421000029/sbux-20201227.htm" TargetMode="External"/><Relationship Id="rId88" Type="http://schemas.openxmlformats.org/officeDocument/2006/relationships/hyperlink" Target="https://www.sec.gov/ix?doc=/Archives/edgar/data/0000829224/000082922421000029/sbux-20201227.htm" TargetMode="External"/><Relationship Id="rId111" Type="http://schemas.openxmlformats.org/officeDocument/2006/relationships/hyperlink" Target="https://www.sec.gov/ix?doc=/Archives/edgar/data/0000829224/000082922421000029/sbux-20201227.htm" TargetMode="External"/><Relationship Id="rId132" Type="http://schemas.openxmlformats.org/officeDocument/2006/relationships/fontTable" Target="fontTable.xml"/><Relationship Id="rId15" Type="http://schemas.openxmlformats.org/officeDocument/2006/relationships/hyperlink" Target="https://www.sec.gov/ix?doc=/Archives/edgar/data/0000829224/000082922421000029/sbux-20201227.htm" TargetMode="External"/><Relationship Id="rId36" Type="http://schemas.openxmlformats.org/officeDocument/2006/relationships/hyperlink" Target="https://www.sec.gov/ix?doc=/Archives/edgar/data/0000829224/000082922421000029/sbux-20201227.htm" TargetMode="External"/><Relationship Id="rId57" Type="http://schemas.openxmlformats.org/officeDocument/2006/relationships/hyperlink" Target="https://www.sec.gov/ix?doc=/Archives/edgar/data/0000829224/000082922421000029/sbux-20201227.htm" TargetMode="External"/><Relationship Id="rId106" Type="http://schemas.openxmlformats.org/officeDocument/2006/relationships/hyperlink" Target="https://www.sec.gov/ix?doc=/Archives/edgar/data/0000829224/000082922421000029/sbux-20201227.htm" TargetMode="External"/><Relationship Id="rId127" Type="http://schemas.openxmlformats.org/officeDocument/2006/relationships/hyperlink" Target="https://www.sec.gov/Archives/edgar/data/0000829224/000082922421000029/sbux-12272020xexhibit312.htm" TargetMode="External"/><Relationship Id="rId10" Type="http://schemas.openxmlformats.org/officeDocument/2006/relationships/hyperlink" Target="https://www.sec.gov/ix?doc=/Archives/edgar/data/0000829224/000082922421000029/sbux-20201227.htm" TargetMode="External"/><Relationship Id="rId31" Type="http://schemas.openxmlformats.org/officeDocument/2006/relationships/hyperlink" Target="https://www.sec.gov/ix?doc=/Archives/edgar/data/0000829224/000082922421000029/sbux-20201227.htm" TargetMode="External"/><Relationship Id="rId52" Type="http://schemas.openxmlformats.org/officeDocument/2006/relationships/hyperlink" Target="https://www.sec.gov/ix?doc=/Archives/edgar/data/0000829224/000082922421000029/sbux-20201227.htm" TargetMode="External"/><Relationship Id="rId73" Type="http://schemas.openxmlformats.org/officeDocument/2006/relationships/hyperlink" Target="https://www.sec.gov/ix?doc=/Archives/edgar/data/0000829224/000082922421000029/sbux-20201227.htm" TargetMode="External"/><Relationship Id="rId78" Type="http://schemas.openxmlformats.org/officeDocument/2006/relationships/hyperlink" Target="https://www.sec.gov/ix?doc=/Archives/edgar/data/0000829224/000082922421000029/sbux-20201227.htm" TargetMode="External"/><Relationship Id="rId94" Type="http://schemas.openxmlformats.org/officeDocument/2006/relationships/hyperlink" Target="https://www.sec.gov/ix?doc=/Archives/edgar/data/0000829224/000082922421000029/sbux-20201227.htm" TargetMode="External"/><Relationship Id="rId99" Type="http://schemas.openxmlformats.org/officeDocument/2006/relationships/hyperlink" Target="https://www.sec.gov/ix?doc=/Archives/edgar/data/0000829224/000082922421000029/sbux-20201227.htm" TargetMode="External"/><Relationship Id="rId101" Type="http://schemas.openxmlformats.org/officeDocument/2006/relationships/hyperlink" Target="https://www.sec.gov/ix?doc=/Archives/edgar/data/0000829224/000082922421000029/sbux-20201227.htm" TargetMode="External"/><Relationship Id="rId122" Type="http://schemas.openxmlformats.org/officeDocument/2006/relationships/hyperlink" Target="http://www.sec.gov/Archives/edgar/data/829224/000082922415000017/sbux-3292015xexhibit31.htm" TargetMode="External"/><Relationship Id="rId4" Type="http://schemas.openxmlformats.org/officeDocument/2006/relationships/footnotes" Target="footnotes.xml"/><Relationship Id="rId9" Type="http://schemas.openxmlformats.org/officeDocument/2006/relationships/hyperlink" Target="https://www.sec.gov/ix?doc=/Archives/edgar/data/0000829224/000082922421000029/sbux-20201227.htm" TargetMode="External"/><Relationship Id="rId26" Type="http://schemas.openxmlformats.org/officeDocument/2006/relationships/hyperlink" Target="https://www.sec.gov/ix?doc=/Archives/edgar/data/0000829224/000082922421000029/sbux-20201227.htm" TargetMode="External"/><Relationship Id="rId47" Type="http://schemas.openxmlformats.org/officeDocument/2006/relationships/hyperlink" Target="https://www.sec.gov/ix?doc=/Archives/edgar/data/0000829224/000082922421000029/sbux-20201227.htm" TargetMode="External"/><Relationship Id="rId68" Type="http://schemas.openxmlformats.org/officeDocument/2006/relationships/hyperlink" Target="https://www.sec.gov/ix?doc=/Archives/edgar/data/0000829224/000082922421000029/sbux-20201227.htm" TargetMode="External"/><Relationship Id="rId89" Type="http://schemas.openxmlformats.org/officeDocument/2006/relationships/hyperlink" Target="https://www.sec.gov/ix?doc=/Archives/edgar/data/0000829224/000082922421000029/sbux-20201227.htm" TargetMode="External"/><Relationship Id="rId112" Type="http://schemas.openxmlformats.org/officeDocument/2006/relationships/hyperlink" Target="https://www.sec.gov/ix?doc=/Archives/edgar/data/0000829224/000082922421000029/sbux-20201227.htm"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19552</Words>
  <Characters>111448</Characters>
  <Application>Microsoft Office Word</Application>
  <DocSecurity>0</DocSecurity>
  <Lines>928</Lines>
  <Paragraphs>261</Paragraphs>
  <ScaleCrop>false</ScaleCrop>
  <Company/>
  <LinksUpToDate>false</LinksUpToDate>
  <CharactersWithSpaces>130739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FAF9BCEDF367674312AEE7638BE13416</vt:lpwstr>
  </property>
</Properties>
</file>