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67B3" w14:textId="5409334A" w:rsidR="007B6C97" w:rsidRDefault="00E426D1">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642967B4" w14:textId="77777777" w:rsidR="007B6C97" w:rsidRDefault="00E426D1">
      <w:pPr>
        <w:jc w:val="center"/>
      </w:pPr>
      <w:r>
        <w:rPr>
          <w:rFonts w:ascii="Times New Roman" w:eastAsia="宋体" w:hAnsi="Times New Roman"/>
          <w:b/>
          <w:bCs/>
          <w:color w:val="000000"/>
          <w:sz w:val="36"/>
          <w:szCs w:val="36"/>
        </w:rPr>
        <w:t>SECURITIES AND EXCHANGE COMMISSION</w:t>
      </w:r>
    </w:p>
    <w:p w14:paraId="642967B5" w14:textId="77777777" w:rsidR="007B6C97" w:rsidRDefault="00E426D1">
      <w:pPr>
        <w:jc w:val="center"/>
      </w:pPr>
      <w:r>
        <w:rPr>
          <w:rFonts w:ascii="Times New Roman" w:eastAsia="宋体" w:hAnsi="Times New Roman"/>
          <w:b/>
          <w:bCs/>
          <w:color w:val="000000"/>
        </w:rPr>
        <w:t>Washington, DC 20549</w:t>
      </w:r>
    </w:p>
    <w:p w14:paraId="642967B6" w14:textId="77777777" w:rsidR="007B6C97" w:rsidRDefault="00E426D1">
      <w:pPr>
        <w:spacing w:before="100"/>
        <w:jc w:val="center"/>
      </w:pPr>
      <w:r>
        <w:rPr>
          <w:rFonts w:ascii="Times New Roman" w:eastAsia="宋体" w:hAnsi="Times New Roman"/>
          <w:b/>
          <w:bCs/>
          <w:color w:val="000000"/>
          <w:sz w:val="36"/>
          <w:szCs w:val="36"/>
        </w:rPr>
        <w:t xml:space="preserve">FORM 10-Q </w:t>
      </w:r>
    </w:p>
    <w:p w14:paraId="642967B7" w14:textId="77777777" w:rsidR="007B6C97" w:rsidRDefault="00E426D1">
      <w:pPr>
        <w:spacing w:before="80"/>
        <w:jc w:val="center"/>
      </w:pPr>
      <w:r>
        <w:rPr>
          <w:rFonts w:ascii="Times New Roman" w:eastAsia="宋体" w:hAnsi="Times New Roman"/>
          <w:color w:val="000000"/>
          <w:sz w:val="20"/>
          <w:szCs w:val="20"/>
        </w:rPr>
        <w:t> </w:t>
      </w:r>
    </w:p>
    <w:p w14:paraId="642967B8" w14:textId="77777777" w:rsidR="007B6C97" w:rsidRDefault="00E426D1">
      <w:pPr>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642967B9" w14:textId="77777777" w:rsidR="007B6C97" w:rsidRDefault="00E426D1">
      <w:pPr>
        <w:spacing w:before="60"/>
        <w:jc w:val="center"/>
      </w:pPr>
      <w:r>
        <w:rPr>
          <w:rFonts w:ascii="Times New Roman" w:eastAsia="宋体" w:hAnsi="Times New Roman"/>
          <w:b/>
          <w:bCs/>
          <w:color w:val="000000"/>
          <w:sz w:val="20"/>
          <w:szCs w:val="20"/>
        </w:rPr>
        <w:t>For the Quarterly Period Ended July 3, 2022</w:t>
      </w:r>
    </w:p>
    <w:p w14:paraId="642967BA" w14:textId="77777777" w:rsidR="007B6C97" w:rsidRDefault="00E426D1">
      <w:pPr>
        <w:spacing w:before="60"/>
        <w:jc w:val="center"/>
      </w:pPr>
      <w:r>
        <w:rPr>
          <w:rFonts w:ascii="Times New Roman" w:eastAsia="宋体" w:hAnsi="Times New Roman"/>
          <w:b/>
          <w:bCs/>
          <w:color w:val="000000"/>
          <w:sz w:val="20"/>
          <w:szCs w:val="20"/>
        </w:rPr>
        <w:t>OR</w:t>
      </w:r>
    </w:p>
    <w:p w14:paraId="642967BB" w14:textId="77777777" w:rsidR="007B6C97" w:rsidRDefault="00E426D1">
      <w:pPr>
        <w:spacing w:before="100"/>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642967BC" w14:textId="77777777" w:rsidR="007B6C97" w:rsidRDefault="00E426D1">
      <w:pPr>
        <w:spacing w:before="60"/>
        <w:jc w:val="center"/>
      </w:pPr>
      <w:r>
        <w:rPr>
          <w:rFonts w:ascii="Times New Roman" w:eastAsia="宋体" w:hAnsi="Times New Roman"/>
          <w:b/>
          <w:bCs/>
          <w:color w:val="000000"/>
          <w:sz w:val="20"/>
          <w:szCs w:val="20"/>
        </w:rPr>
        <w:t>For the transition period from            to            .</w:t>
      </w:r>
    </w:p>
    <w:p w14:paraId="642967BD" w14:textId="77777777" w:rsidR="007B6C97" w:rsidRDefault="00E426D1">
      <w:pPr>
        <w:spacing w:before="180"/>
        <w:jc w:val="center"/>
      </w:pPr>
      <w:r>
        <w:rPr>
          <w:rFonts w:ascii="Times New Roman" w:eastAsia="宋体" w:hAnsi="Times New Roman"/>
          <w:b/>
          <w:bCs/>
          <w:color w:val="000000"/>
          <w:sz w:val="20"/>
          <w:szCs w:val="20"/>
        </w:rPr>
        <w:t xml:space="preserve">Commission File Number: 000-20322 </w:t>
      </w:r>
    </w:p>
    <w:p w14:paraId="642967BE" w14:textId="77777777" w:rsidR="007B6C97" w:rsidRDefault="00E426D1">
      <w:pPr>
        <w:spacing w:before="100"/>
        <w:jc w:val="center"/>
      </w:pPr>
      <w:r>
        <w:rPr>
          <w:rFonts w:ascii="Times New Roman" w:eastAsia="宋体" w:hAnsi="Times New Roman"/>
          <w:b/>
          <w:bCs/>
          <w:color w:val="00704A"/>
          <w:sz w:val="48"/>
          <w:szCs w:val="48"/>
        </w:rPr>
        <w:t xml:space="preserve">Starbucks Corporation </w:t>
      </w:r>
    </w:p>
    <w:p w14:paraId="642967BF" w14:textId="77777777" w:rsidR="007B6C97" w:rsidRDefault="00E426D1">
      <w:pPr>
        <w:jc w:val="center"/>
      </w:pPr>
      <w:r>
        <w:rPr>
          <w:rFonts w:ascii="Times New Roman" w:eastAsia="宋体" w:hAnsi="Times New Roman"/>
          <w:b/>
          <w:bCs/>
          <w:color w:val="000000"/>
          <w:sz w:val="20"/>
          <w:szCs w:val="20"/>
        </w:rPr>
        <w:t>(Exact Name of Registrant as Specified in its Charter)</w:t>
      </w:r>
    </w:p>
    <w:p w14:paraId="642967C0" w14:textId="77777777" w:rsidR="007B6C97" w:rsidRDefault="00E426D1">
      <w:pPr>
        <w:spacing w:before="120"/>
        <w:jc w:val="center"/>
      </w:pPr>
      <w:r>
        <w:rPr>
          <w:rFonts w:ascii="宋体" w:eastAsia="宋体" w:hAnsi="宋体" w:cs="宋体"/>
        </w:rPr>
        <w:fldChar w:fldCharType="begin"/>
      </w:r>
      <w:r>
        <w:rPr>
          <w:rFonts w:ascii="宋体" w:eastAsia="宋体" w:hAnsi="宋体" w:cs="宋体"/>
        </w:rPr>
        <w:instrText>INCLUDEPICTURE</w:instrText>
      </w:r>
      <w:r>
        <w:rPr>
          <w:rFonts w:ascii="宋体" w:eastAsia="宋体" w:hAnsi="宋体" w:cs="宋体"/>
        </w:rPr>
        <w:instrText xml:space="preserve"> \d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Viewer2_files/sbux-20220703_g1.jpg"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42999D9" wp14:editId="642999DA">
            <wp:extent cx="304800" cy="304800"/>
            <wp:effectExtent l="0" t="0" r="0" b="0"/>
            <wp:docPr id="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7B6C97" w14:paraId="642967C7" w14:textId="77777777">
        <w:trPr>
          <w:jc w:val="center"/>
        </w:trPr>
        <w:tc>
          <w:tcPr>
            <w:tcW w:w="50" w:type="pct"/>
            <w:shd w:val="clear" w:color="auto" w:fill="auto"/>
            <w:vAlign w:val="bottom"/>
          </w:tcPr>
          <w:p w14:paraId="642967C1" w14:textId="77777777" w:rsidR="007B6C97" w:rsidRDefault="007B6C97">
            <w:pPr>
              <w:rPr>
                <w:rFonts w:ascii="宋体"/>
              </w:rPr>
            </w:pPr>
          </w:p>
        </w:tc>
        <w:tc>
          <w:tcPr>
            <w:tcW w:w="2445" w:type="pct"/>
            <w:shd w:val="clear" w:color="auto" w:fill="auto"/>
            <w:vAlign w:val="bottom"/>
          </w:tcPr>
          <w:p w14:paraId="642967C2" w14:textId="77777777" w:rsidR="007B6C97" w:rsidRDefault="007B6C97">
            <w:pPr>
              <w:rPr>
                <w:rFonts w:ascii="宋体"/>
              </w:rPr>
            </w:pPr>
          </w:p>
        </w:tc>
        <w:tc>
          <w:tcPr>
            <w:tcW w:w="5" w:type="pct"/>
            <w:shd w:val="clear" w:color="auto" w:fill="auto"/>
            <w:vAlign w:val="bottom"/>
          </w:tcPr>
          <w:p w14:paraId="642967C3" w14:textId="77777777" w:rsidR="007B6C97" w:rsidRDefault="007B6C97">
            <w:pPr>
              <w:rPr>
                <w:rFonts w:ascii="宋体"/>
              </w:rPr>
            </w:pPr>
          </w:p>
        </w:tc>
        <w:tc>
          <w:tcPr>
            <w:tcW w:w="50" w:type="pct"/>
            <w:shd w:val="clear" w:color="auto" w:fill="auto"/>
            <w:vAlign w:val="bottom"/>
          </w:tcPr>
          <w:p w14:paraId="642967C4" w14:textId="77777777" w:rsidR="007B6C97" w:rsidRDefault="007B6C97">
            <w:pPr>
              <w:rPr>
                <w:rFonts w:ascii="宋体"/>
              </w:rPr>
            </w:pPr>
          </w:p>
        </w:tc>
        <w:tc>
          <w:tcPr>
            <w:tcW w:w="2445" w:type="pct"/>
            <w:shd w:val="clear" w:color="auto" w:fill="auto"/>
            <w:vAlign w:val="bottom"/>
          </w:tcPr>
          <w:p w14:paraId="642967C5" w14:textId="77777777" w:rsidR="007B6C97" w:rsidRDefault="007B6C97">
            <w:pPr>
              <w:rPr>
                <w:rFonts w:ascii="宋体"/>
              </w:rPr>
            </w:pPr>
          </w:p>
        </w:tc>
        <w:tc>
          <w:tcPr>
            <w:tcW w:w="5" w:type="pct"/>
            <w:shd w:val="clear" w:color="auto" w:fill="auto"/>
            <w:vAlign w:val="bottom"/>
          </w:tcPr>
          <w:p w14:paraId="642967C6" w14:textId="77777777" w:rsidR="007B6C97" w:rsidRDefault="007B6C97">
            <w:pPr>
              <w:rPr>
                <w:rFonts w:ascii="宋体"/>
              </w:rPr>
            </w:pPr>
          </w:p>
        </w:tc>
      </w:tr>
      <w:tr w:rsidR="007B6C97" w14:paraId="642967CA" w14:textId="77777777">
        <w:trPr>
          <w:jc w:val="center"/>
        </w:trPr>
        <w:tc>
          <w:tcPr>
            <w:tcW w:w="0" w:type="auto"/>
            <w:gridSpan w:val="3"/>
            <w:shd w:val="clear" w:color="auto" w:fill="auto"/>
            <w:tcMar>
              <w:top w:w="40" w:type="dxa"/>
              <w:left w:w="20" w:type="dxa"/>
              <w:bottom w:w="40" w:type="dxa"/>
              <w:right w:w="20" w:type="dxa"/>
            </w:tcMar>
          </w:tcPr>
          <w:p w14:paraId="642967C8" w14:textId="77777777" w:rsidR="007B6C97" w:rsidRDefault="00E426D1">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642967C9" w14:textId="77777777" w:rsidR="007B6C97" w:rsidRDefault="00E426D1">
            <w:pPr>
              <w:jc w:val="center"/>
              <w:textAlignment w:val="top"/>
            </w:pPr>
            <w:r>
              <w:rPr>
                <w:rFonts w:ascii="Times New Roman" w:eastAsia="宋体" w:hAnsi="Times New Roman"/>
                <w:b/>
                <w:bCs/>
                <w:color w:val="000000"/>
                <w:sz w:val="20"/>
                <w:szCs w:val="20"/>
              </w:rPr>
              <w:t>91-1325671</w:t>
            </w:r>
          </w:p>
        </w:tc>
      </w:tr>
      <w:tr w:rsidR="007B6C97" w14:paraId="642967CF" w14:textId="77777777">
        <w:trPr>
          <w:jc w:val="center"/>
        </w:trPr>
        <w:tc>
          <w:tcPr>
            <w:tcW w:w="0" w:type="auto"/>
            <w:gridSpan w:val="3"/>
            <w:shd w:val="clear" w:color="auto" w:fill="auto"/>
            <w:tcMar>
              <w:top w:w="40" w:type="dxa"/>
              <w:left w:w="20" w:type="dxa"/>
              <w:bottom w:w="40" w:type="dxa"/>
              <w:right w:w="20" w:type="dxa"/>
            </w:tcMar>
            <w:vAlign w:val="bottom"/>
          </w:tcPr>
          <w:p w14:paraId="642967CB"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(State or Other Jurisdiction of</w:t>
            </w:r>
          </w:p>
          <w:p w14:paraId="642967C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642967CD"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(IRS Employer</w:t>
            </w:r>
          </w:p>
          <w:p w14:paraId="642967CE"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Identification No.)</w:t>
            </w:r>
          </w:p>
        </w:tc>
      </w:tr>
    </w:tbl>
    <w:p w14:paraId="642967D0" w14:textId="77777777" w:rsidR="007B6C97" w:rsidRDefault="00E426D1">
      <w:pPr>
        <w:spacing w:before="120"/>
        <w:jc w:val="center"/>
      </w:pPr>
      <w:r>
        <w:rPr>
          <w:rFonts w:ascii="Times New Roman" w:eastAsia="宋体" w:hAnsi="Times New Roman"/>
          <w:b/>
          <w:bCs/>
          <w:color w:val="000000"/>
          <w:sz w:val="20"/>
          <w:szCs w:val="20"/>
        </w:rPr>
        <w:t xml:space="preserve">2401 Utah Avenue South, Seattle, Washington 98134 </w:t>
      </w:r>
    </w:p>
    <w:p w14:paraId="642967D1" w14:textId="77777777" w:rsidR="007B6C97" w:rsidRDefault="00E426D1">
      <w:pPr>
        <w:jc w:val="center"/>
      </w:pPr>
      <w:r>
        <w:rPr>
          <w:rFonts w:ascii="Times New Roman" w:eastAsia="宋体" w:hAnsi="Times New Roman"/>
          <w:b/>
          <w:bCs/>
          <w:color w:val="000000"/>
          <w:sz w:val="16"/>
          <w:szCs w:val="16"/>
        </w:rPr>
        <w:t>(Address of principal executive offices)</w:t>
      </w:r>
    </w:p>
    <w:p w14:paraId="642967D2" w14:textId="77777777" w:rsidR="007B6C97" w:rsidRDefault="00E426D1">
      <w:pPr>
        <w:spacing w:before="120"/>
        <w:jc w:val="center"/>
      </w:pPr>
      <w:r>
        <w:rPr>
          <w:rFonts w:ascii="Times New Roman" w:eastAsia="宋体" w:hAnsi="Times New Roman"/>
          <w:b/>
          <w:bCs/>
          <w:color w:val="000000"/>
          <w:sz w:val="20"/>
          <w:szCs w:val="20"/>
        </w:rPr>
        <w:t xml:space="preserve">(206) 447-1575 </w:t>
      </w:r>
    </w:p>
    <w:p w14:paraId="642967D3" w14:textId="77777777" w:rsidR="007B6C97" w:rsidRDefault="00E426D1">
      <w:pPr>
        <w:jc w:val="center"/>
      </w:pPr>
      <w:r>
        <w:rPr>
          <w:rFonts w:ascii="Times New Roman" w:eastAsia="宋体" w:hAnsi="Times New Roman"/>
          <w:b/>
          <w:bCs/>
          <w:color w:val="000000"/>
          <w:sz w:val="16"/>
          <w:szCs w:val="16"/>
        </w:rPr>
        <w:t>(Registrant’s Telephone Number, including Area Code)</w:t>
      </w:r>
    </w:p>
    <w:p w14:paraId="642967D4" w14:textId="77777777" w:rsidR="007B6C97" w:rsidRDefault="00E426D1">
      <w:pPr>
        <w:spacing w:before="80"/>
      </w:pPr>
      <w:r>
        <w:rPr>
          <w:rFonts w:ascii="Times New Roman" w:eastAsia="宋体" w:hAnsi="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6"/>
        <w:gridCol w:w="69"/>
        <w:gridCol w:w="2674"/>
        <w:gridCol w:w="36"/>
        <w:gridCol w:w="69"/>
        <w:gridCol w:w="2674"/>
        <w:gridCol w:w="36"/>
      </w:tblGrid>
      <w:tr w:rsidR="007B6C97" w14:paraId="642967DE" w14:textId="77777777">
        <w:tc>
          <w:tcPr>
            <w:tcW w:w="50" w:type="pct"/>
            <w:shd w:val="clear" w:color="auto" w:fill="auto"/>
            <w:vAlign w:val="bottom"/>
          </w:tcPr>
          <w:p w14:paraId="642967D5" w14:textId="77777777" w:rsidR="007B6C97" w:rsidRDefault="007B6C97">
            <w:pPr>
              <w:rPr>
                <w:rFonts w:ascii="宋体"/>
              </w:rPr>
            </w:pPr>
          </w:p>
        </w:tc>
        <w:tc>
          <w:tcPr>
            <w:tcW w:w="1611" w:type="pct"/>
            <w:shd w:val="clear" w:color="auto" w:fill="auto"/>
            <w:vAlign w:val="bottom"/>
          </w:tcPr>
          <w:p w14:paraId="642967D6" w14:textId="77777777" w:rsidR="007B6C97" w:rsidRDefault="007B6C97">
            <w:pPr>
              <w:rPr>
                <w:rFonts w:ascii="宋体"/>
              </w:rPr>
            </w:pPr>
          </w:p>
        </w:tc>
        <w:tc>
          <w:tcPr>
            <w:tcW w:w="5" w:type="pct"/>
            <w:shd w:val="clear" w:color="auto" w:fill="auto"/>
            <w:vAlign w:val="bottom"/>
          </w:tcPr>
          <w:p w14:paraId="642967D7" w14:textId="77777777" w:rsidR="007B6C97" w:rsidRDefault="007B6C97">
            <w:pPr>
              <w:rPr>
                <w:rFonts w:ascii="宋体"/>
              </w:rPr>
            </w:pPr>
          </w:p>
        </w:tc>
        <w:tc>
          <w:tcPr>
            <w:tcW w:w="50" w:type="pct"/>
            <w:shd w:val="clear" w:color="auto" w:fill="auto"/>
            <w:vAlign w:val="bottom"/>
          </w:tcPr>
          <w:p w14:paraId="642967D8" w14:textId="77777777" w:rsidR="007B6C97" w:rsidRDefault="007B6C97">
            <w:pPr>
              <w:rPr>
                <w:rFonts w:ascii="宋体"/>
              </w:rPr>
            </w:pPr>
          </w:p>
        </w:tc>
        <w:tc>
          <w:tcPr>
            <w:tcW w:w="1611" w:type="pct"/>
            <w:shd w:val="clear" w:color="auto" w:fill="auto"/>
            <w:vAlign w:val="bottom"/>
          </w:tcPr>
          <w:p w14:paraId="642967D9" w14:textId="77777777" w:rsidR="007B6C97" w:rsidRDefault="007B6C97">
            <w:pPr>
              <w:rPr>
                <w:rFonts w:ascii="宋体"/>
              </w:rPr>
            </w:pPr>
          </w:p>
        </w:tc>
        <w:tc>
          <w:tcPr>
            <w:tcW w:w="5" w:type="pct"/>
            <w:shd w:val="clear" w:color="auto" w:fill="auto"/>
            <w:vAlign w:val="bottom"/>
          </w:tcPr>
          <w:p w14:paraId="642967DA" w14:textId="77777777" w:rsidR="007B6C97" w:rsidRDefault="007B6C97">
            <w:pPr>
              <w:rPr>
                <w:rFonts w:ascii="宋体"/>
              </w:rPr>
            </w:pPr>
          </w:p>
        </w:tc>
        <w:tc>
          <w:tcPr>
            <w:tcW w:w="50" w:type="pct"/>
            <w:shd w:val="clear" w:color="auto" w:fill="auto"/>
            <w:vAlign w:val="bottom"/>
          </w:tcPr>
          <w:p w14:paraId="642967DB" w14:textId="77777777" w:rsidR="007B6C97" w:rsidRDefault="007B6C97">
            <w:pPr>
              <w:rPr>
                <w:rFonts w:ascii="宋体"/>
              </w:rPr>
            </w:pPr>
          </w:p>
        </w:tc>
        <w:tc>
          <w:tcPr>
            <w:tcW w:w="1611" w:type="pct"/>
            <w:shd w:val="clear" w:color="auto" w:fill="auto"/>
            <w:vAlign w:val="bottom"/>
          </w:tcPr>
          <w:p w14:paraId="642967DC" w14:textId="77777777" w:rsidR="007B6C97" w:rsidRDefault="007B6C97">
            <w:pPr>
              <w:rPr>
                <w:rFonts w:ascii="宋体"/>
              </w:rPr>
            </w:pPr>
          </w:p>
        </w:tc>
        <w:tc>
          <w:tcPr>
            <w:tcW w:w="5" w:type="pct"/>
            <w:shd w:val="clear" w:color="auto" w:fill="auto"/>
            <w:vAlign w:val="bottom"/>
          </w:tcPr>
          <w:p w14:paraId="642967DD" w14:textId="77777777" w:rsidR="007B6C97" w:rsidRDefault="007B6C97">
            <w:pPr>
              <w:rPr>
                <w:rFonts w:ascii="宋体"/>
              </w:rPr>
            </w:pPr>
          </w:p>
        </w:tc>
      </w:tr>
      <w:tr w:rsidR="007B6C97" w14:paraId="642967E2" w14:textId="77777777">
        <w:tc>
          <w:tcPr>
            <w:tcW w:w="0" w:type="auto"/>
            <w:gridSpan w:val="3"/>
            <w:shd w:val="clear" w:color="auto" w:fill="auto"/>
            <w:tcMar>
              <w:top w:w="40" w:type="dxa"/>
              <w:left w:w="20" w:type="dxa"/>
              <w:bottom w:w="40" w:type="dxa"/>
              <w:right w:w="20" w:type="dxa"/>
            </w:tcMar>
            <w:vAlign w:val="bottom"/>
          </w:tcPr>
          <w:p w14:paraId="642967DF" w14:textId="77777777" w:rsidR="007B6C97" w:rsidRDefault="00E426D1">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642967E0" w14:textId="77777777" w:rsidR="007B6C97" w:rsidRDefault="00E426D1">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642967E1" w14:textId="77777777" w:rsidR="007B6C97" w:rsidRDefault="00E426D1">
            <w:pPr>
              <w:jc w:val="center"/>
              <w:textAlignment w:val="bottom"/>
            </w:pPr>
            <w:r>
              <w:rPr>
                <w:rFonts w:ascii="Times New Roman" w:eastAsia="宋体" w:hAnsi="Times New Roman"/>
                <w:b/>
                <w:bCs/>
                <w:color w:val="000000"/>
                <w:sz w:val="16"/>
                <w:szCs w:val="16"/>
                <w:u w:val="single"/>
              </w:rPr>
              <w:t>Name of each exchange on which registered</w:t>
            </w:r>
          </w:p>
        </w:tc>
      </w:tr>
      <w:tr w:rsidR="007B6C97" w14:paraId="642967E6" w14:textId="77777777">
        <w:tc>
          <w:tcPr>
            <w:tcW w:w="0" w:type="auto"/>
            <w:gridSpan w:val="3"/>
            <w:shd w:val="clear" w:color="auto" w:fill="auto"/>
            <w:tcMar>
              <w:top w:w="40" w:type="dxa"/>
              <w:left w:w="20" w:type="dxa"/>
              <w:bottom w:w="40" w:type="dxa"/>
              <w:right w:w="20" w:type="dxa"/>
            </w:tcMar>
          </w:tcPr>
          <w:p w14:paraId="642967E3" w14:textId="77777777" w:rsidR="007B6C97" w:rsidRDefault="00E426D1">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642967E4" w14:textId="77777777" w:rsidR="007B6C97" w:rsidRDefault="00E426D1">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642967E5" w14:textId="77777777" w:rsidR="007B6C97" w:rsidRDefault="00E426D1">
            <w:pPr>
              <w:jc w:val="center"/>
              <w:textAlignment w:val="top"/>
            </w:pPr>
            <w:r>
              <w:rPr>
                <w:rFonts w:ascii="Times New Roman" w:eastAsia="宋体" w:hAnsi="Times New Roman"/>
                <w:color w:val="000000"/>
                <w:sz w:val="20"/>
                <w:szCs w:val="20"/>
              </w:rPr>
              <w:t>Nasdaq Global Select Market</w:t>
            </w:r>
          </w:p>
        </w:tc>
      </w:tr>
    </w:tbl>
    <w:p w14:paraId="642967E7" w14:textId="77777777" w:rsidR="007B6C97" w:rsidRDefault="00E426D1">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642967E8" w14:textId="77777777" w:rsidR="007B6C97" w:rsidRDefault="00E426D1">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642967E9" w14:textId="77777777" w:rsidR="007B6C97" w:rsidRDefault="00E426D1">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46"/>
        <w:gridCol w:w="1568"/>
        <w:gridCol w:w="36"/>
        <w:gridCol w:w="63"/>
        <w:gridCol w:w="184"/>
        <w:gridCol w:w="36"/>
        <w:gridCol w:w="66"/>
        <w:gridCol w:w="1524"/>
        <w:gridCol w:w="36"/>
        <w:gridCol w:w="53"/>
        <w:gridCol w:w="182"/>
        <w:gridCol w:w="36"/>
        <w:gridCol w:w="65"/>
        <w:gridCol w:w="1551"/>
        <w:gridCol w:w="36"/>
        <w:gridCol w:w="54"/>
        <w:gridCol w:w="171"/>
        <w:gridCol w:w="36"/>
        <w:gridCol w:w="107"/>
        <w:gridCol w:w="2112"/>
        <w:gridCol w:w="36"/>
        <w:gridCol w:w="53"/>
        <w:gridCol w:w="172"/>
        <w:gridCol w:w="36"/>
      </w:tblGrid>
      <w:tr w:rsidR="007B6C97" w14:paraId="64296802" w14:textId="77777777">
        <w:tc>
          <w:tcPr>
            <w:tcW w:w="50" w:type="pct"/>
            <w:shd w:val="clear" w:color="auto" w:fill="auto"/>
            <w:vAlign w:val="bottom"/>
          </w:tcPr>
          <w:p w14:paraId="642967EA" w14:textId="77777777" w:rsidR="007B6C97" w:rsidRDefault="007B6C97">
            <w:pPr>
              <w:rPr>
                <w:rFonts w:ascii="宋体"/>
              </w:rPr>
            </w:pPr>
          </w:p>
        </w:tc>
        <w:tc>
          <w:tcPr>
            <w:tcW w:w="989" w:type="pct"/>
            <w:shd w:val="clear" w:color="auto" w:fill="auto"/>
            <w:vAlign w:val="bottom"/>
          </w:tcPr>
          <w:p w14:paraId="642967EB" w14:textId="77777777" w:rsidR="007B6C97" w:rsidRDefault="007B6C97">
            <w:pPr>
              <w:rPr>
                <w:rFonts w:ascii="宋体"/>
              </w:rPr>
            </w:pPr>
          </w:p>
        </w:tc>
        <w:tc>
          <w:tcPr>
            <w:tcW w:w="5" w:type="pct"/>
            <w:shd w:val="clear" w:color="auto" w:fill="auto"/>
            <w:vAlign w:val="bottom"/>
          </w:tcPr>
          <w:p w14:paraId="642967EC" w14:textId="77777777" w:rsidR="007B6C97" w:rsidRDefault="007B6C97">
            <w:pPr>
              <w:rPr>
                <w:rFonts w:ascii="宋体"/>
              </w:rPr>
            </w:pPr>
          </w:p>
        </w:tc>
        <w:tc>
          <w:tcPr>
            <w:tcW w:w="50" w:type="pct"/>
            <w:shd w:val="clear" w:color="auto" w:fill="auto"/>
            <w:vAlign w:val="bottom"/>
          </w:tcPr>
          <w:p w14:paraId="642967ED" w14:textId="77777777" w:rsidR="007B6C97" w:rsidRDefault="007B6C97">
            <w:pPr>
              <w:rPr>
                <w:rFonts w:ascii="宋体"/>
              </w:rPr>
            </w:pPr>
          </w:p>
        </w:tc>
        <w:tc>
          <w:tcPr>
            <w:tcW w:w="148" w:type="pct"/>
            <w:shd w:val="clear" w:color="auto" w:fill="auto"/>
            <w:vAlign w:val="bottom"/>
          </w:tcPr>
          <w:p w14:paraId="642967EE" w14:textId="77777777" w:rsidR="007B6C97" w:rsidRDefault="007B6C97">
            <w:pPr>
              <w:rPr>
                <w:rFonts w:ascii="宋体"/>
              </w:rPr>
            </w:pPr>
          </w:p>
        </w:tc>
        <w:tc>
          <w:tcPr>
            <w:tcW w:w="5" w:type="pct"/>
            <w:shd w:val="clear" w:color="auto" w:fill="auto"/>
            <w:vAlign w:val="bottom"/>
          </w:tcPr>
          <w:p w14:paraId="642967EF" w14:textId="77777777" w:rsidR="007B6C97" w:rsidRDefault="007B6C97">
            <w:pPr>
              <w:rPr>
                <w:rFonts w:ascii="宋体"/>
              </w:rPr>
            </w:pPr>
          </w:p>
        </w:tc>
        <w:tc>
          <w:tcPr>
            <w:tcW w:w="50" w:type="pct"/>
            <w:shd w:val="clear" w:color="auto" w:fill="auto"/>
            <w:vAlign w:val="bottom"/>
          </w:tcPr>
          <w:p w14:paraId="642967F0" w14:textId="77777777" w:rsidR="007B6C97" w:rsidRDefault="007B6C97">
            <w:pPr>
              <w:rPr>
                <w:rFonts w:ascii="宋体"/>
              </w:rPr>
            </w:pPr>
          </w:p>
        </w:tc>
        <w:tc>
          <w:tcPr>
            <w:tcW w:w="989" w:type="pct"/>
            <w:shd w:val="clear" w:color="auto" w:fill="auto"/>
            <w:vAlign w:val="bottom"/>
          </w:tcPr>
          <w:p w14:paraId="642967F1" w14:textId="77777777" w:rsidR="007B6C97" w:rsidRDefault="007B6C97">
            <w:pPr>
              <w:rPr>
                <w:rFonts w:ascii="宋体"/>
              </w:rPr>
            </w:pPr>
          </w:p>
        </w:tc>
        <w:tc>
          <w:tcPr>
            <w:tcW w:w="5" w:type="pct"/>
            <w:shd w:val="clear" w:color="auto" w:fill="auto"/>
            <w:vAlign w:val="bottom"/>
          </w:tcPr>
          <w:p w14:paraId="642967F2" w14:textId="77777777" w:rsidR="007B6C97" w:rsidRDefault="007B6C97">
            <w:pPr>
              <w:rPr>
                <w:rFonts w:ascii="宋体"/>
              </w:rPr>
            </w:pPr>
          </w:p>
        </w:tc>
        <w:tc>
          <w:tcPr>
            <w:tcW w:w="50" w:type="pct"/>
            <w:shd w:val="clear" w:color="auto" w:fill="auto"/>
            <w:vAlign w:val="bottom"/>
          </w:tcPr>
          <w:p w14:paraId="642967F3" w14:textId="77777777" w:rsidR="007B6C97" w:rsidRDefault="007B6C97">
            <w:pPr>
              <w:rPr>
                <w:rFonts w:ascii="宋体"/>
              </w:rPr>
            </w:pPr>
          </w:p>
        </w:tc>
        <w:tc>
          <w:tcPr>
            <w:tcW w:w="155" w:type="pct"/>
            <w:shd w:val="clear" w:color="auto" w:fill="auto"/>
            <w:vAlign w:val="bottom"/>
          </w:tcPr>
          <w:p w14:paraId="642967F4" w14:textId="77777777" w:rsidR="007B6C97" w:rsidRDefault="007B6C97">
            <w:pPr>
              <w:rPr>
                <w:rFonts w:ascii="宋体"/>
              </w:rPr>
            </w:pPr>
          </w:p>
        </w:tc>
        <w:tc>
          <w:tcPr>
            <w:tcW w:w="5" w:type="pct"/>
            <w:shd w:val="clear" w:color="auto" w:fill="auto"/>
            <w:vAlign w:val="bottom"/>
          </w:tcPr>
          <w:p w14:paraId="642967F5" w14:textId="77777777" w:rsidR="007B6C97" w:rsidRDefault="007B6C97">
            <w:pPr>
              <w:rPr>
                <w:rFonts w:ascii="宋体"/>
              </w:rPr>
            </w:pPr>
          </w:p>
        </w:tc>
        <w:tc>
          <w:tcPr>
            <w:tcW w:w="50" w:type="pct"/>
            <w:shd w:val="clear" w:color="auto" w:fill="auto"/>
            <w:vAlign w:val="bottom"/>
          </w:tcPr>
          <w:p w14:paraId="642967F6" w14:textId="77777777" w:rsidR="007B6C97" w:rsidRDefault="007B6C97">
            <w:pPr>
              <w:rPr>
                <w:rFonts w:ascii="宋体"/>
              </w:rPr>
            </w:pPr>
          </w:p>
        </w:tc>
        <w:tc>
          <w:tcPr>
            <w:tcW w:w="989" w:type="pct"/>
            <w:shd w:val="clear" w:color="auto" w:fill="auto"/>
            <w:vAlign w:val="bottom"/>
          </w:tcPr>
          <w:p w14:paraId="642967F7" w14:textId="77777777" w:rsidR="007B6C97" w:rsidRDefault="007B6C97">
            <w:pPr>
              <w:rPr>
                <w:rFonts w:ascii="宋体"/>
              </w:rPr>
            </w:pPr>
          </w:p>
        </w:tc>
        <w:tc>
          <w:tcPr>
            <w:tcW w:w="5" w:type="pct"/>
            <w:shd w:val="clear" w:color="auto" w:fill="auto"/>
            <w:vAlign w:val="bottom"/>
          </w:tcPr>
          <w:p w14:paraId="642967F8" w14:textId="77777777" w:rsidR="007B6C97" w:rsidRDefault="007B6C97">
            <w:pPr>
              <w:rPr>
                <w:rFonts w:ascii="宋体"/>
              </w:rPr>
            </w:pPr>
          </w:p>
        </w:tc>
        <w:tc>
          <w:tcPr>
            <w:tcW w:w="50" w:type="pct"/>
            <w:shd w:val="clear" w:color="auto" w:fill="auto"/>
            <w:vAlign w:val="bottom"/>
          </w:tcPr>
          <w:p w14:paraId="642967F9" w14:textId="77777777" w:rsidR="007B6C97" w:rsidRDefault="007B6C97">
            <w:pPr>
              <w:rPr>
                <w:rFonts w:ascii="宋体"/>
              </w:rPr>
            </w:pPr>
          </w:p>
        </w:tc>
        <w:tc>
          <w:tcPr>
            <w:tcW w:w="148" w:type="pct"/>
            <w:shd w:val="clear" w:color="auto" w:fill="auto"/>
            <w:vAlign w:val="bottom"/>
          </w:tcPr>
          <w:p w14:paraId="642967FA" w14:textId="77777777" w:rsidR="007B6C97" w:rsidRDefault="007B6C97">
            <w:pPr>
              <w:rPr>
                <w:rFonts w:ascii="宋体"/>
              </w:rPr>
            </w:pPr>
          </w:p>
        </w:tc>
        <w:tc>
          <w:tcPr>
            <w:tcW w:w="5" w:type="pct"/>
            <w:shd w:val="clear" w:color="auto" w:fill="auto"/>
            <w:vAlign w:val="bottom"/>
          </w:tcPr>
          <w:p w14:paraId="642967FB" w14:textId="77777777" w:rsidR="007B6C97" w:rsidRDefault="007B6C97">
            <w:pPr>
              <w:rPr>
                <w:rFonts w:ascii="宋体"/>
              </w:rPr>
            </w:pPr>
          </w:p>
        </w:tc>
        <w:tc>
          <w:tcPr>
            <w:tcW w:w="50" w:type="pct"/>
            <w:shd w:val="clear" w:color="auto" w:fill="auto"/>
            <w:vAlign w:val="bottom"/>
          </w:tcPr>
          <w:p w14:paraId="642967FC" w14:textId="77777777" w:rsidR="007B6C97" w:rsidRDefault="007B6C97">
            <w:pPr>
              <w:rPr>
                <w:rFonts w:ascii="宋体"/>
              </w:rPr>
            </w:pPr>
          </w:p>
        </w:tc>
        <w:tc>
          <w:tcPr>
            <w:tcW w:w="989" w:type="pct"/>
            <w:shd w:val="clear" w:color="auto" w:fill="auto"/>
            <w:vAlign w:val="bottom"/>
          </w:tcPr>
          <w:p w14:paraId="642967FD" w14:textId="77777777" w:rsidR="007B6C97" w:rsidRDefault="007B6C97">
            <w:pPr>
              <w:rPr>
                <w:rFonts w:ascii="宋体"/>
              </w:rPr>
            </w:pPr>
          </w:p>
        </w:tc>
        <w:tc>
          <w:tcPr>
            <w:tcW w:w="5" w:type="pct"/>
            <w:shd w:val="clear" w:color="auto" w:fill="auto"/>
            <w:vAlign w:val="bottom"/>
          </w:tcPr>
          <w:p w14:paraId="642967FE" w14:textId="77777777" w:rsidR="007B6C97" w:rsidRDefault="007B6C97">
            <w:pPr>
              <w:rPr>
                <w:rFonts w:ascii="宋体"/>
              </w:rPr>
            </w:pPr>
          </w:p>
        </w:tc>
        <w:tc>
          <w:tcPr>
            <w:tcW w:w="50" w:type="pct"/>
            <w:shd w:val="clear" w:color="auto" w:fill="auto"/>
            <w:vAlign w:val="bottom"/>
          </w:tcPr>
          <w:p w14:paraId="642967FF" w14:textId="77777777" w:rsidR="007B6C97" w:rsidRDefault="007B6C97">
            <w:pPr>
              <w:rPr>
                <w:rFonts w:ascii="宋体"/>
              </w:rPr>
            </w:pPr>
          </w:p>
        </w:tc>
        <w:tc>
          <w:tcPr>
            <w:tcW w:w="148" w:type="pct"/>
            <w:shd w:val="clear" w:color="auto" w:fill="auto"/>
            <w:vAlign w:val="bottom"/>
          </w:tcPr>
          <w:p w14:paraId="64296800" w14:textId="77777777" w:rsidR="007B6C97" w:rsidRDefault="007B6C97">
            <w:pPr>
              <w:rPr>
                <w:rFonts w:ascii="宋体"/>
              </w:rPr>
            </w:pPr>
          </w:p>
        </w:tc>
        <w:tc>
          <w:tcPr>
            <w:tcW w:w="5" w:type="pct"/>
            <w:shd w:val="clear" w:color="auto" w:fill="auto"/>
            <w:vAlign w:val="bottom"/>
          </w:tcPr>
          <w:p w14:paraId="64296801" w14:textId="77777777" w:rsidR="007B6C97" w:rsidRDefault="007B6C97">
            <w:pPr>
              <w:rPr>
                <w:rFonts w:ascii="宋体"/>
              </w:rPr>
            </w:pPr>
          </w:p>
        </w:tc>
      </w:tr>
      <w:tr w:rsidR="007B6C97" w14:paraId="6429680B" w14:textId="77777777">
        <w:tc>
          <w:tcPr>
            <w:tcW w:w="0" w:type="auto"/>
            <w:gridSpan w:val="3"/>
            <w:shd w:val="clear" w:color="auto" w:fill="auto"/>
            <w:tcMar>
              <w:top w:w="40" w:type="dxa"/>
              <w:left w:w="20" w:type="dxa"/>
              <w:bottom w:w="40" w:type="dxa"/>
              <w:right w:w="20" w:type="dxa"/>
            </w:tcMar>
            <w:vAlign w:val="center"/>
          </w:tcPr>
          <w:p w14:paraId="64296803" w14:textId="77777777" w:rsidR="007B6C97" w:rsidRDefault="00E426D1">
            <w:pPr>
              <w:textAlignment w:val="center"/>
            </w:pPr>
            <w:r>
              <w:rPr>
                <w:rFonts w:ascii="Times New Roman" w:eastAsia="宋体" w:hAnsi="Times New Roman"/>
                <w:color w:val="000000"/>
                <w:sz w:val="20"/>
                <w:szCs w:val="20"/>
              </w:rPr>
              <w:lastRenderedPageBreak/>
              <w:t>Large accelerated filer</w:t>
            </w:r>
          </w:p>
        </w:tc>
        <w:tc>
          <w:tcPr>
            <w:tcW w:w="0" w:type="auto"/>
            <w:gridSpan w:val="3"/>
            <w:shd w:val="clear" w:color="auto" w:fill="auto"/>
            <w:tcMar>
              <w:top w:w="40" w:type="dxa"/>
              <w:left w:w="20" w:type="dxa"/>
              <w:bottom w:w="40" w:type="dxa"/>
              <w:right w:w="20" w:type="dxa"/>
            </w:tcMar>
            <w:vAlign w:val="center"/>
          </w:tcPr>
          <w:p w14:paraId="64296804" w14:textId="77777777" w:rsidR="007B6C97" w:rsidRDefault="00E426D1">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64296805" w14:textId="77777777" w:rsidR="007B6C97" w:rsidRDefault="00E426D1">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64296806" w14:textId="77777777" w:rsidR="007B6C97" w:rsidRDefault="00E426D1">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64296807" w14:textId="77777777" w:rsidR="007B6C97" w:rsidRDefault="00E426D1">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64296808" w14:textId="77777777" w:rsidR="007B6C97" w:rsidRDefault="00E426D1">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64296809" w14:textId="77777777" w:rsidR="007B6C97" w:rsidRDefault="00E426D1">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6429680A" w14:textId="77777777" w:rsidR="007B6C97" w:rsidRDefault="00E426D1">
            <w:pPr>
              <w:pBdr>
                <w:top w:val="none" w:sz="0" w:space="0" w:color="auto"/>
                <w:left w:val="none" w:sz="0" w:space="0" w:color="auto"/>
                <w:bottom w:val="none" w:sz="0" w:space="0" w:color="auto"/>
                <w:right w:val="none" w:sz="0" w:space="0" w:color="auto"/>
              </w:pBdr>
              <w:spacing w:after="20"/>
              <w:jc w:val="both"/>
              <w:textAlignment w:val="bottom"/>
            </w:pPr>
            <w:r>
              <w:rPr>
                <w:rFonts w:ascii="Times New Roman" w:eastAsia="宋体" w:hAnsi="Times New Roman"/>
                <w:color w:val="000000"/>
                <w:sz w:val="20"/>
                <w:szCs w:val="20"/>
              </w:rPr>
              <w:t>☐</w:t>
            </w:r>
          </w:p>
        </w:tc>
      </w:tr>
      <w:tr w:rsidR="007B6C97" w14:paraId="64296814" w14:textId="77777777">
        <w:trPr>
          <w:trHeight w:val="60"/>
        </w:trPr>
        <w:tc>
          <w:tcPr>
            <w:tcW w:w="0" w:type="auto"/>
            <w:gridSpan w:val="3"/>
            <w:shd w:val="clear" w:color="auto" w:fill="auto"/>
            <w:tcMar>
              <w:top w:w="0" w:type="dxa"/>
              <w:left w:w="20" w:type="dxa"/>
              <w:bottom w:w="0" w:type="dxa"/>
              <w:right w:w="20" w:type="dxa"/>
            </w:tcMar>
            <w:vAlign w:val="bottom"/>
          </w:tcPr>
          <w:p w14:paraId="6429680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0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0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0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0"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2"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3" w14:textId="77777777" w:rsidR="007B6C97" w:rsidRDefault="007B6C97">
            <w:pPr>
              <w:rPr>
                <w:rFonts w:ascii="宋体"/>
              </w:rPr>
            </w:pPr>
          </w:p>
        </w:tc>
      </w:tr>
      <w:tr w:rsidR="007B6C97" w14:paraId="6429681D" w14:textId="77777777">
        <w:tc>
          <w:tcPr>
            <w:tcW w:w="0" w:type="auto"/>
            <w:gridSpan w:val="3"/>
            <w:shd w:val="clear" w:color="auto" w:fill="auto"/>
            <w:tcMar>
              <w:top w:w="40" w:type="dxa"/>
              <w:left w:w="20" w:type="dxa"/>
              <w:bottom w:w="40" w:type="dxa"/>
              <w:right w:w="20" w:type="dxa"/>
            </w:tcMar>
            <w:vAlign w:val="center"/>
          </w:tcPr>
          <w:p w14:paraId="64296815" w14:textId="77777777" w:rsidR="007B6C97" w:rsidRDefault="00E426D1">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64296816" w14:textId="77777777" w:rsidR="007B6C97" w:rsidRDefault="00E426D1">
            <w:pPr>
              <w:pBdr>
                <w:top w:val="none" w:sz="0" w:space="0" w:color="auto"/>
                <w:left w:val="none" w:sz="0" w:space="0" w:color="auto"/>
                <w:bottom w:val="none" w:sz="0" w:space="0" w:color="auto"/>
                <w:right w:val="none" w:sz="0" w:space="0" w:color="auto"/>
              </w:pBd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64296817"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8"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1C" w14:textId="77777777" w:rsidR="007B6C97" w:rsidRDefault="007B6C97">
            <w:pPr>
              <w:rPr>
                <w:rFonts w:ascii="宋体"/>
              </w:rPr>
            </w:pPr>
          </w:p>
        </w:tc>
      </w:tr>
    </w:tbl>
    <w:p w14:paraId="6429681E" w14:textId="77777777" w:rsidR="007B6C97" w:rsidRDefault="00E426D1">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6429681F" w14:textId="77777777" w:rsidR="007B6C97" w:rsidRDefault="00E426D1">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64296820" w14:textId="77777777" w:rsidR="007B6C97" w:rsidRDefault="00E426D1">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7B6C97" w14:paraId="64296824" w14:textId="77777777">
        <w:trPr>
          <w:jc w:val="center"/>
        </w:trPr>
        <w:tc>
          <w:tcPr>
            <w:tcW w:w="50" w:type="pct"/>
            <w:shd w:val="clear" w:color="auto" w:fill="auto"/>
            <w:vAlign w:val="bottom"/>
          </w:tcPr>
          <w:p w14:paraId="64296821" w14:textId="77777777" w:rsidR="007B6C97" w:rsidRDefault="007B6C97">
            <w:pPr>
              <w:rPr>
                <w:rFonts w:ascii="宋体"/>
              </w:rPr>
            </w:pPr>
          </w:p>
        </w:tc>
        <w:tc>
          <w:tcPr>
            <w:tcW w:w="4945" w:type="pct"/>
            <w:shd w:val="clear" w:color="auto" w:fill="auto"/>
            <w:vAlign w:val="bottom"/>
          </w:tcPr>
          <w:p w14:paraId="64296822" w14:textId="77777777" w:rsidR="007B6C97" w:rsidRDefault="007B6C97">
            <w:pPr>
              <w:rPr>
                <w:rFonts w:ascii="宋体"/>
              </w:rPr>
            </w:pPr>
          </w:p>
        </w:tc>
        <w:tc>
          <w:tcPr>
            <w:tcW w:w="5" w:type="pct"/>
            <w:shd w:val="clear" w:color="auto" w:fill="auto"/>
            <w:vAlign w:val="bottom"/>
          </w:tcPr>
          <w:p w14:paraId="64296823" w14:textId="77777777" w:rsidR="007B6C97" w:rsidRDefault="007B6C97">
            <w:pPr>
              <w:rPr>
                <w:rFonts w:ascii="宋体"/>
              </w:rPr>
            </w:pPr>
          </w:p>
        </w:tc>
      </w:tr>
      <w:tr w:rsidR="007B6C97" w14:paraId="64296826" w14:textId="77777777">
        <w:trPr>
          <w:jc w:val="center"/>
        </w:trPr>
        <w:tc>
          <w:tcPr>
            <w:tcW w:w="0" w:type="auto"/>
            <w:gridSpan w:val="3"/>
            <w:shd w:val="clear" w:color="auto" w:fill="auto"/>
            <w:tcMar>
              <w:top w:w="40" w:type="dxa"/>
              <w:left w:w="20" w:type="dxa"/>
              <w:bottom w:w="40" w:type="dxa"/>
              <w:right w:w="20" w:type="dxa"/>
            </w:tcMar>
            <w:vAlign w:val="bottom"/>
          </w:tcPr>
          <w:p w14:paraId="64296825" w14:textId="77777777" w:rsidR="007B6C97" w:rsidRDefault="00E426D1">
            <w:pPr>
              <w:jc w:val="center"/>
              <w:textAlignment w:val="bottom"/>
            </w:pPr>
            <w:r>
              <w:rPr>
                <w:rFonts w:ascii="Times New Roman" w:eastAsia="宋体" w:hAnsi="Times New Roman"/>
                <w:b/>
                <w:bCs/>
                <w:color w:val="000000"/>
                <w:sz w:val="16"/>
                <w:szCs w:val="16"/>
                <w:u w:val="single"/>
              </w:rPr>
              <w:t>Shares Outstanding as of July 27, 2022</w:t>
            </w:r>
          </w:p>
        </w:tc>
      </w:tr>
      <w:tr w:rsidR="007B6C97" w14:paraId="64296828" w14:textId="77777777">
        <w:trPr>
          <w:jc w:val="center"/>
        </w:trPr>
        <w:tc>
          <w:tcPr>
            <w:tcW w:w="0" w:type="auto"/>
            <w:gridSpan w:val="3"/>
            <w:shd w:val="clear" w:color="auto" w:fill="auto"/>
            <w:tcMar>
              <w:top w:w="40" w:type="dxa"/>
              <w:left w:w="20" w:type="dxa"/>
              <w:bottom w:w="40" w:type="dxa"/>
              <w:right w:w="20" w:type="dxa"/>
            </w:tcMar>
            <w:vAlign w:val="bottom"/>
          </w:tcPr>
          <w:p w14:paraId="64296827" w14:textId="77777777" w:rsidR="007B6C97" w:rsidRDefault="00E426D1">
            <w:pPr>
              <w:jc w:val="center"/>
              <w:textAlignment w:val="bottom"/>
            </w:pPr>
            <w:r>
              <w:rPr>
                <w:rFonts w:ascii="Times New Roman" w:eastAsia="宋体" w:hAnsi="Times New Roman"/>
                <w:color w:val="000000"/>
                <w:sz w:val="20"/>
                <w:szCs w:val="20"/>
              </w:rPr>
              <w:t>1,147.4 million</w:t>
            </w:r>
          </w:p>
        </w:tc>
      </w:tr>
    </w:tbl>
    <w:p w14:paraId="64296829" w14:textId="77777777" w:rsidR="007B6C97" w:rsidRDefault="007B6C97"/>
    <w:p w14:paraId="6429682A" w14:textId="77777777" w:rsidR="007B6C97" w:rsidRDefault="00E426D1">
      <w:r>
        <w:pict w14:anchorId="642999DB">
          <v:rect id="_x0000_i1025" style="width:415.3pt;height:1.5pt" o:hralign="center" o:hrstd="t" o:hr="t" fillcolor="#a0a0a0" stroked="f"/>
        </w:pict>
      </w:r>
    </w:p>
    <w:p w14:paraId="6429682B" w14:textId="77777777" w:rsidR="007B6C97" w:rsidRDefault="00E426D1">
      <w:hyperlink r:id="rId7" w:anchor="ie38a2b375c9840e583a36769999bbee6_7" w:history="1">
        <w:r>
          <w:rPr>
            <w:rStyle w:val="a5"/>
            <w:rFonts w:ascii="Times New Roman" w:eastAsia="宋体" w:hAnsi="Times New Roman"/>
            <w:sz w:val="20"/>
            <w:szCs w:val="20"/>
          </w:rPr>
          <w:t>Table</w:t>
        </w:r>
      </w:hyperlink>
      <w:hyperlink r:id="rId8" w:anchor="ie38a2b375c9840e583a36769999bbee6_7" w:history="1">
        <w:r>
          <w:rPr>
            <w:rStyle w:val="a5"/>
            <w:rFonts w:ascii="Times New Roman" w:eastAsia="宋体" w:hAnsi="Times New Roman"/>
            <w:sz w:val="20"/>
            <w:szCs w:val="20"/>
          </w:rPr>
          <w:t xml:space="preserve"> of Contents</w:t>
        </w:r>
      </w:hyperlink>
    </w:p>
    <w:p w14:paraId="6429682C" w14:textId="77777777" w:rsidR="007B6C97" w:rsidRDefault="00E426D1">
      <w:pPr>
        <w:spacing w:before="120"/>
        <w:jc w:val="center"/>
      </w:pPr>
      <w:r>
        <w:rPr>
          <w:rFonts w:ascii="Times New Roman" w:eastAsia="宋体" w:hAnsi="Times New Roman"/>
          <w:b/>
          <w:bCs/>
          <w:color w:val="00704A"/>
          <w:sz w:val="20"/>
          <w:szCs w:val="20"/>
        </w:rPr>
        <w:t>STARBUCKS CORPORATION</w:t>
      </w:r>
    </w:p>
    <w:p w14:paraId="6429682D" w14:textId="77777777" w:rsidR="007B6C97" w:rsidRDefault="00E426D1">
      <w:pPr>
        <w:jc w:val="center"/>
      </w:pPr>
      <w:r>
        <w:rPr>
          <w:rFonts w:ascii="Times New Roman" w:eastAsia="宋体" w:hAnsi="Times New Roman"/>
          <w:b/>
          <w:bCs/>
          <w:color w:val="000000"/>
          <w:sz w:val="20"/>
          <w:szCs w:val="20"/>
        </w:rPr>
        <w:t>FORM 10-Q</w:t>
      </w:r>
    </w:p>
    <w:p w14:paraId="6429682E" w14:textId="77777777" w:rsidR="007B6C97" w:rsidRDefault="00E426D1">
      <w:pPr>
        <w:jc w:val="center"/>
      </w:pPr>
      <w:r>
        <w:rPr>
          <w:rFonts w:ascii="Times New Roman" w:eastAsia="宋体" w:hAnsi="Times New Roman"/>
          <w:b/>
          <w:bCs/>
          <w:color w:val="000000"/>
          <w:sz w:val="20"/>
          <w:szCs w:val="20"/>
        </w:rPr>
        <w:t xml:space="preserve">For the Quarterly Period Ended July 3, 2022 </w:t>
      </w:r>
    </w:p>
    <w:p w14:paraId="6429682F" w14:textId="77777777" w:rsidR="007B6C97" w:rsidRDefault="00E426D1">
      <w:pPr>
        <w:jc w:val="center"/>
      </w:pPr>
      <w:r>
        <w:rPr>
          <w:rFonts w:ascii="Times New Roman" w:eastAsia="宋体" w:hAnsi="Times New Roman"/>
          <w:b/>
          <w:bCs/>
          <w:color w:val="000000"/>
          <w:sz w:val="20"/>
          <w:szCs w:val="20"/>
        </w:rPr>
        <w:t>Table of Cont</w:t>
      </w:r>
      <w:r>
        <w:rPr>
          <w:rFonts w:ascii="Times New Roman" w:eastAsia="宋体" w:hAnsi="Times New Roman"/>
          <w:b/>
          <w:bCs/>
          <w:color w:val="000000"/>
          <w:sz w:val="20"/>
          <w:szCs w:val="20"/>
        </w:rPr>
        <w:t>ents</w:t>
      </w:r>
    </w:p>
    <w:p w14:paraId="64296830" w14:textId="77777777" w:rsidR="007B6C97" w:rsidRDefault="00E426D1">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644"/>
        <w:gridCol w:w="37"/>
        <w:gridCol w:w="55"/>
        <w:gridCol w:w="7047"/>
        <w:gridCol w:w="36"/>
        <w:gridCol w:w="66"/>
        <w:gridCol w:w="318"/>
        <w:gridCol w:w="38"/>
      </w:tblGrid>
      <w:tr w:rsidR="007B6C97" w14:paraId="6429683A" w14:textId="77777777">
        <w:tc>
          <w:tcPr>
            <w:tcW w:w="50" w:type="pct"/>
            <w:shd w:val="clear" w:color="auto" w:fill="auto"/>
            <w:vAlign w:val="bottom"/>
          </w:tcPr>
          <w:p w14:paraId="64296831" w14:textId="77777777" w:rsidR="007B6C97" w:rsidRDefault="007B6C97">
            <w:pPr>
              <w:rPr>
                <w:rFonts w:ascii="宋体"/>
              </w:rPr>
            </w:pPr>
          </w:p>
        </w:tc>
        <w:tc>
          <w:tcPr>
            <w:tcW w:w="391" w:type="pct"/>
            <w:shd w:val="clear" w:color="auto" w:fill="auto"/>
            <w:vAlign w:val="bottom"/>
          </w:tcPr>
          <w:p w14:paraId="64296832" w14:textId="77777777" w:rsidR="007B6C97" w:rsidRDefault="007B6C97">
            <w:pPr>
              <w:rPr>
                <w:rFonts w:ascii="宋体"/>
              </w:rPr>
            </w:pPr>
          </w:p>
        </w:tc>
        <w:tc>
          <w:tcPr>
            <w:tcW w:w="5" w:type="pct"/>
            <w:shd w:val="clear" w:color="auto" w:fill="auto"/>
            <w:vAlign w:val="bottom"/>
          </w:tcPr>
          <w:p w14:paraId="64296833" w14:textId="77777777" w:rsidR="007B6C97" w:rsidRDefault="007B6C97">
            <w:pPr>
              <w:rPr>
                <w:rFonts w:ascii="宋体"/>
              </w:rPr>
            </w:pPr>
          </w:p>
        </w:tc>
        <w:tc>
          <w:tcPr>
            <w:tcW w:w="50" w:type="pct"/>
            <w:shd w:val="clear" w:color="auto" w:fill="auto"/>
            <w:vAlign w:val="bottom"/>
          </w:tcPr>
          <w:p w14:paraId="64296834" w14:textId="77777777" w:rsidR="007B6C97" w:rsidRDefault="007B6C97">
            <w:pPr>
              <w:rPr>
                <w:rFonts w:ascii="宋体"/>
              </w:rPr>
            </w:pPr>
          </w:p>
        </w:tc>
        <w:tc>
          <w:tcPr>
            <w:tcW w:w="4242" w:type="pct"/>
            <w:shd w:val="clear" w:color="auto" w:fill="auto"/>
            <w:vAlign w:val="bottom"/>
          </w:tcPr>
          <w:p w14:paraId="64296835" w14:textId="77777777" w:rsidR="007B6C97" w:rsidRDefault="007B6C97">
            <w:pPr>
              <w:rPr>
                <w:rFonts w:ascii="宋体"/>
              </w:rPr>
            </w:pPr>
          </w:p>
        </w:tc>
        <w:tc>
          <w:tcPr>
            <w:tcW w:w="5" w:type="pct"/>
            <w:shd w:val="clear" w:color="auto" w:fill="auto"/>
            <w:vAlign w:val="bottom"/>
          </w:tcPr>
          <w:p w14:paraId="64296836" w14:textId="77777777" w:rsidR="007B6C97" w:rsidRDefault="007B6C97">
            <w:pPr>
              <w:rPr>
                <w:rFonts w:ascii="宋体"/>
              </w:rPr>
            </w:pPr>
          </w:p>
        </w:tc>
        <w:tc>
          <w:tcPr>
            <w:tcW w:w="50" w:type="pct"/>
            <w:shd w:val="clear" w:color="auto" w:fill="auto"/>
            <w:vAlign w:val="bottom"/>
          </w:tcPr>
          <w:p w14:paraId="64296837" w14:textId="77777777" w:rsidR="007B6C97" w:rsidRDefault="007B6C97">
            <w:pPr>
              <w:rPr>
                <w:rFonts w:ascii="宋体"/>
              </w:rPr>
            </w:pPr>
          </w:p>
        </w:tc>
        <w:tc>
          <w:tcPr>
            <w:tcW w:w="201" w:type="pct"/>
            <w:shd w:val="clear" w:color="auto" w:fill="auto"/>
            <w:vAlign w:val="bottom"/>
          </w:tcPr>
          <w:p w14:paraId="64296838" w14:textId="77777777" w:rsidR="007B6C97" w:rsidRDefault="007B6C97">
            <w:pPr>
              <w:rPr>
                <w:rFonts w:ascii="宋体"/>
              </w:rPr>
            </w:pPr>
          </w:p>
        </w:tc>
        <w:tc>
          <w:tcPr>
            <w:tcW w:w="5" w:type="pct"/>
            <w:shd w:val="clear" w:color="auto" w:fill="auto"/>
            <w:vAlign w:val="bottom"/>
          </w:tcPr>
          <w:p w14:paraId="64296839" w14:textId="77777777" w:rsidR="007B6C97" w:rsidRDefault="007B6C97">
            <w:pPr>
              <w:rPr>
                <w:rFonts w:ascii="宋体"/>
              </w:rPr>
            </w:pPr>
          </w:p>
        </w:tc>
      </w:tr>
      <w:tr w:rsidR="007B6C97" w14:paraId="6429683E" w14:textId="77777777">
        <w:tc>
          <w:tcPr>
            <w:tcW w:w="0" w:type="auto"/>
            <w:gridSpan w:val="3"/>
            <w:shd w:val="clear" w:color="auto" w:fill="auto"/>
            <w:tcMar>
              <w:top w:w="40" w:type="dxa"/>
              <w:left w:w="20" w:type="dxa"/>
              <w:bottom w:w="40" w:type="dxa"/>
              <w:right w:w="20" w:type="dxa"/>
            </w:tcMar>
            <w:vAlign w:val="bottom"/>
          </w:tcPr>
          <w:p w14:paraId="6429683B"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29683C"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683D" w14:textId="77777777" w:rsidR="007B6C97" w:rsidRDefault="007B6C97">
            <w:pPr>
              <w:rPr>
                <w:rFonts w:ascii="宋体"/>
              </w:rPr>
            </w:pPr>
          </w:p>
        </w:tc>
      </w:tr>
      <w:tr w:rsidR="007B6C97" w14:paraId="64296840" w14:textId="77777777">
        <w:tc>
          <w:tcPr>
            <w:tcW w:w="0" w:type="auto"/>
            <w:gridSpan w:val="9"/>
            <w:shd w:val="clear" w:color="auto" w:fill="auto"/>
            <w:tcMar>
              <w:top w:w="40" w:type="dxa"/>
              <w:left w:w="20" w:type="dxa"/>
              <w:bottom w:w="40" w:type="dxa"/>
              <w:right w:w="20" w:type="dxa"/>
            </w:tcMar>
          </w:tcPr>
          <w:p w14:paraId="6429683F" w14:textId="77777777" w:rsidR="007B6C97" w:rsidRDefault="00E426D1">
            <w:pPr>
              <w:jc w:val="center"/>
              <w:textAlignment w:val="top"/>
            </w:pPr>
            <w:r>
              <w:rPr>
                <w:rFonts w:ascii="Times New Roman" w:eastAsia="宋体" w:hAnsi="Times New Roman"/>
                <w:b/>
                <w:bCs/>
                <w:color w:val="00704A"/>
                <w:sz w:val="20"/>
                <w:szCs w:val="20"/>
              </w:rPr>
              <w:t>PART I. FINANCIAL INFORMATION</w:t>
            </w:r>
          </w:p>
        </w:tc>
      </w:tr>
      <w:tr w:rsidR="007B6C97" w14:paraId="64296844" w14:textId="77777777">
        <w:trPr>
          <w:trHeight w:val="300"/>
        </w:trPr>
        <w:tc>
          <w:tcPr>
            <w:tcW w:w="0" w:type="auto"/>
            <w:gridSpan w:val="3"/>
            <w:shd w:val="clear" w:color="auto" w:fill="auto"/>
            <w:tcMar>
              <w:top w:w="0" w:type="dxa"/>
              <w:left w:w="20" w:type="dxa"/>
              <w:bottom w:w="0" w:type="dxa"/>
              <w:right w:w="20" w:type="dxa"/>
            </w:tcMar>
            <w:vAlign w:val="bottom"/>
          </w:tcPr>
          <w:p w14:paraId="6429684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42"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43" w14:textId="77777777" w:rsidR="007B6C97" w:rsidRDefault="007B6C97">
            <w:pPr>
              <w:rPr>
                <w:rFonts w:ascii="宋体"/>
              </w:rPr>
            </w:pPr>
          </w:p>
        </w:tc>
      </w:tr>
      <w:tr w:rsidR="007B6C97" w14:paraId="64296848" w14:textId="77777777">
        <w:tc>
          <w:tcPr>
            <w:tcW w:w="0" w:type="auto"/>
            <w:gridSpan w:val="3"/>
            <w:shd w:val="clear" w:color="auto" w:fill="auto"/>
            <w:tcMar>
              <w:top w:w="40" w:type="dxa"/>
              <w:left w:w="20" w:type="dxa"/>
              <w:bottom w:w="40" w:type="dxa"/>
              <w:right w:w="20" w:type="dxa"/>
            </w:tcMar>
            <w:vAlign w:val="bottom"/>
          </w:tcPr>
          <w:p w14:paraId="64296845" w14:textId="77777777" w:rsidR="007B6C97" w:rsidRDefault="00E426D1">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64296846" w14:textId="77777777" w:rsidR="007B6C97" w:rsidRDefault="00E426D1">
            <w:pPr>
              <w:pBdr>
                <w:top w:val="none" w:sz="0" w:space="0" w:color="auto"/>
                <w:left w:val="none" w:sz="0" w:space="0" w:color="auto"/>
                <w:bottom w:val="none" w:sz="0" w:space="0" w:color="auto"/>
                <w:right w:val="none" w:sz="0" w:space="0" w:color="auto"/>
              </w:pBdr>
              <w:textAlignment w:val="bottom"/>
            </w:pPr>
            <w:hyperlink r:id="rId9" w:anchor="ie38a2b375c9840e583a36769999bbee6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64296847"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10" w:anchor="ie38a2b375c9840e583a36769999bbee6_13" w:history="1">
              <w:r>
                <w:rPr>
                  <w:rStyle w:val="a5"/>
                  <w:rFonts w:ascii="Times New Roman" w:eastAsia="宋体" w:hAnsi="Times New Roman"/>
                  <w:sz w:val="20"/>
                  <w:szCs w:val="20"/>
                </w:rPr>
                <w:t>3</w:t>
              </w:r>
            </w:hyperlink>
          </w:p>
        </w:tc>
      </w:tr>
      <w:tr w:rsidR="007B6C97" w14:paraId="6429684C" w14:textId="77777777">
        <w:tc>
          <w:tcPr>
            <w:tcW w:w="0" w:type="auto"/>
            <w:gridSpan w:val="3"/>
            <w:shd w:val="clear" w:color="auto" w:fill="auto"/>
            <w:tcMar>
              <w:top w:w="0" w:type="dxa"/>
              <w:left w:w="20" w:type="dxa"/>
              <w:bottom w:w="0" w:type="dxa"/>
              <w:right w:w="20" w:type="dxa"/>
            </w:tcMar>
            <w:vAlign w:val="bottom"/>
          </w:tcPr>
          <w:p w14:paraId="64296849"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4A" w14:textId="77777777" w:rsidR="007B6C97" w:rsidRDefault="00E426D1">
            <w:pPr>
              <w:pBdr>
                <w:top w:val="none" w:sz="0" w:space="0" w:color="auto"/>
                <w:left w:val="none" w:sz="0" w:space="0" w:color="auto"/>
                <w:bottom w:val="none" w:sz="0" w:space="0" w:color="auto"/>
                <w:right w:val="none" w:sz="0" w:space="0" w:color="auto"/>
              </w:pBdr>
              <w:textAlignment w:val="bottom"/>
            </w:pPr>
            <w:hyperlink r:id="rId11" w:anchor="ie38a2b375c9840e583a36769999bbee6_16" w:history="1">
              <w:r>
                <w:rPr>
                  <w:rStyle w:val="a5"/>
                  <w:rFonts w:ascii="Times New Roman" w:eastAsia="宋体" w:hAnsi="Times New Roman"/>
                  <w:sz w:val="20"/>
                  <w:szCs w:val="20"/>
                </w:rPr>
                <w:t>Consolidated Statements of Earnings</w:t>
              </w:r>
            </w:hyperlink>
          </w:p>
        </w:tc>
        <w:tc>
          <w:tcPr>
            <w:tcW w:w="0" w:type="auto"/>
            <w:gridSpan w:val="3"/>
            <w:shd w:val="clear" w:color="auto" w:fill="auto"/>
            <w:tcMar>
              <w:top w:w="40" w:type="dxa"/>
              <w:left w:w="20" w:type="dxa"/>
              <w:bottom w:w="40" w:type="dxa"/>
              <w:right w:w="20" w:type="dxa"/>
            </w:tcMar>
            <w:vAlign w:val="bottom"/>
          </w:tcPr>
          <w:p w14:paraId="6429684B"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12" w:anchor="ie38a2b375c9840e583a36769999bbee6_16" w:history="1">
              <w:r>
                <w:rPr>
                  <w:rStyle w:val="a5"/>
                  <w:rFonts w:ascii="Times New Roman" w:eastAsia="宋体" w:hAnsi="Times New Roman"/>
                  <w:sz w:val="20"/>
                  <w:szCs w:val="20"/>
                </w:rPr>
                <w:t>3</w:t>
              </w:r>
            </w:hyperlink>
          </w:p>
        </w:tc>
      </w:tr>
      <w:tr w:rsidR="007B6C97" w14:paraId="64296850" w14:textId="77777777">
        <w:tc>
          <w:tcPr>
            <w:tcW w:w="0" w:type="auto"/>
            <w:gridSpan w:val="3"/>
            <w:shd w:val="clear" w:color="auto" w:fill="auto"/>
            <w:tcMar>
              <w:top w:w="0" w:type="dxa"/>
              <w:left w:w="20" w:type="dxa"/>
              <w:bottom w:w="0" w:type="dxa"/>
              <w:right w:w="20" w:type="dxa"/>
            </w:tcMar>
            <w:vAlign w:val="bottom"/>
          </w:tcPr>
          <w:p w14:paraId="6429684D"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4E" w14:textId="77777777" w:rsidR="007B6C97" w:rsidRDefault="00E426D1">
            <w:pPr>
              <w:pBdr>
                <w:top w:val="none" w:sz="0" w:space="0" w:color="auto"/>
                <w:left w:val="none" w:sz="0" w:space="0" w:color="auto"/>
                <w:bottom w:val="none" w:sz="0" w:space="0" w:color="auto"/>
                <w:right w:val="none" w:sz="0" w:space="0" w:color="auto"/>
              </w:pBdr>
              <w:textAlignment w:val="bottom"/>
            </w:pPr>
            <w:hyperlink r:id="rId13" w:anchor="ie38a2b375c9840e583a36769999bbee6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6429684F"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14" w:anchor="ie38a2b375c9840e583a36769999bbee6_19" w:history="1">
              <w:r>
                <w:rPr>
                  <w:rStyle w:val="a5"/>
                  <w:rFonts w:ascii="Times New Roman" w:eastAsia="宋体" w:hAnsi="Times New Roman"/>
                  <w:sz w:val="20"/>
                  <w:szCs w:val="20"/>
                </w:rPr>
                <w:t>4</w:t>
              </w:r>
            </w:hyperlink>
          </w:p>
        </w:tc>
      </w:tr>
      <w:tr w:rsidR="007B6C97" w14:paraId="64296854" w14:textId="77777777">
        <w:tc>
          <w:tcPr>
            <w:tcW w:w="0" w:type="auto"/>
            <w:gridSpan w:val="3"/>
            <w:shd w:val="clear" w:color="auto" w:fill="auto"/>
            <w:tcMar>
              <w:top w:w="0" w:type="dxa"/>
              <w:left w:w="20" w:type="dxa"/>
              <w:bottom w:w="0" w:type="dxa"/>
              <w:right w:w="20" w:type="dxa"/>
            </w:tcMar>
            <w:vAlign w:val="bottom"/>
          </w:tcPr>
          <w:p w14:paraId="64296851"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52" w14:textId="77777777" w:rsidR="007B6C97" w:rsidRDefault="00E426D1">
            <w:pPr>
              <w:pBdr>
                <w:top w:val="none" w:sz="0" w:space="0" w:color="auto"/>
                <w:left w:val="none" w:sz="0" w:space="0" w:color="auto"/>
                <w:bottom w:val="none" w:sz="0" w:space="0" w:color="auto"/>
                <w:right w:val="none" w:sz="0" w:space="0" w:color="auto"/>
              </w:pBdr>
              <w:textAlignment w:val="bottom"/>
            </w:pPr>
            <w:hyperlink r:id="rId15" w:anchor="ie38a2b375c9840e583a36769999bbee6_22" w:history="1">
              <w:r>
                <w:rPr>
                  <w:rStyle w:val="a5"/>
                  <w:rFonts w:ascii="Times New Roman" w:eastAsia="宋体" w:hAnsi="Times New Roman"/>
                  <w:sz w:val="20"/>
                  <w:szCs w:val="20"/>
                </w:rPr>
                <w:t>C</w:t>
              </w:r>
              <w:r>
                <w:rPr>
                  <w:rStyle w:val="a5"/>
                  <w:rFonts w:ascii="Times New Roman" w:eastAsia="宋体" w:hAnsi="Times New Roman"/>
                  <w:sz w:val="20"/>
                  <w:szCs w:val="20"/>
                </w:rPr>
                <w:t>onsolidated Balance Sheets</w:t>
              </w:r>
            </w:hyperlink>
          </w:p>
        </w:tc>
        <w:tc>
          <w:tcPr>
            <w:tcW w:w="0" w:type="auto"/>
            <w:gridSpan w:val="3"/>
            <w:shd w:val="clear" w:color="auto" w:fill="auto"/>
            <w:tcMar>
              <w:top w:w="40" w:type="dxa"/>
              <w:left w:w="20" w:type="dxa"/>
              <w:bottom w:w="40" w:type="dxa"/>
              <w:right w:w="20" w:type="dxa"/>
            </w:tcMar>
            <w:vAlign w:val="bottom"/>
          </w:tcPr>
          <w:p w14:paraId="64296853"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16" w:anchor="ie38a2b375c9840e583a36769999bbee6_22" w:history="1">
              <w:r>
                <w:rPr>
                  <w:rStyle w:val="a5"/>
                  <w:rFonts w:ascii="Times New Roman" w:eastAsia="宋体" w:hAnsi="Times New Roman"/>
                  <w:sz w:val="20"/>
                  <w:szCs w:val="20"/>
                </w:rPr>
                <w:t>5</w:t>
              </w:r>
            </w:hyperlink>
          </w:p>
        </w:tc>
      </w:tr>
      <w:tr w:rsidR="007B6C97" w14:paraId="64296858" w14:textId="77777777">
        <w:tc>
          <w:tcPr>
            <w:tcW w:w="0" w:type="auto"/>
            <w:gridSpan w:val="3"/>
            <w:shd w:val="clear" w:color="auto" w:fill="auto"/>
            <w:tcMar>
              <w:top w:w="0" w:type="dxa"/>
              <w:left w:w="20" w:type="dxa"/>
              <w:bottom w:w="0" w:type="dxa"/>
              <w:right w:w="20" w:type="dxa"/>
            </w:tcMar>
            <w:vAlign w:val="bottom"/>
          </w:tcPr>
          <w:p w14:paraId="64296855"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56" w14:textId="77777777" w:rsidR="007B6C97" w:rsidRDefault="00E426D1">
            <w:pPr>
              <w:pBdr>
                <w:top w:val="none" w:sz="0" w:space="0" w:color="auto"/>
                <w:left w:val="none" w:sz="0" w:space="0" w:color="auto"/>
                <w:bottom w:val="none" w:sz="0" w:space="0" w:color="auto"/>
                <w:right w:val="none" w:sz="0" w:space="0" w:color="auto"/>
              </w:pBdr>
              <w:textAlignment w:val="bottom"/>
            </w:pPr>
            <w:hyperlink r:id="rId17" w:anchor="ie38a2b375c9840e583a36769999bbee6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64296857"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18" w:anchor="ie38a2b375c9840e583a36769999bbee6_25" w:history="1">
              <w:r>
                <w:rPr>
                  <w:rStyle w:val="a5"/>
                  <w:rFonts w:ascii="Times New Roman" w:eastAsia="宋体" w:hAnsi="Times New Roman"/>
                  <w:sz w:val="20"/>
                  <w:szCs w:val="20"/>
                </w:rPr>
                <w:t>6</w:t>
              </w:r>
            </w:hyperlink>
          </w:p>
        </w:tc>
      </w:tr>
      <w:tr w:rsidR="007B6C97" w14:paraId="6429685C" w14:textId="77777777">
        <w:tc>
          <w:tcPr>
            <w:tcW w:w="0" w:type="auto"/>
            <w:gridSpan w:val="3"/>
            <w:shd w:val="clear" w:color="auto" w:fill="auto"/>
            <w:tcMar>
              <w:top w:w="0" w:type="dxa"/>
              <w:left w:w="20" w:type="dxa"/>
              <w:bottom w:w="0" w:type="dxa"/>
              <w:right w:w="20" w:type="dxa"/>
            </w:tcMar>
            <w:vAlign w:val="bottom"/>
          </w:tcPr>
          <w:p w14:paraId="64296859"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5A" w14:textId="77777777" w:rsidR="007B6C97" w:rsidRDefault="00E426D1">
            <w:pPr>
              <w:pBdr>
                <w:top w:val="none" w:sz="0" w:space="0" w:color="auto"/>
                <w:left w:val="none" w:sz="0" w:space="0" w:color="auto"/>
                <w:bottom w:val="none" w:sz="0" w:space="0" w:color="auto"/>
                <w:right w:val="none" w:sz="0" w:space="0" w:color="auto"/>
              </w:pBdr>
              <w:textAlignment w:val="bottom"/>
            </w:pPr>
            <w:hyperlink r:id="rId19" w:anchor="ie38a2b375c9840e583a36769999bbee6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6429685B"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20" w:anchor="ie38a2b375c9840e583a36769999bbee6_28" w:history="1">
              <w:r>
                <w:rPr>
                  <w:rStyle w:val="a5"/>
                  <w:rFonts w:ascii="Times New Roman" w:eastAsia="宋体" w:hAnsi="Times New Roman"/>
                  <w:sz w:val="20"/>
                  <w:szCs w:val="20"/>
                </w:rPr>
                <w:t>7</w:t>
              </w:r>
            </w:hyperlink>
          </w:p>
        </w:tc>
      </w:tr>
      <w:tr w:rsidR="007B6C97" w14:paraId="64296860" w14:textId="77777777">
        <w:tc>
          <w:tcPr>
            <w:tcW w:w="0" w:type="auto"/>
            <w:gridSpan w:val="3"/>
            <w:shd w:val="clear" w:color="auto" w:fill="auto"/>
            <w:tcMar>
              <w:top w:w="0" w:type="dxa"/>
              <w:left w:w="20" w:type="dxa"/>
              <w:bottom w:w="0" w:type="dxa"/>
              <w:right w:w="20" w:type="dxa"/>
            </w:tcMar>
            <w:vAlign w:val="bottom"/>
          </w:tcPr>
          <w:p w14:paraId="6429685D"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5E" w14:textId="77777777" w:rsidR="007B6C97" w:rsidRDefault="00E426D1">
            <w:pPr>
              <w:pBdr>
                <w:top w:val="none" w:sz="0" w:space="0" w:color="auto"/>
                <w:left w:val="none" w:sz="0" w:space="0" w:color="auto"/>
                <w:bottom w:val="none" w:sz="0" w:space="0" w:color="auto"/>
                <w:right w:val="none" w:sz="0" w:space="0" w:color="auto"/>
              </w:pBdr>
              <w:textAlignment w:val="bottom"/>
            </w:pPr>
            <w:hyperlink r:id="rId21" w:anchor="ie38a2b375c9840e583a36769999bbee6_34" w:history="1">
              <w:r>
                <w:rPr>
                  <w:rStyle w:val="a5"/>
                  <w:rFonts w:ascii="Times New Roman" w:eastAsia="宋体" w:hAnsi="Times New Roman"/>
                  <w:sz w:val="20"/>
                  <w:szCs w:val="20"/>
                </w:rPr>
                <w:t>Index for Notes</w:t>
              </w:r>
              <w:r>
                <w:rPr>
                  <w:rStyle w:val="a5"/>
                  <w:rFonts w:ascii="Times New Roman" w:eastAsia="宋体" w:hAnsi="Times New Roman"/>
                  <w:sz w:val="20"/>
                  <w:szCs w:val="20"/>
                </w:rPr>
                <w:t xml:space="preserve"> to Consolidated Financial Statements</w:t>
              </w:r>
            </w:hyperlink>
          </w:p>
        </w:tc>
        <w:tc>
          <w:tcPr>
            <w:tcW w:w="0" w:type="auto"/>
            <w:gridSpan w:val="3"/>
            <w:shd w:val="clear" w:color="auto" w:fill="auto"/>
            <w:tcMar>
              <w:top w:w="40" w:type="dxa"/>
              <w:left w:w="20" w:type="dxa"/>
              <w:bottom w:w="40" w:type="dxa"/>
              <w:right w:w="20" w:type="dxa"/>
            </w:tcMar>
            <w:vAlign w:val="bottom"/>
          </w:tcPr>
          <w:p w14:paraId="6429685F"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22" w:anchor="ie38a2b375c9840e583a36769999bbee6_34" w:history="1">
              <w:r>
                <w:rPr>
                  <w:rStyle w:val="a5"/>
                  <w:rFonts w:ascii="Times New Roman" w:eastAsia="宋体" w:hAnsi="Times New Roman"/>
                  <w:sz w:val="20"/>
                  <w:szCs w:val="20"/>
                </w:rPr>
                <w:t>9</w:t>
              </w:r>
            </w:hyperlink>
          </w:p>
        </w:tc>
      </w:tr>
      <w:tr w:rsidR="007B6C97" w14:paraId="64296864" w14:textId="77777777">
        <w:tc>
          <w:tcPr>
            <w:tcW w:w="0" w:type="auto"/>
            <w:gridSpan w:val="3"/>
            <w:shd w:val="clear" w:color="auto" w:fill="auto"/>
            <w:tcMar>
              <w:top w:w="0" w:type="dxa"/>
              <w:left w:w="20" w:type="dxa"/>
              <w:bottom w:w="0" w:type="dxa"/>
              <w:right w:w="20" w:type="dxa"/>
            </w:tcMar>
            <w:vAlign w:val="bottom"/>
          </w:tcPr>
          <w:p w14:paraId="64296861"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6862" w14:textId="77777777" w:rsidR="007B6C97" w:rsidRDefault="00E426D1">
            <w:pPr>
              <w:pBdr>
                <w:top w:val="none" w:sz="0" w:space="0" w:color="auto"/>
                <w:left w:val="none" w:sz="0" w:space="0" w:color="auto"/>
                <w:bottom w:val="none" w:sz="0" w:space="0" w:color="auto"/>
                <w:right w:val="none" w:sz="0" w:space="0" w:color="auto"/>
              </w:pBdr>
              <w:textAlignment w:val="bottom"/>
            </w:pPr>
            <w:hyperlink r:id="rId23" w:anchor="ie38a2b375c9840e583a36769999bbee6_37"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64296863"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24" w:anchor="ie38a2b375c9840e583a36769999bbee6_37" w:history="1">
              <w:r>
                <w:rPr>
                  <w:rStyle w:val="a5"/>
                  <w:rFonts w:ascii="Times New Roman" w:eastAsia="宋体" w:hAnsi="Times New Roman"/>
                  <w:sz w:val="20"/>
                  <w:szCs w:val="20"/>
                </w:rPr>
                <w:t>10</w:t>
              </w:r>
            </w:hyperlink>
          </w:p>
        </w:tc>
      </w:tr>
      <w:tr w:rsidR="007B6C97" w14:paraId="64296868" w14:textId="77777777">
        <w:tc>
          <w:tcPr>
            <w:tcW w:w="0" w:type="auto"/>
            <w:gridSpan w:val="3"/>
            <w:shd w:val="clear" w:color="auto" w:fill="auto"/>
            <w:tcMar>
              <w:top w:w="40" w:type="dxa"/>
              <w:left w:w="20" w:type="dxa"/>
              <w:bottom w:w="40" w:type="dxa"/>
              <w:right w:w="20" w:type="dxa"/>
            </w:tcMar>
            <w:vAlign w:val="bottom"/>
          </w:tcPr>
          <w:p w14:paraId="64296865" w14:textId="77777777" w:rsidR="007B6C97" w:rsidRDefault="00E426D1">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64296866" w14:textId="77777777" w:rsidR="007B6C97" w:rsidRDefault="00E426D1">
            <w:pPr>
              <w:pBdr>
                <w:top w:val="none" w:sz="0" w:space="0" w:color="auto"/>
                <w:left w:val="none" w:sz="0" w:space="0" w:color="auto"/>
                <w:bottom w:val="none" w:sz="0" w:space="0" w:color="auto"/>
                <w:right w:val="none" w:sz="0" w:space="0" w:color="auto"/>
              </w:pBdr>
              <w:textAlignment w:val="bottom"/>
            </w:pPr>
            <w:hyperlink r:id="rId25" w:anchor="ie38a2b375c9840e583a36769999bbee6_91"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64296867"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26" w:anchor="ie38a2b375c9840e583a36769999bbee6_91" w:history="1">
              <w:r>
                <w:rPr>
                  <w:rStyle w:val="a5"/>
                  <w:rFonts w:ascii="Times New Roman" w:eastAsia="宋体" w:hAnsi="Times New Roman"/>
                  <w:sz w:val="20"/>
                  <w:szCs w:val="20"/>
                </w:rPr>
                <w:t>30</w:t>
              </w:r>
            </w:hyperlink>
          </w:p>
        </w:tc>
      </w:tr>
      <w:tr w:rsidR="007B6C97" w14:paraId="6429686C" w14:textId="77777777">
        <w:tc>
          <w:tcPr>
            <w:tcW w:w="0" w:type="auto"/>
            <w:gridSpan w:val="3"/>
            <w:shd w:val="clear" w:color="auto" w:fill="auto"/>
            <w:tcMar>
              <w:top w:w="40" w:type="dxa"/>
              <w:left w:w="20" w:type="dxa"/>
              <w:bottom w:w="40" w:type="dxa"/>
              <w:right w:w="20" w:type="dxa"/>
            </w:tcMar>
            <w:vAlign w:val="bottom"/>
          </w:tcPr>
          <w:p w14:paraId="64296869" w14:textId="77777777" w:rsidR="007B6C97" w:rsidRDefault="00E426D1">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6429686A" w14:textId="77777777" w:rsidR="007B6C97" w:rsidRDefault="00E426D1">
            <w:pPr>
              <w:pBdr>
                <w:top w:val="none" w:sz="0" w:space="0" w:color="auto"/>
                <w:left w:val="none" w:sz="0" w:space="0" w:color="auto"/>
                <w:bottom w:val="none" w:sz="0" w:space="0" w:color="auto"/>
                <w:right w:val="none" w:sz="0" w:space="0" w:color="auto"/>
              </w:pBdr>
              <w:textAlignment w:val="bottom"/>
            </w:pPr>
            <w:hyperlink r:id="rId27" w:anchor="ie38a2b375c9840e583a36769999bbee6_13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6429686B"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28" w:anchor="ie38a2b375c9840e583a36769999bbee6_133" w:history="1">
              <w:r>
                <w:rPr>
                  <w:rStyle w:val="a5"/>
                  <w:rFonts w:ascii="Times New Roman" w:eastAsia="宋体" w:hAnsi="Times New Roman"/>
                  <w:sz w:val="20"/>
                  <w:szCs w:val="20"/>
                </w:rPr>
                <w:t>42</w:t>
              </w:r>
            </w:hyperlink>
          </w:p>
        </w:tc>
      </w:tr>
      <w:tr w:rsidR="007B6C97" w14:paraId="64296870" w14:textId="77777777">
        <w:tc>
          <w:tcPr>
            <w:tcW w:w="0" w:type="auto"/>
            <w:gridSpan w:val="3"/>
            <w:shd w:val="clear" w:color="auto" w:fill="auto"/>
            <w:tcMar>
              <w:top w:w="40" w:type="dxa"/>
              <w:left w:w="20" w:type="dxa"/>
              <w:bottom w:w="40" w:type="dxa"/>
              <w:right w:w="20" w:type="dxa"/>
            </w:tcMar>
            <w:vAlign w:val="bottom"/>
          </w:tcPr>
          <w:p w14:paraId="6429686D" w14:textId="77777777" w:rsidR="007B6C97" w:rsidRDefault="00E426D1">
            <w:pPr>
              <w:textAlignment w:val="bottom"/>
            </w:pPr>
            <w:r>
              <w:rPr>
                <w:rFonts w:ascii="Times New Roman" w:eastAsia="宋体" w:hAnsi="Times New Roman"/>
                <w:b/>
                <w:bCs/>
                <w:color w:val="00704A"/>
                <w:sz w:val="20"/>
                <w:szCs w:val="20"/>
              </w:rPr>
              <w:lastRenderedPageBreak/>
              <w:t>Item 4</w:t>
            </w:r>
          </w:p>
        </w:tc>
        <w:tc>
          <w:tcPr>
            <w:tcW w:w="0" w:type="auto"/>
            <w:gridSpan w:val="3"/>
            <w:shd w:val="clear" w:color="auto" w:fill="auto"/>
            <w:tcMar>
              <w:top w:w="40" w:type="dxa"/>
              <w:left w:w="20" w:type="dxa"/>
              <w:bottom w:w="40" w:type="dxa"/>
              <w:right w:w="20" w:type="dxa"/>
            </w:tcMar>
            <w:vAlign w:val="bottom"/>
          </w:tcPr>
          <w:p w14:paraId="6429686E" w14:textId="77777777" w:rsidR="007B6C97" w:rsidRDefault="00E426D1">
            <w:pPr>
              <w:pBdr>
                <w:top w:val="none" w:sz="0" w:space="0" w:color="auto"/>
                <w:left w:val="none" w:sz="0" w:space="0" w:color="auto"/>
                <w:bottom w:val="none" w:sz="0" w:space="0" w:color="auto"/>
                <w:right w:val="none" w:sz="0" w:space="0" w:color="auto"/>
              </w:pBdr>
              <w:textAlignment w:val="bottom"/>
            </w:pPr>
            <w:hyperlink r:id="rId29" w:anchor="ie38a2b375c9840e583a36769999bbee6_13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6429686F"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30" w:anchor="ie38a2b375c9840e583a36769999bbee6_136" w:history="1">
              <w:r>
                <w:rPr>
                  <w:rStyle w:val="a5"/>
                  <w:rFonts w:ascii="Times New Roman" w:eastAsia="宋体" w:hAnsi="Times New Roman"/>
                  <w:sz w:val="20"/>
                  <w:szCs w:val="20"/>
                </w:rPr>
                <w:t>42</w:t>
              </w:r>
            </w:hyperlink>
          </w:p>
        </w:tc>
      </w:tr>
      <w:tr w:rsidR="007B6C97" w14:paraId="64296872" w14:textId="77777777">
        <w:trPr>
          <w:trHeight w:val="300"/>
        </w:trPr>
        <w:tc>
          <w:tcPr>
            <w:tcW w:w="0" w:type="auto"/>
            <w:gridSpan w:val="9"/>
            <w:shd w:val="clear" w:color="auto" w:fill="auto"/>
            <w:tcMar>
              <w:top w:w="0" w:type="dxa"/>
              <w:left w:w="20" w:type="dxa"/>
              <w:bottom w:w="0" w:type="dxa"/>
              <w:right w:w="20" w:type="dxa"/>
            </w:tcMar>
            <w:vAlign w:val="bottom"/>
          </w:tcPr>
          <w:p w14:paraId="64296871" w14:textId="77777777" w:rsidR="007B6C97" w:rsidRDefault="007B6C97">
            <w:pPr>
              <w:rPr>
                <w:rFonts w:ascii="宋体"/>
              </w:rPr>
            </w:pPr>
          </w:p>
        </w:tc>
      </w:tr>
      <w:tr w:rsidR="007B6C97" w14:paraId="64296874" w14:textId="77777777">
        <w:tc>
          <w:tcPr>
            <w:tcW w:w="0" w:type="auto"/>
            <w:gridSpan w:val="9"/>
            <w:shd w:val="clear" w:color="auto" w:fill="auto"/>
            <w:tcMar>
              <w:top w:w="40" w:type="dxa"/>
              <w:left w:w="20" w:type="dxa"/>
              <w:bottom w:w="40" w:type="dxa"/>
              <w:right w:w="20" w:type="dxa"/>
            </w:tcMar>
          </w:tcPr>
          <w:p w14:paraId="64296873" w14:textId="77777777" w:rsidR="007B6C97" w:rsidRDefault="00E426D1">
            <w:pPr>
              <w:jc w:val="center"/>
              <w:textAlignment w:val="top"/>
            </w:pPr>
            <w:r>
              <w:rPr>
                <w:rFonts w:ascii="Times New Roman" w:eastAsia="宋体" w:hAnsi="Times New Roman"/>
                <w:b/>
                <w:bCs/>
                <w:color w:val="00704A"/>
                <w:sz w:val="20"/>
                <w:szCs w:val="20"/>
              </w:rPr>
              <w:t>PART II. OTHER INFORMATION</w:t>
            </w:r>
          </w:p>
        </w:tc>
      </w:tr>
      <w:tr w:rsidR="007B6C97" w14:paraId="64296878" w14:textId="77777777">
        <w:trPr>
          <w:trHeight w:val="300"/>
        </w:trPr>
        <w:tc>
          <w:tcPr>
            <w:tcW w:w="0" w:type="auto"/>
            <w:gridSpan w:val="3"/>
            <w:shd w:val="clear" w:color="auto" w:fill="auto"/>
            <w:tcMar>
              <w:top w:w="0" w:type="dxa"/>
              <w:left w:w="20" w:type="dxa"/>
              <w:bottom w:w="0" w:type="dxa"/>
              <w:right w:w="20" w:type="dxa"/>
            </w:tcMar>
            <w:vAlign w:val="bottom"/>
          </w:tcPr>
          <w:p w14:paraId="64296875"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76"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6877" w14:textId="77777777" w:rsidR="007B6C97" w:rsidRDefault="007B6C97">
            <w:pPr>
              <w:rPr>
                <w:rFonts w:ascii="宋体"/>
              </w:rPr>
            </w:pPr>
          </w:p>
        </w:tc>
      </w:tr>
      <w:tr w:rsidR="007B6C97" w14:paraId="6429687C" w14:textId="77777777">
        <w:tc>
          <w:tcPr>
            <w:tcW w:w="0" w:type="auto"/>
            <w:gridSpan w:val="3"/>
            <w:shd w:val="clear" w:color="auto" w:fill="auto"/>
            <w:tcMar>
              <w:top w:w="40" w:type="dxa"/>
              <w:left w:w="20" w:type="dxa"/>
              <w:bottom w:w="40" w:type="dxa"/>
              <w:right w:w="20" w:type="dxa"/>
            </w:tcMar>
            <w:vAlign w:val="bottom"/>
          </w:tcPr>
          <w:p w14:paraId="64296879" w14:textId="77777777" w:rsidR="007B6C97" w:rsidRDefault="00E426D1">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6429687A" w14:textId="77777777" w:rsidR="007B6C97" w:rsidRDefault="00E426D1">
            <w:pPr>
              <w:pBdr>
                <w:top w:val="none" w:sz="0" w:space="0" w:color="auto"/>
                <w:left w:val="none" w:sz="0" w:space="0" w:color="auto"/>
                <w:bottom w:val="none" w:sz="0" w:space="0" w:color="auto"/>
                <w:right w:val="none" w:sz="0" w:space="0" w:color="auto"/>
              </w:pBdr>
              <w:textAlignment w:val="bottom"/>
            </w:pPr>
            <w:hyperlink r:id="rId31" w:anchor="ie38a2b375c9840e583a36769999bbee6_14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6429687B"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32" w:anchor="ie38a2b375c9840e583a36769999bbee6_142" w:history="1">
              <w:r>
                <w:rPr>
                  <w:rStyle w:val="a5"/>
                  <w:rFonts w:ascii="Times New Roman" w:eastAsia="宋体" w:hAnsi="Times New Roman"/>
                  <w:sz w:val="20"/>
                  <w:szCs w:val="20"/>
                </w:rPr>
                <w:t>44</w:t>
              </w:r>
            </w:hyperlink>
          </w:p>
        </w:tc>
      </w:tr>
      <w:tr w:rsidR="007B6C97" w14:paraId="64296880" w14:textId="77777777">
        <w:tc>
          <w:tcPr>
            <w:tcW w:w="0" w:type="auto"/>
            <w:gridSpan w:val="3"/>
            <w:shd w:val="clear" w:color="auto" w:fill="auto"/>
            <w:tcMar>
              <w:top w:w="40" w:type="dxa"/>
              <w:left w:w="20" w:type="dxa"/>
              <w:bottom w:w="40" w:type="dxa"/>
              <w:right w:w="20" w:type="dxa"/>
            </w:tcMar>
            <w:vAlign w:val="bottom"/>
          </w:tcPr>
          <w:p w14:paraId="6429687D" w14:textId="77777777" w:rsidR="007B6C97" w:rsidRDefault="00E426D1">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6429687E" w14:textId="77777777" w:rsidR="007B6C97" w:rsidRDefault="00E426D1">
            <w:pPr>
              <w:pBdr>
                <w:top w:val="none" w:sz="0" w:space="0" w:color="auto"/>
                <w:left w:val="none" w:sz="0" w:space="0" w:color="auto"/>
                <w:bottom w:val="none" w:sz="0" w:space="0" w:color="auto"/>
                <w:right w:val="none" w:sz="0" w:space="0" w:color="auto"/>
              </w:pBdr>
              <w:textAlignment w:val="bottom"/>
            </w:pPr>
            <w:hyperlink r:id="rId33" w:anchor="ie38a2b375c9840e583a36769999bbee6_14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6429687F"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34" w:anchor="ie38a2b375c9840e583a36769999bbee6_145" w:history="1">
              <w:r>
                <w:rPr>
                  <w:rStyle w:val="a5"/>
                  <w:rFonts w:ascii="Times New Roman" w:eastAsia="宋体" w:hAnsi="Times New Roman"/>
                  <w:sz w:val="20"/>
                  <w:szCs w:val="20"/>
                </w:rPr>
                <w:t>44</w:t>
              </w:r>
            </w:hyperlink>
          </w:p>
        </w:tc>
      </w:tr>
      <w:tr w:rsidR="007B6C97" w14:paraId="64296884" w14:textId="77777777">
        <w:tc>
          <w:tcPr>
            <w:tcW w:w="0" w:type="auto"/>
            <w:gridSpan w:val="3"/>
            <w:shd w:val="clear" w:color="auto" w:fill="auto"/>
            <w:tcMar>
              <w:top w:w="40" w:type="dxa"/>
              <w:left w:w="20" w:type="dxa"/>
              <w:bottom w:w="40" w:type="dxa"/>
              <w:right w:w="20" w:type="dxa"/>
            </w:tcMar>
            <w:vAlign w:val="bottom"/>
          </w:tcPr>
          <w:p w14:paraId="64296881" w14:textId="77777777" w:rsidR="007B6C97" w:rsidRDefault="00E426D1">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64296882" w14:textId="77777777" w:rsidR="007B6C97" w:rsidRDefault="00E426D1">
            <w:pPr>
              <w:pBdr>
                <w:top w:val="none" w:sz="0" w:space="0" w:color="auto"/>
                <w:left w:val="none" w:sz="0" w:space="0" w:color="auto"/>
                <w:bottom w:val="none" w:sz="0" w:space="0" w:color="auto"/>
                <w:right w:val="none" w:sz="0" w:space="0" w:color="auto"/>
              </w:pBdr>
              <w:textAlignment w:val="bottom"/>
            </w:pPr>
            <w:hyperlink r:id="rId35" w:anchor="ie38a2b375c9840e583a36769999bbee6_14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64296883"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36" w:anchor="ie38a2b375c9840e583a36769999bbee6_148" w:history="1">
              <w:r>
                <w:rPr>
                  <w:rStyle w:val="a5"/>
                  <w:rFonts w:ascii="Times New Roman" w:eastAsia="宋体" w:hAnsi="Times New Roman"/>
                  <w:sz w:val="20"/>
                  <w:szCs w:val="20"/>
                </w:rPr>
                <w:t>44</w:t>
              </w:r>
            </w:hyperlink>
          </w:p>
        </w:tc>
      </w:tr>
      <w:tr w:rsidR="007B6C97" w14:paraId="64296888" w14:textId="77777777">
        <w:tc>
          <w:tcPr>
            <w:tcW w:w="0" w:type="auto"/>
            <w:gridSpan w:val="3"/>
            <w:shd w:val="clear" w:color="auto" w:fill="auto"/>
            <w:tcMar>
              <w:top w:w="40" w:type="dxa"/>
              <w:left w:w="20" w:type="dxa"/>
              <w:bottom w:w="40" w:type="dxa"/>
              <w:right w:w="20" w:type="dxa"/>
            </w:tcMar>
            <w:vAlign w:val="bottom"/>
          </w:tcPr>
          <w:p w14:paraId="64296885" w14:textId="77777777" w:rsidR="007B6C97" w:rsidRDefault="00E426D1">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64296886" w14:textId="77777777" w:rsidR="007B6C97" w:rsidRDefault="00E426D1">
            <w:pPr>
              <w:pBdr>
                <w:top w:val="none" w:sz="0" w:space="0" w:color="auto"/>
                <w:left w:val="none" w:sz="0" w:space="0" w:color="auto"/>
                <w:bottom w:val="none" w:sz="0" w:space="0" w:color="auto"/>
                <w:right w:val="none" w:sz="0" w:space="0" w:color="auto"/>
              </w:pBdr>
              <w:textAlignment w:val="bottom"/>
            </w:pPr>
            <w:hyperlink r:id="rId37" w:anchor="ie38a2b375c9840e583a36769999bbee6_151"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40" w:type="dxa"/>
              <w:left w:w="20" w:type="dxa"/>
              <w:bottom w:w="40" w:type="dxa"/>
              <w:right w:w="20" w:type="dxa"/>
            </w:tcMar>
            <w:vAlign w:val="bottom"/>
          </w:tcPr>
          <w:p w14:paraId="64296887"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38" w:anchor="ie38a2b375c9840e583a36769999bbee6_151" w:history="1">
              <w:r>
                <w:rPr>
                  <w:rStyle w:val="a5"/>
                  <w:rFonts w:ascii="Times New Roman" w:eastAsia="宋体" w:hAnsi="Times New Roman"/>
                  <w:sz w:val="20"/>
                  <w:szCs w:val="20"/>
                </w:rPr>
                <w:t>44</w:t>
              </w:r>
            </w:hyperlink>
          </w:p>
        </w:tc>
      </w:tr>
      <w:tr w:rsidR="007B6C97" w14:paraId="6429688C" w14:textId="77777777">
        <w:tc>
          <w:tcPr>
            <w:tcW w:w="0" w:type="auto"/>
            <w:gridSpan w:val="3"/>
            <w:shd w:val="clear" w:color="auto" w:fill="auto"/>
            <w:tcMar>
              <w:top w:w="40" w:type="dxa"/>
              <w:left w:w="20" w:type="dxa"/>
              <w:bottom w:w="40" w:type="dxa"/>
              <w:right w:w="20" w:type="dxa"/>
            </w:tcMar>
            <w:vAlign w:val="bottom"/>
          </w:tcPr>
          <w:p w14:paraId="64296889" w14:textId="77777777" w:rsidR="007B6C97" w:rsidRDefault="00E426D1">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6429688A" w14:textId="77777777" w:rsidR="007B6C97" w:rsidRDefault="00E426D1">
            <w:pPr>
              <w:pBdr>
                <w:top w:val="none" w:sz="0" w:space="0" w:color="auto"/>
                <w:left w:val="none" w:sz="0" w:space="0" w:color="auto"/>
                <w:bottom w:val="none" w:sz="0" w:space="0" w:color="auto"/>
                <w:right w:val="none" w:sz="0" w:space="0" w:color="auto"/>
              </w:pBdr>
              <w:textAlignment w:val="bottom"/>
            </w:pPr>
            <w:hyperlink r:id="rId39" w:anchor="ie38a2b375c9840e583a36769999bbee6_154"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6429688B"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40" w:anchor="ie38a2b375c9840e583a36769999bbee6_154" w:history="1">
              <w:r>
                <w:rPr>
                  <w:rStyle w:val="a5"/>
                  <w:rFonts w:ascii="Times New Roman" w:eastAsia="宋体" w:hAnsi="Times New Roman"/>
                  <w:sz w:val="20"/>
                  <w:szCs w:val="20"/>
                </w:rPr>
                <w:t>44</w:t>
              </w:r>
            </w:hyperlink>
          </w:p>
        </w:tc>
      </w:tr>
      <w:tr w:rsidR="007B6C97" w14:paraId="64296890" w14:textId="77777777">
        <w:tc>
          <w:tcPr>
            <w:tcW w:w="0" w:type="auto"/>
            <w:gridSpan w:val="3"/>
            <w:shd w:val="clear" w:color="auto" w:fill="auto"/>
            <w:tcMar>
              <w:top w:w="40" w:type="dxa"/>
              <w:left w:w="20" w:type="dxa"/>
              <w:bottom w:w="40" w:type="dxa"/>
              <w:right w:w="20" w:type="dxa"/>
            </w:tcMar>
            <w:vAlign w:val="bottom"/>
          </w:tcPr>
          <w:p w14:paraId="6429688D" w14:textId="77777777" w:rsidR="007B6C97" w:rsidRDefault="00E426D1">
            <w:pPr>
              <w:textAlignment w:val="bottom"/>
            </w:pPr>
            <w:r>
              <w:rPr>
                <w:rFonts w:ascii="Times New Roman" w:eastAsia="宋体" w:hAnsi="Times New Roman"/>
                <w:b/>
                <w:bCs/>
                <w:color w:val="00704A"/>
                <w:sz w:val="20"/>
                <w:szCs w:val="20"/>
              </w:rPr>
              <w:t>Item 5</w:t>
            </w:r>
          </w:p>
        </w:tc>
        <w:tc>
          <w:tcPr>
            <w:tcW w:w="0" w:type="auto"/>
            <w:gridSpan w:val="3"/>
            <w:shd w:val="clear" w:color="auto" w:fill="auto"/>
            <w:tcMar>
              <w:top w:w="40" w:type="dxa"/>
              <w:left w:w="20" w:type="dxa"/>
              <w:bottom w:w="40" w:type="dxa"/>
              <w:right w:w="20" w:type="dxa"/>
            </w:tcMar>
            <w:vAlign w:val="bottom"/>
          </w:tcPr>
          <w:p w14:paraId="6429688E" w14:textId="77777777" w:rsidR="007B6C97" w:rsidRDefault="00E426D1">
            <w:pPr>
              <w:pBdr>
                <w:top w:val="none" w:sz="0" w:space="0" w:color="auto"/>
                <w:left w:val="none" w:sz="0" w:space="0" w:color="auto"/>
                <w:bottom w:val="none" w:sz="0" w:space="0" w:color="auto"/>
                <w:right w:val="none" w:sz="0" w:space="0" w:color="auto"/>
              </w:pBdr>
              <w:textAlignment w:val="bottom"/>
            </w:pPr>
            <w:hyperlink r:id="rId41" w:anchor="ie38a2b375c9840e583a36769999bbee6_157" w:history="1">
              <w:r>
                <w:rPr>
                  <w:rStyle w:val="a5"/>
                  <w:rFonts w:ascii="Times New Roman" w:eastAsia="宋体" w:hAnsi="Times New Roman"/>
                  <w:sz w:val="20"/>
                  <w:szCs w:val="20"/>
                </w:rPr>
                <w:t>Other Informati</w:t>
              </w:r>
              <w:r>
                <w:rPr>
                  <w:rStyle w:val="a5"/>
                  <w:rFonts w:ascii="Times New Roman" w:eastAsia="宋体" w:hAnsi="Times New Roman"/>
                  <w:sz w:val="20"/>
                  <w:szCs w:val="20"/>
                </w:rPr>
                <w:t>on</w:t>
              </w:r>
            </w:hyperlink>
          </w:p>
        </w:tc>
        <w:tc>
          <w:tcPr>
            <w:tcW w:w="0" w:type="auto"/>
            <w:gridSpan w:val="3"/>
            <w:shd w:val="clear" w:color="auto" w:fill="auto"/>
            <w:tcMar>
              <w:top w:w="40" w:type="dxa"/>
              <w:left w:w="20" w:type="dxa"/>
              <w:bottom w:w="40" w:type="dxa"/>
              <w:right w:w="20" w:type="dxa"/>
            </w:tcMar>
            <w:vAlign w:val="bottom"/>
          </w:tcPr>
          <w:p w14:paraId="6429688F"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42" w:anchor="ie38a2b375c9840e583a36769999bbee6_157" w:history="1">
              <w:r>
                <w:rPr>
                  <w:rStyle w:val="a5"/>
                  <w:rFonts w:ascii="Times New Roman" w:eastAsia="宋体" w:hAnsi="Times New Roman"/>
                  <w:sz w:val="20"/>
                  <w:szCs w:val="20"/>
                </w:rPr>
                <w:t>44</w:t>
              </w:r>
            </w:hyperlink>
          </w:p>
        </w:tc>
      </w:tr>
      <w:tr w:rsidR="007B6C97" w14:paraId="64296894" w14:textId="77777777">
        <w:tc>
          <w:tcPr>
            <w:tcW w:w="0" w:type="auto"/>
            <w:gridSpan w:val="3"/>
            <w:shd w:val="clear" w:color="auto" w:fill="auto"/>
            <w:tcMar>
              <w:top w:w="40" w:type="dxa"/>
              <w:left w:w="20" w:type="dxa"/>
              <w:bottom w:w="40" w:type="dxa"/>
              <w:right w:w="20" w:type="dxa"/>
            </w:tcMar>
            <w:vAlign w:val="bottom"/>
          </w:tcPr>
          <w:p w14:paraId="64296891" w14:textId="77777777" w:rsidR="007B6C97" w:rsidRDefault="00E426D1">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64296892" w14:textId="77777777" w:rsidR="007B6C97" w:rsidRDefault="00E426D1">
            <w:pPr>
              <w:pBdr>
                <w:top w:val="none" w:sz="0" w:space="0" w:color="auto"/>
                <w:left w:val="none" w:sz="0" w:space="0" w:color="auto"/>
                <w:bottom w:val="none" w:sz="0" w:space="0" w:color="auto"/>
                <w:right w:val="none" w:sz="0" w:space="0" w:color="auto"/>
              </w:pBdr>
              <w:textAlignment w:val="bottom"/>
            </w:pPr>
            <w:hyperlink r:id="rId43" w:anchor="ie38a2b375c9840e583a36769999bbee6_160"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64296893"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44" w:anchor="ie38a2b375c9840e583a36769999bbee6_160" w:history="1">
              <w:r>
                <w:rPr>
                  <w:rStyle w:val="a5"/>
                  <w:rFonts w:ascii="Times New Roman" w:eastAsia="宋体" w:hAnsi="Times New Roman"/>
                  <w:sz w:val="20"/>
                  <w:szCs w:val="20"/>
                </w:rPr>
                <w:t>45</w:t>
              </w:r>
            </w:hyperlink>
          </w:p>
        </w:tc>
      </w:tr>
      <w:tr w:rsidR="007B6C97" w14:paraId="64296897" w14:textId="77777777">
        <w:tc>
          <w:tcPr>
            <w:tcW w:w="0" w:type="auto"/>
            <w:gridSpan w:val="6"/>
            <w:shd w:val="clear" w:color="auto" w:fill="auto"/>
            <w:tcMar>
              <w:top w:w="40" w:type="dxa"/>
              <w:left w:w="20" w:type="dxa"/>
              <w:bottom w:w="40" w:type="dxa"/>
              <w:right w:w="20" w:type="dxa"/>
            </w:tcMar>
          </w:tcPr>
          <w:p w14:paraId="64296895" w14:textId="77777777" w:rsidR="007B6C97" w:rsidRDefault="00E426D1">
            <w:pPr>
              <w:pBdr>
                <w:top w:val="none" w:sz="0" w:space="0" w:color="auto"/>
                <w:left w:val="none" w:sz="0" w:space="0" w:color="auto"/>
                <w:bottom w:val="none" w:sz="0" w:space="0" w:color="auto"/>
                <w:right w:val="none" w:sz="0" w:space="0" w:color="auto"/>
              </w:pBdr>
              <w:textAlignment w:val="top"/>
            </w:pPr>
            <w:hyperlink r:id="rId45" w:anchor="ie38a2b375c9840e583a36769999bbee6_163"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64296896"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46" w:anchor="ie38a2b375c9840e583a36769999bbee6_163" w:history="1">
              <w:r>
                <w:rPr>
                  <w:rStyle w:val="a5"/>
                  <w:rFonts w:ascii="Times New Roman" w:eastAsia="宋体" w:hAnsi="Times New Roman"/>
                  <w:sz w:val="20"/>
                  <w:szCs w:val="20"/>
                </w:rPr>
                <w:t>46</w:t>
              </w:r>
            </w:hyperlink>
          </w:p>
        </w:tc>
      </w:tr>
    </w:tbl>
    <w:p w14:paraId="64296898" w14:textId="77777777" w:rsidR="007B6C97" w:rsidRDefault="007B6C97">
      <w:pPr>
        <w:jc w:val="center"/>
      </w:pPr>
    </w:p>
    <w:p w14:paraId="64296899" w14:textId="77777777" w:rsidR="007B6C97" w:rsidRDefault="00E426D1">
      <w:r>
        <w:rPr>
          <w:rFonts w:ascii="Times New Roman" w:eastAsia="宋体" w:hAnsi="Times New Roman"/>
          <w:color w:val="000000"/>
          <w:sz w:val="18"/>
          <w:szCs w:val="18"/>
        </w:rPr>
        <w:t> </w:t>
      </w:r>
    </w:p>
    <w:p w14:paraId="6429689A" w14:textId="77777777" w:rsidR="007B6C97" w:rsidRDefault="007B6C97"/>
    <w:p w14:paraId="6429689B" w14:textId="77777777" w:rsidR="007B6C97" w:rsidRDefault="00E426D1">
      <w:r>
        <w:pict w14:anchorId="642999DC">
          <v:rect id="_x0000_i1026" style="width:415.3pt;height:1.5pt" o:hralign="center" o:hrstd="t" o:hr="t" fillcolor="#a0a0a0" stroked="f"/>
        </w:pict>
      </w:r>
    </w:p>
    <w:p w14:paraId="6429689C" w14:textId="77777777" w:rsidR="007B6C97" w:rsidRDefault="00E426D1">
      <w:hyperlink r:id="rId47" w:anchor="ie38a2b375c9840e583a36769999bbee6_7" w:history="1">
        <w:r>
          <w:rPr>
            <w:rStyle w:val="a5"/>
            <w:rFonts w:ascii="Times New Roman" w:eastAsia="宋体" w:hAnsi="Times New Roman"/>
            <w:sz w:val="20"/>
            <w:szCs w:val="20"/>
          </w:rPr>
          <w:t>Table</w:t>
        </w:r>
      </w:hyperlink>
      <w:hyperlink r:id="rId48" w:anchor="ie38a2b375c9840e583a36769999bbee6_7" w:history="1">
        <w:r>
          <w:rPr>
            <w:rStyle w:val="a5"/>
            <w:rFonts w:ascii="Times New Roman" w:eastAsia="宋体" w:hAnsi="Times New Roman"/>
            <w:sz w:val="20"/>
            <w:szCs w:val="20"/>
          </w:rPr>
          <w:t xml:space="preserve"> of Contents</w:t>
        </w:r>
      </w:hyperlink>
    </w:p>
    <w:p w14:paraId="6429689D" w14:textId="77777777" w:rsidR="007B6C97" w:rsidRDefault="00E426D1">
      <w:pPr>
        <w:jc w:val="center"/>
      </w:pPr>
      <w:r>
        <w:rPr>
          <w:rFonts w:ascii="Times New Roman" w:eastAsia="宋体" w:hAnsi="Times New Roman"/>
          <w:b/>
          <w:bCs/>
          <w:color w:val="00704A"/>
          <w:sz w:val="20"/>
          <w:szCs w:val="20"/>
        </w:rPr>
        <w:t>PART I — FINANCIAL INFORMATION</w:t>
      </w:r>
    </w:p>
    <w:p w14:paraId="6429689E" w14:textId="77777777" w:rsidR="007B6C97" w:rsidRDefault="00E426D1">
      <w:pPr>
        <w:pBdr>
          <w:left w:val="none" w:sz="0" w:space="0" w:color="auto"/>
        </w:pBd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6429689F" w14:textId="77777777" w:rsidR="007B6C97" w:rsidRDefault="00E426D1">
      <w:pPr>
        <w:spacing w:before="280"/>
        <w:jc w:val="center"/>
      </w:pPr>
      <w:r>
        <w:rPr>
          <w:rFonts w:ascii="Times New Roman" w:eastAsia="宋体" w:hAnsi="Times New Roman"/>
          <w:b/>
          <w:bCs/>
          <w:color w:val="000000"/>
          <w:sz w:val="20"/>
          <w:szCs w:val="20"/>
        </w:rPr>
        <w:t>STARBUCKS CORPORATION</w:t>
      </w:r>
    </w:p>
    <w:p w14:paraId="642968A0" w14:textId="77777777" w:rsidR="007B6C97" w:rsidRDefault="00E426D1">
      <w:pPr>
        <w:jc w:val="center"/>
      </w:pPr>
      <w:r>
        <w:rPr>
          <w:rFonts w:ascii="Times New Roman" w:eastAsia="宋体" w:hAnsi="Times New Roman"/>
          <w:b/>
          <w:bCs/>
          <w:color w:val="000000"/>
          <w:sz w:val="20"/>
          <w:szCs w:val="20"/>
        </w:rPr>
        <w:t>CONSOLIDATED STATEMENTS OF EARNINGS</w:t>
      </w:r>
    </w:p>
    <w:p w14:paraId="642968A1" w14:textId="77777777" w:rsidR="007B6C97" w:rsidRDefault="00E426D1">
      <w:pPr>
        <w:jc w:val="center"/>
      </w:pPr>
      <w:r>
        <w:rPr>
          <w:rFonts w:ascii="Times New Roman" w:eastAsia="宋体" w:hAnsi="Times New Roman"/>
          <w:i/>
          <w:iCs/>
          <w:color w:val="000000"/>
          <w:sz w:val="20"/>
          <w:szCs w:val="20"/>
        </w:rPr>
        <w:t>(in millions, except per share data)</w:t>
      </w:r>
    </w:p>
    <w:p w14:paraId="642968A2" w14:textId="77777777" w:rsidR="007B6C97" w:rsidRDefault="00E426D1">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48"/>
        <w:gridCol w:w="36"/>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3"/>
        <w:gridCol w:w="36"/>
      </w:tblGrid>
      <w:tr w:rsidR="007B6C97" w14:paraId="642968BB" w14:textId="77777777">
        <w:trPr>
          <w:jc w:val="center"/>
        </w:trPr>
        <w:tc>
          <w:tcPr>
            <w:tcW w:w="50" w:type="pct"/>
            <w:shd w:val="clear" w:color="auto" w:fill="auto"/>
            <w:vAlign w:val="bottom"/>
          </w:tcPr>
          <w:p w14:paraId="642968A3" w14:textId="77777777" w:rsidR="007B6C97" w:rsidRDefault="007B6C97">
            <w:pPr>
              <w:rPr>
                <w:rFonts w:ascii="宋体"/>
              </w:rPr>
            </w:pPr>
          </w:p>
        </w:tc>
        <w:tc>
          <w:tcPr>
            <w:tcW w:w="2313" w:type="pct"/>
            <w:shd w:val="clear" w:color="auto" w:fill="auto"/>
            <w:vAlign w:val="bottom"/>
          </w:tcPr>
          <w:p w14:paraId="642968A4" w14:textId="77777777" w:rsidR="007B6C97" w:rsidRDefault="007B6C97">
            <w:pPr>
              <w:rPr>
                <w:rFonts w:ascii="宋体"/>
              </w:rPr>
            </w:pPr>
          </w:p>
        </w:tc>
        <w:tc>
          <w:tcPr>
            <w:tcW w:w="5" w:type="pct"/>
            <w:shd w:val="clear" w:color="auto" w:fill="auto"/>
            <w:vAlign w:val="bottom"/>
          </w:tcPr>
          <w:p w14:paraId="642968A5" w14:textId="77777777" w:rsidR="007B6C97" w:rsidRDefault="007B6C97">
            <w:pPr>
              <w:rPr>
                <w:rFonts w:ascii="宋体"/>
              </w:rPr>
            </w:pPr>
          </w:p>
        </w:tc>
        <w:tc>
          <w:tcPr>
            <w:tcW w:w="50" w:type="pct"/>
            <w:shd w:val="clear" w:color="auto" w:fill="auto"/>
            <w:vAlign w:val="bottom"/>
          </w:tcPr>
          <w:p w14:paraId="642968A6" w14:textId="77777777" w:rsidR="007B6C97" w:rsidRDefault="007B6C97">
            <w:pPr>
              <w:rPr>
                <w:rFonts w:ascii="宋体"/>
              </w:rPr>
            </w:pPr>
          </w:p>
        </w:tc>
        <w:tc>
          <w:tcPr>
            <w:tcW w:w="580" w:type="pct"/>
            <w:shd w:val="clear" w:color="auto" w:fill="auto"/>
            <w:vAlign w:val="bottom"/>
          </w:tcPr>
          <w:p w14:paraId="642968A7" w14:textId="77777777" w:rsidR="007B6C97" w:rsidRDefault="007B6C97">
            <w:pPr>
              <w:rPr>
                <w:rFonts w:ascii="宋体"/>
              </w:rPr>
            </w:pPr>
          </w:p>
        </w:tc>
        <w:tc>
          <w:tcPr>
            <w:tcW w:w="5" w:type="pct"/>
            <w:shd w:val="clear" w:color="auto" w:fill="auto"/>
            <w:vAlign w:val="bottom"/>
          </w:tcPr>
          <w:p w14:paraId="642968A8" w14:textId="77777777" w:rsidR="007B6C97" w:rsidRDefault="007B6C97">
            <w:pPr>
              <w:rPr>
                <w:rFonts w:ascii="宋体"/>
              </w:rPr>
            </w:pPr>
          </w:p>
        </w:tc>
        <w:tc>
          <w:tcPr>
            <w:tcW w:w="5" w:type="pct"/>
            <w:shd w:val="clear" w:color="auto" w:fill="auto"/>
            <w:vAlign w:val="bottom"/>
          </w:tcPr>
          <w:p w14:paraId="642968A9" w14:textId="77777777" w:rsidR="007B6C97" w:rsidRDefault="007B6C97">
            <w:pPr>
              <w:rPr>
                <w:rFonts w:ascii="宋体"/>
              </w:rPr>
            </w:pPr>
          </w:p>
        </w:tc>
        <w:tc>
          <w:tcPr>
            <w:tcW w:w="19" w:type="pct"/>
            <w:shd w:val="clear" w:color="auto" w:fill="auto"/>
            <w:vAlign w:val="bottom"/>
          </w:tcPr>
          <w:p w14:paraId="642968AA" w14:textId="77777777" w:rsidR="007B6C97" w:rsidRDefault="007B6C97">
            <w:pPr>
              <w:rPr>
                <w:rFonts w:ascii="宋体"/>
              </w:rPr>
            </w:pPr>
          </w:p>
        </w:tc>
        <w:tc>
          <w:tcPr>
            <w:tcW w:w="5" w:type="pct"/>
            <w:shd w:val="clear" w:color="auto" w:fill="auto"/>
            <w:vAlign w:val="bottom"/>
          </w:tcPr>
          <w:p w14:paraId="642968AB" w14:textId="77777777" w:rsidR="007B6C97" w:rsidRDefault="007B6C97">
            <w:pPr>
              <w:rPr>
                <w:rFonts w:ascii="宋体"/>
              </w:rPr>
            </w:pPr>
          </w:p>
        </w:tc>
        <w:tc>
          <w:tcPr>
            <w:tcW w:w="50" w:type="pct"/>
            <w:shd w:val="clear" w:color="auto" w:fill="auto"/>
            <w:vAlign w:val="bottom"/>
          </w:tcPr>
          <w:p w14:paraId="642968AC" w14:textId="77777777" w:rsidR="007B6C97" w:rsidRDefault="007B6C97">
            <w:pPr>
              <w:rPr>
                <w:rFonts w:ascii="宋体"/>
              </w:rPr>
            </w:pPr>
          </w:p>
        </w:tc>
        <w:tc>
          <w:tcPr>
            <w:tcW w:w="580" w:type="pct"/>
            <w:shd w:val="clear" w:color="auto" w:fill="auto"/>
            <w:vAlign w:val="bottom"/>
          </w:tcPr>
          <w:p w14:paraId="642968AD" w14:textId="77777777" w:rsidR="007B6C97" w:rsidRDefault="007B6C97">
            <w:pPr>
              <w:rPr>
                <w:rFonts w:ascii="宋体"/>
              </w:rPr>
            </w:pPr>
          </w:p>
        </w:tc>
        <w:tc>
          <w:tcPr>
            <w:tcW w:w="5" w:type="pct"/>
            <w:shd w:val="clear" w:color="auto" w:fill="auto"/>
            <w:vAlign w:val="bottom"/>
          </w:tcPr>
          <w:p w14:paraId="642968AE" w14:textId="77777777" w:rsidR="007B6C97" w:rsidRDefault="007B6C97">
            <w:pPr>
              <w:rPr>
                <w:rFonts w:ascii="宋体"/>
              </w:rPr>
            </w:pPr>
          </w:p>
        </w:tc>
        <w:tc>
          <w:tcPr>
            <w:tcW w:w="5" w:type="pct"/>
            <w:shd w:val="clear" w:color="auto" w:fill="auto"/>
            <w:vAlign w:val="bottom"/>
          </w:tcPr>
          <w:p w14:paraId="642968AF" w14:textId="77777777" w:rsidR="007B6C97" w:rsidRDefault="007B6C97">
            <w:pPr>
              <w:rPr>
                <w:rFonts w:ascii="宋体"/>
              </w:rPr>
            </w:pPr>
          </w:p>
        </w:tc>
        <w:tc>
          <w:tcPr>
            <w:tcW w:w="19" w:type="pct"/>
            <w:shd w:val="clear" w:color="auto" w:fill="auto"/>
            <w:vAlign w:val="bottom"/>
          </w:tcPr>
          <w:p w14:paraId="642968B0" w14:textId="77777777" w:rsidR="007B6C97" w:rsidRDefault="007B6C97">
            <w:pPr>
              <w:rPr>
                <w:rFonts w:ascii="宋体"/>
              </w:rPr>
            </w:pPr>
          </w:p>
        </w:tc>
        <w:tc>
          <w:tcPr>
            <w:tcW w:w="5" w:type="pct"/>
            <w:shd w:val="clear" w:color="auto" w:fill="auto"/>
            <w:vAlign w:val="bottom"/>
          </w:tcPr>
          <w:p w14:paraId="642968B1" w14:textId="77777777" w:rsidR="007B6C97" w:rsidRDefault="007B6C97">
            <w:pPr>
              <w:rPr>
                <w:rFonts w:ascii="宋体"/>
              </w:rPr>
            </w:pPr>
          </w:p>
        </w:tc>
        <w:tc>
          <w:tcPr>
            <w:tcW w:w="50" w:type="pct"/>
            <w:shd w:val="clear" w:color="auto" w:fill="auto"/>
            <w:vAlign w:val="bottom"/>
          </w:tcPr>
          <w:p w14:paraId="642968B2" w14:textId="77777777" w:rsidR="007B6C97" w:rsidRDefault="007B6C97">
            <w:pPr>
              <w:rPr>
                <w:rFonts w:ascii="宋体"/>
              </w:rPr>
            </w:pPr>
          </w:p>
        </w:tc>
        <w:tc>
          <w:tcPr>
            <w:tcW w:w="580" w:type="pct"/>
            <w:shd w:val="clear" w:color="auto" w:fill="auto"/>
            <w:vAlign w:val="bottom"/>
          </w:tcPr>
          <w:p w14:paraId="642968B3" w14:textId="77777777" w:rsidR="007B6C97" w:rsidRDefault="007B6C97">
            <w:pPr>
              <w:rPr>
                <w:rFonts w:ascii="宋体"/>
              </w:rPr>
            </w:pPr>
          </w:p>
        </w:tc>
        <w:tc>
          <w:tcPr>
            <w:tcW w:w="5" w:type="pct"/>
            <w:shd w:val="clear" w:color="auto" w:fill="auto"/>
            <w:vAlign w:val="bottom"/>
          </w:tcPr>
          <w:p w14:paraId="642968B4" w14:textId="77777777" w:rsidR="007B6C97" w:rsidRDefault="007B6C97">
            <w:pPr>
              <w:rPr>
                <w:rFonts w:ascii="宋体"/>
              </w:rPr>
            </w:pPr>
          </w:p>
        </w:tc>
        <w:tc>
          <w:tcPr>
            <w:tcW w:w="5" w:type="pct"/>
            <w:shd w:val="clear" w:color="auto" w:fill="auto"/>
            <w:vAlign w:val="bottom"/>
          </w:tcPr>
          <w:p w14:paraId="642968B5" w14:textId="77777777" w:rsidR="007B6C97" w:rsidRDefault="007B6C97">
            <w:pPr>
              <w:rPr>
                <w:rFonts w:ascii="宋体"/>
              </w:rPr>
            </w:pPr>
          </w:p>
        </w:tc>
        <w:tc>
          <w:tcPr>
            <w:tcW w:w="19" w:type="pct"/>
            <w:shd w:val="clear" w:color="auto" w:fill="auto"/>
            <w:vAlign w:val="bottom"/>
          </w:tcPr>
          <w:p w14:paraId="642968B6" w14:textId="77777777" w:rsidR="007B6C97" w:rsidRDefault="007B6C97">
            <w:pPr>
              <w:rPr>
                <w:rFonts w:ascii="宋体"/>
              </w:rPr>
            </w:pPr>
          </w:p>
        </w:tc>
        <w:tc>
          <w:tcPr>
            <w:tcW w:w="5" w:type="pct"/>
            <w:shd w:val="clear" w:color="auto" w:fill="auto"/>
            <w:vAlign w:val="bottom"/>
          </w:tcPr>
          <w:p w14:paraId="642968B7" w14:textId="77777777" w:rsidR="007B6C97" w:rsidRDefault="007B6C97">
            <w:pPr>
              <w:rPr>
                <w:rFonts w:ascii="宋体"/>
              </w:rPr>
            </w:pPr>
          </w:p>
        </w:tc>
        <w:tc>
          <w:tcPr>
            <w:tcW w:w="50" w:type="pct"/>
            <w:shd w:val="clear" w:color="auto" w:fill="auto"/>
            <w:vAlign w:val="bottom"/>
          </w:tcPr>
          <w:p w14:paraId="642968B8" w14:textId="77777777" w:rsidR="007B6C97" w:rsidRDefault="007B6C97">
            <w:pPr>
              <w:rPr>
                <w:rFonts w:ascii="宋体"/>
              </w:rPr>
            </w:pPr>
          </w:p>
        </w:tc>
        <w:tc>
          <w:tcPr>
            <w:tcW w:w="581" w:type="pct"/>
            <w:shd w:val="clear" w:color="auto" w:fill="auto"/>
            <w:vAlign w:val="bottom"/>
          </w:tcPr>
          <w:p w14:paraId="642968B9" w14:textId="77777777" w:rsidR="007B6C97" w:rsidRDefault="007B6C97">
            <w:pPr>
              <w:rPr>
                <w:rFonts w:ascii="宋体"/>
              </w:rPr>
            </w:pPr>
          </w:p>
        </w:tc>
        <w:tc>
          <w:tcPr>
            <w:tcW w:w="5" w:type="pct"/>
            <w:shd w:val="clear" w:color="auto" w:fill="auto"/>
            <w:vAlign w:val="bottom"/>
          </w:tcPr>
          <w:p w14:paraId="642968BA" w14:textId="77777777" w:rsidR="007B6C97" w:rsidRDefault="007B6C97">
            <w:pPr>
              <w:rPr>
                <w:rFonts w:ascii="宋体"/>
              </w:rPr>
            </w:pPr>
          </w:p>
        </w:tc>
      </w:tr>
      <w:tr w:rsidR="007B6C97" w14:paraId="642968C0" w14:textId="77777777">
        <w:trPr>
          <w:jc w:val="center"/>
        </w:trPr>
        <w:tc>
          <w:tcPr>
            <w:tcW w:w="0" w:type="auto"/>
            <w:gridSpan w:val="3"/>
            <w:shd w:val="clear" w:color="auto" w:fill="auto"/>
            <w:tcMar>
              <w:top w:w="40" w:type="dxa"/>
              <w:left w:w="20" w:type="dxa"/>
              <w:bottom w:w="40" w:type="dxa"/>
              <w:right w:w="20" w:type="dxa"/>
            </w:tcMar>
            <w:vAlign w:val="bottom"/>
          </w:tcPr>
          <w:p w14:paraId="642968BC" w14:textId="77777777" w:rsidR="007B6C97" w:rsidRDefault="00E426D1">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642968BD"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68BE"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68BF"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68C9" w14:textId="77777777">
        <w:trPr>
          <w:jc w:val="center"/>
        </w:trPr>
        <w:tc>
          <w:tcPr>
            <w:tcW w:w="0" w:type="auto"/>
            <w:gridSpan w:val="3"/>
            <w:shd w:val="clear" w:color="auto" w:fill="auto"/>
            <w:tcMar>
              <w:top w:w="0" w:type="dxa"/>
              <w:left w:w="20" w:type="dxa"/>
              <w:bottom w:w="0" w:type="dxa"/>
              <w:right w:w="20" w:type="dxa"/>
            </w:tcMar>
            <w:vAlign w:val="bottom"/>
          </w:tcPr>
          <w:p w14:paraId="642968C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8C2"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8C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8C4"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68C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8C6"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8C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8C8"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68D2" w14:textId="77777777">
        <w:trPr>
          <w:jc w:val="center"/>
        </w:trPr>
        <w:tc>
          <w:tcPr>
            <w:tcW w:w="0" w:type="auto"/>
            <w:gridSpan w:val="3"/>
            <w:shd w:val="clear" w:color="auto" w:fill="D7E4BC"/>
            <w:tcMar>
              <w:top w:w="40" w:type="dxa"/>
              <w:left w:w="20" w:type="dxa"/>
              <w:bottom w:w="40" w:type="dxa"/>
              <w:right w:w="20" w:type="dxa"/>
            </w:tcMar>
          </w:tcPr>
          <w:p w14:paraId="642968CA" w14:textId="77777777" w:rsidR="007B6C97" w:rsidRDefault="00E426D1">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8C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8CC"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8C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8CE"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8C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8D0"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8D1" w14:textId="77777777" w:rsidR="007B6C97" w:rsidRDefault="007B6C97">
            <w:pPr>
              <w:rPr>
                <w:rFonts w:ascii="宋体"/>
              </w:rPr>
            </w:pPr>
          </w:p>
        </w:tc>
      </w:tr>
      <w:tr w:rsidR="007B6C97" w14:paraId="642968E3" w14:textId="77777777">
        <w:trPr>
          <w:jc w:val="center"/>
        </w:trPr>
        <w:tc>
          <w:tcPr>
            <w:tcW w:w="0" w:type="auto"/>
            <w:gridSpan w:val="3"/>
            <w:shd w:val="clear" w:color="auto" w:fill="FFFFFF"/>
            <w:tcMar>
              <w:top w:w="40" w:type="dxa"/>
              <w:left w:w="380" w:type="dxa"/>
              <w:bottom w:w="40" w:type="dxa"/>
              <w:right w:w="20" w:type="dxa"/>
            </w:tcMar>
          </w:tcPr>
          <w:p w14:paraId="642968D3" w14:textId="77777777" w:rsidR="007B6C97" w:rsidRDefault="00E426D1">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42968D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8D5" w14:textId="77777777" w:rsidR="007B6C97" w:rsidRDefault="00E426D1">
            <w:pPr>
              <w:jc w:val="right"/>
              <w:textAlignment w:val="bottom"/>
            </w:pPr>
            <w:r>
              <w:rPr>
                <w:rFonts w:ascii="Times New Roman" w:eastAsia="宋体" w:hAnsi="Times New Roman"/>
                <w:color w:val="000000"/>
                <w:sz w:val="20"/>
                <w:szCs w:val="20"/>
              </w:rPr>
              <w:t>6,675.5 </w:t>
            </w:r>
          </w:p>
        </w:tc>
        <w:tc>
          <w:tcPr>
            <w:tcW w:w="0" w:type="auto"/>
            <w:shd w:val="clear" w:color="auto" w:fill="FFFFFF"/>
            <w:tcMar>
              <w:top w:w="40" w:type="dxa"/>
              <w:left w:w="0" w:type="dxa"/>
              <w:bottom w:w="40" w:type="dxa"/>
              <w:right w:w="20" w:type="dxa"/>
            </w:tcMar>
            <w:vAlign w:val="bottom"/>
          </w:tcPr>
          <w:p w14:paraId="642968D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D7"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8D8"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8D9" w14:textId="77777777" w:rsidR="007B6C97" w:rsidRDefault="00E426D1">
            <w:pPr>
              <w:jc w:val="right"/>
              <w:textAlignment w:val="bottom"/>
            </w:pPr>
            <w:r>
              <w:rPr>
                <w:rFonts w:ascii="Times New Roman" w:eastAsia="宋体" w:hAnsi="Times New Roman"/>
                <w:color w:val="000000"/>
                <w:sz w:val="20"/>
                <w:szCs w:val="20"/>
              </w:rPr>
              <w:t>6,363.1 </w:t>
            </w:r>
          </w:p>
        </w:tc>
        <w:tc>
          <w:tcPr>
            <w:tcW w:w="0" w:type="auto"/>
            <w:shd w:val="clear" w:color="auto" w:fill="FFFFFF"/>
            <w:tcMar>
              <w:top w:w="40" w:type="dxa"/>
              <w:left w:w="0" w:type="dxa"/>
              <w:bottom w:w="40" w:type="dxa"/>
              <w:right w:w="20" w:type="dxa"/>
            </w:tcMar>
            <w:vAlign w:val="bottom"/>
          </w:tcPr>
          <w:p w14:paraId="642968D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DB"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8D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8DD" w14:textId="77777777" w:rsidR="007B6C97" w:rsidRDefault="00E426D1">
            <w:pPr>
              <w:jc w:val="right"/>
              <w:textAlignment w:val="bottom"/>
            </w:pPr>
            <w:r>
              <w:rPr>
                <w:rFonts w:ascii="Times New Roman" w:eastAsia="宋体" w:hAnsi="Times New Roman"/>
                <w:color w:val="000000"/>
                <w:sz w:val="20"/>
                <w:szCs w:val="20"/>
              </w:rPr>
              <w:t>19,674.7 </w:t>
            </w:r>
          </w:p>
        </w:tc>
        <w:tc>
          <w:tcPr>
            <w:tcW w:w="0" w:type="auto"/>
            <w:shd w:val="clear" w:color="auto" w:fill="FFFFFF"/>
            <w:tcMar>
              <w:top w:w="40" w:type="dxa"/>
              <w:left w:w="0" w:type="dxa"/>
              <w:bottom w:w="40" w:type="dxa"/>
              <w:right w:w="20" w:type="dxa"/>
            </w:tcMar>
            <w:vAlign w:val="bottom"/>
          </w:tcPr>
          <w:p w14:paraId="642968D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DF"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8E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8E1" w14:textId="77777777" w:rsidR="007B6C97" w:rsidRDefault="00E426D1">
            <w:pPr>
              <w:jc w:val="right"/>
              <w:textAlignment w:val="bottom"/>
            </w:pPr>
            <w:r>
              <w:rPr>
                <w:rFonts w:ascii="Times New Roman" w:eastAsia="宋体" w:hAnsi="Times New Roman"/>
                <w:color w:val="000000"/>
                <w:sz w:val="20"/>
                <w:szCs w:val="20"/>
              </w:rPr>
              <w:t>17,742.8 </w:t>
            </w:r>
          </w:p>
        </w:tc>
        <w:tc>
          <w:tcPr>
            <w:tcW w:w="0" w:type="auto"/>
            <w:shd w:val="clear" w:color="auto" w:fill="FFFFFF"/>
            <w:tcMar>
              <w:top w:w="40" w:type="dxa"/>
              <w:left w:w="0" w:type="dxa"/>
              <w:bottom w:w="40" w:type="dxa"/>
              <w:right w:w="20" w:type="dxa"/>
            </w:tcMar>
            <w:vAlign w:val="bottom"/>
          </w:tcPr>
          <w:p w14:paraId="642968E2" w14:textId="77777777" w:rsidR="007B6C97" w:rsidRDefault="007B6C97">
            <w:pPr>
              <w:jc w:val="right"/>
              <w:rPr>
                <w:rFonts w:ascii="宋体"/>
              </w:rPr>
            </w:pPr>
          </w:p>
        </w:tc>
      </w:tr>
      <w:tr w:rsidR="007B6C97" w14:paraId="642968F0" w14:textId="77777777">
        <w:trPr>
          <w:jc w:val="center"/>
        </w:trPr>
        <w:tc>
          <w:tcPr>
            <w:tcW w:w="0" w:type="auto"/>
            <w:gridSpan w:val="3"/>
            <w:shd w:val="clear" w:color="auto" w:fill="D7E4BC"/>
            <w:tcMar>
              <w:top w:w="40" w:type="dxa"/>
              <w:left w:w="380" w:type="dxa"/>
              <w:bottom w:w="40" w:type="dxa"/>
              <w:right w:w="20" w:type="dxa"/>
            </w:tcMar>
          </w:tcPr>
          <w:p w14:paraId="642968E4" w14:textId="77777777" w:rsidR="007B6C97" w:rsidRDefault="00E426D1">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42968E5" w14:textId="77777777" w:rsidR="007B6C97" w:rsidRDefault="00E426D1">
            <w:pPr>
              <w:jc w:val="right"/>
              <w:textAlignment w:val="bottom"/>
            </w:pPr>
            <w:r>
              <w:rPr>
                <w:rFonts w:ascii="Times New Roman" w:eastAsia="宋体" w:hAnsi="Times New Roman"/>
                <w:color w:val="000000"/>
                <w:sz w:val="20"/>
                <w:szCs w:val="20"/>
              </w:rPr>
              <w:t>956.8 </w:t>
            </w:r>
          </w:p>
        </w:tc>
        <w:tc>
          <w:tcPr>
            <w:tcW w:w="0" w:type="auto"/>
            <w:shd w:val="clear" w:color="auto" w:fill="D7E4BC"/>
            <w:tcMar>
              <w:top w:w="40" w:type="dxa"/>
              <w:left w:w="0" w:type="dxa"/>
              <w:bottom w:w="40" w:type="dxa"/>
              <w:right w:w="20" w:type="dxa"/>
            </w:tcMar>
            <w:vAlign w:val="bottom"/>
          </w:tcPr>
          <w:p w14:paraId="642968E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8E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8E8" w14:textId="77777777" w:rsidR="007B6C97" w:rsidRDefault="00E426D1">
            <w:pPr>
              <w:jc w:val="right"/>
              <w:textAlignment w:val="bottom"/>
            </w:pPr>
            <w:r>
              <w:rPr>
                <w:rFonts w:ascii="Times New Roman" w:eastAsia="宋体" w:hAnsi="Times New Roman"/>
                <w:color w:val="000000"/>
                <w:sz w:val="20"/>
                <w:szCs w:val="20"/>
              </w:rPr>
              <w:t>680.2 </w:t>
            </w:r>
          </w:p>
        </w:tc>
        <w:tc>
          <w:tcPr>
            <w:tcW w:w="0" w:type="auto"/>
            <w:shd w:val="clear" w:color="auto" w:fill="D7E4BC"/>
            <w:tcMar>
              <w:top w:w="40" w:type="dxa"/>
              <w:left w:w="0" w:type="dxa"/>
              <w:bottom w:w="40" w:type="dxa"/>
              <w:right w:w="20" w:type="dxa"/>
            </w:tcMar>
            <w:vAlign w:val="bottom"/>
          </w:tcPr>
          <w:p w14:paraId="642968E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8E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8EB" w14:textId="77777777" w:rsidR="007B6C97" w:rsidRDefault="00E426D1">
            <w:pPr>
              <w:jc w:val="right"/>
              <w:textAlignment w:val="bottom"/>
            </w:pPr>
            <w:r>
              <w:rPr>
                <w:rFonts w:ascii="Times New Roman" w:eastAsia="宋体" w:hAnsi="Times New Roman"/>
                <w:color w:val="000000"/>
                <w:sz w:val="20"/>
                <w:szCs w:val="20"/>
              </w:rPr>
              <w:t>2,657.0 </w:t>
            </w:r>
          </w:p>
        </w:tc>
        <w:tc>
          <w:tcPr>
            <w:tcW w:w="0" w:type="auto"/>
            <w:shd w:val="clear" w:color="auto" w:fill="D7E4BC"/>
            <w:tcMar>
              <w:top w:w="40" w:type="dxa"/>
              <w:left w:w="0" w:type="dxa"/>
              <w:bottom w:w="40" w:type="dxa"/>
              <w:right w:w="20" w:type="dxa"/>
            </w:tcMar>
            <w:vAlign w:val="bottom"/>
          </w:tcPr>
          <w:p w14:paraId="642968E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8E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8EE" w14:textId="77777777" w:rsidR="007B6C97" w:rsidRDefault="00E426D1">
            <w:pPr>
              <w:jc w:val="right"/>
              <w:textAlignment w:val="bottom"/>
            </w:pPr>
            <w:r>
              <w:rPr>
                <w:rFonts w:ascii="Times New Roman" w:eastAsia="宋体" w:hAnsi="Times New Roman"/>
                <w:color w:val="000000"/>
                <w:sz w:val="20"/>
                <w:szCs w:val="20"/>
              </w:rPr>
              <w:t>1,889.0 </w:t>
            </w:r>
          </w:p>
        </w:tc>
        <w:tc>
          <w:tcPr>
            <w:tcW w:w="0" w:type="auto"/>
            <w:shd w:val="clear" w:color="auto" w:fill="D7E4BC"/>
            <w:tcMar>
              <w:top w:w="40" w:type="dxa"/>
              <w:left w:w="0" w:type="dxa"/>
              <w:bottom w:w="40" w:type="dxa"/>
              <w:right w:w="20" w:type="dxa"/>
            </w:tcMar>
            <w:vAlign w:val="bottom"/>
          </w:tcPr>
          <w:p w14:paraId="642968EF" w14:textId="77777777" w:rsidR="007B6C97" w:rsidRDefault="007B6C97">
            <w:pPr>
              <w:jc w:val="right"/>
              <w:rPr>
                <w:rFonts w:ascii="宋体"/>
              </w:rPr>
            </w:pPr>
          </w:p>
        </w:tc>
      </w:tr>
      <w:tr w:rsidR="007B6C97" w14:paraId="642968FD" w14:textId="77777777">
        <w:trPr>
          <w:jc w:val="center"/>
        </w:trPr>
        <w:tc>
          <w:tcPr>
            <w:tcW w:w="0" w:type="auto"/>
            <w:gridSpan w:val="3"/>
            <w:shd w:val="clear" w:color="auto" w:fill="FFFFFF"/>
            <w:tcMar>
              <w:top w:w="40" w:type="dxa"/>
              <w:left w:w="380" w:type="dxa"/>
              <w:bottom w:w="40" w:type="dxa"/>
              <w:right w:w="20" w:type="dxa"/>
            </w:tcMar>
          </w:tcPr>
          <w:p w14:paraId="642968F1" w14:textId="77777777" w:rsidR="007B6C97" w:rsidRDefault="00E426D1">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42968F2" w14:textId="77777777" w:rsidR="007B6C97" w:rsidRDefault="00E426D1">
            <w:pPr>
              <w:jc w:val="right"/>
              <w:textAlignment w:val="bottom"/>
            </w:pPr>
            <w:r>
              <w:rPr>
                <w:rFonts w:ascii="Times New Roman" w:eastAsia="宋体" w:hAnsi="Times New Roman"/>
                <w:color w:val="000000"/>
                <w:sz w:val="20"/>
                <w:szCs w:val="20"/>
              </w:rPr>
              <w:t>517.8 </w:t>
            </w:r>
          </w:p>
        </w:tc>
        <w:tc>
          <w:tcPr>
            <w:tcW w:w="0" w:type="auto"/>
            <w:shd w:val="clear" w:color="auto" w:fill="FFFFFF"/>
            <w:tcMar>
              <w:top w:w="40" w:type="dxa"/>
              <w:left w:w="0" w:type="dxa"/>
              <w:bottom w:w="40" w:type="dxa"/>
              <w:right w:w="20" w:type="dxa"/>
            </w:tcMar>
            <w:vAlign w:val="bottom"/>
          </w:tcPr>
          <w:p w14:paraId="642968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F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8F5" w14:textId="77777777" w:rsidR="007B6C97" w:rsidRDefault="00E426D1">
            <w:pPr>
              <w:jc w:val="right"/>
              <w:textAlignment w:val="bottom"/>
            </w:pPr>
            <w:r>
              <w:rPr>
                <w:rFonts w:ascii="Times New Roman" w:eastAsia="宋体" w:hAnsi="Times New Roman"/>
                <w:color w:val="000000"/>
                <w:sz w:val="20"/>
                <w:szCs w:val="20"/>
              </w:rPr>
              <w:t>453.2 </w:t>
            </w:r>
          </w:p>
        </w:tc>
        <w:tc>
          <w:tcPr>
            <w:tcW w:w="0" w:type="auto"/>
            <w:shd w:val="clear" w:color="auto" w:fill="FFFFFF"/>
            <w:tcMar>
              <w:top w:w="40" w:type="dxa"/>
              <w:left w:w="0" w:type="dxa"/>
              <w:bottom w:w="40" w:type="dxa"/>
              <w:right w:w="20" w:type="dxa"/>
            </w:tcMar>
            <w:vAlign w:val="bottom"/>
          </w:tcPr>
          <w:p w14:paraId="642968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8F8" w14:textId="77777777" w:rsidR="007B6C97" w:rsidRDefault="00E426D1">
            <w:pPr>
              <w:jc w:val="right"/>
              <w:textAlignment w:val="bottom"/>
            </w:pPr>
            <w:r>
              <w:rPr>
                <w:rFonts w:ascii="Times New Roman" w:eastAsia="宋体" w:hAnsi="Times New Roman"/>
                <w:color w:val="000000"/>
                <w:sz w:val="20"/>
                <w:szCs w:val="20"/>
              </w:rPr>
              <w:t>1,504.4 </w:t>
            </w:r>
          </w:p>
        </w:tc>
        <w:tc>
          <w:tcPr>
            <w:tcW w:w="0" w:type="auto"/>
            <w:shd w:val="clear" w:color="auto" w:fill="FFFFFF"/>
            <w:tcMar>
              <w:top w:w="40" w:type="dxa"/>
              <w:left w:w="0" w:type="dxa"/>
              <w:bottom w:w="40" w:type="dxa"/>
              <w:right w:w="20" w:type="dxa"/>
            </w:tcMar>
            <w:vAlign w:val="bottom"/>
          </w:tcPr>
          <w:p w14:paraId="642968F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8F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8FB" w14:textId="77777777" w:rsidR="007B6C97" w:rsidRDefault="00E426D1">
            <w:pPr>
              <w:jc w:val="right"/>
              <w:textAlignment w:val="bottom"/>
            </w:pPr>
            <w:r>
              <w:rPr>
                <w:rFonts w:ascii="Times New Roman" w:eastAsia="宋体" w:hAnsi="Times New Roman"/>
                <w:color w:val="000000"/>
                <w:sz w:val="20"/>
                <w:szCs w:val="20"/>
              </w:rPr>
              <w:t>1,282.1 </w:t>
            </w:r>
          </w:p>
        </w:tc>
        <w:tc>
          <w:tcPr>
            <w:tcW w:w="0" w:type="auto"/>
            <w:shd w:val="clear" w:color="auto" w:fill="FFFFFF"/>
            <w:tcMar>
              <w:top w:w="40" w:type="dxa"/>
              <w:left w:w="0" w:type="dxa"/>
              <w:bottom w:w="40" w:type="dxa"/>
              <w:right w:w="20" w:type="dxa"/>
            </w:tcMar>
            <w:vAlign w:val="bottom"/>
          </w:tcPr>
          <w:p w14:paraId="642968FC" w14:textId="77777777" w:rsidR="007B6C97" w:rsidRDefault="007B6C97">
            <w:pPr>
              <w:jc w:val="right"/>
              <w:rPr>
                <w:rFonts w:ascii="宋体"/>
              </w:rPr>
            </w:pPr>
          </w:p>
        </w:tc>
      </w:tr>
      <w:tr w:rsidR="007B6C97" w14:paraId="6429690A" w14:textId="77777777">
        <w:trPr>
          <w:jc w:val="center"/>
        </w:trPr>
        <w:tc>
          <w:tcPr>
            <w:tcW w:w="0" w:type="auto"/>
            <w:gridSpan w:val="3"/>
            <w:shd w:val="clear" w:color="auto" w:fill="D7E4BC"/>
            <w:tcMar>
              <w:top w:w="40" w:type="dxa"/>
              <w:left w:w="20" w:type="dxa"/>
              <w:bottom w:w="40" w:type="dxa"/>
              <w:right w:w="20" w:type="dxa"/>
            </w:tcMar>
          </w:tcPr>
          <w:p w14:paraId="642968FE" w14:textId="77777777" w:rsidR="007B6C97" w:rsidRDefault="00E426D1">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8FF" w14:textId="77777777" w:rsidR="007B6C97" w:rsidRDefault="00E426D1">
            <w:pPr>
              <w:jc w:val="right"/>
              <w:textAlignment w:val="bottom"/>
            </w:pPr>
            <w:r>
              <w:rPr>
                <w:rFonts w:ascii="Times New Roman" w:eastAsia="宋体" w:hAnsi="Times New Roman"/>
                <w:color w:val="000000"/>
                <w:sz w:val="20"/>
                <w:szCs w:val="20"/>
              </w:rPr>
              <w:t>8,150.1 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0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0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02" w14:textId="77777777" w:rsidR="007B6C97" w:rsidRDefault="00E426D1">
            <w:pPr>
              <w:jc w:val="right"/>
              <w:textAlignment w:val="bottom"/>
            </w:pPr>
            <w:r>
              <w:rPr>
                <w:rFonts w:ascii="Times New Roman" w:eastAsia="宋体" w:hAnsi="Times New Roman"/>
                <w:color w:val="000000"/>
                <w:sz w:val="20"/>
                <w:szCs w:val="20"/>
              </w:rPr>
              <w:t>7,496.5 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0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0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05" w14:textId="77777777" w:rsidR="007B6C97" w:rsidRDefault="00E426D1">
            <w:pPr>
              <w:jc w:val="right"/>
              <w:textAlignment w:val="bottom"/>
            </w:pPr>
            <w:r>
              <w:rPr>
                <w:rFonts w:ascii="Times New Roman" w:eastAsia="宋体" w:hAnsi="Times New Roman"/>
                <w:color w:val="000000"/>
                <w:sz w:val="20"/>
                <w:szCs w:val="20"/>
              </w:rPr>
              <w:t>23,836.1 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0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0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08" w14:textId="77777777" w:rsidR="007B6C97" w:rsidRDefault="00E426D1">
            <w:pPr>
              <w:jc w:val="right"/>
              <w:textAlignment w:val="bottom"/>
            </w:pPr>
            <w:r>
              <w:rPr>
                <w:rFonts w:ascii="Times New Roman" w:eastAsia="宋体" w:hAnsi="Times New Roman"/>
                <w:color w:val="000000"/>
                <w:sz w:val="20"/>
                <w:szCs w:val="20"/>
              </w:rPr>
              <w:t>20,913.9 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09" w14:textId="77777777" w:rsidR="007B6C97" w:rsidRDefault="007B6C97">
            <w:pPr>
              <w:jc w:val="right"/>
              <w:rPr>
                <w:rFonts w:ascii="宋体"/>
              </w:rPr>
            </w:pPr>
          </w:p>
        </w:tc>
      </w:tr>
      <w:tr w:rsidR="007B6C97" w14:paraId="64296917" w14:textId="77777777">
        <w:trPr>
          <w:jc w:val="center"/>
        </w:trPr>
        <w:tc>
          <w:tcPr>
            <w:tcW w:w="0" w:type="auto"/>
            <w:gridSpan w:val="3"/>
            <w:shd w:val="clear" w:color="auto" w:fill="FFFFFF"/>
            <w:tcMar>
              <w:top w:w="40" w:type="dxa"/>
              <w:left w:w="20" w:type="dxa"/>
              <w:bottom w:w="40" w:type="dxa"/>
              <w:right w:w="20" w:type="dxa"/>
            </w:tcMar>
          </w:tcPr>
          <w:p w14:paraId="6429690B"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429690C" w14:textId="77777777" w:rsidR="007B6C97" w:rsidRDefault="00E426D1">
            <w:pPr>
              <w:jc w:val="right"/>
              <w:textAlignment w:val="bottom"/>
            </w:pPr>
            <w:r>
              <w:rPr>
                <w:rFonts w:ascii="Times New Roman" w:eastAsia="宋体" w:hAnsi="Times New Roman"/>
                <w:color w:val="000000"/>
                <w:sz w:val="20"/>
                <w:szCs w:val="20"/>
              </w:rPr>
              <w:t>2,613.6 </w:t>
            </w:r>
          </w:p>
        </w:tc>
        <w:tc>
          <w:tcPr>
            <w:tcW w:w="0" w:type="auto"/>
            <w:shd w:val="clear" w:color="auto" w:fill="FFFFFF"/>
            <w:tcMar>
              <w:top w:w="40" w:type="dxa"/>
              <w:left w:w="0" w:type="dxa"/>
              <w:bottom w:w="40" w:type="dxa"/>
              <w:right w:w="20" w:type="dxa"/>
            </w:tcMar>
            <w:vAlign w:val="bottom"/>
          </w:tcPr>
          <w:p w14:paraId="6429690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0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0F" w14:textId="77777777" w:rsidR="007B6C97" w:rsidRDefault="00E426D1">
            <w:pPr>
              <w:jc w:val="right"/>
              <w:textAlignment w:val="bottom"/>
            </w:pPr>
            <w:r>
              <w:rPr>
                <w:rFonts w:ascii="Times New Roman" w:eastAsia="宋体" w:hAnsi="Times New Roman"/>
                <w:color w:val="000000"/>
                <w:sz w:val="20"/>
                <w:szCs w:val="20"/>
              </w:rPr>
              <w:t>2,206.0 </w:t>
            </w:r>
          </w:p>
        </w:tc>
        <w:tc>
          <w:tcPr>
            <w:tcW w:w="0" w:type="auto"/>
            <w:shd w:val="clear" w:color="auto" w:fill="FFFFFF"/>
            <w:tcMar>
              <w:top w:w="40" w:type="dxa"/>
              <w:left w:w="0" w:type="dxa"/>
              <w:bottom w:w="40" w:type="dxa"/>
              <w:right w:w="20" w:type="dxa"/>
            </w:tcMar>
            <w:vAlign w:val="bottom"/>
          </w:tcPr>
          <w:p w14:paraId="6429691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1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12" w14:textId="77777777" w:rsidR="007B6C97" w:rsidRDefault="00E426D1">
            <w:pPr>
              <w:jc w:val="right"/>
              <w:textAlignment w:val="bottom"/>
            </w:pPr>
            <w:r>
              <w:rPr>
                <w:rFonts w:ascii="Times New Roman" w:eastAsia="宋体" w:hAnsi="Times New Roman"/>
                <w:color w:val="000000"/>
                <w:sz w:val="20"/>
                <w:szCs w:val="20"/>
              </w:rPr>
              <w:t>7,606.4 </w:t>
            </w:r>
          </w:p>
        </w:tc>
        <w:tc>
          <w:tcPr>
            <w:tcW w:w="0" w:type="auto"/>
            <w:shd w:val="clear" w:color="auto" w:fill="FFFFFF"/>
            <w:tcMar>
              <w:top w:w="40" w:type="dxa"/>
              <w:left w:w="0" w:type="dxa"/>
              <w:bottom w:w="40" w:type="dxa"/>
              <w:right w:w="20" w:type="dxa"/>
            </w:tcMar>
            <w:vAlign w:val="bottom"/>
          </w:tcPr>
          <w:p w14:paraId="6429691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1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15" w14:textId="77777777" w:rsidR="007B6C97" w:rsidRDefault="00E426D1">
            <w:pPr>
              <w:jc w:val="right"/>
              <w:textAlignment w:val="bottom"/>
            </w:pPr>
            <w:r>
              <w:rPr>
                <w:rFonts w:ascii="Times New Roman" w:eastAsia="宋体" w:hAnsi="Times New Roman"/>
                <w:color w:val="000000"/>
                <w:sz w:val="20"/>
                <w:szCs w:val="20"/>
              </w:rPr>
              <w:t>6,247.5 </w:t>
            </w:r>
          </w:p>
        </w:tc>
        <w:tc>
          <w:tcPr>
            <w:tcW w:w="0" w:type="auto"/>
            <w:shd w:val="clear" w:color="auto" w:fill="FFFFFF"/>
            <w:tcMar>
              <w:top w:w="40" w:type="dxa"/>
              <w:left w:w="0" w:type="dxa"/>
              <w:bottom w:w="40" w:type="dxa"/>
              <w:right w:w="20" w:type="dxa"/>
            </w:tcMar>
            <w:vAlign w:val="bottom"/>
          </w:tcPr>
          <w:p w14:paraId="64296916" w14:textId="77777777" w:rsidR="007B6C97" w:rsidRDefault="007B6C97">
            <w:pPr>
              <w:jc w:val="right"/>
              <w:rPr>
                <w:rFonts w:ascii="宋体"/>
              </w:rPr>
            </w:pPr>
          </w:p>
        </w:tc>
      </w:tr>
      <w:tr w:rsidR="007B6C97" w14:paraId="64296924" w14:textId="77777777">
        <w:trPr>
          <w:jc w:val="center"/>
        </w:trPr>
        <w:tc>
          <w:tcPr>
            <w:tcW w:w="0" w:type="auto"/>
            <w:gridSpan w:val="3"/>
            <w:shd w:val="clear" w:color="auto" w:fill="D7E4BC"/>
            <w:tcMar>
              <w:top w:w="40" w:type="dxa"/>
              <w:left w:w="20" w:type="dxa"/>
              <w:bottom w:w="40" w:type="dxa"/>
              <w:right w:w="20" w:type="dxa"/>
            </w:tcMar>
          </w:tcPr>
          <w:p w14:paraId="64296918" w14:textId="77777777" w:rsidR="007B6C97" w:rsidRDefault="00E426D1">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4296919" w14:textId="77777777" w:rsidR="007B6C97" w:rsidRDefault="00E426D1">
            <w:pPr>
              <w:jc w:val="right"/>
              <w:textAlignment w:val="bottom"/>
            </w:pPr>
            <w:r>
              <w:rPr>
                <w:rFonts w:ascii="Times New Roman" w:eastAsia="宋体" w:hAnsi="Times New Roman"/>
                <w:color w:val="000000"/>
                <w:sz w:val="20"/>
                <w:szCs w:val="20"/>
              </w:rPr>
              <w:t>3,302.5 </w:t>
            </w:r>
          </w:p>
        </w:tc>
        <w:tc>
          <w:tcPr>
            <w:tcW w:w="0" w:type="auto"/>
            <w:shd w:val="clear" w:color="auto" w:fill="D7E4BC"/>
            <w:tcMar>
              <w:top w:w="40" w:type="dxa"/>
              <w:left w:w="0" w:type="dxa"/>
              <w:bottom w:w="40" w:type="dxa"/>
              <w:right w:w="20" w:type="dxa"/>
            </w:tcMar>
            <w:vAlign w:val="bottom"/>
          </w:tcPr>
          <w:p w14:paraId="6429691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1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1C" w14:textId="77777777" w:rsidR="007B6C97" w:rsidRDefault="00E426D1">
            <w:pPr>
              <w:jc w:val="right"/>
              <w:textAlignment w:val="bottom"/>
            </w:pPr>
            <w:r>
              <w:rPr>
                <w:rFonts w:ascii="Times New Roman" w:eastAsia="宋体" w:hAnsi="Times New Roman"/>
                <w:color w:val="000000"/>
                <w:sz w:val="20"/>
                <w:szCs w:val="20"/>
              </w:rPr>
              <w:t>2,966.9 </w:t>
            </w:r>
          </w:p>
        </w:tc>
        <w:tc>
          <w:tcPr>
            <w:tcW w:w="0" w:type="auto"/>
            <w:shd w:val="clear" w:color="auto" w:fill="D7E4BC"/>
            <w:tcMar>
              <w:top w:w="40" w:type="dxa"/>
              <w:left w:w="0" w:type="dxa"/>
              <w:bottom w:w="40" w:type="dxa"/>
              <w:right w:w="20" w:type="dxa"/>
            </w:tcMar>
            <w:vAlign w:val="bottom"/>
          </w:tcPr>
          <w:p w14:paraId="642969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1F" w14:textId="77777777" w:rsidR="007B6C97" w:rsidRDefault="00E426D1">
            <w:pPr>
              <w:jc w:val="right"/>
              <w:textAlignment w:val="bottom"/>
            </w:pPr>
            <w:r>
              <w:rPr>
                <w:rFonts w:ascii="Times New Roman" w:eastAsia="宋体" w:hAnsi="Times New Roman"/>
                <w:color w:val="000000"/>
                <w:sz w:val="20"/>
                <w:szCs w:val="20"/>
              </w:rPr>
              <w:t>10,017.1 </w:t>
            </w:r>
          </w:p>
        </w:tc>
        <w:tc>
          <w:tcPr>
            <w:tcW w:w="0" w:type="auto"/>
            <w:shd w:val="clear" w:color="auto" w:fill="D7E4BC"/>
            <w:tcMar>
              <w:top w:w="40" w:type="dxa"/>
              <w:left w:w="0" w:type="dxa"/>
              <w:bottom w:w="40" w:type="dxa"/>
              <w:right w:w="20" w:type="dxa"/>
            </w:tcMar>
            <w:vAlign w:val="bottom"/>
          </w:tcPr>
          <w:p w14:paraId="642969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22" w14:textId="77777777" w:rsidR="007B6C97" w:rsidRDefault="00E426D1">
            <w:pPr>
              <w:jc w:val="right"/>
              <w:textAlignment w:val="bottom"/>
            </w:pPr>
            <w:r>
              <w:rPr>
                <w:rFonts w:ascii="Times New Roman" w:eastAsia="宋体" w:hAnsi="Times New Roman"/>
                <w:color w:val="000000"/>
                <w:sz w:val="20"/>
                <w:szCs w:val="20"/>
              </w:rPr>
              <w:t>8,657.6 </w:t>
            </w:r>
          </w:p>
        </w:tc>
        <w:tc>
          <w:tcPr>
            <w:tcW w:w="0" w:type="auto"/>
            <w:shd w:val="clear" w:color="auto" w:fill="D7E4BC"/>
            <w:tcMar>
              <w:top w:w="40" w:type="dxa"/>
              <w:left w:w="0" w:type="dxa"/>
              <w:bottom w:w="40" w:type="dxa"/>
              <w:right w:w="20" w:type="dxa"/>
            </w:tcMar>
            <w:vAlign w:val="bottom"/>
          </w:tcPr>
          <w:p w14:paraId="64296923" w14:textId="77777777" w:rsidR="007B6C97" w:rsidRDefault="007B6C97">
            <w:pPr>
              <w:jc w:val="right"/>
              <w:rPr>
                <w:rFonts w:ascii="宋体"/>
              </w:rPr>
            </w:pPr>
          </w:p>
        </w:tc>
      </w:tr>
      <w:tr w:rsidR="007B6C97" w14:paraId="64296931" w14:textId="77777777">
        <w:trPr>
          <w:jc w:val="center"/>
        </w:trPr>
        <w:tc>
          <w:tcPr>
            <w:tcW w:w="0" w:type="auto"/>
            <w:gridSpan w:val="3"/>
            <w:shd w:val="clear" w:color="auto" w:fill="FFFFFF"/>
            <w:tcMar>
              <w:top w:w="40" w:type="dxa"/>
              <w:left w:w="20" w:type="dxa"/>
              <w:bottom w:w="40" w:type="dxa"/>
              <w:right w:w="20" w:type="dxa"/>
            </w:tcMar>
          </w:tcPr>
          <w:p w14:paraId="64296925"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4296926" w14:textId="77777777" w:rsidR="007B6C97" w:rsidRDefault="00E426D1">
            <w:pPr>
              <w:jc w:val="right"/>
              <w:textAlignment w:val="bottom"/>
            </w:pPr>
            <w:r>
              <w:rPr>
                <w:rFonts w:ascii="Times New Roman" w:eastAsia="宋体" w:hAnsi="Times New Roman"/>
                <w:color w:val="000000"/>
                <w:sz w:val="20"/>
                <w:szCs w:val="20"/>
              </w:rPr>
              <w:t>135.1 </w:t>
            </w:r>
          </w:p>
        </w:tc>
        <w:tc>
          <w:tcPr>
            <w:tcW w:w="0" w:type="auto"/>
            <w:shd w:val="clear" w:color="auto" w:fill="FFFFFF"/>
            <w:tcMar>
              <w:top w:w="40" w:type="dxa"/>
              <w:left w:w="0" w:type="dxa"/>
              <w:bottom w:w="40" w:type="dxa"/>
              <w:right w:w="20" w:type="dxa"/>
            </w:tcMar>
            <w:vAlign w:val="bottom"/>
          </w:tcPr>
          <w:p w14:paraId="6429692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2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29" w14:textId="77777777" w:rsidR="007B6C97" w:rsidRDefault="00E426D1">
            <w:pPr>
              <w:jc w:val="right"/>
              <w:textAlignment w:val="bottom"/>
            </w:pPr>
            <w:r>
              <w:rPr>
                <w:rFonts w:ascii="Times New Roman" w:eastAsia="宋体" w:hAnsi="Times New Roman"/>
                <w:color w:val="000000"/>
                <w:sz w:val="20"/>
                <w:szCs w:val="20"/>
              </w:rPr>
              <w:t>71.4 </w:t>
            </w:r>
          </w:p>
        </w:tc>
        <w:tc>
          <w:tcPr>
            <w:tcW w:w="0" w:type="auto"/>
            <w:shd w:val="clear" w:color="auto" w:fill="FFFFFF"/>
            <w:tcMar>
              <w:top w:w="40" w:type="dxa"/>
              <w:left w:w="0" w:type="dxa"/>
              <w:bottom w:w="40" w:type="dxa"/>
              <w:right w:w="20" w:type="dxa"/>
            </w:tcMar>
            <w:vAlign w:val="bottom"/>
          </w:tcPr>
          <w:p w14:paraId="6429692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2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2C" w14:textId="77777777" w:rsidR="007B6C97" w:rsidRDefault="00E426D1">
            <w:pPr>
              <w:jc w:val="right"/>
              <w:textAlignment w:val="bottom"/>
            </w:pPr>
            <w:r>
              <w:rPr>
                <w:rFonts w:ascii="Times New Roman" w:eastAsia="宋体" w:hAnsi="Times New Roman"/>
                <w:color w:val="000000"/>
                <w:sz w:val="20"/>
                <w:szCs w:val="20"/>
              </w:rPr>
              <w:t>338.4 </w:t>
            </w:r>
          </w:p>
        </w:tc>
        <w:tc>
          <w:tcPr>
            <w:tcW w:w="0" w:type="auto"/>
            <w:shd w:val="clear" w:color="auto" w:fill="FFFFFF"/>
            <w:tcMar>
              <w:top w:w="40" w:type="dxa"/>
              <w:left w:w="0" w:type="dxa"/>
              <w:bottom w:w="40" w:type="dxa"/>
              <w:right w:w="20" w:type="dxa"/>
            </w:tcMar>
            <w:vAlign w:val="bottom"/>
          </w:tcPr>
          <w:p w14:paraId="6429692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2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2F" w14:textId="77777777" w:rsidR="007B6C97" w:rsidRDefault="00E426D1">
            <w:pPr>
              <w:jc w:val="right"/>
              <w:textAlignment w:val="bottom"/>
            </w:pPr>
            <w:r>
              <w:rPr>
                <w:rFonts w:ascii="Times New Roman" w:eastAsia="宋体" w:hAnsi="Times New Roman"/>
                <w:color w:val="000000"/>
                <w:sz w:val="20"/>
                <w:szCs w:val="20"/>
              </w:rPr>
              <w:t>250.8 </w:t>
            </w:r>
          </w:p>
        </w:tc>
        <w:tc>
          <w:tcPr>
            <w:tcW w:w="0" w:type="auto"/>
            <w:shd w:val="clear" w:color="auto" w:fill="FFFFFF"/>
            <w:tcMar>
              <w:top w:w="40" w:type="dxa"/>
              <w:left w:w="0" w:type="dxa"/>
              <w:bottom w:w="40" w:type="dxa"/>
              <w:right w:w="20" w:type="dxa"/>
            </w:tcMar>
            <w:vAlign w:val="bottom"/>
          </w:tcPr>
          <w:p w14:paraId="64296930" w14:textId="77777777" w:rsidR="007B6C97" w:rsidRDefault="007B6C97">
            <w:pPr>
              <w:jc w:val="right"/>
              <w:rPr>
                <w:rFonts w:ascii="宋体"/>
              </w:rPr>
            </w:pPr>
          </w:p>
        </w:tc>
      </w:tr>
      <w:tr w:rsidR="007B6C97" w14:paraId="6429693E" w14:textId="77777777">
        <w:trPr>
          <w:jc w:val="center"/>
        </w:trPr>
        <w:tc>
          <w:tcPr>
            <w:tcW w:w="0" w:type="auto"/>
            <w:gridSpan w:val="3"/>
            <w:shd w:val="clear" w:color="auto" w:fill="D7E4BC"/>
            <w:tcMar>
              <w:top w:w="40" w:type="dxa"/>
              <w:left w:w="20" w:type="dxa"/>
              <w:bottom w:w="40" w:type="dxa"/>
              <w:right w:w="20" w:type="dxa"/>
            </w:tcMar>
          </w:tcPr>
          <w:p w14:paraId="64296932"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6933" w14:textId="77777777" w:rsidR="007B6C97" w:rsidRDefault="00E426D1">
            <w:pPr>
              <w:jc w:val="right"/>
              <w:textAlignment w:val="bottom"/>
            </w:pPr>
            <w:r>
              <w:rPr>
                <w:rFonts w:ascii="Times New Roman" w:eastAsia="宋体" w:hAnsi="Times New Roman"/>
                <w:color w:val="000000"/>
                <w:sz w:val="20"/>
                <w:szCs w:val="20"/>
              </w:rPr>
              <w:t>356.8 </w:t>
            </w:r>
          </w:p>
        </w:tc>
        <w:tc>
          <w:tcPr>
            <w:tcW w:w="0" w:type="auto"/>
            <w:shd w:val="clear" w:color="auto" w:fill="D7E4BC"/>
            <w:tcMar>
              <w:top w:w="40" w:type="dxa"/>
              <w:left w:w="0" w:type="dxa"/>
              <w:bottom w:w="40" w:type="dxa"/>
              <w:right w:w="20" w:type="dxa"/>
            </w:tcMar>
            <w:vAlign w:val="bottom"/>
          </w:tcPr>
          <w:p w14:paraId="6429693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3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36" w14:textId="77777777" w:rsidR="007B6C97" w:rsidRDefault="00E426D1">
            <w:pPr>
              <w:jc w:val="right"/>
              <w:textAlignment w:val="bottom"/>
            </w:pPr>
            <w:r>
              <w:rPr>
                <w:rFonts w:ascii="Times New Roman" w:eastAsia="宋体" w:hAnsi="Times New Roman"/>
                <w:color w:val="000000"/>
                <w:sz w:val="20"/>
                <w:szCs w:val="20"/>
              </w:rPr>
              <w:t>354.3 </w:t>
            </w:r>
          </w:p>
        </w:tc>
        <w:tc>
          <w:tcPr>
            <w:tcW w:w="0" w:type="auto"/>
            <w:shd w:val="clear" w:color="auto" w:fill="D7E4BC"/>
            <w:tcMar>
              <w:top w:w="40" w:type="dxa"/>
              <w:left w:w="0" w:type="dxa"/>
              <w:bottom w:w="40" w:type="dxa"/>
              <w:right w:w="20" w:type="dxa"/>
            </w:tcMar>
            <w:vAlign w:val="bottom"/>
          </w:tcPr>
          <w:p w14:paraId="6429693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3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39" w14:textId="77777777" w:rsidR="007B6C97" w:rsidRDefault="00E426D1">
            <w:pPr>
              <w:jc w:val="right"/>
              <w:textAlignment w:val="bottom"/>
            </w:pPr>
            <w:r>
              <w:rPr>
                <w:rFonts w:ascii="Times New Roman" w:eastAsia="宋体" w:hAnsi="Times New Roman"/>
                <w:color w:val="000000"/>
                <w:sz w:val="20"/>
                <w:szCs w:val="20"/>
              </w:rPr>
              <w:t>1,090.5 </w:t>
            </w:r>
          </w:p>
        </w:tc>
        <w:tc>
          <w:tcPr>
            <w:tcW w:w="0" w:type="auto"/>
            <w:shd w:val="clear" w:color="auto" w:fill="D7E4BC"/>
            <w:tcMar>
              <w:top w:w="40" w:type="dxa"/>
              <w:left w:w="0" w:type="dxa"/>
              <w:bottom w:w="40" w:type="dxa"/>
              <w:right w:w="20" w:type="dxa"/>
            </w:tcMar>
            <w:vAlign w:val="bottom"/>
          </w:tcPr>
          <w:p w14:paraId="6429693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3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3C" w14:textId="77777777" w:rsidR="007B6C97" w:rsidRDefault="00E426D1">
            <w:pPr>
              <w:jc w:val="right"/>
              <w:textAlignment w:val="bottom"/>
            </w:pPr>
            <w:r>
              <w:rPr>
                <w:rFonts w:ascii="Times New Roman" w:eastAsia="宋体" w:hAnsi="Times New Roman"/>
                <w:color w:val="000000"/>
                <w:sz w:val="20"/>
                <w:szCs w:val="20"/>
              </w:rPr>
              <w:t>1,087.0 </w:t>
            </w:r>
          </w:p>
        </w:tc>
        <w:tc>
          <w:tcPr>
            <w:tcW w:w="0" w:type="auto"/>
            <w:shd w:val="clear" w:color="auto" w:fill="D7E4BC"/>
            <w:tcMar>
              <w:top w:w="40" w:type="dxa"/>
              <w:left w:w="0" w:type="dxa"/>
              <w:bottom w:w="40" w:type="dxa"/>
              <w:right w:w="20" w:type="dxa"/>
            </w:tcMar>
            <w:vAlign w:val="bottom"/>
          </w:tcPr>
          <w:p w14:paraId="6429693D" w14:textId="77777777" w:rsidR="007B6C97" w:rsidRDefault="007B6C97">
            <w:pPr>
              <w:jc w:val="right"/>
              <w:rPr>
                <w:rFonts w:ascii="宋体"/>
              </w:rPr>
            </w:pPr>
          </w:p>
        </w:tc>
      </w:tr>
      <w:tr w:rsidR="007B6C97" w14:paraId="6429694B" w14:textId="77777777">
        <w:trPr>
          <w:jc w:val="center"/>
        </w:trPr>
        <w:tc>
          <w:tcPr>
            <w:tcW w:w="0" w:type="auto"/>
            <w:gridSpan w:val="3"/>
            <w:shd w:val="clear" w:color="auto" w:fill="FFFFFF"/>
            <w:tcMar>
              <w:top w:w="40" w:type="dxa"/>
              <w:left w:w="20" w:type="dxa"/>
              <w:bottom w:w="40" w:type="dxa"/>
              <w:right w:w="20" w:type="dxa"/>
            </w:tcMar>
          </w:tcPr>
          <w:p w14:paraId="6429693F"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4296940" w14:textId="77777777" w:rsidR="007B6C97" w:rsidRDefault="00E426D1">
            <w:pPr>
              <w:jc w:val="right"/>
              <w:textAlignment w:val="bottom"/>
            </w:pPr>
            <w:r>
              <w:rPr>
                <w:rFonts w:ascii="Times New Roman" w:eastAsia="宋体" w:hAnsi="Times New Roman"/>
                <w:color w:val="000000"/>
                <w:sz w:val="20"/>
                <w:szCs w:val="20"/>
              </w:rPr>
              <w:t>486.7 </w:t>
            </w:r>
          </w:p>
        </w:tc>
        <w:tc>
          <w:tcPr>
            <w:tcW w:w="0" w:type="auto"/>
            <w:shd w:val="clear" w:color="auto" w:fill="FFFFFF"/>
            <w:tcMar>
              <w:top w:w="40" w:type="dxa"/>
              <w:left w:w="0" w:type="dxa"/>
              <w:bottom w:w="40" w:type="dxa"/>
              <w:right w:w="20" w:type="dxa"/>
            </w:tcMar>
            <w:vAlign w:val="bottom"/>
          </w:tcPr>
          <w:p w14:paraId="6429694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4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43" w14:textId="77777777" w:rsidR="007B6C97" w:rsidRDefault="00E426D1">
            <w:pPr>
              <w:jc w:val="right"/>
              <w:textAlignment w:val="bottom"/>
            </w:pPr>
            <w:r>
              <w:rPr>
                <w:rFonts w:ascii="Times New Roman" w:eastAsia="宋体" w:hAnsi="Times New Roman"/>
                <w:color w:val="000000"/>
                <w:sz w:val="20"/>
                <w:szCs w:val="20"/>
              </w:rPr>
              <w:t>494.9 </w:t>
            </w:r>
          </w:p>
        </w:tc>
        <w:tc>
          <w:tcPr>
            <w:tcW w:w="0" w:type="auto"/>
            <w:shd w:val="clear" w:color="auto" w:fill="FFFFFF"/>
            <w:tcMar>
              <w:top w:w="40" w:type="dxa"/>
              <w:left w:w="0" w:type="dxa"/>
              <w:bottom w:w="40" w:type="dxa"/>
              <w:right w:w="20" w:type="dxa"/>
            </w:tcMar>
            <w:vAlign w:val="bottom"/>
          </w:tcPr>
          <w:p w14:paraId="6429694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4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46" w14:textId="77777777" w:rsidR="007B6C97" w:rsidRDefault="00E426D1">
            <w:pPr>
              <w:jc w:val="right"/>
              <w:textAlignment w:val="bottom"/>
            </w:pPr>
            <w:r>
              <w:rPr>
                <w:rFonts w:ascii="Times New Roman" w:eastAsia="宋体" w:hAnsi="Times New Roman"/>
                <w:color w:val="000000"/>
                <w:sz w:val="20"/>
                <w:szCs w:val="20"/>
              </w:rPr>
              <w:t>1,494.0 </w:t>
            </w:r>
          </w:p>
        </w:tc>
        <w:tc>
          <w:tcPr>
            <w:tcW w:w="0" w:type="auto"/>
            <w:shd w:val="clear" w:color="auto" w:fill="FFFFFF"/>
            <w:tcMar>
              <w:top w:w="40" w:type="dxa"/>
              <w:left w:w="0" w:type="dxa"/>
              <w:bottom w:w="40" w:type="dxa"/>
              <w:right w:w="20" w:type="dxa"/>
            </w:tcMar>
            <w:vAlign w:val="bottom"/>
          </w:tcPr>
          <w:p w14:paraId="6429694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4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49" w14:textId="77777777" w:rsidR="007B6C97" w:rsidRDefault="00E426D1">
            <w:pPr>
              <w:jc w:val="right"/>
              <w:textAlignment w:val="bottom"/>
            </w:pPr>
            <w:r>
              <w:rPr>
                <w:rFonts w:ascii="Times New Roman" w:eastAsia="宋体" w:hAnsi="Times New Roman"/>
                <w:color w:val="000000"/>
                <w:sz w:val="20"/>
                <w:szCs w:val="20"/>
              </w:rPr>
              <w:t>1,431.4 </w:t>
            </w:r>
          </w:p>
        </w:tc>
        <w:tc>
          <w:tcPr>
            <w:tcW w:w="0" w:type="auto"/>
            <w:shd w:val="clear" w:color="auto" w:fill="FFFFFF"/>
            <w:tcMar>
              <w:top w:w="40" w:type="dxa"/>
              <w:left w:w="0" w:type="dxa"/>
              <w:bottom w:w="40" w:type="dxa"/>
              <w:right w:w="20" w:type="dxa"/>
            </w:tcMar>
            <w:vAlign w:val="bottom"/>
          </w:tcPr>
          <w:p w14:paraId="6429694A" w14:textId="77777777" w:rsidR="007B6C97" w:rsidRDefault="007B6C97">
            <w:pPr>
              <w:jc w:val="right"/>
              <w:rPr>
                <w:rFonts w:ascii="宋体"/>
              </w:rPr>
            </w:pPr>
          </w:p>
        </w:tc>
      </w:tr>
      <w:tr w:rsidR="007B6C97" w14:paraId="64296958" w14:textId="77777777">
        <w:trPr>
          <w:jc w:val="center"/>
        </w:trPr>
        <w:tc>
          <w:tcPr>
            <w:tcW w:w="0" w:type="auto"/>
            <w:gridSpan w:val="3"/>
            <w:shd w:val="clear" w:color="auto" w:fill="D7E4BC"/>
            <w:tcMar>
              <w:top w:w="40" w:type="dxa"/>
              <w:left w:w="20" w:type="dxa"/>
              <w:bottom w:w="40" w:type="dxa"/>
              <w:right w:w="20" w:type="dxa"/>
            </w:tcMar>
          </w:tcPr>
          <w:p w14:paraId="6429694C" w14:textId="77777777" w:rsidR="007B6C97" w:rsidRDefault="00E426D1">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6429694D" w14:textId="77777777" w:rsidR="007B6C97" w:rsidRDefault="00E426D1">
            <w:pPr>
              <w:jc w:val="right"/>
              <w:textAlignment w:val="bottom"/>
            </w:pPr>
            <w:r>
              <w:rPr>
                <w:rFonts w:ascii="Times New Roman" w:eastAsia="宋体" w:hAnsi="Times New Roman"/>
                <w:color w:val="000000"/>
                <w:sz w:val="20"/>
                <w:szCs w:val="20"/>
              </w:rPr>
              <w:t>14.0 </w:t>
            </w:r>
          </w:p>
        </w:tc>
        <w:tc>
          <w:tcPr>
            <w:tcW w:w="0" w:type="auto"/>
            <w:shd w:val="clear" w:color="auto" w:fill="D7E4BC"/>
            <w:tcMar>
              <w:top w:w="40" w:type="dxa"/>
              <w:left w:w="0" w:type="dxa"/>
              <w:bottom w:w="40" w:type="dxa"/>
              <w:right w:w="20" w:type="dxa"/>
            </w:tcMar>
            <w:vAlign w:val="bottom"/>
          </w:tcPr>
          <w:p w14:paraId="642969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4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50"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6429695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5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53" w14:textId="77777777" w:rsidR="007B6C97" w:rsidRDefault="00E426D1">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left w:w="0" w:type="dxa"/>
              <w:bottom w:w="40" w:type="dxa"/>
              <w:right w:w="20" w:type="dxa"/>
            </w:tcMar>
            <w:vAlign w:val="bottom"/>
          </w:tcPr>
          <w:p w14:paraId="642969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5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56" w14:textId="77777777" w:rsidR="007B6C97" w:rsidRDefault="00E426D1">
            <w:pPr>
              <w:jc w:val="right"/>
              <w:textAlignment w:val="bottom"/>
            </w:pPr>
            <w:r>
              <w:rPr>
                <w:rFonts w:ascii="Times New Roman" w:eastAsia="宋体" w:hAnsi="Times New Roman"/>
                <w:color w:val="000000"/>
                <w:sz w:val="20"/>
                <w:szCs w:val="20"/>
              </w:rPr>
              <w:t>115.0 </w:t>
            </w:r>
          </w:p>
        </w:tc>
        <w:tc>
          <w:tcPr>
            <w:tcW w:w="0" w:type="auto"/>
            <w:shd w:val="clear" w:color="auto" w:fill="D7E4BC"/>
            <w:tcMar>
              <w:top w:w="40" w:type="dxa"/>
              <w:left w:w="0" w:type="dxa"/>
              <w:bottom w:w="40" w:type="dxa"/>
              <w:right w:w="20" w:type="dxa"/>
            </w:tcMar>
            <w:vAlign w:val="bottom"/>
          </w:tcPr>
          <w:p w14:paraId="64296957" w14:textId="77777777" w:rsidR="007B6C97" w:rsidRDefault="007B6C97">
            <w:pPr>
              <w:jc w:val="right"/>
              <w:rPr>
                <w:rFonts w:ascii="宋体"/>
              </w:rPr>
            </w:pPr>
          </w:p>
        </w:tc>
      </w:tr>
      <w:tr w:rsidR="007B6C97" w14:paraId="64296965" w14:textId="77777777">
        <w:trPr>
          <w:jc w:val="center"/>
        </w:trPr>
        <w:tc>
          <w:tcPr>
            <w:tcW w:w="0" w:type="auto"/>
            <w:gridSpan w:val="3"/>
            <w:shd w:val="clear" w:color="auto" w:fill="FFFFFF"/>
            <w:tcMar>
              <w:top w:w="40" w:type="dxa"/>
              <w:left w:w="380" w:type="dxa"/>
              <w:bottom w:w="40" w:type="dxa"/>
              <w:right w:w="20" w:type="dxa"/>
            </w:tcMar>
          </w:tcPr>
          <w:p w14:paraId="64296959"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5A" w14:textId="77777777" w:rsidR="007B6C97" w:rsidRDefault="00E426D1">
            <w:pPr>
              <w:jc w:val="right"/>
              <w:textAlignment w:val="bottom"/>
            </w:pPr>
            <w:r>
              <w:rPr>
                <w:rFonts w:ascii="Times New Roman" w:eastAsia="宋体" w:hAnsi="Times New Roman"/>
                <w:color w:val="000000"/>
                <w:sz w:val="20"/>
                <w:szCs w:val="20"/>
              </w:rPr>
              <w:t>6,908.7 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5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5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5D" w14:textId="77777777" w:rsidR="007B6C97" w:rsidRDefault="00E426D1">
            <w:pPr>
              <w:jc w:val="right"/>
              <w:textAlignment w:val="bottom"/>
            </w:pPr>
            <w:r>
              <w:rPr>
                <w:rFonts w:ascii="Times New Roman" w:eastAsia="宋体" w:hAnsi="Times New Roman"/>
                <w:color w:val="000000"/>
                <w:sz w:val="20"/>
                <w:szCs w:val="20"/>
              </w:rPr>
              <w:t>6,113.3 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5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5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60" w14:textId="77777777" w:rsidR="007B6C97" w:rsidRDefault="00E426D1">
            <w:pPr>
              <w:jc w:val="right"/>
              <w:textAlignment w:val="bottom"/>
            </w:pPr>
            <w:r>
              <w:rPr>
                <w:rFonts w:ascii="Times New Roman" w:eastAsia="宋体" w:hAnsi="Times New Roman"/>
                <w:color w:val="000000"/>
                <w:sz w:val="20"/>
                <w:szCs w:val="20"/>
              </w:rPr>
              <w:t>20,557.3 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6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6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63" w14:textId="77777777" w:rsidR="007B6C97" w:rsidRDefault="00E426D1">
            <w:pPr>
              <w:jc w:val="right"/>
              <w:textAlignment w:val="bottom"/>
            </w:pPr>
            <w:r>
              <w:rPr>
                <w:rFonts w:ascii="Times New Roman" w:eastAsia="宋体" w:hAnsi="Times New Roman"/>
                <w:color w:val="000000"/>
                <w:sz w:val="20"/>
                <w:szCs w:val="20"/>
              </w:rPr>
              <w:t>17,789.3 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64" w14:textId="77777777" w:rsidR="007B6C97" w:rsidRDefault="007B6C97">
            <w:pPr>
              <w:jc w:val="right"/>
              <w:rPr>
                <w:rFonts w:ascii="宋体"/>
              </w:rPr>
            </w:pPr>
          </w:p>
        </w:tc>
      </w:tr>
      <w:tr w:rsidR="007B6C97" w14:paraId="64296972" w14:textId="77777777">
        <w:trPr>
          <w:jc w:val="center"/>
        </w:trPr>
        <w:tc>
          <w:tcPr>
            <w:tcW w:w="0" w:type="auto"/>
            <w:gridSpan w:val="3"/>
            <w:shd w:val="clear" w:color="auto" w:fill="D7E4BC"/>
            <w:tcMar>
              <w:top w:w="40" w:type="dxa"/>
              <w:left w:w="20" w:type="dxa"/>
              <w:bottom w:w="40" w:type="dxa"/>
              <w:right w:w="20" w:type="dxa"/>
            </w:tcMar>
          </w:tcPr>
          <w:p w14:paraId="64296966"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64296967" w14:textId="77777777" w:rsidR="007B6C97" w:rsidRDefault="00E426D1">
            <w:pPr>
              <w:jc w:val="right"/>
              <w:textAlignment w:val="bottom"/>
            </w:pPr>
            <w:r>
              <w:rPr>
                <w:rFonts w:ascii="Times New Roman" w:eastAsia="宋体" w:hAnsi="Times New Roman"/>
                <w:color w:val="000000"/>
                <w:sz w:val="20"/>
                <w:szCs w:val="20"/>
              </w:rPr>
              <w:t>54.1 </w:t>
            </w:r>
          </w:p>
        </w:tc>
        <w:tc>
          <w:tcPr>
            <w:tcW w:w="0" w:type="auto"/>
            <w:shd w:val="clear" w:color="auto" w:fill="D7E4BC"/>
            <w:tcMar>
              <w:top w:w="40" w:type="dxa"/>
              <w:left w:w="0" w:type="dxa"/>
              <w:bottom w:w="40" w:type="dxa"/>
              <w:right w:w="20" w:type="dxa"/>
            </w:tcMar>
            <w:vAlign w:val="bottom"/>
          </w:tcPr>
          <w:p w14:paraId="642969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6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6A" w14:textId="77777777" w:rsidR="007B6C97" w:rsidRDefault="00E426D1">
            <w:pPr>
              <w:jc w:val="right"/>
              <w:textAlignment w:val="bottom"/>
            </w:pPr>
            <w:r>
              <w:rPr>
                <w:rFonts w:ascii="Times New Roman" w:eastAsia="宋体" w:hAnsi="Times New Roman"/>
                <w:color w:val="000000"/>
                <w:sz w:val="20"/>
                <w:szCs w:val="20"/>
              </w:rPr>
              <w:t>105.5 </w:t>
            </w:r>
          </w:p>
        </w:tc>
        <w:tc>
          <w:tcPr>
            <w:tcW w:w="0" w:type="auto"/>
            <w:shd w:val="clear" w:color="auto" w:fill="D7E4BC"/>
            <w:tcMar>
              <w:top w:w="40" w:type="dxa"/>
              <w:left w:w="0" w:type="dxa"/>
              <w:bottom w:w="40" w:type="dxa"/>
              <w:right w:w="20" w:type="dxa"/>
            </w:tcMar>
            <w:vAlign w:val="bottom"/>
          </w:tcPr>
          <w:p w14:paraId="6429696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6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6D" w14:textId="77777777" w:rsidR="007B6C97" w:rsidRDefault="00E426D1">
            <w:pPr>
              <w:jc w:val="right"/>
              <w:textAlignment w:val="bottom"/>
            </w:pPr>
            <w:r>
              <w:rPr>
                <w:rFonts w:ascii="Times New Roman" w:eastAsia="宋体" w:hAnsi="Times New Roman"/>
                <w:color w:val="000000"/>
                <w:sz w:val="20"/>
                <w:szCs w:val="20"/>
              </w:rPr>
              <w:t>143.5 </w:t>
            </w:r>
          </w:p>
        </w:tc>
        <w:tc>
          <w:tcPr>
            <w:tcW w:w="0" w:type="auto"/>
            <w:shd w:val="clear" w:color="auto" w:fill="D7E4BC"/>
            <w:tcMar>
              <w:top w:w="40" w:type="dxa"/>
              <w:left w:w="0" w:type="dxa"/>
              <w:bottom w:w="40" w:type="dxa"/>
              <w:right w:w="20" w:type="dxa"/>
            </w:tcMar>
            <w:vAlign w:val="bottom"/>
          </w:tcPr>
          <w:p w14:paraId="6429696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6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70" w14:textId="77777777" w:rsidR="007B6C97" w:rsidRDefault="00E426D1">
            <w:pPr>
              <w:jc w:val="right"/>
              <w:textAlignment w:val="bottom"/>
            </w:pPr>
            <w:r>
              <w:rPr>
                <w:rFonts w:ascii="Times New Roman" w:eastAsia="宋体" w:hAnsi="Times New Roman"/>
                <w:color w:val="000000"/>
                <w:sz w:val="20"/>
                <w:szCs w:val="20"/>
              </w:rPr>
              <w:t>265.3 </w:t>
            </w:r>
          </w:p>
        </w:tc>
        <w:tc>
          <w:tcPr>
            <w:tcW w:w="0" w:type="auto"/>
            <w:shd w:val="clear" w:color="auto" w:fill="D7E4BC"/>
            <w:tcMar>
              <w:top w:w="40" w:type="dxa"/>
              <w:left w:w="0" w:type="dxa"/>
              <w:bottom w:w="40" w:type="dxa"/>
              <w:right w:w="20" w:type="dxa"/>
            </w:tcMar>
            <w:vAlign w:val="bottom"/>
          </w:tcPr>
          <w:p w14:paraId="64296971" w14:textId="77777777" w:rsidR="007B6C97" w:rsidRDefault="007B6C97">
            <w:pPr>
              <w:jc w:val="right"/>
              <w:rPr>
                <w:rFonts w:ascii="宋体"/>
              </w:rPr>
            </w:pPr>
          </w:p>
        </w:tc>
      </w:tr>
      <w:tr w:rsidR="007B6C97" w14:paraId="6429697F" w14:textId="77777777">
        <w:trPr>
          <w:jc w:val="center"/>
        </w:trPr>
        <w:tc>
          <w:tcPr>
            <w:tcW w:w="0" w:type="auto"/>
            <w:gridSpan w:val="3"/>
            <w:shd w:val="clear" w:color="auto" w:fill="FFFFFF"/>
            <w:tcMar>
              <w:top w:w="40" w:type="dxa"/>
              <w:left w:w="380" w:type="dxa"/>
              <w:bottom w:w="40" w:type="dxa"/>
              <w:right w:w="20" w:type="dxa"/>
            </w:tcMar>
          </w:tcPr>
          <w:p w14:paraId="64296973" w14:textId="77777777" w:rsidR="007B6C97" w:rsidRDefault="00E426D1">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74" w14:textId="77777777" w:rsidR="007B6C97" w:rsidRDefault="00E426D1">
            <w:pPr>
              <w:jc w:val="right"/>
              <w:textAlignment w:val="bottom"/>
            </w:pPr>
            <w:r>
              <w:rPr>
                <w:rFonts w:ascii="Times New Roman" w:eastAsia="宋体" w:hAnsi="Times New Roman"/>
                <w:color w:val="000000"/>
                <w:sz w:val="20"/>
                <w:szCs w:val="20"/>
              </w:rPr>
              <w:t>1,295.5 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7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76"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77" w14:textId="77777777" w:rsidR="007B6C97" w:rsidRDefault="00E426D1">
            <w:pPr>
              <w:jc w:val="right"/>
              <w:textAlignment w:val="bottom"/>
            </w:pPr>
            <w:r>
              <w:rPr>
                <w:rFonts w:ascii="Times New Roman" w:eastAsia="宋体" w:hAnsi="Times New Roman"/>
                <w:color w:val="000000"/>
                <w:sz w:val="20"/>
                <w:szCs w:val="20"/>
              </w:rPr>
              <w:t>1,488.7 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7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79"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7A" w14:textId="77777777" w:rsidR="007B6C97" w:rsidRDefault="00E426D1">
            <w:pPr>
              <w:jc w:val="right"/>
              <w:textAlignment w:val="bottom"/>
            </w:pPr>
            <w:r>
              <w:rPr>
                <w:rFonts w:ascii="Times New Roman" w:eastAsia="宋体" w:hAnsi="Times New Roman"/>
                <w:color w:val="000000"/>
                <w:sz w:val="20"/>
                <w:szCs w:val="20"/>
              </w:rPr>
              <w:t>3,422.3 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7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7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97D" w14:textId="77777777" w:rsidR="007B6C97" w:rsidRDefault="00E426D1">
            <w:pPr>
              <w:jc w:val="right"/>
              <w:textAlignment w:val="bottom"/>
            </w:pPr>
            <w:r>
              <w:rPr>
                <w:rFonts w:ascii="Times New Roman" w:eastAsia="宋体" w:hAnsi="Times New Roman"/>
                <w:color w:val="000000"/>
                <w:sz w:val="20"/>
                <w:szCs w:val="20"/>
              </w:rPr>
              <w:t>3,389.9 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97E" w14:textId="77777777" w:rsidR="007B6C97" w:rsidRDefault="007B6C97">
            <w:pPr>
              <w:jc w:val="right"/>
              <w:rPr>
                <w:rFonts w:ascii="宋体"/>
              </w:rPr>
            </w:pPr>
          </w:p>
        </w:tc>
      </w:tr>
      <w:tr w:rsidR="007B6C97" w14:paraId="64296988" w14:textId="77777777">
        <w:trPr>
          <w:jc w:val="center"/>
          <w:hidden/>
        </w:trPr>
        <w:tc>
          <w:tcPr>
            <w:tcW w:w="0" w:type="auto"/>
            <w:gridSpan w:val="3"/>
            <w:shd w:val="clear" w:color="auto" w:fill="auto"/>
            <w:vAlign w:val="bottom"/>
          </w:tcPr>
          <w:p w14:paraId="64296980" w14:textId="77777777" w:rsidR="007B6C97" w:rsidRDefault="007B6C97">
            <w:pPr>
              <w:rPr>
                <w:rFonts w:ascii="宋体"/>
                <w:vanish/>
              </w:rPr>
            </w:pPr>
          </w:p>
        </w:tc>
        <w:tc>
          <w:tcPr>
            <w:tcW w:w="0" w:type="auto"/>
            <w:gridSpan w:val="3"/>
            <w:shd w:val="clear" w:color="auto" w:fill="auto"/>
            <w:vAlign w:val="bottom"/>
          </w:tcPr>
          <w:p w14:paraId="64296981" w14:textId="77777777" w:rsidR="007B6C97" w:rsidRDefault="007B6C97">
            <w:pPr>
              <w:rPr>
                <w:rFonts w:ascii="宋体"/>
                <w:vanish/>
              </w:rPr>
            </w:pPr>
          </w:p>
        </w:tc>
        <w:tc>
          <w:tcPr>
            <w:tcW w:w="0" w:type="auto"/>
            <w:gridSpan w:val="3"/>
            <w:shd w:val="clear" w:color="auto" w:fill="auto"/>
            <w:vAlign w:val="bottom"/>
          </w:tcPr>
          <w:p w14:paraId="64296982" w14:textId="77777777" w:rsidR="007B6C97" w:rsidRDefault="007B6C97">
            <w:pPr>
              <w:rPr>
                <w:rFonts w:ascii="宋体"/>
                <w:vanish/>
              </w:rPr>
            </w:pPr>
          </w:p>
        </w:tc>
        <w:tc>
          <w:tcPr>
            <w:tcW w:w="0" w:type="auto"/>
            <w:gridSpan w:val="3"/>
            <w:shd w:val="clear" w:color="auto" w:fill="auto"/>
            <w:vAlign w:val="bottom"/>
          </w:tcPr>
          <w:p w14:paraId="64296983" w14:textId="77777777" w:rsidR="007B6C97" w:rsidRDefault="007B6C97">
            <w:pPr>
              <w:rPr>
                <w:rFonts w:ascii="宋体"/>
                <w:vanish/>
              </w:rPr>
            </w:pPr>
          </w:p>
        </w:tc>
        <w:tc>
          <w:tcPr>
            <w:tcW w:w="0" w:type="auto"/>
            <w:gridSpan w:val="3"/>
            <w:shd w:val="clear" w:color="auto" w:fill="auto"/>
            <w:vAlign w:val="bottom"/>
          </w:tcPr>
          <w:p w14:paraId="64296984" w14:textId="77777777" w:rsidR="007B6C97" w:rsidRDefault="007B6C97">
            <w:pPr>
              <w:rPr>
                <w:rFonts w:ascii="宋体"/>
                <w:vanish/>
              </w:rPr>
            </w:pPr>
          </w:p>
        </w:tc>
        <w:tc>
          <w:tcPr>
            <w:tcW w:w="0" w:type="auto"/>
            <w:gridSpan w:val="3"/>
            <w:shd w:val="clear" w:color="auto" w:fill="auto"/>
            <w:vAlign w:val="bottom"/>
          </w:tcPr>
          <w:p w14:paraId="64296985" w14:textId="77777777" w:rsidR="007B6C97" w:rsidRDefault="007B6C97">
            <w:pPr>
              <w:rPr>
                <w:rFonts w:ascii="宋体"/>
                <w:vanish/>
              </w:rPr>
            </w:pPr>
          </w:p>
        </w:tc>
        <w:tc>
          <w:tcPr>
            <w:tcW w:w="0" w:type="auto"/>
            <w:gridSpan w:val="3"/>
            <w:shd w:val="clear" w:color="auto" w:fill="auto"/>
            <w:vAlign w:val="bottom"/>
          </w:tcPr>
          <w:p w14:paraId="64296986" w14:textId="77777777" w:rsidR="007B6C97" w:rsidRDefault="007B6C97">
            <w:pPr>
              <w:rPr>
                <w:rFonts w:ascii="宋体"/>
                <w:vanish/>
              </w:rPr>
            </w:pPr>
          </w:p>
        </w:tc>
        <w:tc>
          <w:tcPr>
            <w:tcW w:w="0" w:type="auto"/>
            <w:gridSpan w:val="3"/>
            <w:shd w:val="clear" w:color="auto" w:fill="auto"/>
            <w:vAlign w:val="bottom"/>
          </w:tcPr>
          <w:p w14:paraId="64296987" w14:textId="77777777" w:rsidR="007B6C97" w:rsidRDefault="007B6C97">
            <w:pPr>
              <w:rPr>
                <w:rFonts w:ascii="宋体"/>
                <w:vanish/>
              </w:rPr>
            </w:pPr>
          </w:p>
        </w:tc>
      </w:tr>
      <w:tr w:rsidR="007B6C97" w14:paraId="64296991" w14:textId="77777777">
        <w:trPr>
          <w:jc w:val="center"/>
          <w:hidden/>
        </w:trPr>
        <w:tc>
          <w:tcPr>
            <w:tcW w:w="0" w:type="auto"/>
            <w:gridSpan w:val="3"/>
            <w:shd w:val="clear" w:color="auto" w:fill="auto"/>
            <w:vAlign w:val="bottom"/>
          </w:tcPr>
          <w:p w14:paraId="64296989" w14:textId="77777777" w:rsidR="007B6C97" w:rsidRDefault="007B6C97">
            <w:pPr>
              <w:rPr>
                <w:rFonts w:ascii="宋体"/>
                <w:vanish/>
              </w:rPr>
            </w:pPr>
          </w:p>
        </w:tc>
        <w:tc>
          <w:tcPr>
            <w:tcW w:w="0" w:type="auto"/>
            <w:gridSpan w:val="3"/>
            <w:shd w:val="clear" w:color="auto" w:fill="auto"/>
            <w:vAlign w:val="bottom"/>
          </w:tcPr>
          <w:p w14:paraId="6429698A" w14:textId="77777777" w:rsidR="007B6C97" w:rsidRDefault="007B6C97">
            <w:pPr>
              <w:rPr>
                <w:rFonts w:ascii="宋体"/>
                <w:vanish/>
              </w:rPr>
            </w:pPr>
          </w:p>
        </w:tc>
        <w:tc>
          <w:tcPr>
            <w:tcW w:w="0" w:type="auto"/>
            <w:gridSpan w:val="3"/>
            <w:shd w:val="clear" w:color="auto" w:fill="auto"/>
            <w:vAlign w:val="bottom"/>
          </w:tcPr>
          <w:p w14:paraId="6429698B" w14:textId="77777777" w:rsidR="007B6C97" w:rsidRDefault="007B6C97">
            <w:pPr>
              <w:rPr>
                <w:rFonts w:ascii="宋体"/>
                <w:vanish/>
              </w:rPr>
            </w:pPr>
          </w:p>
        </w:tc>
        <w:tc>
          <w:tcPr>
            <w:tcW w:w="0" w:type="auto"/>
            <w:gridSpan w:val="3"/>
            <w:shd w:val="clear" w:color="auto" w:fill="auto"/>
            <w:vAlign w:val="bottom"/>
          </w:tcPr>
          <w:p w14:paraId="6429698C" w14:textId="77777777" w:rsidR="007B6C97" w:rsidRDefault="007B6C97">
            <w:pPr>
              <w:rPr>
                <w:rFonts w:ascii="宋体"/>
                <w:vanish/>
              </w:rPr>
            </w:pPr>
          </w:p>
        </w:tc>
        <w:tc>
          <w:tcPr>
            <w:tcW w:w="0" w:type="auto"/>
            <w:gridSpan w:val="3"/>
            <w:shd w:val="clear" w:color="auto" w:fill="auto"/>
            <w:vAlign w:val="bottom"/>
          </w:tcPr>
          <w:p w14:paraId="6429698D" w14:textId="77777777" w:rsidR="007B6C97" w:rsidRDefault="007B6C97">
            <w:pPr>
              <w:rPr>
                <w:rFonts w:ascii="宋体"/>
                <w:vanish/>
              </w:rPr>
            </w:pPr>
          </w:p>
        </w:tc>
        <w:tc>
          <w:tcPr>
            <w:tcW w:w="0" w:type="auto"/>
            <w:gridSpan w:val="3"/>
            <w:shd w:val="clear" w:color="auto" w:fill="auto"/>
            <w:vAlign w:val="bottom"/>
          </w:tcPr>
          <w:p w14:paraId="6429698E" w14:textId="77777777" w:rsidR="007B6C97" w:rsidRDefault="007B6C97">
            <w:pPr>
              <w:rPr>
                <w:rFonts w:ascii="宋体"/>
                <w:vanish/>
              </w:rPr>
            </w:pPr>
          </w:p>
        </w:tc>
        <w:tc>
          <w:tcPr>
            <w:tcW w:w="0" w:type="auto"/>
            <w:gridSpan w:val="3"/>
            <w:shd w:val="clear" w:color="auto" w:fill="auto"/>
            <w:vAlign w:val="bottom"/>
          </w:tcPr>
          <w:p w14:paraId="6429698F" w14:textId="77777777" w:rsidR="007B6C97" w:rsidRDefault="007B6C97">
            <w:pPr>
              <w:rPr>
                <w:rFonts w:ascii="宋体"/>
                <w:vanish/>
              </w:rPr>
            </w:pPr>
          </w:p>
        </w:tc>
        <w:tc>
          <w:tcPr>
            <w:tcW w:w="0" w:type="auto"/>
            <w:gridSpan w:val="3"/>
            <w:shd w:val="clear" w:color="auto" w:fill="auto"/>
            <w:vAlign w:val="bottom"/>
          </w:tcPr>
          <w:p w14:paraId="64296990" w14:textId="77777777" w:rsidR="007B6C97" w:rsidRDefault="007B6C97">
            <w:pPr>
              <w:rPr>
                <w:rFonts w:ascii="宋体"/>
                <w:vanish/>
              </w:rPr>
            </w:pPr>
          </w:p>
        </w:tc>
      </w:tr>
      <w:tr w:rsidR="007B6C97" w14:paraId="6429699E" w14:textId="77777777">
        <w:trPr>
          <w:jc w:val="center"/>
        </w:trPr>
        <w:tc>
          <w:tcPr>
            <w:tcW w:w="0" w:type="auto"/>
            <w:gridSpan w:val="3"/>
            <w:shd w:val="clear" w:color="auto" w:fill="D7E4BC"/>
            <w:tcMar>
              <w:top w:w="40" w:type="dxa"/>
              <w:left w:w="20" w:type="dxa"/>
              <w:bottom w:w="40" w:type="dxa"/>
              <w:right w:w="20" w:type="dxa"/>
            </w:tcMar>
          </w:tcPr>
          <w:p w14:paraId="64296992" w14:textId="77777777" w:rsidR="007B6C97" w:rsidRDefault="00E426D1">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64296993"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6429699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9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96" w14:textId="77777777" w:rsidR="007B6C97" w:rsidRDefault="00E426D1">
            <w:pPr>
              <w:jc w:val="right"/>
              <w:textAlignment w:val="bottom"/>
            </w:pPr>
            <w:r>
              <w:rPr>
                <w:rFonts w:ascii="Times New Roman" w:eastAsia="宋体" w:hAnsi="Times New Roman"/>
                <w:color w:val="000000"/>
                <w:sz w:val="20"/>
                <w:szCs w:val="20"/>
              </w:rPr>
              <w:t>36.0 </w:t>
            </w:r>
          </w:p>
        </w:tc>
        <w:tc>
          <w:tcPr>
            <w:tcW w:w="0" w:type="auto"/>
            <w:shd w:val="clear" w:color="auto" w:fill="D7E4BC"/>
            <w:tcMar>
              <w:top w:w="40" w:type="dxa"/>
              <w:left w:w="0" w:type="dxa"/>
              <w:bottom w:w="40" w:type="dxa"/>
              <w:right w:w="20" w:type="dxa"/>
            </w:tcMar>
            <w:vAlign w:val="bottom"/>
          </w:tcPr>
          <w:p w14:paraId="6429699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9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99" w14:textId="77777777" w:rsidR="007B6C97" w:rsidRDefault="00E426D1">
            <w:pPr>
              <w:jc w:val="right"/>
              <w:textAlignment w:val="bottom"/>
            </w:pPr>
            <w:r>
              <w:rPr>
                <w:rFonts w:ascii="Times New Roman" w:eastAsia="宋体" w:hAnsi="Times New Roman"/>
                <w:color w:val="000000"/>
                <w:sz w:val="20"/>
                <w:szCs w:val="20"/>
              </w:rPr>
              <w:t>66.0 </w:t>
            </w:r>
          </w:p>
        </w:tc>
        <w:tc>
          <w:tcPr>
            <w:tcW w:w="0" w:type="auto"/>
            <w:shd w:val="clear" w:color="auto" w:fill="D7E4BC"/>
            <w:tcMar>
              <w:top w:w="40" w:type="dxa"/>
              <w:left w:w="0" w:type="dxa"/>
              <w:bottom w:w="40" w:type="dxa"/>
              <w:right w:w="20" w:type="dxa"/>
            </w:tcMar>
            <w:vAlign w:val="bottom"/>
          </w:tcPr>
          <w:p w14:paraId="6429699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9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99C" w14:textId="77777777" w:rsidR="007B6C97" w:rsidRDefault="00E426D1">
            <w:pPr>
              <w:jc w:val="right"/>
              <w:textAlignment w:val="bottom"/>
            </w:pPr>
            <w:r>
              <w:rPr>
                <w:rFonts w:ascii="Times New Roman" w:eastAsia="宋体" w:hAnsi="Times New Roman"/>
                <w:color w:val="000000"/>
                <w:sz w:val="20"/>
                <w:szCs w:val="20"/>
              </w:rPr>
              <w:t>68.6 </w:t>
            </w:r>
          </w:p>
        </w:tc>
        <w:tc>
          <w:tcPr>
            <w:tcW w:w="0" w:type="auto"/>
            <w:shd w:val="clear" w:color="auto" w:fill="D7E4BC"/>
            <w:tcMar>
              <w:top w:w="40" w:type="dxa"/>
              <w:left w:w="0" w:type="dxa"/>
              <w:bottom w:w="40" w:type="dxa"/>
              <w:right w:w="20" w:type="dxa"/>
            </w:tcMar>
            <w:vAlign w:val="bottom"/>
          </w:tcPr>
          <w:p w14:paraId="6429699D" w14:textId="77777777" w:rsidR="007B6C97" w:rsidRDefault="007B6C97">
            <w:pPr>
              <w:jc w:val="right"/>
              <w:rPr>
                <w:rFonts w:ascii="宋体"/>
              </w:rPr>
            </w:pPr>
          </w:p>
        </w:tc>
      </w:tr>
      <w:tr w:rsidR="007B6C97" w14:paraId="642969AB" w14:textId="77777777">
        <w:trPr>
          <w:jc w:val="center"/>
        </w:trPr>
        <w:tc>
          <w:tcPr>
            <w:tcW w:w="0" w:type="auto"/>
            <w:gridSpan w:val="3"/>
            <w:shd w:val="clear" w:color="auto" w:fill="FFFFFF"/>
            <w:tcMar>
              <w:top w:w="40" w:type="dxa"/>
              <w:left w:w="20" w:type="dxa"/>
              <w:bottom w:w="40" w:type="dxa"/>
              <w:right w:w="20" w:type="dxa"/>
            </w:tcMar>
          </w:tcPr>
          <w:p w14:paraId="6429699F" w14:textId="77777777" w:rsidR="007B6C97" w:rsidRDefault="00E426D1">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642969A0" w14:textId="77777777" w:rsidR="007B6C97" w:rsidRDefault="00E426D1">
            <w:pPr>
              <w:jc w:val="right"/>
              <w:textAlignment w:val="bottom"/>
            </w:pPr>
            <w:r>
              <w:rPr>
                <w:rFonts w:ascii="Times New Roman" w:eastAsia="宋体" w:hAnsi="Times New Roman"/>
                <w:color w:val="000000"/>
                <w:sz w:val="20"/>
                <w:szCs w:val="20"/>
              </w:rPr>
              <w:t>(123.1)</w:t>
            </w:r>
          </w:p>
        </w:tc>
        <w:tc>
          <w:tcPr>
            <w:tcW w:w="0" w:type="auto"/>
            <w:shd w:val="clear" w:color="auto" w:fill="FFFFFF"/>
            <w:tcMar>
              <w:top w:w="40" w:type="dxa"/>
              <w:left w:w="0" w:type="dxa"/>
              <w:bottom w:w="40" w:type="dxa"/>
              <w:right w:w="20" w:type="dxa"/>
            </w:tcMar>
            <w:vAlign w:val="bottom"/>
          </w:tcPr>
          <w:p w14:paraId="642969A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A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A3" w14:textId="77777777" w:rsidR="007B6C97" w:rsidRDefault="00E426D1">
            <w:pPr>
              <w:jc w:val="right"/>
              <w:textAlignment w:val="bottom"/>
            </w:pPr>
            <w:r>
              <w:rPr>
                <w:rFonts w:ascii="Times New Roman" w:eastAsia="宋体" w:hAnsi="Times New Roman"/>
                <w:color w:val="000000"/>
                <w:sz w:val="20"/>
                <w:szCs w:val="20"/>
              </w:rPr>
              <w:t>(113.4)</w:t>
            </w:r>
          </w:p>
        </w:tc>
        <w:tc>
          <w:tcPr>
            <w:tcW w:w="0" w:type="auto"/>
            <w:shd w:val="clear" w:color="auto" w:fill="FFFFFF"/>
            <w:tcMar>
              <w:top w:w="40" w:type="dxa"/>
              <w:left w:w="0" w:type="dxa"/>
              <w:bottom w:w="40" w:type="dxa"/>
              <w:right w:w="20" w:type="dxa"/>
            </w:tcMar>
            <w:vAlign w:val="bottom"/>
          </w:tcPr>
          <w:p w14:paraId="642969A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A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A6" w14:textId="77777777" w:rsidR="007B6C97" w:rsidRDefault="00E426D1">
            <w:pPr>
              <w:jc w:val="right"/>
              <w:textAlignment w:val="bottom"/>
            </w:pPr>
            <w:r>
              <w:rPr>
                <w:rFonts w:ascii="Times New Roman" w:eastAsia="宋体" w:hAnsi="Times New Roman"/>
                <w:color w:val="000000"/>
                <w:sz w:val="20"/>
                <w:szCs w:val="20"/>
              </w:rPr>
              <w:t>(357.6)</w:t>
            </w:r>
          </w:p>
        </w:tc>
        <w:tc>
          <w:tcPr>
            <w:tcW w:w="0" w:type="auto"/>
            <w:shd w:val="clear" w:color="auto" w:fill="FFFFFF"/>
            <w:tcMar>
              <w:top w:w="40" w:type="dxa"/>
              <w:left w:w="0" w:type="dxa"/>
              <w:bottom w:w="40" w:type="dxa"/>
              <w:right w:w="20" w:type="dxa"/>
            </w:tcMar>
            <w:vAlign w:val="bottom"/>
          </w:tcPr>
          <w:p w14:paraId="642969A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A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A9" w14:textId="77777777" w:rsidR="007B6C97" w:rsidRDefault="00E426D1">
            <w:pPr>
              <w:jc w:val="right"/>
              <w:textAlignment w:val="bottom"/>
            </w:pPr>
            <w:r>
              <w:rPr>
                <w:rFonts w:ascii="Times New Roman" w:eastAsia="宋体" w:hAnsi="Times New Roman"/>
                <w:color w:val="000000"/>
                <w:sz w:val="20"/>
                <w:szCs w:val="20"/>
              </w:rPr>
              <w:t>(349.2)</w:t>
            </w:r>
          </w:p>
        </w:tc>
        <w:tc>
          <w:tcPr>
            <w:tcW w:w="0" w:type="auto"/>
            <w:shd w:val="clear" w:color="auto" w:fill="FFFFFF"/>
            <w:tcMar>
              <w:top w:w="40" w:type="dxa"/>
              <w:left w:w="0" w:type="dxa"/>
              <w:bottom w:w="40" w:type="dxa"/>
              <w:right w:w="20" w:type="dxa"/>
            </w:tcMar>
            <w:vAlign w:val="bottom"/>
          </w:tcPr>
          <w:p w14:paraId="642969AA" w14:textId="77777777" w:rsidR="007B6C97" w:rsidRDefault="007B6C97">
            <w:pPr>
              <w:jc w:val="right"/>
              <w:rPr>
                <w:rFonts w:ascii="宋体"/>
              </w:rPr>
            </w:pPr>
          </w:p>
        </w:tc>
      </w:tr>
      <w:tr w:rsidR="007B6C97" w14:paraId="642969B8" w14:textId="77777777">
        <w:trPr>
          <w:jc w:val="center"/>
        </w:trPr>
        <w:tc>
          <w:tcPr>
            <w:tcW w:w="0" w:type="auto"/>
            <w:gridSpan w:val="3"/>
            <w:shd w:val="clear" w:color="auto" w:fill="D7E4BC"/>
            <w:tcMar>
              <w:top w:w="40" w:type="dxa"/>
              <w:left w:w="380" w:type="dxa"/>
              <w:bottom w:w="40" w:type="dxa"/>
              <w:right w:w="20" w:type="dxa"/>
            </w:tcMar>
          </w:tcPr>
          <w:p w14:paraId="642969AC" w14:textId="77777777" w:rsidR="007B6C97" w:rsidRDefault="00E426D1">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AD" w14:textId="77777777" w:rsidR="007B6C97" w:rsidRDefault="00E426D1">
            <w:pPr>
              <w:jc w:val="right"/>
              <w:textAlignment w:val="bottom"/>
            </w:pPr>
            <w:r>
              <w:rPr>
                <w:rFonts w:ascii="Times New Roman" w:eastAsia="宋体" w:hAnsi="Times New Roman"/>
                <w:color w:val="000000"/>
                <w:sz w:val="20"/>
                <w:szCs w:val="20"/>
              </w:rPr>
              <w:t>1,192.2 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A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AF"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B0" w14:textId="77777777" w:rsidR="007B6C97" w:rsidRDefault="00E426D1">
            <w:pPr>
              <w:jc w:val="right"/>
              <w:textAlignment w:val="bottom"/>
            </w:pPr>
            <w:r>
              <w:rPr>
                <w:rFonts w:ascii="Times New Roman" w:eastAsia="宋体" w:hAnsi="Times New Roman"/>
                <w:color w:val="000000"/>
                <w:sz w:val="20"/>
                <w:szCs w:val="20"/>
              </w:rPr>
              <w:t>1,411.3 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B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B2"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B3" w14:textId="77777777" w:rsidR="007B6C97" w:rsidRDefault="00E426D1">
            <w:pPr>
              <w:jc w:val="right"/>
              <w:textAlignment w:val="bottom"/>
            </w:pPr>
            <w:r>
              <w:rPr>
                <w:rFonts w:ascii="Times New Roman" w:eastAsia="宋体" w:hAnsi="Times New Roman"/>
                <w:color w:val="000000"/>
                <w:sz w:val="20"/>
                <w:szCs w:val="20"/>
              </w:rPr>
              <w:t>3,130.7 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B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B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B6" w14:textId="77777777" w:rsidR="007B6C97" w:rsidRDefault="00E426D1">
            <w:pPr>
              <w:jc w:val="right"/>
              <w:textAlignment w:val="bottom"/>
            </w:pPr>
            <w:r>
              <w:rPr>
                <w:rFonts w:ascii="Times New Roman" w:eastAsia="宋体" w:hAnsi="Times New Roman"/>
                <w:color w:val="000000"/>
                <w:sz w:val="20"/>
                <w:szCs w:val="20"/>
              </w:rPr>
              <w:t>3,109.3 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B7" w14:textId="77777777" w:rsidR="007B6C97" w:rsidRDefault="007B6C97">
            <w:pPr>
              <w:jc w:val="right"/>
              <w:rPr>
                <w:rFonts w:ascii="宋体"/>
              </w:rPr>
            </w:pPr>
          </w:p>
        </w:tc>
      </w:tr>
      <w:tr w:rsidR="007B6C97" w14:paraId="642969C5" w14:textId="77777777">
        <w:trPr>
          <w:jc w:val="center"/>
        </w:trPr>
        <w:tc>
          <w:tcPr>
            <w:tcW w:w="0" w:type="auto"/>
            <w:gridSpan w:val="3"/>
            <w:shd w:val="clear" w:color="auto" w:fill="FFFFFF"/>
            <w:tcMar>
              <w:top w:w="40" w:type="dxa"/>
              <w:left w:w="20" w:type="dxa"/>
              <w:bottom w:w="40" w:type="dxa"/>
              <w:right w:w="20" w:type="dxa"/>
            </w:tcMar>
          </w:tcPr>
          <w:p w14:paraId="642969B9" w14:textId="77777777" w:rsidR="007B6C97" w:rsidRDefault="00E426D1">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642969BA" w14:textId="77777777" w:rsidR="007B6C97" w:rsidRDefault="00E426D1">
            <w:pPr>
              <w:jc w:val="right"/>
              <w:textAlignment w:val="bottom"/>
            </w:pPr>
            <w:r>
              <w:rPr>
                <w:rFonts w:ascii="Times New Roman" w:eastAsia="宋体" w:hAnsi="Times New Roman"/>
                <w:color w:val="000000"/>
                <w:sz w:val="20"/>
                <w:szCs w:val="20"/>
              </w:rPr>
              <w:t>278.5 </w:t>
            </w:r>
          </w:p>
        </w:tc>
        <w:tc>
          <w:tcPr>
            <w:tcW w:w="0" w:type="auto"/>
            <w:shd w:val="clear" w:color="auto" w:fill="FFFFFF"/>
            <w:tcMar>
              <w:top w:w="40" w:type="dxa"/>
              <w:left w:w="0" w:type="dxa"/>
              <w:bottom w:w="40" w:type="dxa"/>
              <w:right w:w="20" w:type="dxa"/>
            </w:tcMar>
            <w:vAlign w:val="bottom"/>
          </w:tcPr>
          <w:p w14:paraId="642969B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B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BD" w14:textId="77777777" w:rsidR="007B6C97" w:rsidRDefault="00E426D1">
            <w:pPr>
              <w:jc w:val="right"/>
              <w:textAlignment w:val="bottom"/>
            </w:pPr>
            <w:r>
              <w:rPr>
                <w:rFonts w:ascii="Times New Roman" w:eastAsia="宋体" w:hAnsi="Times New Roman"/>
                <w:color w:val="000000"/>
                <w:sz w:val="20"/>
                <w:szCs w:val="20"/>
              </w:rPr>
              <w:t>257.1 </w:t>
            </w:r>
          </w:p>
        </w:tc>
        <w:tc>
          <w:tcPr>
            <w:tcW w:w="0" w:type="auto"/>
            <w:shd w:val="clear" w:color="auto" w:fill="FFFFFF"/>
            <w:tcMar>
              <w:top w:w="40" w:type="dxa"/>
              <w:left w:w="0" w:type="dxa"/>
              <w:bottom w:w="40" w:type="dxa"/>
              <w:right w:w="20" w:type="dxa"/>
            </w:tcMar>
            <w:vAlign w:val="bottom"/>
          </w:tcPr>
          <w:p w14:paraId="642969B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B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C0" w14:textId="77777777" w:rsidR="007B6C97" w:rsidRDefault="00E426D1">
            <w:pPr>
              <w:jc w:val="right"/>
              <w:textAlignment w:val="bottom"/>
            </w:pPr>
            <w:r>
              <w:rPr>
                <w:rFonts w:ascii="Times New Roman" w:eastAsia="宋体" w:hAnsi="Times New Roman"/>
                <w:color w:val="000000"/>
                <w:sz w:val="20"/>
                <w:szCs w:val="20"/>
              </w:rPr>
              <w:t>725.9 </w:t>
            </w:r>
          </w:p>
        </w:tc>
        <w:tc>
          <w:tcPr>
            <w:tcW w:w="0" w:type="auto"/>
            <w:shd w:val="clear" w:color="auto" w:fill="FFFFFF"/>
            <w:tcMar>
              <w:top w:w="40" w:type="dxa"/>
              <w:left w:w="0" w:type="dxa"/>
              <w:bottom w:w="40" w:type="dxa"/>
              <w:right w:w="20" w:type="dxa"/>
            </w:tcMar>
            <w:vAlign w:val="bottom"/>
          </w:tcPr>
          <w:p w14:paraId="642969C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C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C3" w14:textId="77777777" w:rsidR="007B6C97" w:rsidRDefault="00E426D1">
            <w:pPr>
              <w:jc w:val="right"/>
              <w:textAlignment w:val="bottom"/>
            </w:pPr>
            <w:r>
              <w:rPr>
                <w:rFonts w:ascii="Times New Roman" w:eastAsia="宋体" w:hAnsi="Times New Roman"/>
                <w:color w:val="000000"/>
                <w:sz w:val="20"/>
                <w:szCs w:val="20"/>
              </w:rPr>
              <w:t>673.6 </w:t>
            </w:r>
          </w:p>
        </w:tc>
        <w:tc>
          <w:tcPr>
            <w:tcW w:w="0" w:type="auto"/>
            <w:shd w:val="clear" w:color="auto" w:fill="FFFFFF"/>
            <w:tcMar>
              <w:top w:w="40" w:type="dxa"/>
              <w:left w:w="0" w:type="dxa"/>
              <w:bottom w:w="40" w:type="dxa"/>
              <w:right w:w="20" w:type="dxa"/>
            </w:tcMar>
            <w:vAlign w:val="bottom"/>
          </w:tcPr>
          <w:p w14:paraId="642969C4" w14:textId="77777777" w:rsidR="007B6C97" w:rsidRDefault="007B6C97">
            <w:pPr>
              <w:jc w:val="right"/>
              <w:rPr>
                <w:rFonts w:ascii="宋体"/>
              </w:rPr>
            </w:pPr>
          </w:p>
        </w:tc>
      </w:tr>
      <w:tr w:rsidR="007B6C97" w14:paraId="642969D2" w14:textId="77777777">
        <w:trPr>
          <w:jc w:val="center"/>
        </w:trPr>
        <w:tc>
          <w:tcPr>
            <w:tcW w:w="0" w:type="auto"/>
            <w:gridSpan w:val="3"/>
            <w:shd w:val="clear" w:color="auto" w:fill="D7E4BC"/>
            <w:tcMar>
              <w:top w:w="40" w:type="dxa"/>
              <w:left w:w="380" w:type="dxa"/>
              <w:bottom w:w="40" w:type="dxa"/>
              <w:right w:w="20" w:type="dxa"/>
            </w:tcMar>
          </w:tcPr>
          <w:p w14:paraId="642969C6" w14:textId="77777777" w:rsidR="007B6C97" w:rsidRDefault="00E426D1">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C7" w14:textId="77777777" w:rsidR="007B6C97" w:rsidRDefault="00E426D1">
            <w:pPr>
              <w:jc w:val="right"/>
              <w:textAlignment w:val="bottom"/>
            </w:pPr>
            <w:r>
              <w:rPr>
                <w:rFonts w:ascii="Times New Roman" w:eastAsia="宋体" w:hAnsi="Times New Roman"/>
                <w:color w:val="000000"/>
                <w:sz w:val="20"/>
                <w:szCs w:val="20"/>
              </w:rPr>
              <w:t>913.7 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C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C9"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CA" w14:textId="77777777" w:rsidR="007B6C97" w:rsidRDefault="00E426D1">
            <w:pPr>
              <w:jc w:val="right"/>
              <w:textAlignment w:val="bottom"/>
            </w:pPr>
            <w:r>
              <w:rPr>
                <w:rFonts w:ascii="Times New Roman" w:eastAsia="宋体" w:hAnsi="Times New Roman"/>
                <w:color w:val="000000"/>
                <w:sz w:val="20"/>
                <w:szCs w:val="20"/>
              </w:rPr>
              <w:t>1,154.2 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C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CC"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CD" w14:textId="77777777" w:rsidR="007B6C97" w:rsidRDefault="00E426D1">
            <w:pPr>
              <w:jc w:val="right"/>
              <w:textAlignment w:val="bottom"/>
            </w:pPr>
            <w:r>
              <w:rPr>
                <w:rFonts w:ascii="Times New Roman" w:eastAsia="宋体" w:hAnsi="Times New Roman"/>
                <w:color w:val="000000"/>
                <w:sz w:val="20"/>
                <w:szCs w:val="20"/>
              </w:rPr>
              <w:t>2,404.8 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C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CF"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9D0" w14:textId="77777777" w:rsidR="007B6C97" w:rsidRDefault="00E426D1">
            <w:pPr>
              <w:jc w:val="right"/>
              <w:textAlignment w:val="bottom"/>
            </w:pPr>
            <w:r>
              <w:rPr>
                <w:rFonts w:ascii="Times New Roman" w:eastAsia="宋体" w:hAnsi="Times New Roman"/>
                <w:color w:val="000000"/>
                <w:sz w:val="20"/>
                <w:szCs w:val="20"/>
              </w:rPr>
              <w:t>2,435.7 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D1" w14:textId="77777777" w:rsidR="007B6C97" w:rsidRDefault="007B6C97">
            <w:pPr>
              <w:jc w:val="right"/>
              <w:rPr>
                <w:rFonts w:ascii="宋体"/>
              </w:rPr>
            </w:pPr>
          </w:p>
        </w:tc>
      </w:tr>
      <w:tr w:rsidR="007B6C97" w14:paraId="642969DF" w14:textId="77777777">
        <w:trPr>
          <w:jc w:val="center"/>
        </w:trPr>
        <w:tc>
          <w:tcPr>
            <w:tcW w:w="0" w:type="auto"/>
            <w:gridSpan w:val="3"/>
            <w:shd w:val="clear" w:color="auto" w:fill="FFFFFF"/>
            <w:tcMar>
              <w:top w:w="40" w:type="dxa"/>
              <w:left w:w="380" w:type="dxa"/>
              <w:bottom w:w="40" w:type="dxa"/>
              <w:right w:w="20" w:type="dxa"/>
            </w:tcMar>
          </w:tcPr>
          <w:p w14:paraId="642969D3" w14:textId="77777777" w:rsidR="007B6C97" w:rsidRDefault="00E426D1">
            <w:pPr>
              <w:textAlignment w:val="top"/>
            </w:pPr>
            <w:r>
              <w:rPr>
                <w:rFonts w:ascii="Times New Roman" w:eastAsia="宋体" w:hAnsi="Times New Roman"/>
                <w:color w:val="000000"/>
                <w:sz w:val="20"/>
                <w:szCs w:val="20"/>
              </w:rPr>
              <w:t>Net earnings attributable to noncontrolling interests</w:t>
            </w:r>
          </w:p>
        </w:tc>
        <w:tc>
          <w:tcPr>
            <w:tcW w:w="0" w:type="auto"/>
            <w:gridSpan w:val="2"/>
            <w:shd w:val="clear" w:color="auto" w:fill="FFFFFF"/>
            <w:tcMar>
              <w:top w:w="40" w:type="dxa"/>
              <w:left w:w="20" w:type="dxa"/>
              <w:bottom w:w="40" w:type="dxa"/>
              <w:right w:w="0" w:type="dxa"/>
            </w:tcMar>
            <w:vAlign w:val="bottom"/>
          </w:tcPr>
          <w:p w14:paraId="642969D4"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69D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D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D7"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69D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D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DA"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42969D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D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9DD"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69DE" w14:textId="77777777" w:rsidR="007B6C97" w:rsidRDefault="007B6C97">
            <w:pPr>
              <w:jc w:val="right"/>
              <w:rPr>
                <w:rFonts w:ascii="宋体"/>
              </w:rPr>
            </w:pPr>
          </w:p>
        </w:tc>
      </w:tr>
      <w:tr w:rsidR="007B6C97" w14:paraId="642969F0" w14:textId="77777777">
        <w:trPr>
          <w:jc w:val="center"/>
        </w:trPr>
        <w:tc>
          <w:tcPr>
            <w:tcW w:w="0" w:type="auto"/>
            <w:gridSpan w:val="3"/>
            <w:shd w:val="clear" w:color="auto" w:fill="D7E4BC"/>
            <w:tcMar>
              <w:top w:w="40" w:type="dxa"/>
              <w:left w:w="380" w:type="dxa"/>
              <w:bottom w:w="40" w:type="dxa"/>
              <w:right w:w="20" w:type="dxa"/>
            </w:tcMar>
          </w:tcPr>
          <w:p w14:paraId="642969E0" w14:textId="77777777" w:rsidR="007B6C97" w:rsidRDefault="00E426D1">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69E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9E2" w14:textId="77777777" w:rsidR="007B6C97" w:rsidRDefault="00E426D1">
            <w:pPr>
              <w:jc w:val="right"/>
              <w:textAlignment w:val="bottom"/>
            </w:pPr>
            <w:r>
              <w:rPr>
                <w:rFonts w:ascii="Times New Roman" w:eastAsia="宋体" w:hAnsi="Times New Roman"/>
                <w:color w:val="000000"/>
                <w:sz w:val="20"/>
                <w:szCs w:val="20"/>
              </w:rPr>
              <w:t>912.9 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E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9E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9E6" w14:textId="77777777" w:rsidR="007B6C97" w:rsidRDefault="00E426D1">
            <w:pPr>
              <w:jc w:val="right"/>
              <w:textAlignment w:val="bottom"/>
            </w:pPr>
            <w:r>
              <w:rPr>
                <w:rFonts w:ascii="Times New Roman" w:eastAsia="宋体" w:hAnsi="Times New Roman"/>
                <w:color w:val="000000"/>
                <w:sz w:val="20"/>
                <w:szCs w:val="20"/>
              </w:rPr>
              <w:t>1,153.4 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E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E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9E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9EA" w14:textId="77777777" w:rsidR="007B6C97" w:rsidRDefault="00E426D1">
            <w:pPr>
              <w:jc w:val="right"/>
              <w:textAlignment w:val="bottom"/>
            </w:pPr>
            <w:r>
              <w:rPr>
                <w:rFonts w:ascii="Times New Roman" w:eastAsia="宋体" w:hAnsi="Times New Roman"/>
                <w:color w:val="000000"/>
                <w:sz w:val="20"/>
                <w:szCs w:val="20"/>
              </w:rPr>
              <w:t>2,403.3 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E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9EC"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9E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9EE" w14:textId="77777777" w:rsidR="007B6C97" w:rsidRDefault="00E426D1">
            <w:pPr>
              <w:jc w:val="right"/>
              <w:textAlignment w:val="bottom"/>
            </w:pPr>
            <w:r>
              <w:rPr>
                <w:rFonts w:ascii="Times New Roman" w:eastAsia="宋体" w:hAnsi="Times New Roman"/>
                <w:color w:val="000000"/>
                <w:sz w:val="20"/>
                <w:szCs w:val="20"/>
              </w:rPr>
              <w:t>2,434.9 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9EF" w14:textId="77777777" w:rsidR="007B6C97" w:rsidRDefault="007B6C97">
            <w:pPr>
              <w:jc w:val="right"/>
              <w:rPr>
                <w:rFonts w:ascii="宋体"/>
              </w:rPr>
            </w:pPr>
          </w:p>
        </w:tc>
      </w:tr>
      <w:tr w:rsidR="007B6C97" w14:paraId="64296A01" w14:textId="77777777">
        <w:trPr>
          <w:jc w:val="center"/>
        </w:trPr>
        <w:tc>
          <w:tcPr>
            <w:tcW w:w="0" w:type="auto"/>
            <w:gridSpan w:val="3"/>
            <w:shd w:val="clear" w:color="auto" w:fill="FFFFFF"/>
            <w:tcMar>
              <w:top w:w="40" w:type="dxa"/>
              <w:left w:w="20" w:type="dxa"/>
              <w:bottom w:w="40" w:type="dxa"/>
              <w:right w:w="20" w:type="dxa"/>
            </w:tcMar>
          </w:tcPr>
          <w:p w14:paraId="642969F1" w14:textId="77777777" w:rsidR="007B6C97" w:rsidRDefault="00E426D1">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642969F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42969F3" w14:textId="77777777" w:rsidR="007B6C97" w:rsidRDefault="00E426D1">
            <w:pPr>
              <w:jc w:val="right"/>
              <w:textAlignment w:val="bottom"/>
            </w:pPr>
            <w:r>
              <w:rPr>
                <w:rFonts w:ascii="Times New Roman" w:eastAsia="宋体" w:hAnsi="Times New Roman"/>
                <w:color w:val="000000"/>
                <w:sz w:val="20"/>
                <w:szCs w:val="20"/>
              </w:rPr>
              <w:t>0.80 </w:t>
            </w:r>
          </w:p>
        </w:tc>
        <w:tc>
          <w:tcPr>
            <w:tcW w:w="0" w:type="auto"/>
            <w:tcBorders>
              <w:top w:val="double" w:sz="6" w:space="0" w:color="000000"/>
            </w:tcBorders>
            <w:shd w:val="clear" w:color="auto" w:fill="FFFFFF"/>
            <w:tcMar>
              <w:top w:w="40" w:type="dxa"/>
              <w:left w:w="0" w:type="dxa"/>
              <w:bottom w:w="40" w:type="dxa"/>
              <w:right w:w="20" w:type="dxa"/>
            </w:tcMar>
            <w:vAlign w:val="bottom"/>
          </w:tcPr>
          <w:p w14:paraId="642969F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F5" w14:textId="77777777" w:rsidR="007B6C97" w:rsidRDefault="007B6C9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42969F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42969F7" w14:textId="77777777" w:rsidR="007B6C97" w:rsidRDefault="00E426D1">
            <w:pPr>
              <w:jc w:val="right"/>
              <w:textAlignment w:val="bottom"/>
            </w:pPr>
            <w:r>
              <w:rPr>
                <w:rFonts w:ascii="Times New Roman" w:eastAsia="宋体" w:hAnsi="Times New Roman"/>
                <w:color w:val="000000"/>
                <w:sz w:val="20"/>
                <w:szCs w:val="20"/>
              </w:rPr>
              <w:t>0.98 </w:t>
            </w:r>
          </w:p>
        </w:tc>
        <w:tc>
          <w:tcPr>
            <w:tcW w:w="0" w:type="auto"/>
            <w:tcBorders>
              <w:top w:val="double" w:sz="6" w:space="0" w:color="000000"/>
            </w:tcBorders>
            <w:shd w:val="clear" w:color="auto" w:fill="FFFFFF"/>
            <w:tcMar>
              <w:top w:w="40" w:type="dxa"/>
              <w:left w:w="0" w:type="dxa"/>
              <w:bottom w:w="40" w:type="dxa"/>
              <w:right w:w="20" w:type="dxa"/>
            </w:tcMar>
            <w:vAlign w:val="bottom"/>
          </w:tcPr>
          <w:p w14:paraId="642969F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F9" w14:textId="77777777" w:rsidR="007B6C97" w:rsidRDefault="007B6C9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42969F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42969FB" w14:textId="77777777" w:rsidR="007B6C97" w:rsidRDefault="00E426D1">
            <w:pPr>
              <w:jc w:val="right"/>
              <w:textAlignment w:val="bottom"/>
            </w:pPr>
            <w:r>
              <w:rPr>
                <w:rFonts w:ascii="Times New Roman" w:eastAsia="宋体" w:hAnsi="Times New Roman"/>
                <w:color w:val="000000"/>
                <w:sz w:val="20"/>
                <w:szCs w:val="20"/>
              </w:rPr>
              <w:t>2.08 </w:t>
            </w:r>
          </w:p>
        </w:tc>
        <w:tc>
          <w:tcPr>
            <w:tcW w:w="0" w:type="auto"/>
            <w:tcBorders>
              <w:top w:val="double" w:sz="6" w:space="0" w:color="000000"/>
            </w:tcBorders>
            <w:shd w:val="clear" w:color="auto" w:fill="FFFFFF"/>
            <w:tcMar>
              <w:top w:w="40" w:type="dxa"/>
              <w:left w:w="0" w:type="dxa"/>
              <w:bottom w:w="40" w:type="dxa"/>
              <w:right w:w="20" w:type="dxa"/>
            </w:tcMar>
            <w:vAlign w:val="bottom"/>
          </w:tcPr>
          <w:p w14:paraId="642969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9FD" w14:textId="77777777" w:rsidR="007B6C97" w:rsidRDefault="007B6C9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42969F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42969FF" w14:textId="77777777" w:rsidR="007B6C97" w:rsidRDefault="00E426D1">
            <w:pPr>
              <w:jc w:val="right"/>
              <w:textAlignment w:val="bottom"/>
            </w:pPr>
            <w:r>
              <w:rPr>
                <w:rFonts w:ascii="Times New Roman" w:eastAsia="宋体" w:hAnsi="Times New Roman"/>
                <w:color w:val="000000"/>
                <w:sz w:val="20"/>
                <w:szCs w:val="20"/>
              </w:rPr>
              <w:t>2.07 </w:t>
            </w:r>
          </w:p>
        </w:tc>
        <w:tc>
          <w:tcPr>
            <w:tcW w:w="0" w:type="auto"/>
            <w:tcBorders>
              <w:top w:val="double" w:sz="6" w:space="0" w:color="000000"/>
            </w:tcBorders>
            <w:shd w:val="clear" w:color="auto" w:fill="FFFFFF"/>
            <w:tcMar>
              <w:top w:w="40" w:type="dxa"/>
              <w:left w:w="0" w:type="dxa"/>
              <w:bottom w:w="40" w:type="dxa"/>
              <w:right w:w="20" w:type="dxa"/>
            </w:tcMar>
            <w:vAlign w:val="bottom"/>
          </w:tcPr>
          <w:p w14:paraId="64296A00" w14:textId="77777777" w:rsidR="007B6C97" w:rsidRDefault="007B6C97">
            <w:pPr>
              <w:jc w:val="right"/>
              <w:rPr>
                <w:rFonts w:ascii="宋体"/>
              </w:rPr>
            </w:pPr>
          </w:p>
        </w:tc>
      </w:tr>
      <w:tr w:rsidR="007B6C97" w14:paraId="64296A12" w14:textId="77777777">
        <w:trPr>
          <w:jc w:val="center"/>
        </w:trPr>
        <w:tc>
          <w:tcPr>
            <w:tcW w:w="0" w:type="auto"/>
            <w:gridSpan w:val="3"/>
            <w:shd w:val="clear" w:color="auto" w:fill="D7E4BC"/>
            <w:tcMar>
              <w:top w:w="40" w:type="dxa"/>
              <w:left w:w="20" w:type="dxa"/>
              <w:bottom w:w="40" w:type="dxa"/>
              <w:right w:w="20" w:type="dxa"/>
            </w:tcMar>
          </w:tcPr>
          <w:p w14:paraId="64296A02" w14:textId="77777777" w:rsidR="007B6C97" w:rsidRDefault="00E426D1">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right w:w="0" w:type="dxa"/>
            </w:tcMar>
            <w:vAlign w:val="bottom"/>
          </w:tcPr>
          <w:p w14:paraId="64296A03"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A04" w14:textId="77777777" w:rsidR="007B6C97" w:rsidRDefault="00E426D1">
            <w:pPr>
              <w:jc w:val="right"/>
              <w:textAlignment w:val="bottom"/>
            </w:pPr>
            <w:r>
              <w:rPr>
                <w:rFonts w:ascii="Times New Roman" w:eastAsia="宋体" w:hAnsi="Times New Roman"/>
                <w:color w:val="000000"/>
                <w:sz w:val="20"/>
                <w:szCs w:val="20"/>
              </w:rPr>
              <w:t>0.79 </w:t>
            </w:r>
          </w:p>
        </w:tc>
        <w:tc>
          <w:tcPr>
            <w:tcW w:w="0" w:type="auto"/>
            <w:shd w:val="clear" w:color="auto" w:fill="D7E4BC"/>
            <w:tcMar>
              <w:top w:w="40" w:type="dxa"/>
              <w:left w:w="0" w:type="dxa"/>
              <w:bottom w:w="40" w:type="dxa"/>
              <w:right w:w="20" w:type="dxa"/>
            </w:tcMar>
            <w:vAlign w:val="bottom"/>
          </w:tcPr>
          <w:p w14:paraId="64296A0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06"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6A07"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A08" w14:textId="77777777" w:rsidR="007B6C97" w:rsidRDefault="00E426D1">
            <w:pPr>
              <w:jc w:val="right"/>
              <w:textAlignment w:val="bottom"/>
            </w:pPr>
            <w:r>
              <w:rPr>
                <w:rFonts w:ascii="Times New Roman" w:eastAsia="宋体" w:hAnsi="Times New Roman"/>
                <w:color w:val="000000"/>
                <w:sz w:val="20"/>
                <w:szCs w:val="20"/>
              </w:rPr>
              <w:t>0.97 </w:t>
            </w:r>
          </w:p>
        </w:tc>
        <w:tc>
          <w:tcPr>
            <w:tcW w:w="0" w:type="auto"/>
            <w:shd w:val="clear" w:color="auto" w:fill="D7E4BC"/>
            <w:tcMar>
              <w:top w:w="40" w:type="dxa"/>
              <w:left w:w="0" w:type="dxa"/>
              <w:bottom w:w="40" w:type="dxa"/>
              <w:right w:w="20" w:type="dxa"/>
            </w:tcMar>
            <w:vAlign w:val="bottom"/>
          </w:tcPr>
          <w:p w14:paraId="64296A0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0A"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6A0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A0C" w14:textId="77777777" w:rsidR="007B6C97" w:rsidRDefault="00E426D1">
            <w:pPr>
              <w:jc w:val="right"/>
              <w:textAlignment w:val="bottom"/>
            </w:pPr>
            <w:r>
              <w:rPr>
                <w:rFonts w:ascii="Times New Roman" w:eastAsia="宋体" w:hAnsi="Times New Roman"/>
                <w:color w:val="000000"/>
                <w:sz w:val="20"/>
                <w:szCs w:val="20"/>
              </w:rPr>
              <w:t>2.07 </w:t>
            </w:r>
          </w:p>
        </w:tc>
        <w:tc>
          <w:tcPr>
            <w:tcW w:w="0" w:type="auto"/>
            <w:shd w:val="clear" w:color="auto" w:fill="D7E4BC"/>
            <w:tcMar>
              <w:top w:w="40" w:type="dxa"/>
              <w:left w:w="0" w:type="dxa"/>
              <w:bottom w:w="40" w:type="dxa"/>
              <w:right w:w="20" w:type="dxa"/>
            </w:tcMar>
            <w:vAlign w:val="bottom"/>
          </w:tcPr>
          <w:p w14:paraId="64296A0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0E"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6A0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A10" w14:textId="77777777" w:rsidR="007B6C97" w:rsidRDefault="00E426D1">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left w:w="0" w:type="dxa"/>
              <w:bottom w:w="40" w:type="dxa"/>
              <w:right w:w="20" w:type="dxa"/>
            </w:tcMar>
            <w:vAlign w:val="bottom"/>
          </w:tcPr>
          <w:p w14:paraId="64296A11" w14:textId="77777777" w:rsidR="007B6C97" w:rsidRDefault="007B6C97">
            <w:pPr>
              <w:jc w:val="right"/>
              <w:rPr>
                <w:rFonts w:ascii="宋体"/>
              </w:rPr>
            </w:pPr>
          </w:p>
        </w:tc>
      </w:tr>
      <w:tr w:rsidR="007B6C97" w14:paraId="64296A1B" w14:textId="77777777">
        <w:trPr>
          <w:jc w:val="center"/>
        </w:trPr>
        <w:tc>
          <w:tcPr>
            <w:tcW w:w="0" w:type="auto"/>
            <w:gridSpan w:val="3"/>
            <w:shd w:val="clear" w:color="auto" w:fill="FFFFFF"/>
            <w:tcMar>
              <w:top w:w="40" w:type="dxa"/>
              <w:left w:w="20" w:type="dxa"/>
              <w:bottom w:w="40" w:type="dxa"/>
              <w:right w:w="20" w:type="dxa"/>
            </w:tcMar>
          </w:tcPr>
          <w:p w14:paraId="64296A13" w14:textId="77777777" w:rsidR="007B6C97" w:rsidRDefault="00E426D1">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bottom"/>
          </w:tcPr>
          <w:p w14:paraId="64296A1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1A" w14:textId="77777777" w:rsidR="007B6C97" w:rsidRDefault="007B6C97">
            <w:pPr>
              <w:rPr>
                <w:rFonts w:ascii="宋体"/>
              </w:rPr>
            </w:pPr>
          </w:p>
        </w:tc>
      </w:tr>
      <w:tr w:rsidR="007B6C97" w14:paraId="64296A28" w14:textId="77777777">
        <w:trPr>
          <w:jc w:val="center"/>
        </w:trPr>
        <w:tc>
          <w:tcPr>
            <w:tcW w:w="0" w:type="auto"/>
            <w:gridSpan w:val="3"/>
            <w:shd w:val="clear" w:color="auto" w:fill="D7E4BC"/>
            <w:tcMar>
              <w:top w:w="40" w:type="dxa"/>
              <w:left w:w="380" w:type="dxa"/>
              <w:bottom w:w="40" w:type="dxa"/>
              <w:right w:w="20" w:type="dxa"/>
            </w:tcMar>
          </w:tcPr>
          <w:p w14:paraId="64296A1C" w14:textId="77777777" w:rsidR="007B6C97" w:rsidRDefault="00E426D1">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64296A1D" w14:textId="77777777" w:rsidR="007B6C97" w:rsidRDefault="00E426D1">
            <w:pPr>
              <w:jc w:val="right"/>
              <w:textAlignment w:val="bottom"/>
            </w:pPr>
            <w:r>
              <w:rPr>
                <w:rFonts w:ascii="Times New Roman" w:eastAsia="宋体" w:hAnsi="Times New Roman"/>
                <w:color w:val="000000"/>
                <w:sz w:val="20"/>
                <w:szCs w:val="20"/>
              </w:rPr>
              <w:t>1,147.0 </w:t>
            </w:r>
          </w:p>
        </w:tc>
        <w:tc>
          <w:tcPr>
            <w:tcW w:w="0" w:type="auto"/>
            <w:shd w:val="clear" w:color="auto" w:fill="D7E4BC"/>
            <w:tcMar>
              <w:top w:w="40" w:type="dxa"/>
              <w:left w:w="0" w:type="dxa"/>
              <w:bottom w:w="40" w:type="dxa"/>
              <w:right w:w="20" w:type="dxa"/>
            </w:tcMar>
            <w:vAlign w:val="bottom"/>
          </w:tcPr>
          <w:p w14:paraId="64296A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A20" w14:textId="77777777" w:rsidR="007B6C97" w:rsidRDefault="00E426D1">
            <w:pPr>
              <w:jc w:val="right"/>
              <w:textAlignment w:val="bottom"/>
            </w:pPr>
            <w:r>
              <w:rPr>
                <w:rFonts w:ascii="Times New Roman" w:eastAsia="宋体" w:hAnsi="Times New Roman"/>
                <w:color w:val="000000"/>
                <w:sz w:val="20"/>
                <w:szCs w:val="20"/>
              </w:rPr>
              <w:t>1,178.5 </w:t>
            </w:r>
          </w:p>
        </w:tc>
        <w:tc>
          <w:tcPr>
            <w:tcW w:w="0" w:type="auto"/>
            <w:shd w:val="clear" w:color="auto" w:fill="D7E4BC"/>
            <w:tcMar>
              <w:top w:w="40" w:type="dxa"/>
              <w:left w:w="0" w:type="dxa"/>
              <w:bottom w:w="40" w:type="dxa"/>
              <w:right w:w="20" w:type="dxa"/>
            </w:tcMar>
            <w:vAlign w:val="bottom"/>
          </w:tcPr>
          <w:p w14:paraId="64296A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A23" w14:textId="77777777" w:rsidR="007B6C97" w:rsidRDefault="00E426D1">
            <w:pPr>
              <w:jc w:val="right"/>
              <w:textAlignment w:val="bottom"/>
            </w:pPr>
            <w:r>
              <w:rPr>
                <w:rFonts w:ascii="Times New Roman" w:eastAsia="宋体" w:hAnsi="Times New Roman"/>
                <w:color w:val="000000"/>
                <w:sz w:val="20"/>
                <w:szCs w:val="20"/>
              </w:rPr>
              <w:t>1,155.3 </w:t>
            </w:r>
          </w:p>
        </w:tc>
        <w:tc>
          <w:tcPr>
            <w:tcW w:w="0" w:type="auto"/>
            <w:shd w:val="clear" w:color="auto" w:fill="D7E4BC"/>
            <w:tcMar>
              <w:top w:w="40" w:type="dxa"/>
              <w:left w:w="0" w:type="dxa"/>
              <w:bottom w:w="40" w:type="dxa"/>
              <w:right w:w="20" w:type="dxa"/>
            </w:tcMar>
            <w:vAlign w:val="bottom"/>
          </w:tcPr>
          <w:p w14:paraId="64296A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2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A26" w14:textId="77777777" w:rsidR="007B6C97" w:rsidRDefault="00E426D1">
            <w:pPr>
              <w:jc w:val="right"/>
              <w:textAlignment w:val="bottom"/>
            </w:pPr>
            <w:r>
              <w:rPr>
                <w:rFonts w:ascii="Times New Roman" w:eastAsia="宋体" w:hAnsi="Times New Roman"/>
                <w:color w:val="000000"/>
                <w:sz w:val="20"/>
                <w:szCs w:val="20"/>
              </w:rPr>
              <w:t>1,177.0 </w:t>
            </w:r>
          </w:p>
        </w:tc>
        <w:tc>
          <w:tcPr>
            <w:tcW w:w="0" w:type="auto"/>
            <w:shd w:val="clear" w:color="auto" w:fill="D7E4BC"/>
            <w:tcMar>
              <w:top w:w="40" w:type="dxa"/>
              <w:left w:w="0" w:type="dxa"/>
              <w:bottom w:w="40" w:type="dxa"/>
              <w:right w:w="20" w:type="dxa"/>
            </w:tcMar>
            <w:vAlign w:val="bottom"/>
          </w:tcPr>
          <w:p w14:paraId="64296A27" w14:textId="77777777" w:rsidR="007B6C97" w:rsidRDefault="007B6C97">
            <w:pPr>
              <w:jc w:val="right"/>
              <w:rPr>
                <w:rFonts w:ascii="宋体"/>
              </w:rPr>
            </w:pPr>
          </w:p>
        </w:tc>
      </w:tr>
      <w:tr w:rsidR="007B6C97" w14:paraId="64296A35" w14:textId="77777777">
        <w:trPr>
          <w:jc w:val="center"/>
        </w:trPr>
        <w:tc>
          <w:tcPr>
            <w:tcW w:w="0" w:type="auto"/>
            <w:gridSpan w:val="3"/>
            <w:shd w:val="clear" w:color="auto" w:fill="FFFFFF"/>
            <w:tcMar>
              <w:top w:w="40" w:type="dxa"/>
              <w:left w:w="380" w:type="dxa"/>
              <w:bottom w:w="40" w:type="dxa"/>
              <w:right w:w="20" w:type="dxa"/>
            </w:tcMar>
          </w:tcPr>
          <w:p w14:paraId="64296A29" w14:textId="77777777" w:rsidR="007B6C97" w:rsidRDefault="00E426D1">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64296A2A" w14:textId="77777777" w:rsidR="007B6C97" w:rsidRDefault="00E426D1">
            <w:pPr>
              <w:jc w:val="right"/>
              <w:textAlignment w:val="bottom"/>
            </w:pPr>
            <w:r>
              <w:rPr>
                <w:rFonts w:ascii="Times New Roman" w:eastAsia="宋体" w:hAnsi="Times New Roman"/>
                <w:color w:val="000000"/>
                <w:sz w:val="20"/>
                <w:szCs w:val="20"/>
              </w:rPr>
              <w:t>1,151.0 </w:t>
            </w:r>
          </w:p>
        </w:tc>
        <w:tc>
          <w:tcPr>
            <w:tcW w:w="0" w:type="auto"/>
            <w:shd w:val="clear" w:color="auto" w:fill="FFFFFF"/>
            <w:tcMar>
              <w:top w:w="40" w:type="dxa"/>
              <w:left w:w="0" w:type="dxa"/>
              <w:bottom w:w="40" w:type="dxa"/>
              <w:right w:w="20" w:type="dxa"/>
            </w:tcMar>
            <w:vAlign w:val="bottom"/>
          </w:tcPr>
          <w:p w14:paraId="64296A2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2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2D" w14:textId="77777777" w:rsidR="007B6C97" w:rsidRDefault="00E426D1">
            <w:pPr>
              <w:jc w:val="right"/>
              <w:textAlignment w:val="bottom"/>
            </w:pPr>
            <w:r>
              <w:rPr>
                <w:rFonts w:ascii="Times New Roman" w:eastAsia="宋体" w:hAnsi="Times New Roman"/>
                <w:color w:val="000000"/>
                <w:sz w:val="20"/>
                <w:szCs w:val="20"/>
              </w:rPr>
              <w:t>1,186.2 </w:t>
            </w:r>
          </w:p>
        </w:tc>
        <w:tc>
          <w:tcPr>
            <w:tcW w:w="0" w:type="auto"/>
            <w:shd w:val="clear" w:color="auto" w:fill="FFFFFF"/>
            <w:tcMar>
              <w:top w:w="40" w:type="dxa"/>
              <w:left w:w="0" w:type="dxa"/>
              <w:bottom w:w="40" w:type="dxa"/>
              <w:right w:w="20" w:type="dxa"/>
            </w:tcMar>
            <w:vAlign w:val="bottom"/>
          </w:tcPr>
          <w:p w14:paraId="64296A2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2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30" w14:textId="77777777" w:rsidR="007B6C97" w:rsidRDefault="00E426D1">
            <w:pPr>
              <w:jc w:val="right"/>
              <w:textAlignment w:val="bottom"/>
            </w:pPr>
            <w:r>
              <w:rPr>
                <w:rFonts w:ascii="Times New Roman" w:eastAsia="宋体" w:hAnsi="Times New Roman"/>
                <w:color w:val="000000"/>
                <w:sz w:val="20"/>
                <w:szCs w:val="20"/>
              </w:rPr>
              <w:t>1,160.5 </w:t>
            </w:r>
          </w:p>
        </w:tc>
        <w:tc>
          <w:tcPr>
            <w:tcW w:w="0" w:type="auto"/>
            <w:shd w:val="clear" w:color="auto" w:fill="FFFFFF"/>
            <w:tcMar>
              <w:top w:w="40" w:type="dxa"/>
              <w:left w:w="0" w:type="dxa"/>
              <w:bottom w:w="40" w:type="dxa"/>
              <w:right w:w="20" w:type="dxa"/>
            </w:tcMar>
            <w:vAlign w:val="bottom"/>
          </w:tcPr>
          <w:p w14:paraId="64296A3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3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33" w14:textId="77777777" w:rsidR="007B6C97" w:rsidRDefault="00E426D1">
            <w:pPr>
              <w:jc w:val="right"/>
              <w:textAlignment w:val="bottom"/>
            </w:pPr>
            <w:r>
              <w:rPr>
                <w:rFonts w:ascii="Times New Roman" w:eastAsia="宋体" w:hAnsi="Times New Roman"/>
                <w:color w:val="000000"/>
                <w:sz w:val="20"/>
                <w:szCs w:val="20"/>
              </w:rPr>
              <w:t>1,184.7 </w:t>
            </w:r>
          </w:p>
        </w:tc>
        <w:tc>
          <w:tcPr>
            <w:tcW w:w="0" w:type="auto"/>
            <w:shd w:val="clear" w:color="auto" w:fill="FFFFFF"/>
            <w:tcMar>
              <w:top w:w="40" w:type="dxa"/>
              <w:left w:w="0" w:type="dxa"/>
              <w:bottom w:w="40" w:type="dxa"/>
              <w:right w:w="20" w:type="dxa"/>
            </w:tcMar>
            <w:vAlign w:val="bottom"/>
          </w:tcPr>
          <w:p w14:paraId="64296A34" w14:textId="77777777" w:rsidR="007B6C97" w:rsidRDefault="007B6C97">
            <w:pPr>
              <w:jc w:val="right"/>
              <w:rPr>
                <w:rFonts w:ascii="宋体"/>
              </w:rPr>
            </w:pPr>
          </w:p>
        </w:tc>
      </w:tr>
    </w:tbl>
    <w:p w14:paraId="64296A36" w14:textId="77777777" w:rsidR="007B6C97" w:rsidRDefault="007B6C97"/>
    <w:p w14:paraId="64296A37" w14:textId="77777777" w:rsidR="007B6C97" w:rsidRDefault="00E426D1">
      <w:pPr>
        <w:jc w:val="center"/>
      </w:pPr>
      <w:r>
        <w:rPr>
          <w:rFonts w:ascii="Times New Roman" w:eastAsia="宋体" w:hAnsi="Times New Roman"/>
          <w:i/>
          <w:iCs/>
          <w:color w:val="000000"/>
          <w:sz w:val="20"/>
          <w:szCs w:val="20"/>
        </w:rPr>
        <w:t>See Notes to Consolidated Financial Statements.</w:t>
      </w:r>
    </w:p>
    <w:p w14:paraId="64296A38" w14:textId="77777777" w:rsidR="007B6C97" w:rsidRDefault="00E426D1">
      <w:pPr>
        <w:jc w:val="center"/>
      </w:pPr>
      <w:r>
        <w:rPr>
          <w:rFonts w:ascii="Times New Roman" w:eastAsia="宋体" w:hAnsi="Times New Roman"/>
          <w:color w:val="000000"/>
          <w:sz w:val="20"/>
          <w:szCs w:val="20"/>
        </w:rPr>
        <w:t>3</w:t>
      </w:r>
    </w:p>
    <w:p w14:paraId="64296A39" w14:textId="77777777" w:rsidR="007B6C97" w:rsidRDefault="00E426D1">
      <w:r>
        <w:pict w14:anchorId="642999DD">
          <v:rect id="_x0000_i1027" style="width:415.3pt;height:1.5pt" o:hralign="center" o:hrstd="t" o:hr="t" fillcolor="#a0a0a0" stroked="f"/>
        </w:pict>
      </w:r>
    </w:p>
    <w:p w14:paraId="64296A3A" w14:textId="77777777" w:rsidR="007B6C97" w:rsidRDefault="00E426D1">
      <w:hyperlink r:id="rId49" w:anchor="ie38a2b375c9840e583a36769999bbee6_7" w:history="1">
        <w:r>
          <w:rPr>
            <w:rStyle w:val="a5"/>
            <w:rFonts w:ascii="Times New Roman" w:eastAsia="宋体" w:hAnsi="Times New Roman"/>
            <w:sz w:val="20"/>
            <w:szCs w:val="20"/>
          </w:rPr>
          <w:t>Table</w:t>
        </w:r>
      </w:hyperlink>
      <w:hyperlink r:id="rId50" w:anchor="ie38a2b375c9840e583a36769999bbee6_7" w:history="1">
        <w:r>
          <w:rPr>
            <w:rStyle w:val="a5"/>
            <w:rFonts w:ascii="Times New Roman" w:eastAsia="宋体" w:hAnsi="Times New Roman"/>
            <w:sz w:val="20"/>
            <w:szCs w:val="20"/>
          </w:rPr>
          <w:t xml:space="preserve"> of Contents</w:t>
        </w:r>
      </w:hyperlink>
    </w:p>
    <w:p w14:paraId="64296A3B" w14:textId="77777777" w:rsidR="007B6C97" w:rsidRDefault="00E426D1">
      <w:pPr>
        <w:spacing w:before="280"/>
        <w:jc w:val="center"/>
      </w:pPr>
      <w:r>
        <w:rPr>
          <w:rFonts w:ascii="Times New Roman" w:eastAsia="宋体" w:hAnsi="Times New Roman"/>
          <w:b/>
          <w:bCs/>
          <w:color w:val="000000"/>
          <w:sz w:val="20"/>
          <w:szCs w:val="20"/>
        </w:rPr>
        <w:t>STARBUCKS CORPORATION</w:t>
      </w:r>
    </w:p>
    <w:p w14:paraId="64296A3C" w14:textId="77777777" w:rsidR="007B6C97" w:rsidRDefault="00E426D1">
      <w:pPr>
        <w:jc w:val="center"/>
      </w:pPr>
      <w:r>
        <w:rPr>
          <w:rFonts w:ascii="Times New Roman" w:eastAsia="宋体" w:hAnsi="Times New Roman"/>
          <w:b/>
          <w:bCs/>
          <w:color w:val="000000"/>
          <w:sz w:val="20"/>
          <w:szCs w:val="20"/>
        </w:rPr>
        <w:t>CONSOLIDATED STATEMENTS OF COMPREHENSIVE INCOME</w:t>
      </w:r>
    </w:p>
    <w:p w14:paraId="64296A3D" w14:textId="77777777" w:rsidR="007B6C97" w:rsidRDefault="00E426D1">
      <w:pPr>
        <w:jc w:val="center"/>
      </w:pPr>
      <w:r>
        <w:rPr>
          <w:rFonts w:ascii="Times New Roman" w:eastAsia="宋体" w:hAnsi="Times New Roman"/>
          <w:i/>
          <w:iCs/>
          <w:color w:val="000000"/>
          <w:sz w:val="20"/>
          <w:szCs w:val="20"/>
        </w:rPr>
        <w:t>(in millions, unaudi</w:t>
      </w:r>
      <w:r>
        <w:rPr>
          <w:rFonts w:ascii="Times New Roman" w:eastAsia="宋体" w:hAnsi="Times New Roman"/>
          <w:i/>
          <w:iCs/>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747"/>
        <w:gridCol w:w="38"/>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2"/>
        <w:gridCol w:w="36"/>
      </w:tblGrid>
      <w:tr w:rsidR="007B6C97" w14:paraId="64296A56" w14:textId="77777777">
        <w:tc>
          <w:tcPr>
            <w:tcW w:w="50" w:type="pct"/>
            <w:shd w:val="clear" w:color="auto" w:fill="auto"/>
            <w:vAlign w:val="bottom"/>
          </w:tcPr>
          <w:p w14:paraId="64296A3E" w14:textId="77777777" w:rsidR="007B6C97" w:rsidRDefault="007B6C97">
            <w:pPr>
              <w:rPr>
                <w:rFonts w:ascii="宋体"/>
              </w:rPr>
            </w:pPr>
          </w:p>
        </w:tc>
        <w:tc>
          <w:tcPr>
            <w:tcW w:w="2313" w:type="pct"/>
            <w:shd w:val="clear" w:color="auto" w:fill="auto"/>
            <w:vAlign w:val="bottom"/>
          </w:tcPr>
          <w:p w14:paraId="64296A3F" w14:textId="77777777" w:rsidR="007B6C97" w:rsidRDefault="007B6C97">
            <w:pPr>
              <w:rPr>
                <w:rFonts w:ascii="宋体"/>
              </w:rPr>
            </w:pPr>
          </w:p>
        </w:tc>
        <w:tc>
          <w:tcPr>
            <w:tcW w:w="5" w:type="pct"/>
            <w:shd w:val="clear" w:color="auto" w:fill="auto"/>
            <w:vAlign w:val="bottom"/>
          </w:tcPr>
          <w:p w14:paraId="64296A40" w14:textId="77777777" w:rsidR="007B6C97" w:rsidRDefault="007B6C97">
            <w:pPr>
              <w:rPr>
                <w:rFonts w:ascii="宋体"/>
              </w:rPr>
            </w:pPr>
          </w:p>
        </w:tc>
        <w:tc>
          <w:tcPr>
            <w:tcW w:w="50" w:type="pct"/>
            <w:shd w:val="clear" w:color="auto" w:fill="auto"/>
            <w:vAlign w:val="bottom"/>
          </w:tcPr>
          <w:p w14:paraId="64296A41" w14:textId="77777777" w:rsidR="007B6C97" w:rsidRDefault="007B6C97">
            <w:pPr>
              <w:rPr>
                <w:rFonts w:ascii="宋体"/>
              </w:rPr>
            </w:pPr>
          </w:p>
        </w:tc>
        <w:tc>
          <w:tcPr>
            <w:tcW w:w="580" w:type="pct"/>
            <w:shd w:val="clear" w:color="auto" w:fill="auto"/>
            <w:vAlign w:val="bottom"/>
          </w:tcPr>
          <w:p w14:paraId="64296A42" w14:textId="77777777" w:rsidR="007B6C97" w:rsidRDefault="007B6C97">
            <w:pPr>
              <w:rPr>
                <w:rFonts w:ascii="宋体"/>
              </w:rPr>
            </w:pPr>
          </w:p>
        </w:tc>
        <w:tc>
          <w:tcPr>
            <w:tcW w:w="5" w:type="pct"/>
            <w:shd w:val="clear" w:color="auto" w:fill="auto"/>
            <w:vAlign w:val="bottom"/>
          </w:tcPr>
          <w:p w14:paraId="64296A43" w14:textId="77777777" w:rsidR="007B6C97" w:rsidRDefault="007B6C97">
            <w:pPr>
              <w:rPr>
                <w:rFonts w:ascii="宋体"/>
              </w:rPr>
            </w:pPr>
          </w:p>
        </w:tc>
        <w:tc>
          <w:tcPr>
            <w:tcW w:w="5" w:type="pct"/>
            <w:shd w:val="clear" w:color="auto" w:fill="auto"/>
            <w:vAlign w:val="bottom"/>
          </w:tcPr>
          <w:p w14:paraId="64296A44" w14:textId="77777777" w:rsidR="007B6C97" w:rsidRDefault="007B6C97">
            <w:pPr>
              <w:rPr>
                <w:rFonts w:ascii="宋体"/>
              </w:rPr>
            </w:pPr>
          </w:p>
        </w:tc>
        <w:tc>
          <w:tcPr>
            <w:tcW w:w="19" w:type="pct"/>
            <w:shd w:val="clear" w:color="auto" w:fill="auto"/>
            <w:vAlign w:val="bottom"/>
          </w:tcPr>
          <w:p w14:paraId="64296A45" w14:textId="77777777" w:rsidR="007B6C97" w:rsidRDefault="007B6C97">
            <w:pPr>
              <w:rPr>
                <w:rFonts w:ascii="宋体"/>
              </w:rPr>
            </w:pPr>
          </w:p>
        </w:tc>
        <w:tc>
          <w:tcPr>
            <w:tcW w:w="5" w:type="pct"/>
            <w:shd w:val="clear" w:color="auto" w:fill="auto"/>
            <w:vAlign w:val="bottom"/>
          </w:tcPr>
          <w:p w14:paraId="64296A46" w14:textId="77777777" w:rsidR="007B6C97" w:rsidRDefault="007B6C97">
            <w:pPr>
              <w:rPr>
                <w:rFonts w:ascii="宋体"/>
              </w:rPr>
            </w:pPr>
          </w:p>
        </w:tc>
        <w:tc>
          <w:tcPr>
            <w:tcW w:w="50" w:type="pct"/>
            <w:shd w:val="clear" w:color="auto" w:fill="auto"/>
            <w:vAlign w:val="bottom"/>
          </w:tcPr>
          <w:p w14:paraId="64296A47" w14:textId="77777777" w:rsidR="007B6C97" w:rsidRDefault="007B6C97">
            <w:pPr>
              <w:rPr>
                <w:rFonts w:ascii="宋体"/>
              </w:rPr>
            </w:pPr>
          </w:p>
        </w:tc>
        <w:tc>
          <w:tcPr>
            <w:tcW w:w="580" w:type="pct"/>
            <w:shd w:val="clear" w:color="auto" w:fill="auto"/>
            <w:vAlign w:val="bottom"/>
          </w:tcPr>
          <w:p w14:paraId="64296A48" w14:textId="77777777" w:rsidR="007B6C97" w:rsidRDefault="007B6C97">
            <w:pPr>
              <w:rPr>
                <w:rFonts w:ascii="宋体"/>
              </w:rPr>
            </w:pPr>
          </w:p>
        </w:tc>
        <w:tc>
          <w:tcPr>
            <w:tcW w:w="5" w:type="pct"/>
            <w:shd w:val="clear" w:color="auto" w:fill="auto"/>
            <w:vAlign w:val="bottom"/>
          </w:tcPr>
          <w:p w14:paraId="64296A49" w14:textId="77777777" w:rsidR="007B6C97" w:rsidRDefault="007B6C97">
            <w:pPr>
              <w:rPr>
                <w:rFonts w:ascii="宋体"/>
              </w:rPr>
            </w:pPr>
          </w:p>
        </w:tc>
        <w:tc>
          <w:tcPr>
            <w:tcW w:w="5" w:type="pct"/>
            <w:shd w:val="clear" w:color="auto" w:fill="auto"/>
            <w:vAlign w:val="bottom"/>
          </w:tcPr>
          <w:p w14:paraId="64296A4A" w14:textId="77777777" w:rsidR="007B6C97" w:rsidRDefault="007B6C97">
            <w:pPr>
              <w:rPr>
                <w:rFonts w:ascii="宋体"/>
              </w:rPr>
            </w:pPr>
          </w:p>
        </w:tc>
        <w:tc>
          <w:tcPr>
            <w:tcW w:w="19" w:type="pct"/>
            <w:shd w:val="clear" w:color="auto" w:fill="auto"/>
            <w:vAlign w:val="bottom"/>
          </w:tcPr>
          <w:p w14:paraId="64296A4B" w14:textId="77777777" w:rsidR="007B6C97" w:rsidRDefault="007B6C97">
            <w:pPr>
              <w:rPr>
                <w:rFonts w:ascii="宋体"/>
              </w:rPr>
            </w:pPr>
          </w:p>
        </w:tc>
        <w:tc>
          <w:tcPr>
            <w:tcW w:w="5" w:type="pct"/>
            <w:shd w:val="clear" w:color="auto" w:fill="auto"/>
            <w:vAlign w:val="bottom"/>
          </w:tcPr>
          <w:p w14:paraId="64296A4C" w14:textId="77777777" w:rsidR="007B6C97" w:rsidRDefault="007B6C97">
            <w:pPr>
              <w:rPr>
                <w:rFonts w:ascii="宋体"/>
              </w:rPr>
            </w:pPr>
          </w:p>
        </w:tc>
        <w:tc>
          <w:tcPr>
            <w:tcW w:w="50" w:type="pct"/>
            <w:shd w:val="clear" w:color="auto" w:fill="auto"/>
            <w:vAlign w:val="bottom"/>
          </w:tcPr>
          <w:p w14:paraId="64296A4D" w14:textId="77777777" w:rsidR="007B6C97" w:rsidRDefault="007B6C97">
            <w:pPr>
              <w:rPr>
                <w:rFonts w:ascii="宋体"/>
              </w:rPr>
            </w:pPr>
          </w:p>
        </w:tc>
        <w:tc>
          <w:tcPr>
            <w:tcW w:w="580" w:type="pct"/>
            <w:shd w:val="clear" w:color="auto" w:fill="auto"/>
            <w:vAlign w:val="bottom"/>
          </w:tcPr>
          <w:p w14:paraId="64296A4E" w14:textId="77777777" w:rsidR="007B6C97" w:rsidRDefault="007B6C97">
            <w:pPr>
              <w:rPr>
                <w:rFonts w:ascii="宋体"/>
              </w:rPr>
            </w:pPr>
          </w:p>
        </w:tc>
        <w:tc>
          <w:tcPr>
            <w:tcW w:w="5" w:type="pct"/>
            <w:shd w:val="clear" w:color="auto" w:fill="auto"/>
            <w:vAlign w:val="bottom"/>
          </w:tcPr>
          <w:p w14:paraId="64296A4F" w14:textId="77777777" w:rsidR="007B6C97" w:rsidRDefault="007B6C97">
            <w:pPr>
              <w:rPr>
                <w:rFonts w:ascii="宋体"/>
              </w:rPr>
            </w:pPr>
          </w:p>
        </w:tc>
        <w:tc>
          <w:tcPr>
            <w:tcW w:w="5" w:type="pct"/>
            <w:shd w:val="clear" w:color="auto" w:fill="auto"/>
            <w:vAlign w:val="bottom"/>
          </w:tcPr>
          <w:p w14:paraId="64296A50" w14:textId="77777777" w:rsidR="007B6C97" w:rsidRDefault="007B6C97">
            <w:pPr>
              <w:rPr>
                <w:rFonts w:ascii="宋体"/>
              </w:rPr>
            </w:pPr>
          </w:p>
        </w:tc>
        <w:tc>
          <w:tcPr>
            <w:tcW w:w="19" w:type="pct"/>
            <w:shd w:val="clear" w:color="auto" w:fill="auto"/>
            <w:vAlign w:val="bottom"/>
          </w:tcPr>
          <w:p w14:paraId="64296A51" w14:textId="77777777" w:rsidR="007B6C97" w:rsidRDefault="007B6C97">
            <w:pPr>
              <w:rPr>
                <w:rFonts w:ascii="宋体"/>
              </w:rPr>
            </w:pPr>
          </w:p>
        </w:tc>
        <w:tc>
          <w:tcPr>
            <w:tcW w:w="5" w:type="pct"/>
            <w:shd w:val="clear" w:color="auto" w:fill="auto"/>
            <w:vAlign w:val="bottom"/>
          </w:tcPr>
          <w:p w14:paraId="64296A52" w14:textId="77777777" w:rsidR="007B6C97" w:rsidRDefault="007B6C97">
            <w:pPr>
              <w:rPr>
                <w:rFonts w:ascii="宋体"/>
              </w:rPr>
            </w:pPr>
          </w:p>
        </w:tc>
        <w:tc>
          <w:tcPr>
            <w:tcW w:w="50" w:type="pct"/>
            <w:shd w:val="clear" w:color="auto" w:fill="auto"/>
            <w:vAlign w:val="bottom"/>
          </w:tcPr>
          <w:p w14:paraId="64296A53" w14:textId="77777777" w:rsidR="007B6C97" w:rsidRDefault="007B6C97">
            <w:pPr>
              <w:rPr>
                <w:rFonts w:ascii="宋体"/>
              </w:rPr>
            </w:pPr>
          </w:p>
        </w:tc>
        <w:tc>
          <w:tcPr>
            <w:tcW w:w="581" w:type="pct"/>
            <w:shd w:val="clear" w:color="auto" w:fill="auto"/>
            <w:vAlign w:val="bottom"/>
          </w:tcPr>
          <w:p w14:paraId="64296A54" w14:textId="77777777" w:rsidR="007B6C97" w:rsidRDefault="007B6C97">
            <w:pPr>
              <w:rPr>
                <w:rFonts w:ascii="宋体"/>
              </w:rPr>
            </w:pPr>
          </w:p>
        </w:tc>
        <w:tc>
          <w:tcPr>
            <w:tcW w:w="5" w:type="pct"/>
            <w:shd w:val="clear" w:color="auto" w:fill="auto"/>
            <w:vAlign w:val="bottom"/>
          </w:tcPr>
          <w:p w14:paraId="64296A55" w14:textId="77777777" w:rsidR="007B6C97" w:rsidRDefault="007B6C97">
            <w:pPr>
              <w:rPr>
                <w:rFonts w:ascii="宋体"/>
              </w:rPr>
            </w:pPr>
          </w:p>
        </w:tc>
      </w:tr>
      <w:tr w:rsidR="007B6C97" w14:paraId="64296A5B" w14:textId="77777777">
        <w:tc>
          <w:tcPr>
            <w:tcW w:w="0" w:type="auto"/>
            <w:gridSpan w:val="3"/>
            <w:shd w:val="clear" w:color="auto" w:fill="auto"/>
            <w:tcMar>
              <w:top w:w="0" w:type="dxa"/>
              <w:left w:w="20" w:type="dxa"/>
              <w:bottom w:w="0" w:type="dxa"/>
              <w:right w:w="20" w:type="dxa"/>
            </w:tcMar>
            <w:vAlign w:val="bottom"/>
          </w:tcPr>
          <w:p w14:paraId="64296A57"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6A58"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6A59"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6A5A"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6A64" w14:textId="77777777">
        <w:tc>
          <w:tcPr>
            <w:tcW w:w="0" w:type="auto"/>
            <w:gridSpan w:val="3"/>
            <w:shd w:val="clear" w:color="auto" w:fill="auto"/>
            <w:tcMar>
              <w:top w:w="0" w:type="dxa"/>
              <w:left w:w="20" w:type="dxa"/>
              <w:bottom w:w="0" w:type="dxa"/>
              <w:right w:w="20" w:type="dxa"/>
            </w:tcMar>
            <w:vAlign w:val="bottom"/>
          </w:tcPr>
          <w:p w14:paraId="64296A5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A5D"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A5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A5F"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6A6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A61"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A6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A63"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6A75" w14:textId="77777777">
        <w:tc>
          <w:tcPr>
            <w:tcW w:w="0" w:type="auto"/>
            <w:gridSpan w:val="3"/>
            <w:shd w:val="clear" w:color="auto" w:fill="D7E4BC"/>
            <w:tcMar>
              <w:top w:w="40" w:type="dxa"/>
              <w:left w:w="20" w:type="dxa"/>
              <w:bottom w:w="40" w:type="dxa"/>
              <w:right w:w="20" w:type="dxa"/>
            </w:tcMar>
            <w:vAlign w:val="bottom"/>
          </w:tcPr>
          <w:p w14:paraId="64296A65" w14:textId="77777777" w:rsidR="007B6C97" w:rsidRDefault="00E426D1">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center"/>
          </w:tcPr>
          <w:p w14:paraId="64296A66"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A67" w14:textId="77777777" w:rsidR="007B6C97" w:rsidRDefault="00E426D1">
            <w:pPr>
              <w:jc w:val="right"/>
              <w:textAlignment w:val="center"/>
            </w:pPr>
            <w:r>
              <w:rPr>
                <w:rFonts w:ascii="Times New Roman" w:eastAsia="宋体" w:hAnsi="Times New Roman"/>
                <w:color w:val="000000"/>
                <w:sz w:val="20"/>
                <w:szCs w:val="20"/>
              </w:rPr>
              <w:t>913.7 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A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69"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4296A6A"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A6B" w14:textId="77777777" w:rsidR="007B6C97" w:rsidRDefault="00E426D1">
            <w:pPr>
              <w:jc w:val="right"/>
              <w:textAlignment w:val="center"/>
            </w:pPr>
            <w:r>
              <w:rPr>
                <w:rFonts w:ascii="Times New Roman" w:eastAsia="宋体" w:hAnsi="Times New Roman"/>
                <w:color w:val="000000"/>
                <w:sz w:val="20"/>
                <w:szCs w:val="20"/>
              </w:rPr>
              <w:t>1,154.2 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A6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6D"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4296A6E"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A6F" w14:textId="77777777" w:rsidR="007B6C97" w:rsidRDefault="00E426D1">
            <w:pPr>
              <w:jc w:val="right"/>
              <w:textAlignment w:val="center"/>
            </w:pPr>
            <w:r>
              <w:rPr>
                <w:rFonts w:ascii="Times New Roman" w:eastAsia="宋体" w:hAnsi="Times New Roman"/>
                <w:color w:val="000000"/>
                <w:sz w:val="20"/>
                <w:szCs w:val="20"/>
              </w:rPr>
              <w:t>2,404.8 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A7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71"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4296A72"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A73" w14:textId="77777777" w:rsidR="007B6C97" w:rsidRDefault="00E426D1">
            <w:pPr>
              <w:jc w:val="right"/>
              <w:textAlignment w:val="center"/>
            </w:pPr>
            <w:r>
              <w:rPr>
                <w:rFonts w:ascii="Times New Roman" w:eastAsia="宋体" w:hAnsi="Times New Roman"/>
                <w:color w:val="000000"/>
                <w:sz w:val="20"/>
                <w:szCs w:val="20"/>
              </w:rPr>
              <w:t>2,435.7 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A74" w14:textId="77777777" w:rsidR="007B6C97" w:rsidRDefault="007B6C97">
            <w:pPr>
              <w:jc w:val="right"/>
              <w:rPr>
                <w:rFonts w:ascii="宋体"/>
              </w:rPr>
            </w:pPr>
          </w:p>
        </w:tc>
      </w:tr>
      <w:tr w:rsidR="007B6C97" w14:paraId="64296A7E" w14:textId="77777777">
        <w:tc>
          <w:tcPr>
            <w:tcW w:w="0" w:type="auto"/>
            <w:gridSpan w:val="3"/>
            <w:shd w:val="clear" w:color="auto" w:fill="FFFFFF"/>
            <w:tcMar>
              <w:top w:w="40" w:type="dxa"/>
              <w:left w:w="20" w:type="dxa"/>
              <w:bottom w:w="40" w:type="dxa"/>
              <w:right w:w="20" w:type="dxa"/>
            </w:tcMar>
            <w:vAlign w:val="bottom"/>
          </w:tcPr>
          <w:p w14:paraId="64296A76" w14:textId="77777777" w:rsidR="007B6C97" w:rsidRDefault="00E426D1">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vAlign w:val="bottom"/>
          </w:tcPr>
          <w:p w14:paraId="64296A7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A7D" w14:textId="77777777" w:rsidR="007B6C97" w:rsidRDefault="007B6C97">
            <w:pPr>
              <w:rPr>
                <w:rFonts w:ascii="宋体"/>
              </w:rPr>
            </w:pPr>
          </w:p>
        </w:tc>
      </w:tr>
      <w:tr w:rsidR="007B6C97" w14:paraId="64296A8B" w14:textId="77777777">
        <w:tc>
          <w:tcPr>
            <w:tcW w:w="0" w:type="auto"/>
            <w:gridSpan w:val="3"/>
            <w:shd w:val="clear" w:color="auto" w:fill="D7E4BC"/>
            <w:tcMar>
              <w:top w:w="40" w:type="dxa"/>
              <w:left w:w="245" w:type="dxa"/>
              <w:bottom w:w="40" w:type="dxa"/>
              <w:right w:w="20" w:type="dxa"/>
            </w:tcMar>
            <w:vAlign w:val="bottom"/>
          </w:tcPr>
          <w:p w14:paraId="64296A7F" w14:textId="77777777" w:rsidR="007B6C97" w:rsidRDefault="00E426D1">
            <w:pPr>
              <w:textAlignment w:val="bottom"/>
            </w:pPr>
            <w:r>
              <w:rPr>
                <w:rFonts w:ascii="Times New Roman" w:eastAsia="宋体" w:hAnsi="Times New Roman"/>
                <w:color w:val="000000"/>
                <w:sz w:val="20"/>
                <w:szCs w:val="20"/>
              </w:rPr>
              <w:t xml:space="preserve">Unrealized holding gains/(losses) on </w:t>
            </w:r>
            <w:r>
              <w:rPr>
                <w:rFonts w:ascii="Times New Roman" w:eastAsia="宋体" w:hAnsi="Times New Roman"/>
                <w:color w:val="000000"/>
                <w:sz w:val="20"/>
                <w:szCs w:val="20"/>
              </w:rPr>
              <w:t>available-for-sale debt securities</w:t>
            </w:r>
          </w:p>
        </w:tc>
        <w:tc>
          <w:tcPr>
            <w:tcW w:w="0" w:type="auto"/>
            <w:gridSpan w:val="2"/>
            <w:shd w:val="clear" w:color="auto" w:fill="D7E4BC"/>
            <w:tcMar>
              <w:top w:w="40" w:type="dxa"/>
              <w:left w:w="20" w:type="dxa"/>
              <w:bottom w:w="40" w:type="dxa"/>
              <w:right w:w="0" w:type="dxa"/>
            </w:tcMar>
            <w:vAlign w:val="center"/>
          </w:tcPr>
          <w:p w14:paraId="64296A80" w14:textId="77777777" w:rsidR="007B6C97" w:rsidRDefault="00E426D1">
            <w:pPr>
              <w:jc w:val="right"/>
              <w:textAlignment w:val="center"/>
            </w:pPr>
            <w:r>
              <w:rPr>
                <w:rFonts w:ascii="Times New Roman" w:eastAsia="宋体" w:hAnsi="Times New Roman"/>
                <w:color w:val="000000"/>
                <w:sz w:val="20"/>
                <w:szCs w:val="20"/>
              </w:rPr>
              <w:t>(2.1)</w:t>
            </w:r>
          </w:p>
        </w:tc>
        <w:tc>
          <w:tcPr>
            <w:tcW w:w="0" w:type="auto"/>
            <w:shd w:val="clear" w:color="auto" w:fill="D7E4BC"/>
            <w:tcMar>
              <w:top w:w="40" w:type="dxa"/>
              <w:left w:w="0" w:type="dxa"/>
              <w:bottom w:w="40" w:type="dxa"/>
              <w:right w:w="20" w:type="dxa"/>
            </w:tcMar>
            <w:vAlign w:val="center"/>
          </w:tcPr>
          <w:p w14:paraId="64296A8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8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83" w14:textId="77777777" w:rsidR="007B6C97" w:rsidRDefault="00E426D1">
            <w:pPr>
              <w:jc w:val="right"/>
              <w:textAlignment w:val="center"/>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center"/>
          </w:tcPr>
          <w:p w14:paraId="64296A8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8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86" w14:textId="77777777" w:rsidR="007B6C97" w:rsidRDefault="00E426D1">
            <w:pPr>
              <w:jc w:val="right"/>
              <w:textAlignment w:val="center"/>
            </w:pPr>
            <w:r>
              <w:rPr>
                <w:rFonts w:ascii="Times New Roman" w:eastAsia="宋体" w:hAnsi="Times New Roman"/>
                <w:color w:val="000000"/>
                <w:sz w:val="20"/>
                <w:szCs w:val="20"/>
              </w:rPr>
              <w:t>(16.0)</w:t>
            </w:r>
          </w:p>
        </w:tc>
        <w:tc>
          <w:tcPr>
            <w:tcW w:w="0" w:type="auto"/>
            <w:shd w:val="clear" w:color="auto" w:fill="D7E4BC"/>
            <w:tcMar>
              <w:top w:w="40" w:type="dxa"/>
              <w:left w:w="0" w:type="dxa"/>
              <w:bottom w:w="40" w:type="dxa"/>
              <w:right w:w="20" w:type="dxa"/>
            </w:tcMar>
            <w:vAlign w:val="center"/>
          </w:tcPr>
          <w:p w14:paraId="64296A8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8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89" w14:textId="77777777" w:rsidR="007B6C97" w:rsidRDefault="00E426D1">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64296A8A" w14:textId="77777777" w:rsidR="007B6C97" w:rsidRDefault="007B6C97">
            <w:pPr>
              <w:jc w:val="right"/>
              <w:rPr>
                <w:rFonts w:ascii="宋体"/>
              </w:rPr>
            </w:pPr>
          </w:p>
        </w:tc>
      </w:tr>
      <w:tr w:rsidR="007B6C97" w14:paraId="64296A98" w14:textId="77777777">
        <w:tc>
          <w:tcPr>
            <w:tcW w:w="0" w:type="auto"/>
            <w:gridSpan w:val="3"/>
            <w:shd w:val="clear" w:color="auto" w:fill="FFFFFF"/>
            <w:tcMar>
              <w:top w:w="40" w:type="dxa"/>
              <w:left w:w="515" w:type="dxa"/>
              <w:bottom w:w="40" w:type="dxa"/>
              <w:right w:w="20" w:type="dxa"/>
            </w:tcMar>
            <w:vAlign w:val="center"/>
          </w:tcPr>
          <w:p w14:paraId="64296A8C" w14:textId="77777777" w:rsidR="007B6C97" w:rsidRDefault="00E426D1">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64296A8D" w14:textId="77777777" w:rsidR="007B6C97" w:rsidRDefault="00E426D1">
            <w:pPr>
              <w:jc w:val="right"/>
              <w:textAlignment w:val="top"/>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tcPr>
          <w:p w14:paraId="64296A8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8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90"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6A9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9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6A93" w14:textId="77777777" w:rsidR="007B6C97" w:rsidRDefault="00E426D1">
            <w:pPr>
              <w:jc w:val="right"/>
              <w:textAlignment w:val="top"/>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tcPr>
          <w:p w14:paraId="64296A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9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96" w14:textId="77777777" w:rsidR="007B6C97" w:rsidRDefault="00E426D1">
            <w:pPr>
              <w:jc w:val="right"/>
              <w:textAlignment w:val="center"/>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center"/>
          </w:tcPr>
          <w:p w14:paraId="64296A97" w14:textId="77777777" w:rsidR="007B6C97" w:rsidRDefault="007B6C97">
            <w:pPr>
              <w:jc w:val="right"/>
              <w:rPr>
                <w:rFonts w:ascii="宋体"/>
              </w:rPr>
            </w:pPr>
          </w:p>
        </w:tc>
      </w:tr>
      <w:tr w:rsidR="007B6C97" w14:paraId="64296AA5" w14:textId="77777777">
        <w:tc>
          <w:tcPr>
            <w:tcW w:w="0" w:type="auto"/>
            <w:gridSpan w:val="3"/>
            <w:shd w:val="clear" w:color="auto" w:fill="D7E4BC"/>
            <w:tcMar>
              <w:top w:w="40" w:type="dxa"/>
              <w:left w:w="245" w:type="dxa"/>
              <w:bottom w:w="40" w:type="dxa"/>
              <w:right w:w="20" w:type="dxa"/>
            </w:tcMar>
            <w:vAlign w:val="bottom"/>
          </w:tcPr>
          <w:p w14:paraId="64296A99" w14:textId="77777777" w:rsidR="007B6C97" w:rsidRDefault="00E426D1">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64296A9A" w14:textId="77777777" w:rsidR="007B6C97" w:rsidRDefault="00E426D1">
            <w:pPr>
              <w:jc w:val="right"/>
              <w:textAlignment w:val="center"/>
            </w:pPr>
            <w:r>
              <w:rPr>
                <w:rFonts w:ascii="Times New Roman" w:eastAsia="宋体" w:hAnsi="Times New Roman"/>
                <w:color w:val="000000"/>
                <w:sz w:val="20"/>
                <w:szCs w:val="20"/>
              </w:rPr>
              <w:t>54.4 </w:t>
            </w:r>
          </w:p>
        </w:tc>
        <w:tc>
          <w:tcPr>
            <w:tcW w:w="0" w:type="auto"/>
            <w:shd w:val="clear" w:color="auto" w:fill="D7E4BC"/>
            <w:tcMar>
              <w:top w:w="40" w:type="dxa"/>
              <w:left w:w="0" w:type="dxa"/>
              <w:bottom w:w="40" w:type="dxa"/>
              <w:right w:w="20" w:type="dxa"/>
            </w:tcMar>
            <w:vAlign w:val="center"/>
          </w:tcPr>
          <w:p w14:paraId="64296A9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9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9D" w14:textId="77777777" w:rsidR="007B6C97" w:rsidRDefault="00E426D1">
            <w:pPr>
              <w:jc w:val="right"/>
              <w:textAlignment w:val="center"/>
            </w:pPr>
            <w:r>
              <w:rPr>
                <w:rFonts w:ascii="Times New Roman" w:eastAsia="宋体" w:hAnsi="Times New Roman"/>
                <w:color w:val="000000"/>
                <w:sz w:val="20"/>
                <w:szCs w:val="20"/>
              </w:rPr>
              <w:t>34.0 </w:t>
            </w:r>
          </w:p>
        </w:tc>
        <w:tc>
          <w:tcPr>
            <w:tcW w:w="0" w:type="auto"/>
            <w:shd w:val="clear" w:color="auto" w:fill="D7E4BC"/>
            <w:tcMar>
              <w:top w:w="40" w:type="dxa"/>
              <w:left w:w="0" w:type="dxa"/>
              <w:bottom w:w="40" w:type="dxa"/>
              <w:right w:w="20" w:type="dxa"/>
            </w:tcMar>
            <w:vAlign w:val="center"/>
          </w:tcPr>
          <w:p w14:paraId="64296A9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9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A0" w14:textId="77777777" w:rsidR="007B6C97" w:rsidRDefault="00E426D1">
            <w:pPr>
              <w:jc w:val="right"/>
              <w:textAlignment w:val="center"/>
            </w:pPr>
            <w:r>
              <w:rPr>
                <w:rFonts w:ascii="Times New Roman" w:eastAsia="宋体" w:hAnsi="Times New Roman"/>
                <w:color w:val="000000"/>
                <w:sz w:val="20"/>
                <w:szCs w:val="20"/>
              </w:rPr>
              <w:t>210.3 </w:t>
            </w:r>
          </w:p>
        </w:tc>
        <w:tc>
          <w:tcPr>
            <w:tcW w:w="0" w:type="auto"/>
            <w:shd w:val="clear" w:color="auto" w:fill="D7E4BC"/>
            <w:tcMar>
              <w:top w:w="40" w:type="dxa"/>
              <w:left w:w="0" w:type="dxa"/>
              <w:bottom w:w="40" w:type="dxa"/>
              <w:right w:w="20" w:type="dxa"/>
            </w:tcMar>
            <w:vAlign w:val="center"/>
          </w:tcPr>
          <w:p w14:paraId="64296AA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A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A3" w14:textId="77777777" w:rsidR="007B6C97" w:rsidRDefault="00E426D1">
            <w:pPr>
              <w:jc w:val="right"/>
              <w:textAlignment w:val="center"/>
            </w:pPr>
            <w:r>
              <w:rPr>
                <w:rFonts w:ascii="Times New Roman" w:eastAsia="宋体" w:hAnsi="Times New Roman"/>
                <w:color w:val="000000"/>
                <w:sz w:val="20"/>
                <w:szCs w:val="20"/>
              </w:rPr>
              <w:t>138.9 </w:t>
            </w:r>
          </w:p>
        </w:tc>
        <w:tc>
          <w:tcPr>
            <w:tcW w:w="0" w:type="auto"/>
            <w:shd w:val="clear" w:color="auto" w:fill="D7E4BC"/>
            <w:tcMar>
              <w:top w:w="40" w:type="dxa"/>
              <w:left w:w="0" w:type="dxa"/>
              <w:bottom w:w="40" w:type="dxa"/>
              <w:right w:w="20" w:type="dxa"/>
            </w:tcMar>
            <w:vAlign w:val="center"/>
          </w:tcPr>
          <w:p w14:paraId="64296AA4" w14:textId="77777777" w:rsidR="007B6C97" w:rsidRDefault="007B6C97">
            <w:pPr>
              <w:jc w:val="right"/>
              <w:rPr>
                <w:rFonts w:ascii="宋体"/>
              </w:rPr>
            </w:pPr>
          </w:p>
        </w:tc>
      </w:tr>
      <w:tr w:rsidR="007B6C97" w14:paraId="64296AB2" w14:textId="77777777">
        <w:tc>
          <w:tcPr>
            <w:tcW w:w="0" w:type="auto"/>
            <w:gridSpan w:val="3"/>
            <w:shd w:val="clear" w:color="auto" w:fill="FFFFFF"/>
            <w:tcMar>
              <w:top w:w="40" w:type="dxa"/>
              <w:left w:w="515" w:type="dxa"/>
              <w:bottom w:w="40" w:type="dxa"/>
              <w:right w:w="20" w:type="dxa"/>
            </w:tcMar>
            <w:vAlign w:val="bottom"/>
          </w:tcPr>
          <w:p w14:paraId="64296AA6" w14:textId="77777777" w:rsidR="007B6C97" w:rsidRDefault="00E426D1">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64296AA7" w14:textId="77777777" w:rsidR="007B6C97" w:rsidRDefault="00E426D1">
            <w:pPr>
              <w:jc w:val="right"/>
              <w:textAlignment w:val="center"/>
            </w:pPr>
            <w:r>
              <w:rPr>
                <w:rFonts w:ascii="Times New Roman" w:eastAsia="宋体" w:hAnsi="Times New Roman"/>
                <w:color w:val="000000"/>
                <w:sz w:val="20"/>
                <w:szCs w:val="20"/>
              </w:rPr>
              <w:t>(13.4)</w:t>
            </w:r>
          </w:p>
        </w:tc>
        <w:tc>
          <w:tcPr>
            <w:tcW w:w="0" w:type="auto"/>
            <w:shd w:val="clear" w:color="auto" w:fill="FFFFFF"/>
            <w:tcMar>
              <w:top w:w="40" w:type="dxa"/>
              <w:left w:w="0" w:type="dxa"/>
              <w:bottom w:w="40" w:type="dxa"/>
              <w:right w:w="20" w:type="dxa"/>
            </w:tcMar>
            <w:vAlign w:val="center"/>
          </w:tcPr>
          <w:p w14:paraId="64296A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A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AA" w14:textId="77777777" w:rsidR="007B6C97" w:rsidRDefault="00E426D1">
            <w:pPr>
              <w:jc w:val="right"/>
              <w:textAlignment w:val="center"/>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center"/>
          </w:tcPr>
          <w:p w14:paraId="64296AA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A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AD" w14:textId="77777777" w:rsidR="007B6C97" w:rsidRDefault="00E426D1">
            <w:pPr>
              <w:jc w:val="right"/>
              <w:textAlignment w:val="center"/>
            </w:pPr>
            <w:r>
              <w:rPr>
                <w:rFonts w:ascii="Times New Roman" w:eastAsia="宋体" w:hAnsi="Times New Roman"/>
                <w:color w:val="000000"/>
                <w:sz w:val="20"/>
                <w:szCs w:val="20"/>
              </w:rPr>
              <w:t>(39.5)</w:t>
            </w:r>
          </w:p>
        </w:tc>
        <w:tc>
          <w:tcPr>
            <w:tcW w:w="0" w:type="auto"/>
            <w:shd w:val="clear" w:color="auto" w:fill="FFFFFF"/>
            <w:tcMar>
              <w:top w:w="40" w:type="dxa"/>
              <w:left w:w="0" w:type="dxa"/>
              <w:bottom w:w="40" w:type="dxa"/>
              <w:right w:w="20" w:type="dxa"/>
            </w:tcMar>
            <w:vAlign w:val="center"/>
          </w:tcPr>
          <w:p w14:paraId="64296AA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A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B0" w14:textId="77777777" w:rsidR="007B6C97" w:rsidRDefault="00E426D1">
            <w:pPr>
              <w:jc w:val="right"/>
              <w:textAlignment w:val="center"/>
            </w:pPr>
            <w:r>
              <w:rPr>
                <w:rFonts w:ascii="Times New Roman" w:eastAsia="宋体" w:hAnsi="Times New Roman"/>
                <w:color w:val="000000"/>
                <w:sz w:val="20"/>
                <w:szCs w:val="20"/>
              </w:rPr>
              <w:t>(27.9)</w:t>
            </w:r>
          </w:p>
        </w:tc>
        <w:tc>
          <w:tcPr>
            <w:tcW w:w="0" w:type="auto"/>
            <w:shd w:val="clear" w:color="auto" w:fill="FFFFFF"/>
            <w:tcMar>
              <w:top w:w="40" w:type="dxa"/>
              <w:left w:w="0" w:type="dxa"/>
              <w:bottom w:w="40" w:type="dxa"/>
              <w:right w:w="20" w:type="dxa"/>
            </w:tcMar>
            <w:vAlign w:val="center"/>
          </w:tcPr>
          <w:p w14:paraId="64296AB1" w14:textId="77777777" w:rsidR="007B6C97" w:rsidRDefault="007B6C97">
            <w:pPr>
              <w:jc w:val="right"/>
              <w:rPr>
                <w:rFonts w:ascii="宋体"/>
              </w:rPr>
            </w:pPr>
          </w:p>
        </w:tc>
      </w:tr>
      <w:tr w:rsidR="007B6C97" w14:paraId="64296ABF" w14:textId="77777777">
        <w:tc>
          <w:tcPr>
            <w:tcW w:w="0" w:type="auto"/>
            <w:gridSpan w:val="3"/>
            <w:shd w:val="clear" w:color="auto" w:fill="D7E4BC"/>
            <w:tcMar>
              <w:top w:w="40" w:type="dxa"/>
              <w:left w:w="245" w:type="dxa"/>
              <w:bottom w:w="40" w:type="dxa"/>
              <w:right w:w="20" w:type="dxa"/>
            </w:tcMar>
            <w:vAlign w:val="bottom"/>
          </w:tcPr>
          <w:p w14:paraId="64296AB3" w14:textId="77777777" w:rsidR="007B6C97" w:rsidRDefault="00E426D1">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64296AB4" w14:textId="77777777" w:rsidR="007B6C97" w:rsidRDefault="00E426D1">
            <w:pPr>
              <w:jc w:val="right"/>
              <w:textAlignment w:val="center"/>
            </w:pPr>
            <w:r>
              <w:rPr>
                <w:rFonts w:ascii="Times New Roman" w:eastAsia="宋体" w:hAnsi="Times New Roman"/>
                <w:color w:val="000000"/>
                <w:sz w:val="20"/>
                <w:szCs w:val="20"/>
              </w:rPr>
              <w:t>109.2 </w:t>
            </w:r>
          </w:p>
        </w:tc>
        <w:tc>
          <w:tcPr>
            <w:tcW w:w="0" w:type="auto"/>
            <w:shd w:val="clear" w:color="auto" w:fill="D7E4BC"/>
            <w:tcMar>
              <w:top w:w="40" w:type="dxa"/>
              <w:left w:w="0" w:type="dxa"/>
              <w:bottom w:w="40" w:type="dxa"/>
              <w:right w:w="20" w:type="dxa"/>
            </w:tcMar>
            <w:vAlign w:val="center"/>
          </w:tcPr>
          <w:p w14:paraId="64296AB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B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B7" w14:textId="77777777" w:rsidR="007B6C97" w:rsidRDefault="00E426D1">
            <w:pPr>
              <w:jc w:val="right"/>
              <w:textAlignment w:val="center"/>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center"/>
          </w:tcPr>
          <w:p w14:paraId="64296AB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B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BA" w14:textId="77777777" w:rsidR="007B6C97" w:rsidRDefault="00E426D1">
            <w:pPr>
              <w:jc w:val="right"/>
              <w:textAlignment w:val="center"/>
            </w:pPr>
            <w:r>
              <w:rPr>
                <w:rFonts w:ascii="Times New Roman" w:eastAsia="宋体" w:hAnsi="Times New Roman"/>
                <w:color w:val="000000"/>
                <w:sz w:val="20"/>
                <w:szCs w:val="20"/>
              </w:rPr>
              <w:t>188.8 </w:t>
            </w:r>
          </w:p>
        </w:tc>
        <w:tc>
          <w:tcPr>
            <w:tcW w:w="0" w:type="auto"/>
            <w:shd w:val="clear" w:color="auto" w:fill="D7E4BC"/>
            <w:tcMar>
              <w:top w:w="40" w:type="dxa"/>
              <w:left w:w="0" w:type="dxa"/>
              <w:bottom w:w="40" w:type="dxa"/>
              <w:right w:w="20" w:type="dxa"/>
            </w:tcMar>
            <w:vAlign w:val="center"/>
          </w:tcPr>
          <w:p w14:paraId="64296AB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B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BD" w14:textId="77777777" w:rsidR="007B6C97" w:rsidRDefault="00E426D1">
            <w:pPr>
              <w:jc w:val="right"/>
              <w:textAlignment w:val="center"/>
            </w:pPr>
            <w:r>
              <w:rPr>
                <w:rFonts w:ascii="Times New Roman" w:eastAsia="宋体" w:hAnsi="Times New Roman"/>
                <w:color w:val="000000"/>
                <w:sz w:val="20"/>
                <w:szCs w:val="20"/>
              </w:rPr>
              <w:t>49.9 </w:t>
            </w:r>
          </w:p>
        </w:tc>
        <w:tc>
          <w:tcPr>
            <w:tcW w:w="0" w:type="auto"/>
            <w:shd w:val="clear" w:color="auto" w:fill="D7E4BC"/>
            <w:tcMar>
              <w:top w:w="40" w:type="dxa"/>
              <w:left w:w="0" w:type="dxa"/>
              <w:bottom w:w="40" w:type="dxa"/>
              <w:right w:w="20" w:type="dxa"/>
            </w:tcMar>
            <w:vAlign w:val="center"/>
          </w:tcPr>
          <w:p w14:paraId="64296ABE" w14:textId="77777777" w:rsidR="007B6C97" w:rsidRDefault="007B6C97">
            <w:pPr>
              <w:jc w:val="right"/>
              <w:rPr>
                <w:rFonts w:ascii="宋体"/>
              </w:rPr>
            </w:pPr>
          </w:p>
        </w:tc>
      </w:tr>
      <w:tr w:rsidR="007B6C97" w14:paraId="64296ACC" w14:textId="77777777">
        <w:tc>
          <w:tcPr>
            <w:tcW w:w="0" w:type="auto"/>
            <w:gridSpan w:val="3"/>
            <w:shd w:val="clear" w:color="auto" w:fill="FFFFFF"/>
            <w:tcMar>
              <w:top w:w="40" w:type="dxa"/>
              <w:left w:w="515" w:type="dxa"/>
              <w:bottom w:w="40" w:type="dxa"/>
              <w:right w:w="20" w:type="dxa"/>
            </w:tcMar>
            <w:vAlign w:val="bottom"/>
          </w:tcPr>
          <w:p w14:paraId="64296AC0" w14:textId="77777777" w:rsidR="007B6C97" w:rsidRDefault="00E426D1">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64296AC1" w14:textId="77777777" w:rsidR="007B6C97" w:rsidRDefault="00E426D1">
            <w:pPr>
              <w:jc w:val="right"/>
              <w:textAlignment w:val="center"/>
            </w:pPr>
            <w:r>
              <w:rPr>
                <w:rFonts w:ascii="Times New Roman" w:eastAsia="宋体" w:hAnsi="Times New Roman"/>
                <w:color w:val="000000"/>
                <w:sz w:val="20"/>
                <w:szCs w:val="20"/>
              </w:rPr>
              <w:t>(27.6)</w:t>
            </w:r>
          </w:p>
        </w:tc>
        <w:tc>
          <w:tcPr>
            <w:tcW w:w="0" w:type="auto"/>
            <w:shd w:val="clear" w:color="auto" w:fill="FFFFFF"/>
            <w:tcMar>
              <w:top w:w="40" w:type="dxa"/>
              <w:left w:w="0" w:type="dxa"/>
              <w:bottom w:w="40" w:type="dxa"/>
              <w:right w:w="20" w:type="dxa"/>
            </w:tcMar>
            <w:vAlign w:val="center"/>
          </w:tcPr>
          <w:p w14:paraId="64296AC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C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C4" w14:textId="77777777" w:rsidR="007B6C97" w:rsidRDefault="00E426D1">
            <w:pPr>
              <w:jc w:val="right"/>
              <w:textAlignment w:val="center"/>
            </w:pPr>
            <w:r>
              <w:rPr>
                <w:rFonts w:ascii="Times New Roman" w:eastAsia="宋体" w:hAnsi="Times New Roman"/>
                <w:color w:val="000000"/>
                <w:sz w:val="20"/>
                <w:szCs w:val="20"/>
              </w:rPr>
              <w:t>(8.2)</w:t>
            </w:r>
          </w:p>
        </w:tc>
        <w:tc>
          <w:tcPr>
            <w:tcW w:w="0" w:type="auto"/>
            <w:shd w:val="clear" w:color="auto" w:fill="FFFFFF"/>
            <w:tcMar>
              <w:top w:w="40" w:type="dxa"/>
              <w:left w:w="0" w:type="dxa"/>
              <w:bottom w:w="40" w:type="dxa"/>
              <w:right w:w="20" w:type="dxa"/>
            </w:tcMar>
            <w:vAlign w:val="center"/>
          </w:tcPr>
          <w:p w14:paraId="64296AC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C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C7" w14:textId="77777777" w:rsidR="007B6C97" w:rsidRDefault="00E426D1">
            <w:pPr>
              <w:jc w:val="right"/>
              <w:textAlignment w:val="center"/>
            </w:pPr>
            <w:r>
              <w:rPr>
                <w:rFonts w:ascii="Times New Roman" w:eastAsia="宋体" w:hAnsi="Times New Roman"/>
                <w:color w:val="000000"/>
                <w:sz w:val="20"/>
                <w:szCs w:val="20"/>
              </w:rPr>
              <w:t>(47.7)</w:t>
            </w:r>
          </w:p>
        </w:tc>
        <w:tc>
          <w:tcPr>
            <w:tcW w:w="0" w:type="auto"/>
            <w:shd w:val="clear" w:color="auto" w:fill="FFFFFF"/>
            <w:tcMar>
              <w:top w:w="40" w:type="dxa"/>
              <w:left w:w="0" w:type="dxa"/>
              <w:bottom w:w="40" w:type="dxa"/>
              <w:right w:w="20" w:type="dxa"/>
            </w:tcMar>
            <w:vAlign w:val="center"/>
          </w:tcPr>
          <w:p w14:paraId="64296AC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C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CA" w14:textId="77777777" w:rsidR="007B6C97" w:rsidRDefault="00E426D1">
            <w:pPr>
              <w:jc w:val="right"/>
              <w:textAlignment w:val="center"/>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center"/>
          </w:tcPr>
          <w:p w14:paraId="64296ACB" w14:textId="77777777" w:rsidR="007B6C97" w:rsidRDefault="007B6C97">
            <w:pPr>
              <w:jc w:val="right"/>
              <w:rPr>
                <w:rFonts w:ascii="宋体"/>
              </w:rPr>
            </w:pPr>
          </w:p>
        </w:tc>
      </w:tr>
      <w:tr w:rsidR="007B6C97" w14:paraId="64296AD9" w14:textId="77777777">
        <w:tc>
          <w:tcPr>
            <w:tcW w:w="0" w:type="auto"/>
            <w:gridSpan w:val="3"/>
            <w:shd w:val="clear" w:color="auto" w:fill="D7E4BC"/>
            <w:tcMar>
              <w:top w:w="40" w:type="dxa"/>
              <w:left w:w="245" w:type="dxa"/>
              <w:bottom w:w="40" w:type="dxa"/>
              <w:right w:w="20" w:type="dxa"/>
            </w:tcMar>
            <w:vAlign w:val="bottom"/>
          </w:tcPr>
          <w:p w14:paraId="64296ACD" w14:textId="77777777" w:rsidR="007B6C97" w:rsidRDefault="00E426D1">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64296ACE" w14:textId="77777777" w:rsidR="007B6C97" w:rsidRDefault="00E426D1">
            <w:pPr>
              <w:jc w:val="right"/>
              <w:textAlignment w:val="bottom"/>
            </w:pPr>
            <w:r>
              <w:rPr>
                <w:rFonts w:ascii="Times New Roman" w:eastAsia="宋体" w:hAnsi="Times New Roman"/>
                <w:color w:val="000000"/>
                <w:sz w:val="20"/>
                <w:szCs w:val="20"/>
              </w:rPr>
              <w:t>(396.9)</w:t>
            </w:r>
          </w:p>
        </w:tc>
        <w:tc>
          <w:tcPr>
            <w:tcW w:w="0" w:type="auto"/>
            <w:shd w:val="clear" w:color="auto" w:fill="D7E4BC"/>
            <w:tcMar>
              <w:top w:w="40" w:type="dxa"/>
              <w:left w:w="0" w:type="dxa"/>
              <w:bottom w:w="40" w:type="dxa"/>
              <w:right w:w="20" w:type="dxa"/>
            </w:tcMar>
            <w:vAlign w:val="bottom"/>
          </w:tcPr>
          <w:p w14:paraId="64296AC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D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AD1" w14:textId="77777777" w:rsidR="007B6C97" w:rsidRDefault="00E426D1">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left w:w="0" w:type="dxa"/>
              <w:bottom w:w="40" w:type="dxa"/>
              <w:right w:w="20" w:type="dxa"/>
            </w:tcMar>
            <w:vAlign w:val="bottom"/>
          </w:tcPr>
          <w:p w14:paraId="64296AD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D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D4" w14:textId="77777777" w:rsidR="007B6C97" w:rsidRDefault="00E426D1">
            <w:pPr>
              <w:jc w:val="right"/>
              <w:textAlignment w:val="center"/>
            </w:pPr>
            <w:r>
              <w:rPr>
                <w:rFonts w:ascii="Times New Roman" w:eastAsia="宋体" w:hAnsi="Times New Roman"/>
                <w:color w:val="000000"/>
                <w:sz w:val="20"/>
                <w:szCs w:val="20"/>
              </w:rPr>
              <w:t>(421.2)</w:t>
            </w:r>
          </w:p>
        </w:tc>
        <w:tc>
          <w:tcPr>
            <w:tcW w:w="0" w:type="auto"/>
            <w:shd w:val="clear" w:color="auto" w:fill="D7E4BC"/>
            <w:tcMar>
              <w:top w:w="40" w:type="dxa"/>
              <w:left w:w="0" w:type="dxa"/>
              <w:bottom w:w="40" w:type="dxa"/>
              <w:right w:w="20" w:type="dxa"/>
            </w:tcMar>
            <w:vAlign w:val="center"/>
          </w:tcPr>
          <w:p w14:paraId="64296A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D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D7" w14:textId="77777777" w:rsidR="007B6C97" w:rsidRDefault="00E426D1">
            <w:pPr>
              <w:jc w:val="right"/>
              <w:textAlignment w:val="center"/>
            </w:pPr>
            <w:r>
              <w:rPr>
                <w:rFonts w:ascii="Times New Roman" w:eastAsia="宋体" w:hAnsi="Times New Roman"/>
                <w:color w:val="000000"/>
                <w:sz w:val="20"/>
                <w:szCs w:val="20"/>
              </w:rPr>
              <w:t>195.5 </w:t>
            </w:r>
          </w:p>
        </w:tc>
        <w:tc>
          <w:tcPr>
            <w:tcW w:w="0" w:type="auto"/>
            <w:shd w:val="clear" w:color="auto" w:fill="D7E4BC"/>
            <w:tcMar>
              <w:top w:w="40" w:type="dxa"/>
              <w:left w:w="0" w:type="dxa"/>
              <w:bottom w:w="40" w:type="dxa"/>
              <w:right w:w="20" w:type="dxa"/>
            </w:tcMar>
            <w:vAlign w:val="center"/>
          </w:tcPr>
          <w:p w14:paraId="64296AD8" w14:textId="77777777" w:rsidR="007B6C97" w:rsidRDefault="007B6C97">
            <w:pPr>
              <w:jc w:val="right"/>
              <w:rPr>
                <w:rFonts w:ascii="宋体"/>
              </w:rPr>
            </w:pPr>
          </w:p>
        </w:tc>
      </w:tr>
      <w:tr w:rsidR="007B6C97" w14:paraId="64296AE6" w14:textId="77777777">
        <w:tc>
          <w:tcPr>
            <w:tcW w:w="0" w:type="auto"/>
            <w:gridSpan w:val="3"/>
            <w:shd w:val="clear" w:color="auto" w:fill="FFFFFF"/>
            <w:tcMar>
              <w:top w:w="40" w:type="dxa"/>
              <w:left w:w="515" w:type="dxa"/>
              <w:bottom w:w="40" w:type="dxa"/>
              <w:right w:w="20" w:type="dxa"/>
            </w:tcMar>
            <w:vAlign w:val="bottom"/>
          </w:tcPr>
          <w:p w14:paraId="64296ADA" w14:textId="77777777" w:rsidR="007B6C97" w:rsidRDefault="00E426D1">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64296AD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AD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D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D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AD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E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E1"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6AE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E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AE4" w14:textId="77777777" w:rsidR="007B6C97" w:rsidRDefault="00E426D1">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64296AE5" w14:textId="77777777" w:rsidR="007B6C97" w:rsidRDefault="007B6C97">
            <w:pPr>
              <w:jc w:val="right"/>
              <w:rPr>
                <w:rFonts w:ascii="宋体"/>
              </w:rPr>
            </w:pPr>
          </w:p>
        </w:tc>
      </w:tr>
      <w:tr w:rsidR="007B6C97" w14:paraId="64296AF3" w14:textId="77777777">
        <w:tc>
          <w:tcPr>
            <w:tcW w:w="0" w:type="auto"/>
            <w:gridSpan w:val="3"/>
            <w:shd w:val="clear" w:color="auto" w:fill="D7E4BC"/>
            <w:tcMar>
              <w:top w:w="40" w:type="dxa"/>
              <w:left w:w="245" w:type="dxa"/>
              <w:bottom w:w="40" w:type="dxa"/>
              <w:right w:w="20" w:type="dxa"/>
            </w:tcMar>
            <w:vAlign w:val="bottom"/>
          </w:tcPr>
          <w:p w14:paraId="64296AE7" w14:textId="77777777" w:rsidR="007B6C97" w:rsidRDefault="00E426D1">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64296AE8" w14:textId="77777777" w:rsidR="007B6C97" w:rsidRDefault="00E426D1">
            <w:pPr>
              <w:jc w:val="right"/>
              <w:textAlignment w:val="center"/>
            </w:pPr>
            <w:r>
              <w:rPr>
                <w:rFonts w:ascii="Times New Roman" w:eastAsia="宋体" w:hAnsi="Times New Roman"/>
                <w:color w:val="000000"/>
                <w:sz w:val="20"/>
                <w:szCs w:val="20"/>
              </w:rPr>
              <w:t>(59.2)</w:t>
            </w:r>
          </w:p>
        </w:tc>
        <w:tc>
          <w:tcPr>
            <w:tcW w:w="0" w:type="auto"/>
            <w:shd w:val="clear" w:color="auto" w:fill="D7E4BC"/>
            <w:tcMar>
              <w:top w:w="40" w:type="dxa"/>
              <w:left w:w="0" w:type="dxa"/>
              <w:bottom w:w="40" w:type="dxa"/>
              <w:right w:w="20" w:type="dxa"/>
            </w:tcMar>
            <w:vAlign w:val="center"/>
          </w:tcPr>
          <w:p w14:paraId="64296AE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E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EB" w14:textId="77777777" w:rsidR="007B6C97" w:rsidRDefault="00E426D1">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center"/>
          </w:tcPr>
          <w:p w14:paraId="64296AE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E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EE" w14:textId="77777777" w:rsidR="007B6C97" w:rsidRDefault="00E426D1">
            <w:pPr>
              <w:jc w:val="right"/>
              <w:textAlignment w:val="center"/>
            </w:pPr>
            <w:r>
              <w:rPr>
                <w:rFonts w:ascii="Times New Roman" w:eastAsia="宋体" w:hAnsi="Times New Roman"/>
                <w:color w:val="000000"/>
                <w:sz w:val="20"/>
                <w:szCs w:val="20"/>
              </w:rPr>
              <w:t>(109.5)</w:t>
            </w:r>
          </w:p>
        </w:tc>
        <w:tc>
          <w:tcPr>
            <w:tcW w:w="0" w:type="auto"/>
            <w:shd w:val="clear" w:color="auto" w:fill="D7E4BC"/>
            <w:tcMar>
              <w:top w:w="40" w:type="dxa"/>
              <w:left w:w="0" w:type="dxa"/>
              <w:bottom w:w="40" w:type="dxa"/>
              <w:right w:w="20" w:type="dxa"/>
            </w:tcMar>
            <w:vAlign w:val="center"/>
          </w:tcPr>
          <w:p w14:paraId="64296AE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AF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AF1" w14:textId="77777777" w:rsidR="007B6C97" w:rsidRDefault="00E426D1">
            <w:pPr>
              <w:jc w:val="right"/>
              <w:textAlignment w:val="center"/>
            </w:pPr>
            <w:r>
              <w:rPr>
                <w:rFonts w:ascii="Times New Roman" w:eastAsia="宋体" w:hAnsi="Times New Roman"/>
                <w:color w:val="000000"/>
                <w:sz w:val="20"/>
                <w:szCs w:val="20"/>
              </w:rPr>
              <w:t>(13.1)</w:t>
            </w:r>
          </w:p>
        </w:tc>
        <w:tc>
          <w:tcPr>
            <w:tcW w:w="0" w:type="auto"/>
            <w:shd w:val="clear" w:color="auto" w:fill="D7E4BC"/>
            <w:tcMar>
              <w:top w:w="40" w:type="dxa"/>
              <w:left w:w="0" w:type="dxa"/>
              <w:bottom w:w="40" w:type="dxa"/>
              <w:right w:w="20" w:type="dxa"/>
            </w:tcMar>
            <w:vAlign w:val="center"/>
          </w:tcPr>
          <w:p w14:paraId="64296AF2" w14:textId="77777777" w:rsidR="007B6C97" w:rsidRDefault="007B6C97">
            <w:pPr>
              <w:jc w:val="right"/>
              <w:rPr>
                <w:rFonts w:ascii="宋体"/>
              </w:rPr>
            </w:pPr>
          </w:p>
        </w:tc>
      </w:tr>
      <w:tr w:rsidR="007B6C97" w14:paraId="64296B00" w14:textId="77777777">
        <w:tc>
          <w:tcPr>
            <w:tcW w:w="0" w:type="auto"/>
            <w:gridSpan w:val="3"/>
            <w:shd w:val="clear" w:color="auto" w:fill="FFFFFF"/>
            <w:tcMar>
              <w:top w:w="40" w:type="dxa"/>
              <w:left w:w="515" w:type="dxa"/>
              <w:bottom w:w="40" w:type="dxa"/>
              <w:right w:w="20" w:type="dxa"/>
            </w:tcMar>
            <w:vAlign w:val="bottom"/>
          </w:tcPr>
          <w:p w14:paraId="64296AF4" w14:textId="77777777" w:rsidR="007B6C97" w:rsidRDefault="00E426D1">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64296AF5" w14:textId="77777777" w:rsidR="007B6C97" w:rsidRDefault="00E426D1">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64296A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F8"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4296AF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F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FB" w14:textId="77777777" w:rsidR="007B6C97" w:rsidRDefault="00E426D1">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64296A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AF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AFE" w14:textId="77777777" w:rsidR="007B6C97" w:rsidRDefault="00E426D1">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64296AFF" w14:textId="77777777" w:rsidR="007B6C97" w:rsidRDefault="007B6C97">
            <w:pPr>
              <w:jc w:val="right"/>
              <w:rPr>
                <w:rFonts w:ascii="宋体"/>
              </w:rPr>
            </w:pPr>
          </w:p>
        </w:tc>
      </w:tr>
      <w:tr w:rsidR="007B6C97" w14:paraId="64296B0D" w14:textId="77777777">
        <w:tc>
          <w:tcPr>
            <w:tcW w:w="0" w:type="auto"/>
            <w:gridSpan w:val="3"/>
            <w:shd w:val="clear" w:color="auto" w:fill="D7E4BC"/>
            <w:tcMar>
              <w:top w:w="40" w:type="dxa"/>
              <w:left w:w="20" w:type="dxa"/>
              <w:bottom w:w="40" w:type="dxa"/>
              <w:right w:w="20" w:type="dxa"/>
            </w:tcMar>
            <w:vAlign w:val="bottom"/>
          </w:tcPr>
          <w:p w14:paraId="64296B01" w14:textId="77777777" w:rsidR="007B6C97" w:rsidRDefault="00E426D1">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B02" w14:textId="77777777" w:rsidR="007B6C97" w:rsidRDefault="00E426D1">
            <w:pPr>
              <w:jc w:val="right"/>
              <w:textAlignment w:val="bottom"/>
            </w:pPr>
            <w:r>
              <w:rPr>
                <w:rFonts w:ascii="Times New Roman" w:eastAsia="宋体" w:hAnsi="Times New Roman"/>
                <w:color w:val="000000"/>
                <w:sz w:val="20"/>
                <w:szCs w:val="20"/>
              </w:rPr>
              <w:t>(325.3)</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B0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0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B05" w14:textId="77777777" w:rsidR="007B6C97" w:rsidRDefault="00E426D1">
            <w:pPr>
              <w:jc w:val="right"/>
              <w:textAlignment w:val="bottom"/>
            </w:pPr>
            <w:r>
              <w:rPr>
                <w:rFonts w:ascii="Times New Roman" w:eastAsia="宋体" w:hAnsi="Times New Roman"/>
                <w:color w:val="000000"/>
                <w:sz w:val="20"/>
                <w:szCs w:val="20"/>
              </w:rPr>
              <w:t>96.6 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B0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0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B08" w14:textId="77777777" w:rsidR="007B6C97" w:rsidRDefault="00E426D1">
            <w:pPr>
              <w:jc w:val="right"/>
              <w:textAlignment w:val="bottom"/>
            </w:pPr>
            <w:r>
              <w:rPr>
                <w:rFonts w:ascii="Times New Roman" w:eastAsia="宋体" w:hAnsi="Times New Roman"/>
                <w:color w:val="000000"/>
                <w:sz w:val="20"/>
                <w:szCs w:val="20"/>
              </w:rPr>
              <w:t>(212.2)</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B0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0A"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B0B" w14:textId="77777777" w:rsidR="007B6C97" w:rsidRDefault="00E426D1">
            <w:pPr>
              <w:jc w:val="right"/>
              <w:textAlignment w:val="bottom"/>
            </w:pPr>
            <w:r>
              <w:rPr>
                <w:rFonts w:ascii="Times New Roman" w:eastAsia="宋体" w:hAnsi="Times New Roman"/>
                <w:color w:val="000000"/>
                <w:sz w:val="20"/>
                <w:szCs w:val="20"/>
              </w:rPr>
              <w:t>334.9 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B0C" w14:textId="77777777" w:rsidR="007B6C97" w:rsidRDefault="007B6C97">
            <w:pPr>
              <w:jc w:val="right"/>
              <w:rPr>
                <w:rFonts w:ascii="宋体"/>
              </w:rPr>
            </w:pPr>
          </w:p>
        </w:tc>
      </w:tr>
      <w:tr w:rsidR="007B6C97" w14:paraId="64296B1A" w14:textId="77777777">
        <w:tc>
          <w:tcPr>
            <w:tcW w:w="0" w:type="auto"/>
            <w:gridSpan w:val="3"/>
            <w:shd w:val="clear" w:color="auto" w:fill="FFFFFF"/>
            <w:tcMar>
              <w:top w:w="40" w:type="dxa"/>
              <w:left w:w="20" w:type="dxa"/>
              <w:bottom w:w="40" w:type="dxa"/>
              <w:right w:w="20" w:type="dxa"/>
            </w:tcMar>
            <w:vAlign w:val="bottom"/>
          </w:tcPr>
          <w:p w14:paraId="64296B0E" w14:textId="77777777" w:rsidR="007B6C97" w:rsidRDefault="00E426D1">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B0F" w14:textId="77777777" w:rsidR="007B6C97" w:rsidRDefault="00E426D1">
            <w:pPr>
              <w:jc w:val="right"/>
              <w:textAlignment w:val="center"/>
            </w:pPr>
            <w:r>
              <w:rPr>
                <w:rFonts w:ascii="Times New Roman" w:eastAsia="宋体" w:hAnsi="Times New Roman"/>
                <w:color w:val="000000"/>
                <w:sz w:val="20"/>
                <w:szCs w:val="20"/>
              </w:rPr>
              <w:t>588.4 </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B1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11"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B12" w14:textId="77777777" w:rsidR="007B6C97" w:rsidRDefault="00E426D1">
            <w:pPr>
              <w:jc w:val="right"/>
              <w:textAlignment w:val="center"/>
            </w:pPr>
            <w:r>
              <w:rPr>
                <w:rFonts w:ascii="Times New Roman" w:eastAsia="宋体" w:hAnsi="Times New Roman"/>
                <w:color w:val="000000"/>
                <w:sz w:val="20"/>
                <w:szCs w:val="20"/>
              </w:rPr>
              <w:t>1,250.8 </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B1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14"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B15" w14:textId="77777777" w:rsidR="007B6C97" w:rsidRDefault="00E426D1">
            <w:pPr>
              <w:jc w:val="right"/>
              <w:textAlignment w:val="center"/>
            </w:pPr>
            <w:r>
              <w:rPr>
                <w:rFonts w:ascii="Times New Roman" w:eastAsia="宋体" w:hAnsi="Times New Roman"/>
                <w:color w:val="000000"/>
                <w:sz w:val="20"/>
                <w:szCs w:val="20"/>
              </w:rPr>
              <w:t>2,192.6 </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B1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17"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B18" w14:textId="77777777" w:rsidR="007B6C97" w:rsidRDefault="00E426D1">
            <w:pPr>
              <w:jc w:val="right"/>
              <w:textAlignment w:val="center"/>
            </w:pPr>
            <w:r>
              <w:rPr>
                <w:rFonts w:ascii="Times New Roman" w:eastAsia="宋体" w:hAnsi="Times New Roman"/>
                <w:color w:val="000000"/>
                <w:sz w:val="20"/>
                <w:szCs w:val="20"/>
              </w:rPr>
              <w:t>2,770.6 </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B19" w14:textId="77777777" w:rsidR="007B6C97" w:rsidRDefault="007B6C97">
            <w:pPr>
              <w:jc w:val="right"/>
              <w:rPr>
                <w:rFonts w:ascii="宋体"/>
              </w:rPr>
            </w:pPr>
          </w:p>
        </w:tc>
      </w:tr>
      <w:tr w:rsidR="007B6C97" w14:paraId="64296B27" w14:textId="77777777">
        <w:tc>
          <w:tcPr>
            <w:tcW w:w="0" w:type="auto"/>
            <w:gridSpan w:val="3"/>
            <w:shd w:val="clear" w:color="auto" w:fill="D7E4BC"/>
            <w:tcMar>
              <w:top w:w="40" w:type="dxa"/>
              <w:left w:w="245" w:type="dxa"/>
              <w:bottom w:w="40" w:type="dxa"/>
              <w:right w:w="20" w:type="dxa"/>
            </w:tcMar>
            <w:vAlign w:val="bottom"/>
          </w:tcPr>
          <w:p w14:paraId="64296B1B" w14:textId="77777777" w:rsidR="007B6C97" w:rsidRDefault="00E426D1">
            <w:pPr>
              <w:textAlignment w:val="bottom"/>
            </w:pPr>
            <w:r>
              <w:rPr>
                <w:rFonts w:ascii="Times New Roman" w:eastAsia="宋体" w:hAnsi="Times New Roman"/>
                <w:color w:val="000000"/>
                <w:sz w:val="20"/>
                <w:szCs w:val="20"/>
              </w:rPr>
              <w:t>Comprehensive income attributable to noncontrolling interests</w:t>
            </w:r>
          </w:p>
        </w:tc>
        <w:tc>
          <w:tcPr>
            <w:tcW w:w="0" w:type="auto"/>
            <w:gridSpan w:val="2"/>
            <w:shd w:val="clear" w:color="auto" w:fill="D7E4BC"/>
            <w:tcMar>
              <w:top w:w="40" w:type="dxa"/>
              <w:left w:w="20" w:type="dxa"/>
              <w:bottom w:w="40" w:type="dxa"/>
              <w:right w:w="0" w:type="dxa"/>
            </w:tcMar>
            <w:vAlign w:val="center"/>
          </w:tcPr>
          <w:p w14:paraId="64296B1C" w14:textId="77777777" w:rsidR="007B6C97" w:rsidRDefault="00E426D1">
            <w:pPr>
              <w:jc w:val="right"/>
              <w:textAlignment w:val="center"/>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center"/>
          </w:tcPr>
          <w:p w14:paraId="64296B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B1F" w14:textId="77777777" w:rsidR="007B6C97" w:rsidRDefault="00E426D1">
            <w:pPr>
              <w:jc w:val="right"/>
              <w:textAlignment w:val="center"/>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center"/>
          </w:tcPr>
          <w:p w14:paraId="64296B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B22" w14:textId="77777777" w:rsidR="007B6C97" w:rsidRDefault="00E426D1">
            <w:pPr>
              <w:jc w:val="right"/>
              <w:textAlignment w:val="center"/>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center"/>
          </w:tcPr>
          <w:p w14:paraId="64296B2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2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B25" w14:textId="77777777" w:rsidR="007B6C97" w:rsidRDefault="00E426D1">
            <w:pPr>
              <w:jc w:val="right"/>
              <w:textAlignment w:val="center"/>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center"/>
          </w:tcPr>
          <w:p w14:paraId="64296B26" w14:textId="77777777" w:rsidR="007B6C97" w:rsidRDefault="007B6C97">
            <w:pPr>
              <w:jc w:val="right"/>
              <w:rPr>
                <w:rFonts w:ascii="宋体"/>
              </w:rPr>
            </w:pPr>
          </w:p>
        </w:tc>
      </w:tr>
      <w:tr w:rsidR="007B6C97" w14:paraId="64296B38" w14:textId="77777777">
        <w:tc>
          <w:tcPr>
            <w:tcW w:w="0" w:type="auto"/>
            <w:gridSpan w:val="3"/>
            <w:shd w:val="clear" w:color="auto" w:fill="FFFFFF"/>
            <w:tcMar>
              <w:top w:w="40" w:type="dxa"/>
              <w:left w:w="20" w:type="dxa"/>
              <w:bottom w:w="40" w:type="dxa"/>
              <w:right w:w="20" w:type="dxa"/>
            </w:tcMar>
            <w:vAlign w:val="bottom"/>
          </w:tcPr>
          <w:p w14:paraId="64296B28" w14:textId="77777777" w:rsidR="007B6C97" w:rsidRDefault="00E426D1">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4296B29"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4296B2A" w14:textId="77777777" w:rsidR="007B6C97" w:rsidRDefault="00E426D1">
            <w:pPr>
              <w:jc w:val="right"/>
              <w:textAlignment w:val="center"/>
            </w:pPr>
            <w:r>
              <w:rPr>
                <w:rFonts w:ascii="Times New Roman" w:eastAsia="宋体" w:hAnsi="Times New Roman"/>
                <w:color w:val="000000"/>
                <w:sz w:val="20"/>
                <w:szCs w:val="20"/>
              </w:rPr>
              <w:t>587.6 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4296B2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2C"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4296B2D"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4296B2E" w14:textId="77777777" w:rsidR="007B6C97" w:rsidRDefault="00E426D1">
            <w:pPr>
              <w:jc w:val="right"/>
              <w:textAlignment w:val="center"/>
            </w:pPr>
            <w:r>
              <w:rPr>
                <w:rFonts w:ascii="Times New Roman" w:eastAsia="宋体" w:hAnsi="Times New Roman"/>
                <w:color w:val="000000"/>
                <w:sz w:val="20"/>
                <w:szCs w:val="20"/>
              </w:rPr>
              <w:t>1,250.0 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4296B2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30"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4296B31"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4296B32" w14:textId="77777777" w:rsidR="007B6C97" w:rsidRDefault="00E426D1">
            <w:pPr>
              <w:jc w:val="right"/>
              <w:textAlignment w:val="center"/>
            </w:pPr>
            <w:r>
              <w:rPr>
                <w:rFonts w:ascii="Times New Roman" w:eastAsia="宋体" w:hAnsi="Times New Roman"/>
                <w:color w:val="000000"/>
                <w:sz w:val="20"/>
                <w:szCs w:val="20"/>
              </w:rPr>
              <w:t>2,191.1 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4296B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34"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4296B35"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4296B36" w14:textId="77777777" w:rsidR="007B6C97" w:rsidRDefault="00E426D1">
            <w:pPr>
              <w:jc w:val="right"/>
              <w:textAlignment w:val="center"/>
            </w:pPr>
            <w:r>
              <w:rPr>
                <w:rFonts w:ascii="Times New Roman" w:eastAsia="宋体" w:hAnsi="Times New Roman"/>
                <w:color w:val="000000"/>
                <w:sz w:val="20"/>
                <w:szCs w:val="20"/>
              </w:rPr>
              <w:t>2,769.8 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4296B37" w14:textId="77777777" w:rsidR="007B6C97" w:rsidRDefault="007B6C97">
            <w:pPr>
              <w:jc w:val="right"/>
              <w:rPr>
                <w:rFonts w:ascii="宋体"/>
              </w:rPr>
            </w:pPr>
          </w:p>
        </w:tc>
      </w:tr>
      <w:tr w:rsidR="007B6C97" w14:paraId="64296B41" w14:textId="77777777">
        <w:trPr>
          <w:hidden/>
        </w:trPr>
        <w:tc>
          <w:tcPr>
            <w:tcW w:w="0" w:type="auto"/>
            <w:gridSpan w:val="3"/>
            <w:shd w:val="clear" w:color="auto" w:fill="auto"/>
            <w:vAlign w:val="bottom"/>
          </w:tcPr>
          <w:p w14:paraId="64296B39" w14:textId="77777777" w:rsidR="007B6C97" w:rsidRDefault="007B6C97">
            <w:pPr>
              <w:rPr>
                <w:rFonts w:ascii="宋体"/>
                <w:vanish/>
              </w:rPr>
            </w:pPr>
          </w:p>
        </w:tc>
        <w:tc>
          <w:tcPr>
            <w:tcW w:w="0" w:type="auto"/>
            <w:gridSpan w:val="3"/>
            <w:shd w:val="clear" w:color="auto" w:fill="auto"/>
            <w:vAlign w:val="bottom"/>
          </w:tcPr>
          <w:p w14:paraId="64296B3A" w14:textId="77777777" w:rsidR="007B6C97" w:rsidRDefault="007B6C97">
            <w:pPr>
              <w:rPr>
                <w:rFonts w:ascii="宋体"/>
                <w:vanish/>
              </w:rPr>
            </w:pPr>
          </w:p>
        </w:tc>
        <w:tc>
          <w:tcPr>
            <w:tcW w:w="0" w:type="auto"/>
            <w:gridSpan w:val="3"/>
            <w:shd w:val="clear" w:color="auto" w:fill="auto"/>
            <w:vAlign w:val="bottom"/>
          </w:tcPr>
          <w:p w14:paraId="64296B3B" w14:textId="77777777" w:rsidR="007B6C97" w:rsidRDefault="007B6C97">
            <w:pPr>
              <w:rPr>
                <w:rFonts w:ascii="宋体"/>
                <w:vanish/>
              </w:rPr>
            </w:pPr>
          </w:p>
        </w:tc>
        <w:tc>
          <w:tcPr>
            <w:tcW w:w="0" w:type="auto"/>
            <w:gridSpan w:val="3"/>
            <w:shd w:val="clear" w:color="auto" w:fill="auto"/>
            <w:vAlign w:val="bottom"/>
          </w:tcPr>
          <w:p w14:paraId="64296B3C" w14:textId="77777777" w:rsidR="007B6C97" w:rsidRDefault="007B6C97">
            <w:pPr>
              <w:rPr>
                <w:rFonts w:ascii="宋体"/>
                <w:vanish/>
              </w:rPr>
            </w:pPr>
          </w:p>
        </w:tc>
        <w:tc>
          <w:tcPr>
            <w:tcW w:w="0" w:type="auto"/>
            <w:gridSpan w:val="3"/>
            <w:shd w:val="clear" w:color="auto" w:fill="auto"/>
            <w:vAlign w:val="bottom"/>
          </w:tcPr>
          <w:p w14:paraId="64296B3D" w14:textId="77777777" w:rsidR="007B6C97" w:rsidRDefault="007B6C97">
            <w:pPr>
              <w:rPr>
                <w:rFonts w:ascii="宋体"/>
                <w:vanish/>
              </w:rPr>
            </w:pPr>
          </w:p>
        </w:tc>
        <w:tc>
          <w:tcPr>
            <w:tcW w:w="0" w:type="auto"/>
            <w:gridSpan w:val="3"/>
            <w:shd w:val="clear" w:color="auto" w:fill="auto"/>
            <w:vAlign w:val="bottom"/>
          </w:tcPr>
          <w:p w14:paraId="64296B3E" w14:textId="77777777" w:rsidR="007B6C97" w:rsidRDefault="007B6C97">
            <w:pPr>
              <w:rPr>
                <w:rFonts w:ascii="宋体"/>
                <w:vanish/>
              </w:rPr>
            </w:pPr>
          </w:p>
        </w:tc>
        <w:tc>
          <w:tcPr>
            <w:tcW w:w="0" w:type="auto"/>
            <w:gridSpan w:val="3"/>
            <w:shd w:val="clear" w:color="auto" w:fill="auto"/>
            <w:vAlign w:val="bottom"/>
          </w:tcPr>
          <w:p w14:paraId="64296B3F" w14:textId="77777777" w:rsidR="007B6C97" w:rsidRDefault="007B6C97">
            <w:pPr>
              <w:rPr>
                <w:rFonts w:ascii="宋体"/>
                <w:vanish/>
              </w:rPr>
            </w:pPr>
          </w:p>
        </w:tc>
        <w:tc>
          <w:tcPr>
            <w:tcW w:w="0" w:type="auto"/>
            <w:gridSpan w:val="3"/>
            <w:shd w:val="clear" w:color="auto" w:fill="auto"/>
            <w:vAlign w:val="bottom"/>
          </w:tcPr>
          <w:p w14:paraId="64296B40" w14:textId="77777777" w:rsidR="007B6C97" w:rsidRDefault="007B6C97">
            <w:pPr>
              <w:rPr>
                <w:rFonts w:ascii="宋体"/>
                <w:vanish/>
              </w:rPr>
            </w:pPr>
          </w:p>
        </w:tc>
      </w:tr>
      <w:tr w:rsidR="007B6C97" w14:paraId="64296B4A" w14:textId="77777777">
        <w:trPr>
          <w:hidden/>
        </w:trPr>
        <w:tc>
          <w:tcPr>
            <w:tcW w:w="0" w:type="auto"/>
            <w:gridSpan w:val="3"/>
            <w:shd w:val="clear" w:color="auto" w:fill="auto"/>
            <w:vAlign w:val="bottom"/>
          </w:tcPr>
          <w:p w14:paraId="64296B42" w14:textId="77777777" w:rsidR="007B6C97" w:rsidRDefault="007B6C97">
            <w:pPr>
              <w:rPr>
                <w:rFonts w:ascii="宋体"/>
                <w:vanish/>
              </w:rPr>
            </w:pPr>
          </w:p>
        </w:tc>
        <w:tc>
          <w:tcPr>
            <w:tcW w:w="0" w:type="auto"/>
            <w:gridSpan w:val="3"/>
            <w:shd w:val="clear" w:color="auto" w:fill="auto"/>
            <w:vAlign w:val="bottom"/>
          </w:tcPr>
          <w:p w14:paraId="64296B43" w14:textId="77777777" w:rsidR="007B6C97" w:rsidRDefault="007B6C97">
            <w:pPr>
              <w:rPr>
                <w:rFonts w:ascii="宋体"/>
                <w:vanish/>
              </w:rPr>
            </w:pPr>
          </w:p>
        </w:tc>
        <w:tc>
          <w:tcPr>
            <w:tcW w:w="0" w:type="auto"/>
            <w:gridSpan w:val="3"/>
            <w:shd w:val="clear" w:color="auto" w:fill="auto"/>
            <w:vAlign w:val="bottom"/>
          </w:tcPr>
          <w:p w14:paraId="64296B44" w14:textId="77777777" w:rsidR="007B6C97" w:rsidRDefault="007B6C97">
            <w:pPr>
              <w:rPr>
                <w:rFonts w:ascii="宋体"/>
                <w:vanish/>
              </w:rPr>
            </w:pPr>
          </w:p>
        </w:tc>
        <w:tc>
          <w:tcPr>
            <w:tcW w:w="0" w:type="auto"/>
            <w:gridSpan w:val="3"/>
            <w:shd w:val="clear" w:color="auto" w:fill="auto"/>
            <w:vAlign w:val="bottom"/>
          </w:tcPr>
          <w:p w14:paraId="64296B45" w14:textId="77777777" w:rsidR="007B6C97" w:rsidRDefault="007B6C97">
            <w:pPr>
              <w:rPr>
                <w:rFonts w:ascii="宋体"/>
                <w:vanish/>
              </w:rPr>
            </w:pPr>
          </w:p>
        </w:tc>
        <w:tc>
          <w:tcPr>
            <w:tcW w:w="0" w:type="auto"/>
            <w:gridSpan w:val="3"/>
            <w:shd w:val="clear" w:color="auto" w:fill="auto"/>
            <w:vAlign w:val="bottom"/>
          </w:tcPr>
          <w:p w14:paraId="64296B46" w14:textId="77777777" w:rsidR="007B6C97" w:rsidRDefault="007B6C97">
            <w:pPr>
              <w:rPr>
                <w:rFonts w:ascii="宋体"/>
                <w:vanish/>
              </w:rPr>
            </w:pPr>
          </w:p>
        </w:tc>
        <w:tc>
          <w:tcPr>
            <w:tcW w:w="0" w:type="auto"/>
            <w:gridSpan w:val="3"/>
            <w:shd w:val="clear" w:color="auto" w:fill="auto"/>
            <w:vAlign w:val="bottom"/>
          </w:tcPr>
          <w:p w14:paraId="64296B47" w14:textId="77777777" w:rsidR="007B6C97" w:rsidRDefault="007B6C97">
            <w:pPr>
              <w:rPr>
                <w:rFonts w:ascii="宋体"/>
                <w:vanish/>
              </w:rPr>
            </w:pPr>
          </w:p>
        </w:tc>
        <w:tc>
          <w:tcPr>
            <w:tcW w:w="0" w:type="auto"/>
            <w:gridSpan w:val="3"/>
            <w:shd w:val="clear" w:color="auto" w:fill="auto"/>
            <w:vAlign w:val="bottom"/>
          </w:tcPr>
          <w:p w14:paraId="64296B48" w14:textId="77777777" w:rsidR="007B6C97" w:rsidRDefault="007B6C97">
            <w:pPr>
              <w:rPr>
                <w:rFonts w:ascii="宋体"/>
                <w:vanish/>
              </w:rPr>
            </w:pPr>
          </w:p>
        </w:tc>
        <w:tc>
          <w:tcPr>
            <w:tcW w:w="0" w:type="auto"/>
            <w:gridSpan w:val="3"/>
            <w:shd w:val="clear" w:color="auto" w:fill="auto"/>
            <w:vAlign w:val="bottom"/>
          </w:tcPr>
          <w:p w14:paraId="64296B49" w14:textId="77777777" w:rsidR="007B6C97" w:rsidRDefault="007B6C97">
            <w:pPr>
              <w:rPr>
                <w:rFonts w:ascii="宋体"/>
                <w:vanish/>
              </w:rPr>
            </w:pPr>
          </w:p>
        </w:tc>
      </w:tr>
      <w:tr w:rsidR="007B6C97" w14:paraId="64296B53" w14:textId="77777777">
        <w:trPr>
          <w:hidden/>
        </w:trPr>
        <w:tc>
          <w:tcPr>
            <w:tcW w:w="0" w:type="auto"/>
            <w:gridSpan w:val="3"/>
            <w:shd w:val="clear" w:color="auto" w:fill="auto"/>
            <w:vAlign w:val="bottom"/>
          </w:tcPr>
          <w:p w14:paraId="64296B4B" w14:textId="77777777" w:rsidR="007B6C97" w:rsidRDefault="007B6C97">
            <w:pPr>
              <w:rPr>
                <w:rFonts w:ascii="宋体"/>
                <w:vanish/>
              </w:rPr>
            </w:pPr>
          </w:p>
        </w:tc>
        <w:tc>
          <w:tcPr>
            <w:tcW w:w="0" w:type="auto"/>
            <w:gridSpan w:val="3"/>
            <w:shd w:val="clear" w:color="auto" w:fill="auto"/>
            <w:vAlign w:val="bottom"/>
          </w:tcPr>
          <w:p w14:paraId="64296B4C" w14:textId="77777777" w:rsidR="007B6C97" w:rsidRDefault="007B6C97">
            <w:pPr>
              <w:rPr>
                <w:rFonts w:ascii="宋体"/>
                <w:vanish/>
              </w:rPr>
            </w:pPr>
          </w:p>
        </w:tc>
        <w:tc>
          <w:tcPr>
            <w:tcW w:w="0" w:type="auto"/>
            <w:gridSpan w:val="3"/>
            <w:shd w:val="clear" w:color="auto" w:fill="auto"/>
            <w:vAlign w:val="bottom"/>
          </w:tcPr>
          <w:p w14:paraId="64296B4D" w14:textId="77777777" w:rsidR="007B6C97" w:rsidRDefault="007B6C97">
            <w:pPr>
              <w:rPr>
                <w:rFonts w:ascii="宋体"/>
                <w:vanish/>
              </w:rPr>
            </w:pPr>
          </w:p>
        </w:tc>
        <w:tc>
          <w:tcPr>
            <w:tcW w:w="0" w:type="auto"/>
            <w:gridSpan w:val="3"/>
            <w:shd w:val="clear" w:color="auto" w:fill="auto"/>
            <w:vAlign w:val="bottom"/>
          </w:tcPr>
          <w:p w14:paraId="64296B4E" w14:textId="77777777" w:rsidR="007B6C97" w:rsidRDefault="007B6C97">
            <w:pPr>
              <w:rPr>
                <w:rFonts w:ascii="宋体"/>
                <w:vanish/>
              </w:rPr>
            </w:pPr>
          </w:p>
        </w:tc>
        <w:tc>
          <w:tcPr>
            <w:tcW w:w="0" w:type="auto"/>
            <w:gridSpan w:val="3"/>
            <w:shd w:val="clear" w:color="auto" w:fill="auto"/>
            <w:vAlign w:val="bottom"/>
          </w:tcPr>
          <w:p w14:paraId="64296B4F" w14:textId="77777777" w:rsidR="007B6C97" w:rsidRDefault="007B6C97">
            <w:pPr>
              <w:rPr>
                <w:rFonts w:ascii="宋体"/>
                <w:vanish/>
              </w:rPr>
            </w:pPr>
          </w:p>
        </w:tc>
        <w:tc>
          <w:tcPr>
            <w:tcW w:w="0" w:type="auto"/>
            <w:gridSpan w:val="3"/>
            <w:shd w:val="clear" w:color="auto" w:fill="auto"/>
            <w:vAlign w:val="bottom"/>
          </w:tcPr>
          <w:p w14:paraId="64296B50" w14:textId="77777777" w:rsidR="007B6C97" w:rsidRDefault="007B6C97">
            <w:pPr>
              <w:rPr>
                <w:rFonts w:ascii="宋体"/>
                <w:vanish/>
              </w:rPr>
            </w:pPr>
          </w:p>
        </w:tc>
        <w:tc>
          <w:tcPr>
            <w:tcW w:w="0" w:type="auto"/>
            <w:gridSpan w:val="3"/>
            <w:shd w:val="clear" w:color="auto" w:fill="auto"/>
            <w:vAlign w:val="bottom"/>
          </w:tcPr>
          <w:p w14:paraId="64296B51" w14:textId="77777777" w:rsidR="007B6C97" w:rsidRDefault="007B6C97">
            <w:pPr>
              <w:rPr>
                <w:rFonts w:ascii="宋体"/>
                <w:vanish/>
              </w:rPr>
            </w:pPr>
          </w:p>
        </w:tc>
        <w:tc>
          <w:tcPr>
            <w:tcW w:w="0" w:type="auto"/>
            <w:gridSpan w:val="3"/>
            <w:shd w:val="clear" w:color="auto" w:fill="auto"/>
            <w:vAlign w:val="bottom"/>
          </w:tcPr>
          <w:p w14:paraId="64296B52" w14:textId="77777777" w:rsidR="007B6C97" w:rsidRDefault="007B6C97">
            <w:pPr>
              <w:rPr>
                <w:rFonts w:ascii="宋体"/>
                <w:vanish/>
              </w:rPr>
            </w:pPr>
          </w:p>
        </w:tc>
      </w:tr>
      <w:tr w:rsidR="007B6C97" w14:paraId="64296B5C" w14:textId="77777777">
        <w:trPr>
          <w:hidden/>
        </w:trPr>
        <w:tc>
          <w:tcPr>
            <w:tcW w:w="0" w:type="auto"/>
            <w:gridSpan w:val="3"/>
            <w:shd w:val="clear" w:color="auto" w:fill="auto"/>
            <w:vAlign w:val="bottom"/>
          </w:tcPr>
          <w:p w14:paraId="64296B54" w14:textId="77777777" w:rsidR="007B6C97" w:rsidRDefault="007B6C97">
            <w:pPr>
              <w:rPr>
                <w:rFonts w:ascii="宋体"/>
                <w:vanish/>
              </w:rPr>
            </w:pPr>
          </w:p>
        </w:tc>
        <w:tc>
          <w:tcPr>
            <w:tcW w:w="0" w:type="auto"/>
            <w:gridSpan w:val="3"/>
            <w:shd w:val="clear" w:color="auto" w:fill="auto"/>
            <w:vAlign w:val="bottom"/>
          </w:tcPr>
          <w:p w14:paraId="64296B55" w14:textId="77777777" w:rsidR="007B6C97" w:rsidRDefault="007B6C97">
            <w:pPr>
              <w:rPr>
                <w:rFonts w:ascii="宋体"/>
                <w:vanish/>
              </w:rPr>
            </w:pPr>
          </w:p>
        </w:tc>
        <w:tc>
          <w:tcPr>
            <w:tcW w:w="0" w:type="auto"/>
            <w:gridSpan w:val="3"/>
            <w:shd w:val="clear" w:color="auto" w:fill="auto"/>
            <w:vAlign w:val="bottom"/>
          </w:tcPr>
          <w:p w14:paraId="64296B56" w14:textId="77777777" w:rsidR="007B6C97" w:rsidRDefault="007B6C97">
            <w:pPr>
              <w:rPr>
                <w:rFonts w:ascii="宋体"/>
                <w:vanish/>
              </w:rPr>
            </w:pPr>
          </w:p>
        </w:tc>
        <w:tc>
          <w:tcPr>
            <w:tcW w:w="0" w:type="auto"/>
            <w:gridSpan w:val="3"/>
            <w:shd w:val="clear" w:color="auto" w:fill="auto"/>
            <w:vAlign w:val="bottom"/>
          </w:tcPr>
          <w:p w14:paraId="64296B57" w14:textId="77777777" w:rsidR="007B6C97" w:rsidRDefault="007B6C97">
            <w:pPr>
              <w:rPr>
                <w:rFonts w:ascii="宋体"/>
                <w:vanish/>
              </w:rPr>
            </w:pPr>
          </w:p>
        </w:tc>
        <w:tc>
          <w:tcPr>
            <w:tcW w:w="0" w:type="auto"/>
            <w:gridSpan w:val="3"/>
            <w:shd w:val="clear" w:color="auto" w:fill="auto"/>
            <w:vAlign w:val="bottom"/>
          </w:tcPr>
          <w:p w14:paraId="64296B58" w14:textId="77777777" w:rsidR="007B6C97" w:rsidRDefault="007B6C97">
            <w:pPr>
              <w:rPr>
                <w:rFonts w:ascii="宋体"/>
                <w:vanish/>
              </w:rPr>
            </w:pPr>
          </w:p>
        </w:tc>
        <w:tc>
          <w:tcPr>
            <w:tcW w:w="0" w:type="auto"/>
            <w:gridSpan w:val="3"/>
            <w:shd w:val="clear" w:color="auto" w:fill="auto"/>
            <w:vAlign w:val="bottom"/>
          </w:tcPr>
          <w:p w14:paraId="64296B59" w14:textId="77777777" w:rsidR="007B6C97" w:rsidRDefault="007B6C97">
            <w:pPr>
              <w:rPr>
                <w:rFonts w:ascii="宋体"/>
                <w:vanish/>
              </w:rPr>
            </w:pPr>
          </w:p>
        </w:tc>
        <w:tc>
          <w:tcPr>
            <w:tcW w:w="0" w:type="auto"/>
            <w:gridSpan w:val="3"/>
            <w:shd w:val="clear" w:color="auto" w:fill="auto"/>
            <w:vAlign w:val="bottom"/>
          </w:tcPr>
          <w:p w14:paraId="64296B5A" w14:textId="77777777" w:rsidR="007B6C97" w:rsidRDefault="007B6C97">
            <w:pPr>
              <w:rPr>
                <w:rFonts w:ascii="宋体"/>
                <w:vanish/>
              </w:rPr>
            </w:pPr>
          </w:p>
        </w:tc>
        <w:tc>
          <w:tcPr>
            <w:tcW w:w="0" w:type="auto"/>
            <w:gridSpan w:val="3"/>
            <w:shd w:val="clear" w:color="auto" w:fill="auto"/>
            <w:vAlign w:val="bottom"/>
          </w:tcPr>
          <w:p w14:paraId="64296B5B" w14:textId="77777777" w:rsidR="007B6C97" w:rsidRDefault="007B6C97">
            <w:pPr>
              <w:rPr>
                <w:rFonts w:ascii="宋体"/>
                <w:vanish/>
              </w:rPr>
            </w:pPr>
          </w:p>
        </w:tc>
      </w:tr>
      <w:tr w:rsidR="007B6C97" w14:paraId="64296B65" w14:textId="77777777">
        <w:trPr>
          <w:hidden/>
        </w:trPr>
        <w:tc>
          <w:tcPr>
            <w:tcW w:w="0" w:type="auto"/>
            <w:gridSpan w:val="3"/>
            <w:shd w:val="clear" w:color="auto" w:fill="auto"/>
            <w:vAlign w:val="bottom"/>
          </w:tcPr>
          <w:p w14:paraId="64296B5D" w14:textId="77777777" w:rsidR="007B6C97" w:rsidRDefault="007B6C97">
            <w:pPr>
              <w:rPr>
                <w:rFonts w:ascii="宋体"/>
                <w:vanish/>
              </w:rPr>
            </w:pPr>
          </w:p>
        </w:tc>
        <w:tc>
          <w:tcPr>
            <w:tcW w:w="0" w:type="auto"/>
            <w:gridSpan w:val="3"/>
            <w:shd w:val="clear" w:color="auto" w:fill="auto"/>
            <w:vAlign w:val="bottom"/>
          </w:tcPr>
          <w:p w14:paraId="64296B5E" w14:textId="77777777" w:rsidR="007B6C97" w:rsidRDefault="007B6C97">
            <w:pPr>
              <w:rPr>
                <w:rFonts w:ascii="宋体"/>
                <w:vanish/>
              </w:rPr>
            </w:pPr>
          </w:p>
        </w:tc>
        <w:tc>
          <w:tcPr>
            <w:tcW w:w="0" w:type="auto"/>
            <w:gridSpan w:val="3"/>
            <w:shd w:val="clear" w:color="auto" w:fill="auto"/>
            <w:vAlign w:val="bottom"/>
          </w:tcPr>
          <w:p w14:paraId="64296B5F" w14:textId="77777777" w:rsidR="007B6C97" w:rsidRDefault="007B6C97">
            <w:pPr>
              <w:rPr>
                <w:rFonts w:ascii="宋体"/>
                <w:vanish/>
              </w:rPr>
            </w:pPr>
          </w:p>
        </w:tc>
        <w:tc>
          <w:tcPr>
            <w:tcW w:w="0" w:type="auto"/>
            <w:gridSpan w:val="3"/>
            <w:shd w:val="clear" w:color="auto" w:fill="auto"/>
            <w:vAlign w:val="bottom"/>
          </w:tcPr>
          <w:p w14:paraId="64296B60" w14:textId="77777777" w:rsidR="007B6C97" w:rsidRDefault="007B6C97">
            <w:pPr>
              <w:rPr>
                <w:rFonts w:ascii="宋体"/>
                <w:vanish/>
              </w:rPr>
            </w:pPr>
          </w:p>
        </w:tc>
        <w:tc>
          <w:tcPr>
            <w:tcW w:w="0" w:type="auto"/>
            <w:gridSpan w:val="3"/>
            <w:shd w:val="clear" w:color="auto" w:fill="auto"/>
            <w:vAlign w:val="bottom"/>
          </w:tcPr>
          <w:p w14:paraId="64296B61" w14:textId="77777777" w:rsidR="007B6C97" w:rsidRDefault="007B6C97">
            <w:pPr>
              <w:rPr>
                <w:rFonts w:ascii="宋体"/>
                <w:vanish/>
              </w:rPr>
            </w:pPr>
          </w:p>
        </w:tc>
        <w:tc>
          <w:tcPr>
            <w:tcW w:w="0" w:type="auto"/>
            <w:gridSpan w:val="3"/>
            <w:shd w:val="clear" w:color="auto" w:fill="auto"/>
            <w:vAlign w:val="bottom"/>
          </w:tcPr>
          <w:p w14:paraId="64296B62" w14:textId="77777777" w:rsidR="007B6C97" w:rsidRDefault="007B6C97">
            <w:pPr>
              <w:rPr>
                <w:rFonts w:ascii="宋体"/>
                <w:vanish/>
              </w:rPr>
            </w:pPr>
          </w:p>
        </w:tc>
        <w:tc>
          <w:tcPr>
            <w:tcW w:w="0" w:type="auto"/>
            <w:gridSpan w:val="3"/>
            <w:shd w:val="clear" w:color="auto" w:fill="auto"/>
            <w:vAlign w:val="bottom"/>
          </w:tcPr>
          <w:p w14:paraId="64296B63" w14:textId="77777777" w:rsidR="007B6C97" w:rsidRDefault="007B6C97">
            <w:pPr>
              <w:rPr>
                <w:rFonts w:ascii="宋体"/>
                <w:vanish/>
              </w:rPr>
            </w:pPr>
          </w:p>
        </w:tc>
        <w:tc>
          <w:tcPr>
            <w:tcW w:w="0" w:type="auto"/>
            <w:gridSpan w:val="3"/>
            <w:shd w:val="clear" w:color="auto" w:fill="auto"/>
            <w:vAlign w:val="bottom"/>
          </w:tcPr>
          <w:p w14:paraId="64296B64" w14:textId="77777777" w:rsidR="007B6C97" w:rsidRDefault="007B6C97">
            <w:pPr>
              <w:rPr>
                <w:rFonts w:ascii="宋体"/>
                <w:vanish/>
              </w:rPr>
            </w:pPr>
          </w:p>
        </w:tc>
      </w:tr>
      <w:tr w:rsidR="007B6C97" w14:paraId="64296B6E" w14:textId="77777777">
        <w:trPr>
          <w:hidden/>
        </w:trPr>
        <w:tc>
          <w:tcPr>
            <w:tcW w:w="0" w:type="auto"/>
            <w:gridSpan w:val="3"/>
            <w:shd w:val="clear" w:color="auto" w:fill="auto"/>
            <w:vAlign w:val="bottom"/>
          </w:tcPr>
          <w:p w14:paraId="64296B66" w14:textId="77777777" w:rsidR="007B6C97" w:rsidRDefault="007B6C97">
            <w:pPr>
              <w:rPr>
                <w:rFonts w:ascii="宋体"/>
                <w:vanish/>
              </w:rPr>
            </w:pPr>
          </w:p>
        </w:tc>
        <w:tc>
          <w:tcPr>
            <w:tcW w:w="0" w:type="auto"/>
            <w:gridSpan w:val="3"/>
            <w:shd w:val="clear" w:color="auto" w:fill="auto"/>
            <w:vAlign w:val="bottom"/>
          </w:tcPr>
          <w:p w14:paraId="64296B67" w14:textId="77777777" w:rsidR="007B6C97" w:rsidRDefault="007B6C97">
            <w:pPr>
              <w:rPr>
                <w:rFonts w:ascii="宋体"/>
                <w:vanish/>
              </w:rPr>
            </w:pPr>
          </w:p>
        </w:tc>
        <w:tc>
          <w:tcPr>
            <w:tcW w:w="0" w:type="auto"/>
            <w:gridSpan w:val="3"/>
            <w:shd w:val="clear" w:color="auto" w:fill="auto"/>
            <w:vAlign w:val="bottom"/>
          </w:tcPr>
          <w:p w14:paraId="64296B68" w14:textId="77777777" w:rsidR="007B6C97" w:rsidRDefault="007B6C97">
            <w:pPr>
              <w:rPr>
                <w:rFonts w:ascii="宋体"/>
                <w:vanish/>
              </w:rPr>
            </w:pPr>
          </w:p>
        </w:tc>
        <w:tc>
          <w:tcPr>
            <w:tcW w:w="0" w:type="auto"/>
            <w:gridSpan w:val="3"/>
            <w:shd w:val="clear" w:color="auto" w:fill="auto"/>
            <w:vAlign w:val="bottom"/>
          </w:tcPr>
          <w:p w14:paraId="64296B69" w14:textId="77777777" w:rsidR="007B6C97" w:rsidRDefault="007B6C97">
            <w:pPr>
              <w:rPr>
                <w:rFonts w:ascii="宋体"/>
                <w:vanish/>
              </w:rPr>
            </w:pPr>
          </w:p>
        </w:tc>
        <w:tc>
          <w:tcPr>
            <w:tcW w:w="0" w:type="auto"/>
            <w:gridSpan w:val="3"/>
            <w:shd w:val="clear" w:color="auto" w:fill="auto"/>
            <w:vAlign w:val="bottom"/>
          </w:tcPr>
          <w:p w14:paraId="64296B6A" w14:textId="77777777" w:rsidR="007B6C97" w:rsidRDefault="007B6C97">
            <w:pPr>
              <w:rPr>
                <w:rFonts w:ascii="宋体"/>
                <w:vanish/>
              </w:rPr>
            </w:pPr>
          </w:p>
        </w:tc>
        <w:tc>
          <w:tcPr>
            <w:tcW w:w="0" w:type="auto"/>
            <w:gridSpan w:val="3"/>
            <w:shd w:val="clear" w:color="auto" w:fill="auto"/>
            <w:vAlign w:val="bottom"/>
          </w:tcPr>
          <w:p w14:paraId="64296B6B" w14:textId="77777777" w:rsidR="007B6C97" w:rsidRDefault="007B6C97">
            <w:pPr>
              <w:rPr>
                <w:rFonts w:ascii="宋体"/>
                <w:vanish/>
              </w:rPr>
            </w:pPr>
          </w:p>
        </w:tc>
        <w:tc>
          <w:tcPr>
            <w:tcW w:w="0" w:type="auto"/>
            <w:gridSpan w:val="3"/>
            <w:shd w:val="clear" w:color="auto" w:fill="auto"/>
            <w:vAlign w:val="bottom"/>
          </w:tcPr>
          <w:p w14:paraId="64296B6C" w14:textId="77777777" w:rsidR="007B6C97" w:rsidRDefault="007B6C97">
            <w:pPr>
              <w:rPr>
                <w:rFonts w:ascii="宋体"/>
                <w:vanish/>
              </w:rPr>
            </w:pPr>
          </w:p>
        </w:tc>
        <w:tc>
          <w:tcPr>
            <w:tcW w:w="0" w:type="auto"/>
            <w:gridSpan w:val="3"/>
            <w:shd w:val="clear" w:color="auto" w:fill="auto"/>
            <w:vAlign w:val="bottom"/>
          </w:tcPr>
          <w:p w14:paraId="64296B6D" w14:textId="77777777" w:rsidR="007B6C97" w:rsidRDefault="007B6C97">
            <w:pPr>
              <w:rPr>
                <w:rFonts w:ascii="宋体"/>
                <w:vanish/>
              </w:rPr>
            </w:pPr>
          </w:p>
        </w:tc>
      </w:tr>
      <w:tr w:rsidR="007B6C97" w14:paraId="64296B77" w14:textId="77777777">
        <w:trPr>
          <w:hidden/>
        </w:trPr>
        <w:tc>
          <w:tcPr>
            <w:tcW w:w="0" w:type="auto"/>
            <w:gridSpan w:val="3"/>
            <w:shd w:val="clear" w:color="auto" w:fill="auto"/>
            <w:vAlign w:val="bottom"/>
          </w:tcPr>
          <w:p w14:paraId="64296B6F" w14:textId="77777777" w:rsidR="007B6C97" w:rsidRDefault="007B6C97">
            <w:pPr>
              <w:rPr>
                <w:rFonts w:ascii="宋体"/>
                <w:vanish/>
              </w:rPr>
            </w:pPr>
          </w:p>
        </w:tc>
        <w:tc>
          <w:tcPr>
            <w:tcW w:w="0" w:type="auto"/>
            <w:gridSpan w:val="3"/>
            <w:shd w:val="clear" w:color="auto" w:fill="auto"/>
            <w:vAlign w:val="bottom"/>
          </w:tcPr>
          <w:p w14:paraId="64296B70" w14:textId="77777777" w:rsidR="007B6C97" w:rsidRDefault="007B6C97">
            <w:pPr>
              <w:rPr>
                <w:rFonts w:ascii="宋体"/>
                <w:vanish/>
              </w:rPr>
            </w:pPr>
          </w:p>
        </w:tc>
        <w:tc>
          <w:tcPr>
            <w:tcW w:w="0" w:type="auto"/>
            <w:gridSpan w:val="3"/>
            <w:shd w:val="clear" w:color="auto" w:fill="auto"/>
            <w:vAlign w:val="bottom"/>
          </w:tcPr>
          <w:p w14:paraId="64296B71" w14:textId="77777777" w:rsidR="007B6C97" w:rsidRDefault="007B6C97">
            <w:pPr>
              <w:rPr>
                <w:rFonts w:ascii="宋体"/>
                <w:vanish/>
              </w:rPr>
            </w:pPr>
          </w:p>
        </w:tc>
        <w:tc>
          <w:tcPr>
            <w:tcW w:w="0" w:type="auto"/>
            <w:gridSpan w:val="3"/>
            <w:shd w:val="clear" w:color="auto" w:fill="auto"/>
            <w:vAlign w:val="bottom"/>
          </w:tcPr>
          <w:p w14:paraId="64296B72" w14:textId="77777777" w:rsidR="007B6C97" w:rsidRDefault="007B6C97">
            <w:pPr>
              <w:rPr>
                <w:rFonts w:ascii="宋体"/>
                <w:vanish/>
              </w:rPr>
            </w:pPr>
          </w:p>
        </w:tc>
        <w:tc>
          <w:tcPr>
            <w:tcW w:w="0" w:type="auto"/>
            <w:gridSpan w:val="3"/>
            <w:shd w:val="clear" w:color="auto" w:fill="auto"/>
            <w:vAlign w:val="bottom"/>
          </w:tcPr>
          <w:p w14:paraId="64296B73" w14:textId="77777777" w:rsidR="007B6C97" w:rsidRDefault="007B6C97">
            <w:pPr>
              <w:rPr>
                <w:rFonts w:ascii="宋体"/>
                <w:vanish/>
              </w:rPr>
            </w:pPr>
          </w:p>
        </w:tc>
        <w:tc>
          <w:tcPr>
            <w:tcW w:w="0" w:type="auto"/>
            <w:gridSpan w:val="3"/>
            <w:shd w:val="clear" w:color="auto" w:fill="auto"/>
            <w:vAlign w:val="bottom"/>
          </w:tcPr>
          <w:p w14:paraId="64296B74" w14:textId="77777777" w:rsidR="007B6C97" w:rsidRDefault="007B6C97">
            <w:pPr>
              <w:rPr>
                <w:rFonts w:ascii="宋体"/>
                <w:vanish/>
              </w:rPr>
            </w:pPr>
          </w:p>
        </w:tc>
        <w:tc>
          <w:tcPr>
            <w:tcW w:w="0" w:type="auto"/>
            <w:gridSpan w:val="3"/>
            <w:shd w:val="clear" w:color="auto" w:fill="auto"/>
            <w:vAlign w:val="bottom"/>
          </w:tcPr>
          <w:p w14:paraId="64296B75" w14:textId="77777777" w:rsidR="007B6C97" w:rsidRDefault="007B6C97">
            <w:pPr>
              <w:rPr>
                <w:rFonts w:ascii="宋体"/>
                <w:vanish/>
              </w:rPr>
            </w:pPr>
          </w:p>
        </w:tc>
        <w:tc>
          <w:tcPr>
            <w:tcW w:w="0" w:type="auto"/>
            <w:gridSpan w:val="3"/>
            <w:shd w:val="clear" w:color="auto" w:fill="auto"/>
            <w:vAlign w:val="bottom"/>
          </w:tcPr>
          <w:p w14:paraId="64296B76" w14:textId="77777777" w:rsidR="007B6C97" w:rsidRDefault="007B6C97">
            <w:pPr>
              <w:rPr>
                <w:rFonts w:ascii="宋体"/>
                <w:vanish/>
              </w:rPr>
            </w:pPr>
          </w:p>
        </w:tc>
      </w:tr>
      <w:tr w:rsidR="007B6C97" w14:paraId="64296B80" w14:textId="77777777">
        <w:trPr>
          <w:hidden/>
        </w:trPr>
        <w:tc>
          <w:tcPr>
            <w:tcW w:w="0" w:type="auto"/>
            <w:gridSpan w:val="3"/>
            <w:shd w:val="clear" w:color="auto" w:fill="auto"/>
            <w:vAlign w:val="bottom"/>
          </w:tcPr>
          <w:p w14:paraId="64296B78" w14:textId="77777777" w:rsidR="007B6C97" w:rsidRDefault="007B6C97">
            <w:pPr>
              <w:rPr>
                <w:rFonts w:ascii="宋体"/>
                <w:vanish/>
              </w:rPr>
            </w:pPr>
          </w:p>
        </w:tc>
        <w:tc>
          <w:tcPr>
            <w:tcW w:w="0" w:type="auto"/>
            <w:gridSpan w:val="3"/>
            <w:shd w:val="clear" w:color="auto" w:fill="auto"/>
            <w:vAlign w:val="bottom"/>
          </w:tcPr>
          <w:p w14:paraId="64296B79" w14:textId="77777777" w:rsidR="007B6C97" w:rsidRDefault="007B6C97">
            <w:pPr>
              <w:rPr>
                <w:rFonts w:ascii="宋体"/>
                <w:vanish/>
              </w:rPr>
            </w:pPr>
          </w:p>
        </w:tc>
        <w:tc>
          <w:tcPr>
            <w:tcW w:w="0" w:type="auto"/>
            <w:gridSpan w:val="3"/>
            <w:shd w:val="clear" w:color="auto" w:fill="auto"/>
            <w:vAlign w:val="bottom"/>
          </w:tcPr>
          <w:p w14:paraId="64296B7A" w14:textId="77777777" w:rsidR="007B6C97" w:rsidRDefault="007B6C97">
            <w:pPr>
              <w:rPr>
                <w:rFonts w:ascii="宋体"/>
                <w:vanish/>
              </w:rPr>
            </w:pPr>
          </w:p>
        </w:tc>
        <w:tc>
          <w:tcPr>
            <w:tcW w:w="0" w:type="auto"/>
            <w:gridSpan w:val="3"/>
            <w:shd w:val="clear" w:color="auto" w:fill="auto"/>
            <w:vAlign w:val="bottom"/>
          </w:tcPr>
          <w:p w14:paraId="64296B7B" w14:textId="77777777" w:rsidR="007B6C97" w:rsidRDefault="007B6C97">
            <w:pPr>
              <w:rPr>
                <w:rFonts w:ascii="宋体"/>
                <w:vanish/>
              </w:rPr>
            </w:pPr>
          </w:p>
        </w:tc>
        <w:tc>
          <w:tcPr>
            <w:tcW w:w="0" w:type="auto"/>
            <w:gridSpan w:val="3"/>
            <w:shd w:val="clear" w:color="auto" w:fill="auto"/>
            <w:vAlign w:val="bottom"/>
          </w:tcPr>
          <w:p w14:paraId="64296B7C" w14:textId="77777777" w:rsidR="007B6C97" w:rsidRDefault="007B6C97">
            <w:pPr>
              <w:rPr>
                <w:rFonts w:ascii="宋体"/>
                <w:vanish/>
              </w:rPr>
            </w:pPr>
          </w:p>
        </w:tc>
        <w:tc>
          <w:tcPr>
            <w:tcW w:w="0" w:type="auto"/>
            <w:gridSpan w:val="3"/>
            <w:shd w:val="clear" w:color="auto" w:fill="auto"/>
            <w:vAlign w:val="bottom"/>
          </w:tcPr>
          <w:p w14:paraId="64296B7D" w14:textId="77777777" w:rsidR="007B6C97" w:rsidRDefault="007B6C97">
            <w:pPr>
              <w:rPr>
                <w:rFonts w:ascii="宋体"/>
                <w:vanish/>
              </w:rPr>
            </w:pPr>
          </w:p>
        </w:tc>
        <w:tc>
          <w:tcPr>
            <w:tcW w:w="0" w:type="auto"/>
            <w:gridSpan w:val="3"/>
            <w:shd w:val="clear" w:color="auto" w:fill="auto"/>
            <w:vAlign w:val="bottom"/>
          </w:tcPr>
          <w:p w14:paraId="64296B7E" w14:textId="77777777" w:rsidR="007B6C97" w:rsidRDefault="007B6C97">
            <w:pPr>
              <w:rPr>
                <w:rFonts w:ascii="宋体"/>
                <w:vanish/>
              </w:rPr>
            </w:pPr>
          </w:p>
        </w:tc>
        <w:tc>
          <w:tcPr>
            <w:tcW w:w="0" w:type="auto"/>
            <w:gridSpan w:val="3"/>
            <w:shd w:val="clear" w:color="auto" w:fill="auto"/>
            <w:vAlign w:val="bottom"/>
          </w:tcPr>
          <w:p w14:paraId="64296B7F" w14:textId="77777777" w:rsidR="007B6C97" w:rsidRDefault="007B6C97">
            <w:pPr>
              <w:rPr>
                <w:rFonts w:ascii="宋体"/>
                <w:vanish/>
              </w:rPr>
            </w:pPr>
          </w:p>
        </w:tc>
      </w:tr>
      <w:tr w:rsidR="007B6C97" w14:paraId="64296B89" w14:textId="77777777">
        <w:trPr>
          <w:hidden/>
        </w:trPr>
        <w:tc>
          <w:tcPr>
            <w:tcW w:w="0" w:type="auto"/>
            <w:gridSpan w:val="3"/>
            <w:shd w:val="clear" w:color="auto" w:fill="auto"/>
            <w:vAlign w:val="bottom"/>
          </w:tcPr>
          <w:p w14:paraId="64296B81" w14:textId="77777777" w:rsidR="007B6C97" w:rsidRDefault="007B6C97">
            <w:pPr>
              <w:rPr>
                <w:rFonts w:ascii="宋体"/>
                <w:vanish/>
              </w:rPr>
            </w:pPr>
          </w:p>
        </w:tc>
        <w:tc>
          <w:tcPr>
            <w:tcW w:w="0" w:type="auto"/>
            <w:gridSpan w:val="3"/>
            <w:shd w:val="clear" w:color="auto" w:fill="auto"/>
            <w:vAlign w:val="bottom"/>
          </w:tcPr>
          <w:p w14:paraId="64296B82" w14:textId="77777777" w:rsidR="007B6C97" w:rsidRDefault="007B6C97">
            <w:pPr>
              <w:rPr>
                <w:rFonts w:ascii="宋体"/>
                <w:vanish/>
              </w:rPr>
            </w:pPr>
          </w:p>
        </w:tc>
        <w:tc>
          <w:tcPr>
            <w:tcW w:w="0" w:type="auto"/>
            <w:gridSpan w:val="3"/>
            <w:shd w:val="clear" w:color="auto" w:fill="auto"/>
            <w:vAlign w:val="bottom"/>
          </w:tcPr>
          <w:p w14:paraId="64296B83" w14:textId="77777777" w:rsidR="007B6C97" w:rsidRDefault="007B6C97">
            <w:pPr>
              <w:rPr>
                <w:rFonts w:ascii="宋体"/>
                <w:vanish/>
              </w:rPr>
            </w:pPr>
          </w:p>
        </w:tc>
        <w:tc>
          <w:tcPr>
            <w:tcW w:w="0" w:type="auto"/>
            <w:gridSpan w:val="3"/>
            <w:shd w:val="clear" w:color="auto" w:fill="auto"/>
            <w:vAlign w:val="bottom"/>
          </w:tcPr>
          <w:p w14:paraId="64296B84" w14:textId="77777777" w:rsidR="007B6C97" w:rsidRDefault="007B6C97">
            <w:pPr>
              <w:rPr>
                <w:rFonts w:ascii="宋体"/>
                <w:vanish/>
              </w:rPr>
            </w:pPr>
          </w:p>
        </w:tc>
        <w:tc>
          <w:tcPr>
            <w:tcW w:w="0" w:type="auto"/>
            <w:gridSpan w:val="3"/>
            <w:shd w:val="clear" w:color="auto" w:fill="auto"/>
            <w:vAlign w:val="bottom"/>
          </w:tcPr>
          <w:p w14:paraId="64296B85" w14:textId="77777777" w:rsidR="007B6C97" w:rsidRDefault="007B6C97">
            <w:pPr>
              <w:rPr>
                <w:rFonts w:ascii="宋体"/>
                <w:vanish/>
              </w:rPr>
            </w:pPr>
          </w:p>
        </w:tc>
        <w:tc>
          <w:tcPr>
            <w:tcW w:w="0" w:type="auto"/>
            <w:gridSpan w:val="3"/>
            <w:shd w:val="clear" w:color="auto" w:fill="auto"/>
            <w:vAlign w:val="bottom"/>
          </w:tcPr>
          <w:p w14:paraId="64296B86" w14:textId="77777777" w:rsidR="007B6C97" w:rsidRDefault="007B6C97">
            <w:pPr>
              <w:rPr>
                <w:rFonts w:ascii="宋体"/>
                <w:vanish/>
              </w:rPr>
            </w:pPr>
          </w:p>
        </w:tc>
        <w:tc>
          <w:tcPr>
            <w:tcW w:w="0" w:type="auto"/>
            <w:gridSpan w:val="3"/>
            <w:shd w:val="clear" w:color="auto" w:fill="auto"/>
            <w:vAlign w:val="bottom"/>
          </w:tcPr>
          <w:p w14:paraId="64296B87" w14:textId="77777777" w:rsidR="007B6C97" w:rsidRDefault="007B6C97">
            <w:pPr>
              <w:rPr>
                <w:rFonts w:ascii="宋体"/>
                <w:vanish/>
              </w:rPr>
            </w:pPr>
          </w:p>
        </w:tc>
        <w:tc>
          <w:tcPr>
            <w:tcW w:w="0" w:type="auto"/>
            <w:gridSpan w:val="3"/>
            <w:shd w:val="clear" w:color="auto" w:fill="auto"/>
            <w:vAlign w:val="bottom"/>
          </w:tcPr>
          <w:p w14:paraId="64296B88" w14:textId="77777777" w:rsidR="007B6C97" w:rsidRDefault="007B6C97">
            <w:pPr>
              <w:rPr>
                <w:rFonts w:ascii="宋体"/>
                <w:vanish/>
              </w:rPr>
            </w:pPr>
          </w:p>
        </w:tc>
      </w:tr>
      <w:tr w:rsidR="007B6C97" w14:paraId="64296B92" w14:textId="77777777">
        <w:trPr>
          <w:hidden/>
        </w:trPr>
        <w:tc>
          <w:tcPr>
            <w:tcW w:w="0" w:type="auto"/>
            <w:gridSpan w:val="3"/>
            <w:shd w:val="clear" w:color="auto" w:fill="auto"/>
            <w:vAlign w:val="bottom"/>
          </w:tcPr>
          <w:p w14:paraId="64296B8A" w14:textId="77777777" w:rsidR="007B6C97" w:rsidRDefault="007B6C97">
            <w:pPr>
              <w:rPr>
                <w:rFonts w:ascii="宋体"/>
                <w:vanish/>
              </w:rPr>
            </w:pPr>
          </w:p>
        </w:tc>
        <w:tc>
          <w:tcPr>
            <w:tcW w:w="0" w:type="auto"/>
            <w:gridSpan w:val="3"/>
            <w:shd w:val="clear" w:color="auto" w:fill="auto"/>
            <w:vAlign w:val="bottom"/>
          </w:tcPr>
          <w:p w14:paraId="64296B8B" w14:textId="77777777" w:rsidR="007B6C97" w:rsidRDefault="007B6C97">
            <w:pPr>
              <w:rPr>
                <w:rFonts w:ascii="宋体"/>
                <w:vanish/>
              </w:rPr>
            </w:pPr>
          </w:p>
        </w:tc>
        <w:tc>
          <w:tcPr>
            <w:tcW w:w="0" w:type="auto"/>
            <w:gridSpan w:val="3"/>
            <w:shd w:val="clear" w:color="auto" w:fill="auto"/>
            <w:vAlign w:val="bottom"/>
          </w:tcPr>
          <w:p w14:paraId="64296B8C" w14:textId="77777777" w:rsidR="007B6C97" w:rsidRDefault="007B6C97">
            <w:pPr>
              <w:rPr>
                <w:rFonts w:ascii="宋体"/>
                <w:vanish/>
              </w:rPr>
            </w:pPr>
          </w:p>
        </w:tc>
        <w:tc>
          <w:tcPr>
            <w:tcW w:w="0" w:type="auto"/>
            <w:gridSpan w:val="3"/>
            <w:shd w:val="clear" w:color="auto" w:fill="auto"/>
            <w:vAlign w:val="bottom"/>
          </w:tcPr>
          <w:p w14:paraId="64296B8D" w14:textId="77777777" w:rsidR="007B6C97" w:rsidRDefault="007B6C97">
            <w:pPr>
              <w:rPr>
                <w:rFonts w:ascii="宋体"/>
                <w:vanish/>
              </w:rPr>
            </w:pPr>
          </w:p>
        </w:tc>
        <w:tc>
          <w:tcPr>
            <w:tcW w:w="0" w:type="auto"/>
            <w:gridSpan w:val="3"/>
            <w:shd w:val="clear" w:color="auto" w:fill="auto"/>
            <w:vAlign w:val="bottom"/>
          </w:tcPr>
          <w:p w14:paraId="64296B8E" w14:textId="77777777" w:rsidR="007B6C97" w:rsidRDefault="007B6C97">
            <w:pPr>
              <w:rPr>
                <w:rFonts w:ascii="宋体"/>
                <w:vanish/>
              </w:rPr>
            </w:pPr>
          </w:p>
        </w:tc>
        <w:tc>
          <w:tcPr>
            <w:tcW w:w="0" w:type="auto"/>
            <w:gridSpan w:val="3"/>
            <w:shd w:val="clear" w:color="auto" w:fill="auto"/>
            <w:vAlign w:val="bottom"/>
          </w:tcPr>
          <w:p w14:paraId="64296B8F" w14:textId="77777777" w:rsidR="007B6C97" w:rsidRDefault="007B6C97">
            <w:pPr>
              <w:rPr>
                <w:rFonts w:ascii="宋体"/>
                <w:vanish/>
              </w:rPr>
            </w:pPr>
          </w:p>
        </w:tc>
        <w:tc>
          <w:tcPr>
            <w:tcW w:w="0" w:type="auto"/>
            <w:gridSpan w:val="3"/>
            <w:shd w:val="clear" w:color="auto" w:fill="auto"/>
            <w:vAlign w:val="bottom"/>
          </w:tcPr>
          <w:p w14:paraId="64296B90" w14:textId="77777777" w:rsidR="007B6C97" w:rsidRDefault="007B6C97">
            <w:pPr>
              <w:rPr>
                <w:rFonts w:ascii="宋体"/>
                <w:vanish/>
              </w:rPr>
            </w:pPr>
          </w:p>
        </w:tc>
        <w:tc>
          <w:tcPr>
            <w:tcW w:w="0" w:type="auto"/>
            <w:gridSpan w:val="3"/>
            <w:shd w:val="clear" w:color="auto" w:fill="auto"/>
            <w:vAlign w:val="bottom"/>
          </w:tcPr>
          <w:p w14:paraId="64296B91" w14:textId="77777777" w:rsidR="007B6C97" w:rsidRDefault="007B6C97">
            <w:pPr>
              <w:rPr>
                <w:rFonts w:ascii="宋体"/>
                <w:vanish/>
              </w:rPr>
            </w:pPr>
          </w:p>
        </w:tc>
      </w:tr>
      <w:tr w:rsidR="007B6C97" w14:paraId="64296B9B" w14:textId="77777777">
        <w:trPr>
          <w:hidden/>
        </w:trPr>
        <w:tc>
          <w:tcPr>
            <w:tcW w:w="0" w:type="auto"/>
            <w:gridSpan w:val="3"/>
            <w:shd w:val="clear" w:color="auto" w:fill="auto"/>
            <w:vAlign w:val="bottom"/>
          </w:tcPr>
          <w:p w14:paraId="64296B93" w14:textId="77777777" w:rsidR="007B6C97" w:rsidRDefault="007B6C97">
            <w:pPr>
              <w:rPr>
                <w:rFonts w:ascii="宋体"/>
                <w:vanish/>
              </w:rPr>
            </w:pPr>
          </w:p>
        </w:tc>
        <w:tc>
          <w:tcPr>
            <w:tcW w:w="0" w:type="auto"/>
            <w:gridSpan w:val="3"/>
            <w:shd w:val="clear" w:color="auto" w:fill="auto"/>
            <w:vAlign w:val="bottom"/>
          </w:tcPr>
          <w:p w14:paraId="64296B94" w14:textId="77777777" w:rsidR="007B6C97" w:rsidRDefault="007B6C97">
            <w:pPr>
              <w:rPr>
                <w:rFonts w:ascii="宋体"/>
                <w:vanish/>
              </w:rPr>
            </w:pPr>
          </w:p>
        </w:tc>
        <w:tc>
          <w:tcPr>
            <w:tcW w:w="0" w:type="auto"/>
            <w:gridSpan w:val="3"/>
            <w:shd w:val="clear" w:color="auto" w:fill="auto"/>
            <w:vAlign w:val="bottom"/>
          </w:tcPr>
          <w:p w14:paraId="64296B95" w14:textId="77777777" w:rsidR="007B6C97" w:rsidRDefault="007B6C97">
            <w:pPr>
              <w:rPr>
                <w:rFonts w:ascii="宋体"/>
                <w:vanish/>
              </w:rPr>
            </w:pPr>
          </w:p>
        </w:tc>
        <w:tc>
          <w:tcPr>
            <w:tcW w:w="0" w:type="auto"/>
            <w:gridSpan w:val="3"/>
            <w:shd w:val="clear" w:color="auto" w:fill="auto"/>
            <w:vAlign w:val="bottom"/>
          </w:tcPr>
          <w:p w14:paraId="64296B96" w14:textId="77777777" w:rsidR="007B6C97" w:rsidRDefault="007B6C97">
            <w:pPr>
              <w:rPr>
                <w:rFonts w:ascii="宋体"/>
                <w:vanish/>
              </w:rPr>
            </w:pPr>
          </w:p>
        </w:tc>
        <w:tc>
          <w:tcPr>
            <w:tcW w:w="0" w:type="auto"/>
            <w:gridSpan w:val="3"/>
            <w:shd w:val="clear" w:color="auto" w:fill="auto"/>
            <w:vAlign w:val="bottom"/>
          </w:tcPr>
          <w:p w14:paraId="64296B97" w14:textId="77777777" w:rsidR="007B6C97" w:rsidRDefault="007B6C97">
            <w:pPr>
              <w:rPr>
                <w:rFonts w:ascii="宋体"/>
                <w:vanish/>
              </w:rPr>
            </w:pPr>
          </w:p>
        </w:tc>
        <w:tc>
          <w:tcPr>
            <w:tcW w:w="0" w:type="auto"/>
            <w:gridSpan w:val="3"/>
            <w:shd w:val="clear" w:color="auto" w:fill="auto"/>
            <w:vAlign w:val="bottom"/>
          </w:tcPr>
          <w:p w14:paraId="64296B98" w14:textId="77777777" w:rsidR="007B6C97" w:rsidRDefault="007B6C97">
            <w:pPr>
              <w:rPr>
                <w:rFonts w:ascii="宋体"/>
                <w:vanish/>
              </w:rPr>
            </w:pPr>
          </w:p>
        </w:tc>
        <w:tc>
          <w:tcPr>
            <w:tcW w:w="0" w:type="auto"/>
            <w:gridSpan w:val="3"/>
            <w:shd w:val="clear" w:color="auto" w:fill="auto"/>
            <w:vAlign w:val="bottom"/>
          </w:tcPr>
          <w:p w14:paraId="64296B99" w14:textId="77777777" w:rsidR="007B6C97" w:rsidRDefault="007B6C97">
            <w:pPr>
              <w:rPr>
                <w:rFonts w:ascii="宋体"/>
                <w:vanish/>
              </w:rPr>
            </w:pPr>
          </w:p>
        </w:tc>
        <w:tc>
          <w:tcPr>
            <w:tcW w:w="0" w:type="auto"/>
            <w:gridSpan w:val="3"/>
            <w:shd w:val="clear" w:color="auto" w:fill="auto"/>
            <w:vAlign w:val="bottom"/>
          </w:tcPr>
          <w:p w14:paraId="64296B9A" w14:textId="77777777" w:rsidR="007B6C97" w:rsidRDefault="007B6C97">
            <w:pPr>
              <w:rPr>
                <w:rFonts w:ascii="宋体"/>
                <w:vanish/>
              </w:rPr>
            </w:pPr>
          </w:p>
        </w:tc>
      </w:tr>
      <w:tr w:rsidR="007B6C97" w14:paraId="64296BA4" w14:textId="77777777">
        <w:trPr>
          <w:hidden/>
        </w:trPr>
        <w:tc>
          <w:tcPr>
            <w:tcW w:w="0" w:type="auto"/>
            <w:gridSpan w:val="3"/>
            <w:shd w:val="clear" w:color="auto" w:fill="auto"/>
            <w:vAlign w:val="bottom"/>
          </w:tcPr>
          <w:p w14:paraId="64296B9C" w14:textId="77777777" w:rsidR="007B6C97" w:rsidRDefault="007B6C97">
            <w:pPr>
              <w:rPr>
                <w:rFonts w:ascii="宋体"/>
                <w:vanish/>
              </w:rPr>
            </w:pPr>
          </w:p>
        </w:tc>
        <w:tc>
          <w:tcPr>
            <w:tcW w:w="0" w:type="auto"/>
            <w:gridSpan w:val="3"/>
            <w:shd w:val="clear" w:color="auto" w:fill="auto"/>
            <w:vAlign w:val="bottom"/>
          </w:tcPr>
          <w:p w14:paraId="64296B9D" w14:textId="77777777" w:rsidR="007B6C97" w:rsidRDefault="007B6C97">
            <w:pPr>
              <w:rPr>
                <w:rFonts w:ascii="宋体"/>
                <w:vanish/>
              </w:rPr>
            </w:pPr>
          </w:p>
        </w:tc>
        <w:tc>
          <w:tcPr>
            <w:tcW w:w="0" w:type="auto"/>
            <w:gridSpan w:val="3"/>
            <w:shd w:val="clear" w:color="auto" w:fill="auto"/>
            <w:vAlign w:val="bottom"/>
          </w:tcPr>
          <w:p w14:paraId="64296B9E" w14:textId="77777777" w:rsidR="007B6C97" w:rsidRDefault="007B6C97">
            <w:pPr>
              <w:rPr>
                <w:rFonts w:ascii="宋体"/>
                <w:vanish/>
              </w:rPr>
            </w:pPr>
          </w:p>
        </w:tc>
        <w:tc>
          <w:tcPr>
            <w:tcW w:w="0" w:type="auto"/>
            <w:gridSpan w:val="3"/>
            <w:shd w:val="clear" w:color="auto" w:fill="auto"/>
            <w:vAlign w:val="bottom"/>
          </w:tcPr>
          <w:p w14:paraId="64296B9F" w14:textId="77777777" w:rsidR="007B6C97" w:rsidRDefault="007B6C97">
            <w:pPr>
              <w:rPr>
                <w:rFonts w:ascii="宋体"/>
                <w:vanish/>
              </w:rPr>
            </w:pPr>
          </w:p>
        </w:tc>
        <w:tc>
          <w:tcPr>
            <w:tcW w:w="0" w:type="auto"/>
            <w:gridSpan w:val="3"/>
            <w:shd w:val="clear" w:color="auto" w:fill="auto"/>
            <w:vAlign w:val="bottom"/>
          </w:tcPr>
          <w:p w14:paraId="64296BA0" w14:textId="77777777" w:rsidR="007B6C97" w:rsidRDefault="007B6C97">
            <w:pPr>
              <w:rPr>
                <w:rFonts w:ascii="宋体"/>
                <w:vanish/>
              </w:rPr>
            </w:pPr>
          </w:p>
        </w:tc>
        <w:tc>
          <w:tcPr>
            <w:tcW w:w="0" w:type="auto"/>
            <w:gridSpan w:val="3"/>
            <w:shd w:val="clear" w:color="auto" w:fill="auto"/>
            <w:vAlign w:val="bottom"/>
          </w:tcPr>
          <w:p w14:paraId="64296BA1" w14:textId="77777777" w:rsidR="007B6C97" w:rsidRDefault="007B6C97">
            <w:pPr>
              <w:rPr>
                <w:rFonts w:ascii="宋体"/>
                <w:vanish/>
              </w:rPr>
            </w:pPr>
          </w:p>
        </w:tc>
        <w:tc>
          <w:tcPr>
            <w:tcW w:w="0" w:type="auto"/>
            <w:gridSpan w:val="3"/>
            <w:shd w:val="clear" w:color="auto" w:fill="auto"/>
            <w:vAlign w:val="bottom"/>
          </w:tcPr>
          <w:p w14:paraId="64296BA2" w14:textId="77777777" w:rsidR="007B6C97" w:rsidRDefault="007B6C97">
            <w:pPr>
              <w:rPr>
                <w:rFonts w:ascii="宋体"/>
                <w:vanish/>
              </w:rPr>
            </w:pPr>
          </w:p>
        </w:tc>
        <w:tc>
          <w:tcPr>
            <w:tcW w:w="0" w:type="auto"/>
            <w:gridSpan w:val="3"/>
            <w:shd w:val="clear" w:color="auto" w:fill="auto"/>
            <w:vAlign w:val="bottom"/>
          </w:tcPr>
          <w:p w14:paraId="64296BA3" w14:textId="77777777" w:rsidR="007B6C97" w:rsidRDefault="007B6C97">
            <w:pPr>
              <w:rPr>
                <w:rFonts w:ascii="宋体"/>
                <w:vanish/>
              </w:rPr>
            </w:pPr>
          </w:p>
        </w:tc>
      </w:tr>
    </w:tbl>
    <w:p w14:paraId="64296BA5" w14:textId="77777777" w:rsidR="007B6C97" w:rsidRDefault="007B6C97">
      <w:pPr>
        <w:jc w:val="center"/>
      </w:pPr>
    </w:p>
    <w:p w14:paraId="64296BA6" w14:textId="77777777" w:rsidR="007B6C97" w:rsidRDefault="00E426D1">
      <w:pPr>
        <w:jc w:val="center"/>
      </w:pPr>
      <w:r>
        <w:rPr>
          <w:rFonts w:ascii="Times New Roman" w:eastAsia="宋体" w:hAnsi="Times New Roman"/>
          <w:i/>
          <w:iCs/>
          <w:color w:val="000000"/>
          <w:sz w:val="20"/>
          <w:szCs w:val="20"/>
        </w:rPr>
        <w:t>See Notes to Consolidated Financial Statements.</w:t>
      </w:r>
    </w:p>
    <w:p w14:paraId="64296BA7" w14:textId="77777777" w:rsidR="007B6C97" w:rsidRDefault="00E426D1">
      <w:pPr>
        <w:jc w:val="center"/>
      </w:pPr>
      <w:r>
        <w:rPr>
          <w:rFonts w:ascii="Times New Roman" w:eastAsia="宋体" w:hAnsi="Times New Roman"/>
          <w:color w:val="000000"/>
          <w:sz w:val="20"/>
          <w:szCs w:val="20"/>
        </w:rPr>
        <w:t>4</w:t>
      </w:r>
    </w:p>
    <w:p w14:paraId="64296BA8" w14:textId="77777777" w:rsidR="007B6C97" w:rsidRDefault="00E426D1">
      <w:r>
        <w:pict w14:anchorId="642999DE">
          <v:rect id="_x0000_i1028" style="width:415.3pt;height:1.5pt" o:hralign="center" o:hrstd="t" o:hr="t" fillcolor="#a0a0a0" stroked="f"/>
        </w:pict>
      </w:r>
    </w:p>
    <w:p w14:paraId="64296BA9" w14:textId="77777777" w:rsidR="007B6C97" w:rsidRDefault="00E426D1">
      <w:hyperlink r:id="rId51" w:anchor="ie38a2b375c9840e583a36769999bbee6_7" w:history="1">
        <w:r>
          <w:rPr>
            <w:rStyle w:val="a5"/>
            <w:rFonts w:ascii="Times New Roman" w:eastAsia="宋体" w:hAnsi="Times New Roman"/>
            <w:sz w:val="20"/>
            <w:szCs w:val="20"/>
          </w:rPr>
          <w:t>Table</w:t>
        </w:r>
      </w:hyperlink>
      <w:hyperlink r:id="rId52" w:anchor="ie38a2b375c9840e583a36769999bbee6_7" w:history="1">
        <w:r>
          <w:rPr>
            <w:rStyle w:val="a5"/>
            <w:rFonts w:ascii="Times New Roman" w:eastAsia="宋体" w:hAnsi="Times New Roman"/>
            <w:sz w:val="20"/>
            <w:szCs w:val="20"/>
          </w:rPr>
          <w:t xml:space="preserve"> of Contents</w:t>
        </w:r>
      </w:hyperlink>
    </w:p>
    <w:p w14:paraId="64296BAA" w14:textId="77777777" w:rsidR="007B6C97" w:rsidRDefault="00E426D1">
      <w:pPr>
        <w:spacing w:before="280"/>
        <w:jc w:val="center"/>
      </w:pPr>
      <w:r>
        <w:rPr>
          <w:rFonts w:ascii="Times New Roman" w:eastAsia="宋体" w:hAnsi="Times New Roman"/>
          <w:b/>
          <w:bCs/>
          <w:color w:val="000000"/>
          <w:sz w:val="20"/>
          <w:szCs w:val="20"/>
        </w:rPr>
        <w:t>STARBUCKS CORPORATION</w:t>
      </w:r>
    </w:p>
    <w:p w14:paraId="64296BAB" w14:textId="77777777" w:rsidR="007B6C97" w:rsidRDefault="00E426D1">
      <w:pPr>
        <w:jc w:val="center"/>
      </w:pPr>
      <w:r>
        <w:rPr>
          <w:rFonts w:ascii="Times New Roman" w:eastAsia="宋体" w:hAnsi="Times New Roman"/>
          <w:b/>
          <w:bCs/>
          <w:color w:val="000000"/>
          <w:sz w:val="20"/>
          <w:szCs w:val="20"/>
        </w:rPr>
        <w:t>CONSOLIDATED BALANCE SHEETS</w:t>
      </w:r>
    </w:p>
    <w:p w14:paraId="64296BAC" w14:textId="77777777" w:rsidR="007B6C97" w:rsidRDefault="00E426D1">
      <w:pPr>
        <w:jc w:val="center"/>
      </w:pPr>
      <w:r>
        <w:rPr>
          <w:rFonts w:ascii="Times New Roman" w:eastAsia="宋体" w:hAnsi="Times New Roman"/>
          <w:i/>
          <w:iCs/>
          <w:color w:val="000000"/>
          <w:sz w:val="20"/>
          <w:szCs w:val="20"/>
        </w:rPr>
        <w:t>(in millions, except per share data)</w:t>
      </w:r>
    </w:p>
    <w:p w14:paraId="64296BAD" w14:textId="77777777" w:rsidR="007B6C97" w:rsidRDefault="00E426D1">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11"/>
        <w:gridCol w:w="37"/>
        <w:gridCol w:w="120"/>
        <w:gridCol w:w="913"/>
        <w:gridCol w:w="36"/>
        <w:gridCol w:w="36"/>
        <w:gridCol w:w="36"/>
        <w:gridCol w:w="36"/>
        <w:gridCol w:w="120"/>
        <w:gridCol w:w="916"/>
        <w:gridCol w:w="36"/>
      </w:tblGrid>
      <w:tr w:rsidR="007B6C97" w14:paraId="64296BBA" w14:textId="77777777">
        <w:trPr>
          <w:jc w:val="center"/>
        </w:trPr>
        <w:tc>
          <w:tcPr>
            <w:tcW w:w="50" w:type="pct"/>
            <w:shd w:val="clear" w:color="auto" w:fill="auto"/>
            <w:vAlign w:val="bottom"/>
          </w:tcPr>
          <w:p w14:paraId="64296BAE" w14:textId="77777777" w:rsidR="007B6C97" w:rsidRDefault="007B6C97">
            <w:pPr>
              <w:rPr>
                <w:rFonts w:ascii="宋体"/>
              </w:rPr>
            </w:pPr>
          </w:p>
        </w:tc>
        <w:tc>
          <w:tcPr>
            <w:tcW w:w="3643" w:type="pct"/>
            <w:shd w:val="clear" w:color="auto" w:fill="auto"/>
            <w:vAlign w:val="bottom"/>
          </w:tcPr>
          <w:p w14:paraId="64296BAF" w14:textId="77777777" w:rsidR="007B6C97" w:rsidRDefault="007B6C97">
            <w:pPr>
              <w:rPr>
                <w:rFonts w:ascii="宋体"/>
              </w:rPr>
            </w:pPr>
          </w:p>
        </w:tc>
        <w:tc>
          <w:tcPr>
            <w:tcW w:w="5" w:type="pct"/>
            <w:shd w:val="clear" w:color="auto" w:fill="auto"/>
            <w:vAlign w:val="bottom"/>
          </w:tcPr>
          <w:p w14:paraId="64296BB0" w14:textId="77777777" w:rsidR="007B6C97" w:rsidRDefault="007B6C97">
            <w:pPr>
              <w:rPr>
                <w:rFonts w:ascii="宋体"/>
              </w:rPr>
            </w:pPr>
          </w:p>
        </w:tc>
        <w:tc>
          <w:tcPr>
            <w:tcW w:w="50" w:type="pct"/>
            <w:shd w:val="clear" w:color="auto" w:fill="auto"/>
            <w:vAlign w:val="bottom"/>
          </w:tcPr>
          <w:p w14:paraId="64296BB1" w14:textId="77777777" w:rsidR="007B6C97" w:rsidRDefault="007B6C97">
            <w:pPr>
              <w:rPr>
                <w:rFonts w:ascii="宋体"/>
              </w:rPr>
            </w:pPr>
          </w:p>
        </w:tc>
        <w:tc>
          <w:tcPr>
            <w:tcW w:w="580" w:type="pct"/>
            <w:shd w:val="clear" w:color="auto" w:fill="auto"/>
            <w:vAlign w:val="bottom"/>
          </w:tcPr>
          <w:p w14:paraId="64296BB2" w14:textId="77777777" w:rsidR="007B6C97" w:rsidRDefault="007B6C97">
            <w:pPr>
              <w:rPr>
                <w:rFonts w:ascii="宋体"/>
              </w:rPr>
            </w:pPr>
          </w:p>
        </w:tc>
        <w:tc>
          <w:tcPr>
            <w:tcW w:w="5" w:type="pct"/>
            <w:shd w:val="clear" w:color="auto" w:fill="auto"/>
            <w:vAlign w:val="bottom"/>
          </w:tcPr>
          <w:p w14:paraId="64296BB3" w14:textId="77777777" w:rsidR="007B6C97" w:rsidRDefault="007B6C97">
            <w:pPr>
              <w:rPr>
                <w:rFonts w:ascii="宋体"/>
              </w:rPr>
            </w:pPr>
          </w:p>
        </w:tc>
        <w:tc>
          <w:tcPr>
            <w:tcW w:w="5" w:type="pct"/>
            <w:shd w:val="clear" w:color="auto" w:fill="auto"/>
            <w:vAlign w:val="bottom"/>
          </w:tcPr>
          <w:p w14:paraId="64296BB4" w14:textId="77777777" w:rsidR="007B6C97" w:rsidRDefault="007B6C97">
            <w:pPr>
              <w:rPr>
                <w:rFonts w:ascii="宋体"/>
              </w:rPr>
            </w:pPr>
          </w:p>
        </w:tc>
        <w:tc>
          <w:tcPr>
            <w:tcW w:w="19" w:type="pct"/>
            <w:shd w:val="clear" w:color="auto" w:fill="auto"/>
            <w:vAlign w:val="bottom"/>
          </w:tcPr>
          <w:p w14:paraId="64296BB5" w14:textId="77777777" w:rsidR="007B6C97" w:rsidRDefault="007B6C97">
            <w:pPr>
              <w:rPr>
                <w:rFonts w:ascii="宋体"/>
              </w:rPr>
            </w:pPr>
          </w:p>
        </w:tc>
        <w:tc>
          <w:tcPr>
            <w:tcW w:w="5" w:type="pct"/>
            <w:shd w:val="clear" w:color="auto" w:fill="auto"/>
            <w:vAlign w:val="bottom"/>
          </w:tcPr>
          <w:p w14:paraId="64296BB6" w14:textId="77777777" w:rsidR="007B6C97" w:rsidRDefault="007B6C97">
            <w:pPr>
              <w:rPr>
                <w:rFonts w:ascii="宋体"/>
              </w:rPr>
            </w:pPr>
          </w:p>
        </w:tc>
        <w:tc>
          <w:tcPr>
            <w:tcW w:w="50" w:type="pct"/>
            <w:shd w:val="clear" w:color="auto" w:fill="auto"/>
            <w:vAlign w:val="bottom"/>
          </w:tcPr>
          <w:p w14:paraId="64296BB7" w14:textId="77777777" w:rsidR="007B6C97" w:rsidRDefault="007B6C97">
            <w:pPr>
              <w:rPr>
                <w:rFonts w:ascii="宋体"/>
              </w:rPr>
            </w:pPr>
          </w:p>
        </w:tc>
        <w:tc>
          <w:tcPr>
            <w:tcW w:w="581" w:type="pct"/>
            <w:shd w:val="clear" w:color="auto" w:fill="auto"/>
            <w:vAlign w:val="bottom"/>
          </w:tcPr>
          <w:p w14:paraId="64296BB8" w14:textId="77777777" w:rsidR="007B6C97" w:rsidRDefault="007B6C97">
            <w:pPr>
              <w:rPr>
                <w:rFonts w:ascii="宋体"/>
              </w:rPr>
            </w:pPr>
          </w:p>
        </w:tc>
        <w:tc>
          <w:tcPr>
            <w:tcW w:w="5" w:type="pct"/>
            <w:shd w:val="clear" w:color="auto" w:fill="auto"/>
            <w:vAlign w:val="bottom"/>
          </w:tcPr>
          <w:p w14:paraId="64296BB9" w14:textId="77777777" w:rsidR="007B6C97" w:rsidRDefault="007B6C97">
            <w:pPr>
              <w:rPr>
                <w:rFonts w:ascii="宋体"/>
              </w:rPr>
            </w:pPr>
          </w:p>
        </w:tc>
      </w:tr>
      <w:tr w:rsidR="007B6C97" w14:paraId="64296BBF" w14:textId="77777777">
        <w:trPr>
          <w:jc w:val="center"/>
        </w:trPr>
        <w:tc>
          <w:tcPr>
            <w:tcW w:w="0" w:type="auto"/>
            <w:gridSpan w:val="3"/>
            <w:shd w:val="clear" w:color="auto" w:fill="auto"/>
            <w:tcMar>
              <w:top w:w="0" w:type="dxa"/>
              <w:left w:w="20" w:type="dxa"/>
              <w:bottom w:w="0" w:type="dxa"/>
              <w:right w:w="20" w:type="dxa"/>
            </w:tcMar>
            <w:vAlign w:val="bottom"/>
          </w:tcPr>
          <w:p w14:paraId="64296BB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BBC"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BB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BBE" w14:textId="77777777" w:rsidR="007B6C97" w:rsidRDefault="00E426D1">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7B6C97" w14:paraId="64296BC4" w14:textId="77777777">
        <w:trPr>
          <w:jc w:val="center"/>
        </w:trPr>
        <w:tc>
          <w:tcPr>
            <w:tcW w:w="0" w:type="auto"/>
            <w:gridSpan w:val="3"/>
            <w:shd w:val="clear" w:color="auto" w:fill="D7E4BC"/>
            <w:tcMar>
              <w:top w:w="40" w:type="dxa"/>
              <w:left w:w="20" w:type="dxa"/>
              <w:bottom w:w="40" w:type="dxa"/>
              <w:right w:w="20" w:type="dxa"/>
            </w:tcMar>
          </w:tcPr>
          <w:p w14:paraId="64296BC0" w14:textId="77777777" w:rsidR="007B6C97" w:rsidRDefault="00E426D1">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BC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BC2"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BC3" w14:textId="77777777" w:rsidR="007B6C97" w:rsidRDefault="007B6C97">
            <w:pPr>
              <w:rPr>
                <w:rFonts w:ascii="宋体"/>
              </w:rPr>
            </w:pPr>
          </w:p>
        </w:tc>
      </w:tr>
      <w:tr w:rsidR="007B6C97" w14:paraId="64296BC9" w14:textId="77777777">
        <w:trPr>
          <w:jc w:val="center"/>
        </w:trPr>
        <w:tc>
          <w:tcPr>
            <w:tcW w:w="0" w:type="auto"/>
            <w:gridSpan w:val="3"/>
            <w:shd w:val="clear" w:color="auto" w:fill="FFFFFF"/>
            <w:tcMar>
              <w:top w:w="40" w:type="dxa"/>
              <w:left w:w="20" w:type="dxa"/>
              <w:bottom w:w="40" w:type="dxa"/>
              <w:right w:w="20" w:type="dxa"/>
            </w:tcMar>
          </w:tcPr>
          <w:p w14:paraId="64296BC5" w14:textId="77777777" w:rsidR="007B6C97" w:rsidRDefault="00E426D1">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64296BC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BC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BC8" w14:textId="77777777" w:rsidR="007B6C97" w:rsidRDefault="007B6C97">
            <w:pPr>
              <w:rPr>
                <w:rFonts w:ascii="宋体"/>
              </w:rPr>
            </w:pPr>
          </w:p>
        </w:tc>
      </w:tr>
      <w:tr w:rsidR="007B6C97" w14:paraId="64296BD2" w14:textId="77777777">
        <w:trPr>
          <w:jc w:val="center"/>
        </w:trPr>
        <w:tc>
          <w:tcPr>
            <w:tcW w:w="0" w:type="auto"/>
            <w:gridSpan w:val="3"/>
            <w:shd w:val="clear" w:color="auto" w:fill="D7E4BC"/>
            <w:tcMar>
              <w:top w:w="40" w:type="dxa"/>
              <w:left w:w="380" w:type="dxa"/>
              <w:bottom w:w="40" w:type="dxa"/>
              <w:right w:w="20" w:type="dxa"/>
            </w:tcMar>
          </w:tcPr>
          <w:p w14:paraId="64296BCA" w14:textId="77777777" w:rsidR="007B6C97" w:rsidRDefault="00E426D1">
            <w:pPr>
              <w:textAlignment w:val="top"/>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shd w:val="clear" w:color="auto" w:fill="D7E4BC"/>
            <w:tcMar>
              <w:top w:w="40" w:type="dxa"/>
              <w:left w:w="20" w:type="dxa"/>
              <w:bottom w:w="40" w:type="dxa"/>
              <w:right w:w="0" w:type="dxa"/>
            </w:tcMar>
            <w:vAlign w:val="bottom"/>
          </w:tcPr>
          <w:p w14:paraId="64296BC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BCC" w14:textId="77777777" w:rsidR="007B6C97" w:rsidRDefault="00E426D1">
            <w:pPr>
              <w:jc w:val="right"/>
              <w:textAlignment w:val="bottom"/>
            </w:pPr>
            <w:r>
              <w:rPr>
                <w:rFonts w:ascii="Times New Roman" w:eastAsia="宋体" w:hAnsi="Times New Roman"/>
                <w:color w:val="000000"/>
                <w:sz w:val="20"/>
                <w:szCs w:val="20"/>
              </w:rPr>
              <w:t>3,177.5 </w:t>
            </w:r>
          </w:p>
        </w:tc>
        <w:tc>
          <w:tcPr>
            <w:tcW w:w="0" w:type="auto"/>
            <w:shd w:val="clear" w:color="auto" w:fill="D7E4BC"/>
            <w:tcMar>
              <w:top w:w="40" w:type="dxa"/>
              <w:left w:w="0" w:type="dxa"/>
              <w:bottom w:w="40" w:type="dxa"/>
              <w:right w:w="20" w:type="dxa"/>
            </w:tcMar>
            <w:vAlign w:val="bottom"/>
          </w:tcPr>
          <w:p w14:paraId="64296BC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CE"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6BC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6BD0" w14:textId="77777777" w:rsidR="007B6C97" w:rsidRDefault="00E426D1">
            <w:pPr>
              <w:jc w:val="right"/>
              <w:textAlignment w:val="bottom"/>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bottom"/>
          </w:tcPr>
          <w:p w14:paraId="64296BD1" w14:textId="77777777" w:rsidR="007B6C97" w:rsidRDefault="007B6C97">
            <w:pPr>
              <w:jc w:val="right"/>
              <w:rPr>
                <w:rFonts w:ascii="宋体"/>
              </w:rPr>
            </w:pPr>
          </w:p>
        </w:tc>
      </w:tr>
      <w:tr w:rsidR="007B6C97" w14:paraId="64296BD9" w14:textId="77777777">
        <w:trPr>
          <w:jc w:val="center"/>
        </w:trPr>
        <w:tc>
          <w:tcPr>
            <w:tcW w:w="0" w:type="auto"/>
            <w:gridSpan w:val="3"/>
            <w:shd w:val="clear" w:color="auto" w:fill="FFFFFF"/>
            <w:tcMar>
              <w:top w:w="40" w:type="dxa"/>
              <w:left w:w="380" w:type="dxa"/>
              <w:bottom w:w="40" w:type="dxa"/>
              <w:right w:w="20" w:type="dxa"/>
            </w:tcMar>
          </w:tcPr>
          <w:p w14:paraId="64296BD3" w14:textId="77777777" w:rsidR="007B6C97" w:rsidRDefault="00E426D1">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64296BD4" w14:textId="77777777" w:rsidR="007B6C97" w:rsidRDefault="00E426D1">
            <w:pPr>
              <w:jc w:val="right"/>
              <w:textAlignment w:val="bottom"/>
            </w:pPr>
            <w:r>
              <w:rPr>
                <w:rFonts w:ascii="Times New Roman" w:eastAsia="宋体" w:hAnsi="Times New Roman"/>
                <w:color w:val="000000"/>
                <w:sz w:val="20"/>
                <w:szCs w:val="20"/>
              </w:rPr>
              <w:t>76.9 </w:t>
            </w:r>
          </w:p>
        </w:tc>
        <w:tc>
          <w:tcPr>
            <w:tcW w:w="0" w:type="auto"/>
            <w:shd w:val="clear" w:color="auto" w:fill="FFFFFF"/>
            <w:tcMar>
              <w:top w:w="40" w:type="dxa"/>
              <w:left w:w="0" w:type="dxa"/>
              <w:bottom w:w="40" w:type="dxa"/>
              <w:right w:w="20" w:type="dxa"/>
            </w:tcMar>
            <w:vAlign w:val="bottom"/>
          </w:tcPr>
          <w:p w14:paraId="64296BD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D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BD7" w14:textId="77777777" w:rsidR="007B6C97" w:rsidRDefault="00E426D1">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64296BD8" w14:textId="77777777" w:rsidR="007B6C97" w:rsidRDefault="007B6C97">
            <w:pPr>
              <w:jc w:val="right"/>
              <w:rPr>
                <w:rFonts w:ascii="宋体"/>
              </w:rPr>
            </w:pPr>
          </w:p>
        </w:tc>
      </w:tr>
      <w:tr w:rsidR="007B6C97" w14:paraId="64296BE0" w14:textId="77777777">
        <w:trPr>
          <w:jc w:val="center"/>
        </w:trPr>
        <w:tc>
          <w:tcPr>
            <w:tcW w:w="0" w:type="auto"/>
            <w:gridSpan w:val="3"/>
            <w:shd w:val="clear" w:color="auto" w:fill="D7E4BC"/>
            <w:tcMar>
              <w:top w:w="40" w:type="dxa"/>
              <w:left w:w="380" w:type="dxa"/>
              <w:bottom w:w="40" w:type="dxa"/>
              <w:right w:w="20" w:type="dxa"/>
            </w:tcMar>
          </w:tcPr>
          <w:p w14:paraId="64296BDA" w14:textId="77777777" w:rsidR="007B6C97" w:rsidRDefault="00E426D1">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64296BDB" w14:textId="77777777" w:rsidR="007B6C97" w:rsidRDefault="00E426D1">
            <w:pPr>
              <w:jc w:val="right"/>
              <w:textAlignment w:val="bottom"/>
            </w:pPr>
            <w:r>
              <w:rPr>
                <w:rFonts w:ascii="Times New Roman" w:eastAsia="宋体" w:hAnsi="Times New Roman"/>
                <w:color w:val="000000"/>
                <w:sz w:val="20"/>
                <w:szCs w:val="20"/>
              </w:rPr>
              <w:t>1,146.1 </w:t>
            </w:r>
          </w:p>
        </w:tc>
        <w:tc>
          <w:tcPr>
            <w:tcW w:w="0" w:type="auto"/>
            <w:shd w:val="clear" w:color="auto" w:fill="D7E4BC"/>
            <w:tcMar>
              <w:top w:w="40" w:type="dxa"/>
              <w:left w:w="0" w:type="dxa"/>
              <w:bottom w:w="40" w:type="dxa"/>
              <w:right w:w="20" w:type="dxa"/>
            </w:tcMar>
            <w:vAlign w:val="bottom"/>
          </w:tcPr>
          <w:p w14:paraId="64296BD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D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BDE" w14:textId="77777777" w:rsidR="007B6C97" w:rsidRDefault="00E426D1">
            <w:pPr>
              <w:jc w:val="right"/>
              <w:textAlignment w:val="bottom"/>
            </w:pPr>
            <w:r>
              <w:rPr>
                <w:rFonts w:ascii="Times New Roman" w:eastAsia="宋体" w:hAnsi="Times New Roman"/>
                <w:color w:val="000000"/>
                <w:sz w:val="20"/>
                <w:szCs w:val="20"/>
              </w:rPr>
              <w:t>940.0 </w:t>
            </w:r>
          </w:p>
        </w:tc>
        <w:tc>
          <w:tcPr>
            <w:tcW w:w="0" w:type="auto"/>
            <w:shd w:val="clear" w:color="auto" w:fill="D7E4BC"/>
            <w:tcMar>
              <w:top w:w="40" w:type="dxa"/>
              <w:left w:w="0" w:type="dxa"/>
              <w:bottom w:w="40" w:type="dxa"/>
              <w:right w:w="20" w:type="dxa"/>
            </w:tcMar>
            <w:vAlign w:val="bottom"/>
          </w:tcPr>
          <w:p w14:paraId="64296BDF" w14:textId="77777777" w:rsidR="007B6C97" w:rsidRDefault="007B6C97">
            <w:pPr>
              <w:jc w:val="right"/>
              <w:rPr>
                <w:rFonts w:ascii="宋体"/>
              </w:rPr>
            </w:pPr>
          </w:p>
        </w:tc>
      </w:tr>
      <w:tr w:rsidR="007B6C97" w14:paraId="64296BE7" w14:textId="77777777">
        <w:trPr>
          <w:jc w:val="center"/>
        </w:trPr>
        <w:tc>
          <w:tcPr>
            <w:tcW w:w="0" w:type="auto"/>
            <w:gridSpan w:val="3"/>
            <w:shd w:val="clear" w:color="auto" w:fill="FFFFFF"/>
            <w:tcMar>
              <w:top w:w="40" w:type="dxa"/>
              <w:left w:w="380" w:type="dxa"/>
              <w:bottom w:w="40" w:type="dxa"/>
              <w:right w:w="20" w:type="dxa"/>
            </w:tcMar>
          </w:tcPr>
          <w:p w14:paraId="64296BE1" w14:textId="77777777" w:rsidR="007B6C97" w:rsidRDefault="00E426D1">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64296BE2" w14:textId="77777777" w:rsidR="007B6C97" w:rsidRDefault="00E426D1">
            <w:pPr>
              <w:jc w:val="right"/>
              <w:textAlignment w:val="bottom"/>
            </w:pPr>
            <w:r>
              <w:rPr>
                <w:rFonts w:ascii="Times New Roman" w:eastAsia="宋体" w:hAnsi="Times New Roman"/>
                <w:color w:val="000000"/>
                <w:sz w:val="20"/>
                <w:szCs w:val="20"/>
              </w:rPr>
              <w:t>2,132.9 </w:t>
            </w:r>
          </w:p>
        </w:tc>
        <w:tc>
          <w:tcPr>
            <w:tcW w:w="0" w:type="auto"/>
            <w:shd w:val="clear" w:color="auto" w:fill="FFFFFF"/>
            <w:tcMar>
              <w:top w:w="40" w:type="dxa"/>
              <w:left w:w="0" w:type="dxa"/>
              <w:bottom w:w="40" w:type="dxa"/>
              <w:right w:w="20" w:type="dxa"/>
            </w:tcMar>
            <w:vAlign w:val="bottom"/>
          </w:tcPr>
          <w:p w14:paraId="64296BE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E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BE5" w14:textId="77777777" w:rsidR="007B6C97" w:rsidRDefault="00E426D1">
            <w:pPr>
              <w:jc w:val="right"/>
              <w:textAlignment w:val="bottom"/>
            </w:pPr>
            <w:r>
              <w:rPr>
                <w:rFonts w:ascii="Times New Roman" w:eastAsia="宋体" w:hAnsi="Times New Roman"/>
                <w:color w:val="000000"/>
                <w:sz w:val="20"/>
                <w:szCs w:val="20"/>
              </w:rPr>
              <w:t>1,603.9 </w:t>
            </w:r>
          </w:p>
        </w:tc>
        <w:tc>
          <w:tcPr>
            <w:tcW w:w="0" w:type="auto"/>
            <w:shd w:val="clear" w:color="auto" w:fill="FFFFFF"/>
            <w:tcMar>
              <w:top w:w="40" w:type="dxa"/>
              <w:left w:w="0" w:type="dxa"/>
              <w:bottom w:w="40" w:type="dxa"/>
              <w:right w:w="20" w:type="dxa"/>
            </w:tcMar>
            <w:vAlign w:val="bottom"/>
          </w:tcPr>
          <w:p w14:paraId="64296BE6" w14:textId="77777777" w:rsidR="007B6C97" w:rsidRDefault="007B6C97">
            <w:pPr>
              <w:jc w:val="right"/>
              <w:rPr>
                <w:rFonts w:ascii="宋体"/>
              </w:rPr>
            </w:pPr>
          </w:p>
        </w:tc>
      </w:tr>
      <w:tr w:rsidR="007B6C97" w14:paraId="64296BEE" w14:textId="77777777">
        <w:trPr>
          <w:jc w:val="center"/>
        </w:trPr>
        <w:tc>
          <w:tcPr>
            <w:tcW w:w="0" w:type="auto"/>
            <w:gridSpan w:val="3"/>
            <w:shd w:val="clear" w:color="auto" w:fill="D7E4BC"/>
            <w:tcMar>
              <w:top w:w="40" w:type="dxa"/>
              <w:left w:w="380" w:type="dxa"/>
              <w:bottom w:w="40" w:type="dxa"/>
              <w:right w:w="20" w:type="dxa"/>
            </w:tcMar>
          </w:tcPr>
          <w:p w14:paraId="64296BE8" w14:textId="77777777" w:rsidR="007B6C97" w:rsidRDefault="00E426D1">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64296BE9" w14:textId="77777777" w:rsidR="007B6C97" w:rsidRDefault="00E426D1">
            <w:pPr>
              <w:jc w:val="right"/>
              <w:textAlignment w:val="bottom"/>
            </w:pPr>
            <w:r>
              <w:rPr>
                <w:rFonts w:ascii="Times New Roman" w:eastAsia="宋体" w:hAnsi="Times New Roman"/>
                <w:color w:val="000000"/>
                <w:sz w:val="20"/>
                <w:szCs w:val="20"/>
              </w:rPr>
              <w:t>534.1 </w:t>
            </w:r>
          </w:p>
        </w:tc>
        <w:tc>
          <w:tcPr>
            <w:tcW w:w="0" w:type="auto"/>
            <w:shd w:val="clear" w:color="auto" w:fill="D7E4BC"/>
            <w:tcMar>
              <w:top w:w="40" w:type="dxa"/>
              <w:left w:w="0" w:type="dxa"/>
              <w:bottom w:w="40" w:type="dxa"/>
              <w:right w:w="20" w:type="dxa"/>
            </w:tcMar>
            <w:vAlign w:val="bottom"/>
          </w:tcPr>
          <w:p w14:paraId="64296BE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E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BEC" w14:textId="77777777" w:rsidR="007B6C97" w:rsidRDefault="00E426D1">
            <w:pPr>
              <w:jc w:val="right"/>
              <w:textAlignment w:val="bottom"/>
            </w:pPr>
            <w:r>
              <w:rPr>
                <w:rFonts w:ascii="Times New Roman" w:eastAsia="宋体" w:hAnsi="Times New Roman"/>
                <w:color w:val="000000"/>
                <w:sz w:val="20"/>
                <w:szCs w:val="20"/>
              </w:rPr>
              <w:t>594.6 </w:t>
            </w:r>
          </w:p>
        </w:tc>
        <w:tc>
          <w:tcPr>
            <w:tcW w:w="0" w:type="auto"/>
            <w:shd w:val="clear" w:color="auto" w:fill="D7E4BC"/>
            <w:tcMar>
              <w:top w:w="40" w:type="dxa"/>
              <w:left w:w="0" w:type="dxa"/>
              <w:bottom w:w="40" w:type="dxa"/>
              <w:right w:w="20" w:type="dxa"/>
            </w:tcMar>
            <w:vAlign w:val="bottom"/>
          </w:tcPr>
          <w:p w14:paraId="64296BED" w14:textId="77777777" w:rsidR="007B6C97" w:rsidRDefault="007B6C97">
            <w:pPr>
              <w:jc w:val="right"/>
              <w:rPr>
                <w:rFonts w:ascii="宋体"/>
              </w:rPr>
            </w:pPr>
          </w:p>
        </w:tc>
      </w:tr>
      <w:tr w:rsidR="007B6C97" w14:paraId="64296BF5" w14:textId="77777777">
        <w:trPr>
          <w:jc w:val="center"/>
        </w:trPr>
        <w:tc>
          <w:tcPr>
            <w:tcW w:w="0" w:type="auto"/>
            <w:gridSpan w:val="3"/>
            <w:shd w:val="clear" w:color="auto" w:fill="FFFFFF"/>
            <w:tcMar>
              <w:top w:w="40" w:type="dxa"/>
              <w:left w:w="740" w:type="dxa"/>
              <w:bottom w:w="40" w:type="dxa"/>
              <w:right w:w="20" w:type="dxa"/>
            </w:tcMar>
          </w:tcPr>
          <w:p w14:paraId="64296BEF" w14:textId="77777777" w:rsidR="007B6C97" w:rsidRDefault="00E426D1">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BF0" w14:textId="77777777" w:rsidR="007B6C97" w:rsidRDefault="00E426D1">
            <w:pPr>
              <w:jc w:val="right"/>
              <w:textAlignment w:val="bottom"/>
            </w:pPr>
            <w:r>
              <w:rPr>
                <w:rFonts w:ascii="Times New Roman" w:eastAsia="宋体" w:hAnsi="Times New Roman"/>
                <w:color w:val="000000"/>
                <w:sz w:val="20"/>
                <w:szCs w:val="20"/>
              </w:rPr>
              <w:t>7,067.5 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BF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BF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BF3" w14:textId="77777777" w:rsidR="007B6C97" w:rsidRDefault="00E426D1">
            <w:pPr>
              <w:jc w:val="right"/>
              <w:textAlignment w:val="bottom"/>
            </w:pPr>
            <w:r>
              <w:rPr>
                <w:rFonts w:ascii="Times New Roman" w:eastAsia="宋体" w:hAnsi="Times New Roman"/>
                <w:color w:val="000000"/>
                <w:sz w:val="20"/>
                <w:szCs w:val="20"/>
              </w:rPr>
              <w:t>9,756.4 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BF4" w14:textId="77777777" w:rsidR="007B6C97" w:rsidRDefault="007B6C97">
            <w:pPr>
              <w:jc w:val="right"/>
              <w:rPr>
                <w:rFonts w:ascii="宋体"/>
              </w:rPr>
            </w:pPr>
          </w:p>
        </w:tc>
      </w:tr>
      <w:tr w:rsidR="007B6C97" w14:paraId="64296BFC" w14:textId="77777777">
        <w:trPr>
          <w:jc w:val="center"/>
        </w:trPr>
        <w:tc>
          <w:tcPr>
            <w:tcW w:w="0" w:type="auto"/>
            <w:gridSpan w:val="3"/>
            <w:shd w:val="clear" w:color="auto" w:fill="D7E4BC"/>
            <w:tcMar>
              <w:top w:w="40" w:type="dxa"/>
              <w:left w:w="20" w:type="dxa"/>
              <w:bottom w:w="40" w:type="dxa"/>
              <w:right w:w="20" w:type="dxa"/>
            </w:tcMar>
          </w:tcPr>
          <w:p w14:paraId="64296BF6" w14:textId="77777777" w:rsidR="007B6C97" w:rsidRDefault="00E426D1">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64296BF7" w14:textId="77777777" w:rsidR="007B6C97" w:rsidRDefault="00E426D1">
            <w:pPr>
              <w:jc w:val="right"/>
              <w:textAlignment w:val="bottom"/>
            </w:pPr>
            <w:r>
              <w:rPr>
                <w:rFonts w:ascii="Times New Roman" w:eastAsia="宋体" w:hAnsi="Times New Roman"/>
                <w:color w:val="000000"/>
                <w:sz w:val="20"/>
                <w:szCs w:val="20"/>
              </w:rPr>
              <w:t>292.5 </w:t>
            </w:r>
          </w:p>
        </w:tc>
        <w:tc>
          <w:tcPr>
            <w:tcW w:w="0" w:type="auto"/>
            <w:shd w:val="clear" w:color="auto" w:fill="D7E4BC"/>
            <w:tcMar>
              <w:top w:w="40" w:type="dxa"/>
              <w:left w:w="0" w:type="dxa"/>
              <w:bottom w:w="40" w:type="dxa"/>
              <w:right w:w="20" w:type="dxa"/>
            </w:tcMar>
            <w:vAlign w:val="bottom"/>
          </w:tcPr>
          <w:p w14:paraId="64296BF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BF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BFA" w14:textId="77777777" w:rsidR="007B6C97" w:rsidRDefault="00E426D1">
            <w:pPr>
              <w:jc w:val="right"/>
              <w:textAlignment w:val="bottom"/>
            </w:pPr>
            <w:r>
              <w:rPr>
                <w:rFonts w:ascii="Times New Roman" w:eastAsia="宋体" w:hAnsi="Times New Roman"/>
                <w:color w:val="000000"/>
                <w:sz w:val="20"/>
                <w:szCs w:val="20"/>
              </w:rPr>
              <w:t>281.7 </w:t>
            </w:r>
          </w:p>
        </w:tc>
        <w:tc>
          <w:tcPr>
            <w:tcW w:w="0" w:type="auto"/>
            <w:shd w:val="clear" w:color="auto" w:fill="D7E4BC"/>
            <w:tcMar>
              <w:top w:w="40" w:type="dxa"/>
              <w:left w:w="0" w:type="dxa"/>
              <w:bottom w:w="40" w:type="dxa"/>
              <w:right w:w="20" w:type="dxa"/>
            </w:tcMar>
            <w:vAlign w:val="bottom"/>
          </w:tcPr>
          <w:p w14:paraId="64296BFB" w14:textId="77777777" w:rsidR="007B6C97" w:rsidRDefault="007B6C97">
            <w:pPr>
              <w:jc w:val="right"/>
              <w:rPr>
                <w:rFonts w:ascii="宋体"/>
              </w:rPr>
            </w:pPr>
          </w:p>
        </w:tc>
      </w:tr>
      <w:tr w:rsidR="007B6C97" w14:paraId="64296C03" w14:textId="77777777">
        <w:trPr>
          <w:jc w:val="center"/>
        </w:trPr>
        <w:tc>
          <w:tcPr>
            <w:tcW w:w="0" w:type="auto"/>
            <w:gridSpan w:val="3"/>
            <w:shd w:val="clear" w:color="auto" w:fill="FFFFFF"/>
            <w:tcMar>
              <w:top w:w="40" w:type="dxa"/>
              <w:left w:w="20" w:type="dxa"/>
              <w:bottom w:w="40" w:type="dxa"/>
              <w:right w:w="20" w:type="dxa"/>
            </w:tcMar>
          </w:tcPr>
          <w:p w14:paraId="64296BFD" w14:textId="77777777" w:rsidR="007B6C97" w:rsidRDefault="00E426D1">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64296BFE" w14:textId="77777777" w:rsidR="007B6C97" w:rsidRDefault="00E426D1">
            <w:pPr>
              <w:jc w:val="right"/>
              <w:textAlignment w:val="bottom"/>
            </w:pPr>
            <w:r>
              <w:rPr>
                <w:rFonts w:ascii="Times New Roman" w:eastAsia="宋体" w:hAnsi="Times New Roman"/>
                <w:color w:val="000000"/>
                <w:sz w:val="20"/>
                <w:szCs w:val="20"/>
              </w:rPr>
              <w:t>302.7 </w:t>
            </w:r>
          </w:p>
        </w:tc>
        <w:tc>
          <w:tcPr>
            <w:tcW w:w="0" w:type="auto"/>
            <w:shd w:val="clear" w:color="auto" w:fill="FFFFFF"/>
            <w:tcMar>
              <w:top w:w="40" w:type="dxa"/>
              <w:left w:w="0" w:type="dxa"/>
              <w:bottom w:w="40" w:type="dxa"/>
              <w:right w:w="20" w:type="dxa"/>
            </w:tcMar>
            <w:vAlign w:val="bottom"/>
          </w:tcPr>
          <w:p w14:paraId="64296BF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0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01" w14:textId="77777777" w:rsidR="007B6C97" w:rsidRDefault="00E426D1">
            <w:pPr>
              <w:jc w:val="right"/>
              <w:textAlignment w:val="bottom"/>
            </w:pPr>
            <w:r>
              <w:rPr>
                <w:rFonts w:ascii="Times New Roman" w:eastAsia="宋体" w:hAnsi="Times New Roman"/>
                <w:color w:val="000000"/>
                <w:sz w:val="20"/>
                <w:szCs w:val="20"/>
              </w:rPr>
              <w:t>268.5 </w:t>
            </w:r>
          </w:p>
        </w:tc>
        <w:tc>
          <w:tcPr>
            <w:tcW w:w="0" w:type="auto"/>
            <w:shd w:val="clear" w:color="auto" w:fill="FFFFFF"/>
            <w:tcMar>
              <w:top w:w="40" w:type="dxa"/>
              <w:left w:w="0" w:type="dxa"/>
              <w:bottom w:w="40" w:type="dxa"/>
              <w:right w:w="20" w:type="dxa"/>
            </w:tcMar>
            <w:vAlign w:val="bottom"/>
          </w:tcPr>
          <w:p w14:paraId="64296C02" w14:textId="77777777" w:rsidR="007B6C97" w:rsidRDefault="007B6C97">
            <w:pPr>
              <w:jc w:val="right"/>
              <w:rPr>
                <w:rFonts w:ascii="宋体"/>
              </w:rPr>
            </w:pPr>
          </w:p>
        </w:tc>
      </w:tr>
      <w:tr w:rsidR="007B6C97" w14:paraId="64296C0A" w14:textId="77777777">
        <w:trPr>
          <w:jc w:val="center"/>
        </w:trPr>
        <w:tc>
          <w:tcPr>
            <w:tcW w:w="0" w:type="auto"/>
            <w:gridSpan w:val="3"/>
            <w:shd w:val="clear" w:color="auto" w:fill="D7E4BC"/>
            <w:tcMar>
              <w:top w:w="40" w:type="dxa"/>
              <w:left w:w="20" w:type="dxa"/>
              <w:bottom w:w="40" w:type="dxa"/>
              <w:right w:w="20" w:type="dxa"/>
            </w:tcMar>
          </w:tcPr>
          <w:p w14:paraId="64296C04" w14:textId="77777777" w:rsidR="007B6C97" w:rsidRDefault="00E426D1">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64296C05" w14:textId="77777777" w:rsidR="007B6C97" w:rsidRDefault="00E426D1">
            <w:pPr>
              <w:jc w:val="right"/>
              <w:textAlignment w:val="bottom"/>
            </w:pPr>
            <w:r>
              <w:rPr>
                <w:rFonts w:ascii="Times New Roman" w:eastAsia="宋体" w:hAnsi="Times New Roman"/>
                <w:color w:val="000000"/>
                <w:sz w:val="20"/>
                <w:szCs w:val="20"/>
              </w:rPr>
              <w:t>6,408.2 </w:t>
            </w:r>
          </w:p>
        </w:tc>
        <w:tc>
          <w:tcPr>
            <w:tcW w:w="0" w:type="auto"/>
            <w:shd w:val="clear" w:color="auto" w:fill="D7E4BC"/>
            <w:tcMar>
              <w:top w:w="40" w:type="dxa"/>
              <w:left w:w="0" w:type="dxa"/>
              <w:bottom w:w="40" w:type="dxa"/>
              <w:right w:w="20" w:type="dxa"/>
            </w:tcMar>
            <w:vAlign w:val="bottom"/>
          </w:tcPr>
          <w:p w14:paraId="64296C0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0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08" w14:textId="77777777" w:rsidR="007B6C97" w:rsidRDefault="00E426D1">
            <w:pPr>
              <w:jc w:val="right"/>
              <w:textAlignment w:val="bottom"/>
            </w:pPr>
            <w:r>
              <w:rPr>
                <w:rFonts w:ascii="Times New Roman" w:eastAsia="宋体" w:hAnsi="Times New Roman"/>
                <w:color w:val="000000"/>
                <w:sz w:val="20"/>
                <w:szCs w:val="20"/>
              </w:rPr>
              <w:t>6,369.5 </w:t>
            </w:r>
          </w:p>
        </w:tc>
        <w:tc>
          <w:tcPr>
            <w:tcW w:w="0" w:type="auto"/>
            <w:shd w:val="clear" w:color="auto" w:fill="D7E4BC"/>
            <w:tcMar>
              <w:top w:w="40" w:type="dxa"/>
              <w:left w:w="0" w:type="dxa"/>
              <w:bottom w:w="40" w:type="dxa"/>
              <w:right w:w="20" w:type="dxa"/>
            </w:tcMar>
            <w:vAlign w:val="bottom"/>
          </w:tcPr>
          <w:p w14:paraId="64296C09" w14:textId="77777777" w:rsidR="007B6C97" w:rsidRDefault="007B6C97">
            <w:pPr>
              <w:jc w:val="right"/>
              <w:rPr>
                <w:rFonts w:ascii="宋体"/>
              </w:rPr>
            </w:pPr>
          </w:p>
        </w:tc>
      </w:tr>
      <w:tr w:rsidR="007B6C97" w14:paraId="64296C11" w14:textId="77777777">
        <w:trPr>
          <w:jc w:val="center"/>
        </w:trPr>
        <w:tc>
          <w:tcPr>
            <w:tcW w:w="0" w:type="auto"/>
            <w:gridSpan w:val="3"/>
            <w:shd w:val="clear" w:color="auto" w:fill="FFFFFF"/>
            <w:tcMar>
              <w:top w:w="40" w:type="dxa"/>
              <w:left w:w="20" w:type="dxa"/>
              <w:bottom w:w="40" w:type="dxa"/>
              <w:right w:w="20" w:type="dxa"/>
            </w:tcMar>
          </w:tcPr>
          <w:p w14:paraId="64296C0B" w14:textId="77777777" w:rsidR="007B6C97" w:rsidRDefault="00E426D1">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64296C0C" w14:textId="77777777" w:rsidR="007B6C97" w:rsidRDefault="00E426D1">
            <w:pPr>
              <w:jc w:val="right"/>
              <w:textAlignment w:val="bottom"/>
            </w:pPr>
            <w:r>
              <w:rPr>
                <w:rFonts w:ascii="Times New Roman" w:eastAsia="宋体" w:hAnsi="Times New Roman"/>
                <w:color w:val="000000"/>
                <w:sz w:val="20"/>
                <w:szCs w:val="20"/>
              </w:rPr>
              <w:t>8,037.1 </w:t>
            </w:r>
          </w:p>
        </w:tc>
        <w:tc>
          <w:tcPr>
            <w:tcW w:w="0" w:type="auto"/>
            <w:shd w:val="clear" w:color="auto" w:fill="FFFFFF"/>
            <w:tcMar>
              <w:top w:w="40" w:type="dxa"/>
              <w:left w:w="0" w:type="dxa"/>
              <w:bottom w:w="40" w:type="dxa"/>
              <w:right w:w="20" w:type="dxa"/>
            </w:tcMar>
            <w:vAlign w:val="bottom"/>
          </w:tcPr>
          <w:p w14:paraId="64296C0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0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0F" w14:textId="77777777" w:rsidR="007B6C97" w:rsidRDefault="00E426D1">
            <w:pPr>
              <w:jc w:val="right"/>
              <w:textAlignment w:val="bottom"/>
            </w:pPr>
            <w:r>
              <w:rPr>
                <w:rFonts w:ascii="Times New Roman" w:eastAsia="宋体" w:hAnsi="Times New Roman"/>
                <w:color w:val="000000"/>
                <w:sz w:val="20"/>
                <w:szCs w:val="20"/>
              </w:rPr>
              <w:t>8,236.0 </w:t>
            </w:r>
          </w:p>
        </w:tc>
        <w:tc>
          <w:tcPr>
            <w:tcW w:w="0" w:type="auto"/>
            <w:shd w:val="clear" w:color="auto" w:fill="FFFFFF"/>
            <w:tcMar>
              <w:top w:w="40" w:type="dxa"/>
              <w:left w:w="0" w:type="dxa"/>
              <w:bottom w:w="40" w:type="dxa"/>
              <w:right w:w="20" w:type="dxa"/>
            </w:tcMar>
            <w:vAlign w:val="bottom"/>
          </w:tcPr>
          <w:p w14:paraId="64296C10" w14:textId="77777777" w:rsidR="007B6C97" w:rsidRDefault="007B6C97">
            <w:pPr>
              <w:jc w:val="right"/>
              <w:rPr>
                <w:rFonts w:ascii="宋体"/>
              </w:rPr>
            </w:pPr>
          </w:p>
        </w:tc>
      </w:tr>
      <w:tr w:rsidR="007B6C97" w14:paraId="64296C18" w14:textId="77777777">
        <w:trPr>
          <w:jc w:val="center"/>
        </w:trPr>
        <w:tc>
          <w:tcPr>
            <w:tcW w:w="0" w:type="auto"/>
            <w:gridSpan w:val="3"/>
            <w:shd w:val="clear" w:color="auto" w:fill="D7E4BC"/>
            <w:tcMar>
              <w:top w:w="40" w:type="dxa"/>
              <w:left w:w="20" w:type="dxa"/>
              <w:bottom w:w="40" w:type="dxa"/>
              <w:right w:w="20" w:type="dxa"/>
            </w:tcMar>
          </w:tcPr>
          <w:p w14:paraId="64296C12" w14:textId="77777777" w:rsidR="007B6C97" w:rsidRDefault="00E426D1">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64296C13" w14:textId="77777777" w:rsidR="007B6C97" w:rsidRDefault="00E426D1">
            <w:pPr>
              <w:jc w:val="right"/>
              <w:textAlignment w:val="bottom"/>
            </w:pPr>
            <w:r>
              <w:rPr>
                <w:rFonts w:ascii="Times New Roman" w:eastAsia="宋体" w:hAnsi="Times New Roman"/>
                <w:color w:val="000000"/>
                <w:sz w:val="20"/>
                <w:szCs w:val="20"/>
              </w:rPr>
              <w:t>1,752.9 </w:t>
            </w:r>
          </w:p>
        </w:tc>
        <w:tc>
          <w:tcPr>
            <w:tcW w:w="0" w:type="auto"/>
            <w:shd w:val="clear" w:color="auto" w:fill="D7E4BC"/>
            <w:tcMar>
              <w:top w:w="40" w:type="dxa"/>
              <w:left w:w="0" w:type="dxa"/>
              <w:bottom w:w="40" w:type="dxa"/>
              <w:right w:w="20" w:type="dxa"/>
            </w:tcMar>
            <w:vAlign w:val="bottom"/>
          </w:tcPr>
          <w:p w14:paraId="64296C1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1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16" w14:textId="77777777" w:rsidR="007B6C97" w:rsidRDefault="00E426D1">
            <w:pPr>
              <w:jc w:val="right"/>
              <w:textAlignment w:val="bottom"/>
            </w:pPr>
            <w:r>
              <w:rPr>
                <w:rFonts w:ascii="Times New Roman" w:eastAsia="宋体" w:hAnsi="Times New Roman"/>
                <w:color w:val="000000"/>
                <w:sz w:val="20"/>
                <w:szCs w:val="20"/>
              </w:rPr>
              <w:t>1,874.8 </w:t>
            </w:r>
          </w:p>
        </w:tc>
        <w:tc>
          <w:tcPr>
            <w:tcW w:w="0" w:type="auto"/>
            <w:shd w:val="clear" w:color="auto" w:fill="D7E4BC"/>
            <w:tcMar>
              <w:top w:w="40" w:type="dxa"/>
              <w:left w:w="0" w:type="dxa"/>
              <w:bottom w:w="40" w:type="dxa"/>
              <w:right w:w="20" w:type="dxa"/>
            </w:tcMar>
            <w:vAlign w:val="bottom"/>
          </w:tcPr>
          <w:p w14:paraId="64296C17" w14:textId="77777777" w:rsidR="007B6C97" w:rsidRDefault="007B6C97">
            <w:pPr>
              <w:jc w:val="right"/>
              <w:rPr>
                <w:rFonts w:ascii="宋体"/>
              </w:rPr>
            </w:pPr>
          </w:p>
        </w:tc>
      </w:tr>
      <w:tr w:rsidR="007B6C97" w14:paraId="64296C1F" w14:textId="77777777">
        <w:trPr>
          <w:jc w:val="center"/>
        </w:trPr>
        <w:tc>
          <w:tcPr>
            <w:tcW w:w="0" w:type="auto"/>
            <w:gridSpan w:val="3"/>
            <w:shd w:val="clear" w:color="auto" w:fill="FFFFFF"/>
            <w:tcMar>
              <w:top w:w="40" w:type="dxa"/>
              <w:left w:w="20" w:type="dxa"/>
              <w:bottom w:w="40" w:type="dxa"/>
              <w:right w:w="20" w:type="dxa"/>
            </w:tcMar>
          </w:tcPr>
          <w:p w14:paraId="64296C19" w14:textId="77777777" w:rsidR="007B6C97" w:rsidRDefault="00E426D1">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64296C1A" w14:textId="77777777" w:rsidR="007B6C97" w:rsidRDefault="00E426D1">
            <w:pPr>
              <w:jc w:val="right"/>
              <w:textAlignment w:val="bottom"/>
            </w:pPr>
            <w:r>
              <w:rPr>
                <w:rFonts w:ascii="Times New Roman" w:eastAsia="宋体" w:hAnsi="Times New Roman"/>
                <w:color w:val="000000"/>
                <w:sz w:val="20"/>
                <w:szCs w:val="20"/>
              </w:rPr>
              <w:t>640.7 </w:t>
            </w:r>
          </w:p>
        </w:tc>
        <w:tc>
          <w:tcPr>
            <w:tcW w:w="0" w:type="auto"/>
            <w:shd w:val="clear" w:color="auto" w:fill="FFFFFF"/>
            <w:tcMar>
              <w:top w:w="40" w:type="dxa"/>
              <w:left w:w="0" w:type="dxa"/>
              <w:bottom w:w="40" w:type="dxa"/>
              <w:right w:w="20" w:type="dxa"/>
            </w:tcMar>
            <w:vAlign w:val="bottom"/>
          </w:tcPr>
          <w:p w14:paraId="64296C1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1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1D" w14:textId="77777777" w:rsidR="007B6C97" w:rsidRDefault="00E426D1">
            <w:pPr>
              <w:jc w:val="right"/>
              <w:textAlignment w:val="bottom"/>
            </w:pPr>
            <w:r>
              <w:rPr>
                <w:rFonts w:ascii="Times New Roman" w:eastAsia="宋体" w:hAnsi="Times New Roman"/>
                <w:color w:val="000000"/>
                <w:sz w:val="20"/>
                <w:szCs w:val="20"/>
              </w:rPr>
              <w:t>578.5 </w:t>
            </w:r>
          </w:p>
        </w:tc>
        <w:tc>
          <w:tcPr>
            <w:tcW w:w="0" w:type="auto"/>
            <w:shd w:val="clear" w:color="auto" w:fill="FFFFFF"/>
            <w:tcMar>
              <w:top w:w="40" w:type="dxa"/>
              <w:left w:w="0" w:type="dxa"/>
              <w:bottom w:w="40" w:type="dxa"/>
              <w:right w:w="20" w:type="dxa"/>
            </w:tcMar>
            <w:vAlign w:val="bottom"/>
          </w:tcPr>
          <w:p w14:paraId="64296C1E" w14:textId="77777777" w:rsidR="007B6C97" w:rsidRDefault="007B6C97">
            <w:pPr>
              <w:jc w:val="right"/>
              <w:rPr>
                <w:rFonts w:ascii="宋体"/>
              </w:rPr>
            </w:pPr>
          </w:p>
        </w:tc>
      </w:tr>
      <w:tr w:rsidR="007B6C97" w14:paraId="64296C26" w14:textId="77777777">
        <w:trPr>
          <w:jc w:val="center"/>
        </w:trPr>
        <w:tc>
          <w:tcPr>
            <w:tcW w:w="0" w:type="auto"/>
            <w:gridSpan w:val="3"/>
            <w:shd w:val="clear" w:color="auto" w:fill="D7E4BC"/>
            <w:tcMar>
              <w:top w:w="40" w:type="dxa"/>
              <w:left w:w="20" w:type="dxa"/>
              <w:bottom w:w="40" w:type="dxa"/>
              <w:right w:w="20" w:type="dxa"/>
            </w:tcMar>
          </w:tcPr>
          <w:p w14:paraId="64296C20" w14:textId="77777777" w:rsidR="007B6C97" w:rsidRDefault="00E426D1">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64296C21" w14:textId="77777777" w:rsidR="007B6C97" w:rsidRDefault="00E426D1">
            <w:pPr>
              <w:jc w:val="right"/>
              <w:textAlignment w:val="bottom"/>
            </w:pPr>
            <w:r>
              <w:rPr>
                <w:rFonts w:ascii="Times New Roman" w:eastAsia="宋体" w:hAnsi="Times New Roman"/>
                <w:color w:val="000000"/>
                <w:sz w:val="20"/>
                <w:szCs w:val="20"/>
              </w:rPr>
              <w:t>203.4 </w:t>
            </w:r>
          </w:p>
        </w:tc>
        <w:tc>
          <w:tcPr>
            <w:tcW w:w="0" w:type="auto"/>
            <w:shd w:val="clear" w:color="auto" w:fill="D7E4BC"/>
            <w:tcMar>
              <w:top w:w="40" w:type="dxa"/>
              <w:left w:w="0" w:type="dxa"/>
              <w:bottom w:w="40" w:type="dxa"/>
              <w:right w:w="20" w:type="dxa"/>
            </w:tcMar>
            <w:vAlign w:val="bottom"/>
          </w:tcPr>
          <w:p w14:paraId="64296C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24" w14:textId="77777777" w:rsidR="007B6C97" w:rsidRDefault="00E426D1">
            <w:pPr>
              <w:jc w:val="right"/>
              <w:textAlignment w:val="bottom"/>
            </w:pPr>
            <w:r>
              <w:rPr>
                <w:rFonts w:ascii="Times New Roman" w:eastAsia="宋体" w:hAnsi="Times New Roman"/>
                <w:color w:val="000000"/>
                <w:sz w:val="20"/>
                <w:szCs w:val="20"/>
              </w:rPr>
              <w:t>349.9 </w:t>
            </w:r>
          </w:p>
        </w:tc>
        <w:tc>
          <w:tcPr>
            <w:tcW w:w="0" w:type="auto"/>
            <w:shd w:val="clear" w:color="auto" w:fill="D7E4BC"/>
            <w:tcMar>
              <w:top w:w="40" w:type="dxa"/>
              <w:left w:w="0" w:type="dxa"/>
              <w:bottom w:w="40" w:type="dxa"/>
              <w:right w:w="20" w:type="dxa"/>
            </w:tcMar>
            <w:vAlign w:val="bottom"/>
          </w:tcPr>
          <w:p w14:paraId="64296C25" w14:textId="77777777" w:rsidR="007B6C97" w:rsidRDefault="007B6C97">
            <w:pPr>
              <w:jc w:val="right"/>
              <w:rPr>
                <w:rFonts w:ascii="宋体"/>
              </w:rPr>
            </w:pPr>
          </w:p>
        </w:tc>
      </w:tr>
      <w:tr w:rsidR="007B6C97" w14:paraId="64296C2D" w14:textId="77777777">
        <w:trPr>
          <w:jc w:val="center"/>
        </w:trPr>
        <w:tc>
          <w:tcPr>
            <w:tcW w:w="0" w:type="auto"/>
            <w:gridSpan w:val="3"/>
            <w:shd w:val="clear" w:color="auto" w:fill="FFFFFF"/>
            <w:tcMar>
              <w:top w:w="40" w:type="dxa"/>
              <w:left w:w="20" w:type="dxa"/>
              <w:bottom w:w="40" w:type="dxa"/>
              <w:right w:w="20" w:type="dxa"/>
            </w:tcMar>
          </w:tcPr>
          <w:p w14:paraId="64296C27" w14:textId="77777777" w:rsidR="007B6C97" w:rsidRDefault="00E426D1">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64296C28" w14:textId="77777777" w:rsidR="007B6C97" w:rsidRDefault="00E426D1">
            <w:pPr>
              <w:jc w:val="right"/>
              <w:textAlignment w:val="bottom"/>
            </w:pPr>
            <w:r>
              <w:rPr>
                <w:rFonts w:ascii="Times New Roman" w:eastAsia="宋体" w:hAnsi="Times New Roman"/>
                <w:color w:val="000000"/>
                <w:sz w:val="20"/>
                <w:szCs w:val="20"/>
              </w:rPr>
              <w:t>3,451.2 </w:t>
            </w:r>
          </w:p>
        </w:tc>
        <w:tc>
          <w:tcPr>
            <w:tcW w:w="0" w:type="auto"/>
            <w:shd w:val="clear" w:color="auto" w:fill="FFFFFF"/>
            <w:tcMar>
              <w:top w:w="40" w:type="dxa"/>
              <w:left w:w="0" w:type="dxa"/>
              <w:bottom w:w="40" w:type="dxa"/>
              <w:right w:w="20" w:type="dxa"/>
            </w:tcMar>
            <w:vAlign w:val="bottom"/>
          </w:tcPr>
          <w:p w14:paraId="64296C2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2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2B" w14:textId="77777777" w:rsidR="007B6C97" w:rsidRDefault="00E426D1">
            <w:pPr>
              <w:jc w:val="right"/>
              <w:textAlignment w:val="bottom"/>
            </w:pPr>
            <w:r>
              <w:rPr>
                <w:rFonts w:ascii="Times New Roman" w:eastAsia="宋体" w:hAnsi="Times New Roman"/>
                <w:color w:val="000000"/>
                <w:sz w:val="20"/>
                <w:szCs w:val="20"/>
              </w:rPr>
              <w:t>3,677.3 </w:t>
            </w:r>
          </w:p>
        </w:tc>
        <w:tc>
          <w:tcPr>
            <w:tcW w:w="0" w:type="auto"/>
            <w:shd w:val="clear" w:color="auto" w:fill="FFFFFF"/>
            <w:tcMar>
              <w:top w:w="40" w:type="dxa"/>
              <w:left w:w="0" w:type="dxa"/>
              <w:bottom w:w="40" w:type="dxa"/>
              <w:right w:w="20" w:type="dxa"/>
            </w:tcMar>
            <w:vAlign w:val="bottom"/>
          </w:tcPr>
          <w:p w14:paraId="64296C2C" w14:textId="77777777" w:rsidR="007B6C97" w:rsidRDefault="007B6C97">
            <w:pPr>
              <w:jc w:val="right"/>
              <w:rPr>
                <w:rFonts w:ascii="宋体"/>
              </w:rPr>
            </w:pPr>
          </w:p>
        </w:tc>
      </w:tr>
      <w:tr w:rsidR="007B6C97" w14:paraId="64296C36" w14:textId="77777777">
        <w:trPr>
          <w:jc w:val="center"/>
        </w:trPr>
        <w:tc>
          <w:tcPr>
            <w:tcW w:w="0" w:type="auto"/>
            <w:gridSpan w:val="3"/>
            <w:shd w:val="clear" w:color="auto" w:fill="D7E4BC"/>
            <w:tcMar>
              <w:top w:w="40" w:type="dxa"/>
              <w:left w:w="20" w:type="dxa"/>
              <w:bottom w:w="40" w:type="dxa"/>
              <w:right w:w="20" w:type="dxa"/>
            </w:tcMar>
          </w:tcPr>
          <w:p w14:paraId="64296C2E" w14:textId="77777777" w:rsidR="007B6C97" w:rsidRDefault="00E426D1">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6C2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C30" w14:textId="77777777" w:rsidR="007B6C97" w:rsidRDefault="00E426D1">
            <w:pPr>
              <w:jc w:val="right"/>
              <w:textAlignment w:val="bottom"/>
            </w:pPr>
            <w:r>
              <w:rPr>
                <w:rFonts w:ascii="Times New Roman" w:eastAsia="宋体" w:hAnsi="Times New Roman"/>
                <w:color w:val="000000"/>
                <w:sz w:val="20"/>
                <w:szCs w:val="20"/>
              </w:rPr>
              <w:t>28,156.2 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C3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3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C3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C34" w14:textId="77777777" w:rsidR="007B6C97" w:rsidRDefault="00E426D1">
            <w:pPr>
              <w:jc w:val="right"/>
              <w:textAlignment w:val="bottom"/>
            </w:pPr>
            <w:r>
              <w:rPr>
                <w:rFonts w:ascii="Times New Roman" w:eastAsia="宋体" w:hAnsi="Times New Roman"/>
                <w:color w:val="000000"/>
                <w:sz w:val="20"/>
                <w:szCs w:val="20"/>
              </w:rPr>
              <w:t>31,392.6 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C35" w14:textId="77777777" w:rsidR="007B6C97" w:rsidRDefault="007B6C97">
            <w:pPr>
              <w:jc w:val="right"/>
              <w:rPr>
                <w:rFonts w:ascii="宋体"/>
              </w:rPr>
            </w:pPr>
          </w:p>
        </w:tc>
      </w:tr>
      <w:tr w:rsidR="007B6C97" w14:paraId="64296C3B" w14:textId="77777777">
        <w:trPr>
          <w:jc w:val="center"/>
        </w:trPr>
        <w:tc>
          <w:tcPr>
            <w:tcW w:w="0" w:type="auto"/>
            <w:gridSpan w:val="3"/>
            <w:shd w:val="clear" w:color="auto" w:fill="FFFFFF"/>
            <w:tcMar>
              <w:top w:w="40" w:type="dxa"/>
              <w:left w:w="20" w:type="dxa"/>
              <w:bottom w:w="40" w:type="dxa"/>
              <w:right w:w="20" w:type="dxa"/>
            </w:tcMar>
          </w:tcPr>
          <w:p w14:paraId="64296C37" w14:textId="77777777" w:rsidR="007B6C97" w:rsidRDefault="00E426D1">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6C3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C39"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6C3A" w14:textId="77777777" w:rsidR="007B6C97" w:rsidRDefault="007B6C97">
            <w:pPr>
              <w:rPr>
                <w:rFonts w:ascii="宋体"/>
              </w:rPr>
            </w:pPr>
          </w:p>
        </w:tc>
      </w:tr>
      <w:tr w:rsidR="007B6C97" w14:paraId="64296C40" w14:textId="77777777">
        <w:trPr>
          <w:jc w:val="center"/>
        </w:trPr>
        <w:tc>
          <w:tcPr>
            <w:tcW w:w="0" w:type="auto"/>
            <w:gridSpan w:val="3"/>
            <w:shd w:val="clear" w:color="auto" w:fill="D7E4BC"/>
            <w:tcMar>
              <w:top w:w="40" w:type="dxa"/>
              <w:left w:w="20" w:type="dxa"/>
              <w:bottom w:w="40" w:type="dxa"/>
              <w:right w:w="20" w:type="dxa"/>
            </w:tcMar>
          </w:tcPr>
          <w:p w14:paraId="64296C3C" w14:textId="77777777" w:rsidR="007B6C97" w:rsidRDefault="00E426D1">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vAlign w:val="bottom"/>
          </w:tcPr>
          <w:p w14:paraId="64296C3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C3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C3F" w14:textId="77777777" w:rsidR="007B6C97" w:rsidRDefault="007B6C97">
            <w:pPr>
              <w:rPr>
                <w:rFonts w:ascii="宋体"/>
              </w:rPr>
            </w:pPr>
          </w:p>
        </w:tc>
      </w:tr>
      <w:tr w:rsidR="007B6C97" w14:paraId="64296C49" w14:textId="77777777">
        <w:trPr>
          <w:jc w:val="center"/>
        </w:trPr>
        <w:tc>
          <w:tcPr>
            <w:tcW w:w="0" w:type="auto"/>
            <w:gridSpan w:val="3"/>
            <w:shd w:val="clear" w:color="auto" w:fill="FFFFFF"/>
            <w:tcMar>
              <w:top w:w="40" w:type="dxa"/>
              <w:left w:w="380" w:type="dxa"/>
              <w:bottom w:w="40" w:type="dxa"/>
              <w:right w:w="20" w:type="dxa"/>
            </w:tcMar>
          </w:tcPr>
          <w:p w14:paraId="64296C41" w14:textId="77777777" w:rsidR="007B6C97" w:rsidRDefault="00E426D1">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64296C4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C43" w14:textId="77777777" w:rsidR="007B6C97" w:rsidRDefault="00E426D1">
            <w:pPr>
              <w:jc w:val="right"/>
              <w:textAlignment w:val="bottom"/>
            </w:pPr>
            <w:r>
              <w:rPr>
                <w:rFonts w:ascii="Times New Roman" w:eastAsia="宋体" w:hAnsi="Times New Roman"/>
                <w:color w:val="000000"/>
                <w:sz w:val="20"/>
                <w:szCs w:val="20"/>
              </w:rPr>
              <w:t>1,489.8 </w:t>
            </w:r>
          </w:p>
        </w:tc>
        <w:tc>
          <w:tcPr>
            <w:tcW w:w="0" w:type="auto"/>
            <w:shd w:val="clear" w:color="auto" w:fill="FFFFFF"/>
            <w:tcMar>
              <w:top w:w="40" w:type="dxa"/>
              <w:left w:w="0" w:type="dxa"/>
              <w:bottom w:w="40" w:type="dxa"/>
              <w:right w:w="20" w:type="dxa"/>
            </w:tcMar>
            <w:vAlign w:val="bottom"/>
          </w:tcPr>
          <w:p w14:paraId="64296C4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45"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C4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C47" w14:textId="77777777" w:rsidR="007B6C97" w:rsidRDefault="00E426D1">
            <w:pPr>
              <w:jc w:val="right"/>
              <w:textAlignment w:val="bottom"/>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bottom"/>
          </w:tcPr>
          <w:p w14:paraId="64296C48" w14:textId="77777777" w:rsidR="007B6C97" w:rsidRDefault="007B6C97">
            <w:pPr>
              <w:jc w:val="right"/>
              <w:rPr>
                <w:rFonts w:ascii="宋体"/>
              </w:rPr>
            </w:pPr>
          </w:p>
        </w:tc>
      </w:tr>
      <w:tr w:rsidR="007B6C97" w14:paraId="64296C50" w14:textId="77777777">
        <w:trPr>
          <w:jc w:val="center"/>
        </w:trPr>
        <w:tc>
          <w:tcPr>
            <w:tcW w:w="0" w:type="auto"/>
            <w:gridSpan w:val="3"/>
            <w:shd w:val="clear" w:color="auto" w:fill="D7E4BC"/>
            <w:tcMar>
              <w:top w:w="40" w:type="dxa"/>
              <w:left w:w="380" w:type="dxa"/>
              <w:bottom w:w="40" w:type="dxa"/>
              <w:right w:w="20" w:type="dxa"/>
            </w:tcMar>
          </w:tcPr>
          <w:p w14:paraId="64296C4A" w14:textId="77777777" w:rsidR="007B6C97" w:rsidRDefault="00E426D1">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64296C4B" w14:textId="77777777" w:rsidR="007B6C97" w:rsidRDefault="00E426D1">
            <w:pPr>
              <w:jc w:val="right"/>
              <w:textAlignment w:val="bottom"/>
            </w:pPr>
            <w:r>
              <w:rPr>
                <w:rFonts w:ascii="Times New Roman" w:eastAsia="宋体" w:hAnsi="Times New Roman"/>
                <w:color w:val="000000"/>
                <w:sz w:val="20"/>
                <w:szCs w:val="20"/>
              </w:rPr>
              <w:t>2,068.9 </w:t>
            </w:r>
          </w:p>
        </w:tc>
        <w:tc>
          <w:tcPr>
            <w:tcW w:w="0" w:type="auto"/>
            <w:shd w:val="clear" w:color="auto" w:fill="D7E4BC"/>
            <w:tcMar>
              <w:top w:w="40" w:type="dxa"/>
              <w:left w:w="0" w:type="dxa"/>
              <w:bottom w:w="40" w:type="dxa"/>
              <w:right w:w="20" w:type="dxa"/>
            </w:tcMar>
            <w:vAlign w:val="bottom"/>
          </w:tcPr>
          <w:p w14:paraId="64296C4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4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4E" w14:textId="77777777" w:rsidR="007B6C97" w:rsidRDefault="00E426D1">
            <w:pPr>
              <w:jc w:val="right"/>
              <w:textAlignment w:val="bottom"/>
            </w:pPr>
            <w:r>
              <w:rPr>
                <w:rFonts w:ascii="Times New Roman" w:eastAsia="宋体" w:hAnsi="Times New Roman"/>
                <w:color w:val="000000"/>
                <w:sz w:val="20"/>
                <w:szCs w:val="20"/>
              </w:rPr>
              <w:t>2,321.2 </w:t>
            </w:r>
          </w:p>
        </w:tc>
        <w:tc>
          <w:tcPr>
            <w:tcW w:w="0" w:type="auto"/>
            <w:shd w:val="clear" w:color="auto" w:fill="D7E4BC"/>
            <w:tcMar>
              <w:top w:w="40" w:type="dxa"/>
              <w:left w:w="0" w:type="dxa"/>
              <w:bottom w:w="40" w:type="dxa"/>
              <w:right w:w="20" w:type="dxa"/>
            </w:tcMar>
            <w:vAlign w:val="bottom"/>
          </w:tcPr>
          <w:p w14:paraId="64296C4F" w14:textId="77777777" w:rsidR="007B6C97" w:rsidRDefault="007B6C97">
            <w:pPr>
              <w:jc w:val="right"/>
              <w:rPr>
                <w:rFonts w:ascii="宋体"/>
              </w:rPr>
            </w:pPr>
          </w:p>
        </w:tc>
      </w:tr>
      <w:tr w:rsidR="007B6C97" w14:paraId="64296C57" w14:textId="77777777">
        <w:trPr>
          <w:jc w:val="center"/>
        </w:trPr>
        <w:tc>
          <w:tcPr>
            <w:tcW w:w="0" w:type="auto"/>
            <w:gridSpan w:val="3"/>
            <w:shd w:val="clear" w:color="auto" w:fill="FFFFFF"/>
            <w:tcMar>
              <w:top w:w="40" w:type="dxa"/>
              <w:left w:w="380" w:type="dxa"/>
              <w:bottom w:w="40" w:type="dxa"/>
              <w:right w:w="20" w:type="dxa"/>
            </w:tcMar>
          </w:tcPr>
          <w:p w14:paraId="64296C51" w14:textId="77777777" w:rsidR="007B6C97" w:rsidRDefault="00E426D1">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64296C52" w14:textId="77777777" w:rsidR="007B6C97" w:rsidRDefault="00E426D1">
            <w:pPr>
              <w:jc w:val="right"/>
              <w:textAlignment w:val="bottom"/>
            </w:pPr>
            <w:r>
              <w:rPr>
                <w:rFonts w:ascii="Times New Roman" w:eastAsia="宋体" w:hAnsi="Times New Roman"/>
                <w:color w:val="000000"/>
                <w:sz w:val="20"/>
                <w:szCs w:val="20"/>
              </w:rPr>
              <w:t>706.8 </w:t>
            </w:r>
          </w:p>
        </w:tc>
        <w:tc>
          <w:tcPr>
            <w:tcW w:w="0" w:type="auto"/>
            <w:shd w:val="clear" w:color="auto" w:fill="FFFFFF"/>
            <w:tcMar>
              <w:top w:w="40" w:type="dxa"/>
              <w:left w:w="0" w:type="dxa"/>
              <w:bottom w:w="40" w:type="dxa"/>
              <w:right w:w="20" w:type="dxa"/>
            </w:tcMar>
            <w:vAlign w:val="bottom"/>
          </w:tcPr>
          <w:p w14:paraId="64296C5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5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55" w14:textId="77777777" w:rsidR="007B6C97" w:rsidRDefault="00E426D1">
            <w:pPr>
              <w:jc w:val="right"/>
              <w:textAlignment w:val="bottom"/>
            </w:pPr>
            <w:r>
              <w:rPr>
                <w:rFonts w:ascii="Times New Roman" w:eastAsia="宋体" w:hAnsi="Times New Roman"/>
                <w:color w:val="000000"/>
                <w:sz w:val="20"/>
                <w:szCs w:val="20"/>
              </w:rPr>
              <w:t>772.3 </w:t>
            </w:r>
          </w:p>
        </w:tc>
        <w:tc>
          <w:tcPr>
            <w:tcW w:w="0" w:type="auto"/>
            <w:shd w:val="clear" w:color="auto" w:fill="FFFFFF"/>
            <w:tcMar>
              <w:top w:w="40" w:type="dxa"/>
              <w:left w:w="0" w:type="dxa"/>
              <w:bottom w:w="40" w:type="dxa"/>
              <w:right w:w="20" w:type="dxa"/>
            </w:tcMar>
            <w:vAlign w:val="bottom"/>
          </w:tcPr>
          <w:p w14:paraId="64296C56" w14:textId="77777777" w:rsidR="007B6C97" w:rsidRDefault="007B6C97">
            <w:pPr>
              <w:jc w:val="right"/>
              <w:rPr>
                <w:rFonts w:ascii="宋体"/>
              </w:rPr>
            </w:pPr>
          </w:p>
        </w:tc>
      </w:tr>
      <w:tr w:rsidR="007B6C97" w14:paraId="64296C5E" w14:textId="77777777">
        <w:trPr>
          <w:jc w:val="center"/>
        </w:trPr>
        <w:tc>
          <w:tcPr>
            <w:tcW w:w="0" w:type="auto"/>
            <w:gridSpan w:val="3"/>
            <w:shd w:val="clear" w:color="auto" w:fill="D7E4BC"/>
            <w:tcMar>
              <w:top w:w="40" w:type="dxa"/>
              <w:left w:w="380" w:type="dxa"/>
              <w:bottom w:w="40" w:type="dxa"/>
              <w:right w:w="20" w:type="dxa"/>
            </w:tcMar>
          </w:tcPr>
          <w:p w14:paraId="64296C58" w14:textId="77777777" w:rsidR="007B6C97" w:rsidRDefault="00E426D1">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D7E4BC"/>
            <w:tcMar>
              <w:top w:w="40" w:type="dxa"/>
              <w:left w:w="20" w:type="dxa"/>
              <w:bottom w:w="40" w:type="dxa"/>
              <w:right w:w="0" w:type="dxa"/>
            </w:tcMar>
            <w:vAlign w:val="bottom"/>
          </w:tcPr>
          <w:p w14:paraId="64296C59" w14:textId="77777777" w:rsidR="007B6C97" w:rsidRDefault="00E426D1">
            <w:pPr>
              <w:jc w:val="right"/>
              <w:textAlignment w:val="bottom"/>
            </w:pPr>
            <w:r>
              <w:rPr>
                <w:rFonts w:ascii="Times New Roman" w:eastAsia="宋体" w:hAnsi="Times New Roman"/>
                <w:color w:val="000000"/>
                <w:sz w:val="20"/>
                <w:szCs w:val="20"/>
              </w:rPr>
              <w:t>1,214.8 </w:t>
            </w:r>
          </w:p>
        </w:tc>
        <w:tc>
          <w:tcPr>
            <w:tcW w:w="0" w:type="auto"/>
            <w:shd w:val="clear" w:color="auto" w:fill="D7E4BC"/>
            <w:tcMar>
              <w:top w:w="40" w:type="dxa"/>
              <w:left w:w="0" w:type="dxa"/>
              <w:bottom w:w="40" w:type="dxa"/>
              <w:right w:w="20" w:type="dxa"/>
            </w:tcMar>
            <w:vAlign w:val="bottom"/>
          </w:tcPr>
          <w:p w14:paraId="64296C5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5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5C" w14:textId="77777777" w:rsidR="007B6C97" w:rsidRDefault="00E426D1">
            <w:pPr>
              <w:jc w:val="right"/>
              <w:textAlignment w:val="bottom"/>
            </w:pPr>
            <w:r>
              <w:rPr>
                <w:rFonts w:ascii="Times New Roman" w:eastAsia="宋体" w:hAnsi="Times New Roman"/>
                <w:color w:val="000000"/>
                <w:sz w:val="20"/>
                <w:szCs w:val="20"/>
              </w:rPr>
              <w:t>1,251.3 </w:t>
            </w:r>
          </w:p>
        </w:tc>
        <w:tc>
          <w:tcPr>
            <w:tcW w:w="0" w:type="auto"/>
            <w:shd w:val="clear" w:color="auto" w:fill="D7E4BC"/>
            <w:tcMar>
              <w:top w:w="40" w:type="dxa"/>
              <w:left w:w="0" w:type="dxa"/>
              <w:bottom w:w="40" w:type="dxa"/>
              <w:right w:w="20" w:type="dxa"/>
            </w:tcMar>
            <w:vAlign w:val="bottom"/>
          </w:tcPr>
          <w:p w14:paraId="64296C5D" w14:textId="77777777" w:rsidR="007B6C97" w:rsidRDefault="007B6C97">
            <w:pPr>
              <w:jc w:val="right"/>
              <w:rPr>
                <w:rFonts w:ascii="宋体"/>
              </w:rPr>
            </w:pPr>
          </w:p>
        </w:tc>
      </w:tr>
      <w:tr w:rsidR="007B6C97" w14:paraId="64296C65" w14:textId="77777777">
        <w:trPr>
          <w:jc w:val="center"/>
        </w:trPr>
        <w:tc>
          <w:tcPr>
            <w:tcW w:w="0" w:type="auto"/>
            <w:gridSpan w:val="3"/>
            <w:shd w:val="clear" w:color="auto" w:fill="FFFFFF"/>
            <w:tcMar>
              <w:top w:w="40" w:type="dxa"/>
              <w:left w:w="380" w:type="dxa"/>
              <w:bottom w:w="40" w:type="dxa"/>
              <w:right w:w="20" w:type="dxa"/>
            </w:tcMar>
          </w:tcPr>
          <w:p w14:paraId="64296C5F" w14:textId="77777777" w:rsidR="007B6C97" w:rsidRDefault="00E426D1">
            <w:pPr>
              <w:textAlignment w:val="top"/>
            </w:pPr>
            <w:r>
              <w:rPr>
                <w:rFonts w:ascii="Times New Roman" w:eastAsia="宋体" w:hAnsi="Times New Roman"/>
                <w:color w:val="000000"/>
                <w:sz w:val="20"/>
                <w:szCs w:val="20"/>
              </w:rPr>
              <w:t xml:space="preserve">Stored value card liability and current portion of </w:t>
            </w: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64296C60" w14:textId="77777777" w:rsidR="007B6C97" w:rsidRDefault="00E426D1">
            <w:pPr>
              <w:jc w:val="right"/>
              <w:textAlignment w:val="bottom"/>
            </w:pPr>
            <w:r>
              <w:rPr>
                <w:rFonts w:ascii="Times New Roman" w:eastAsia="宋体" w:hAnsi="Times New Roman"/>
                <w:color w:val="000000"/>
                <w:sz w:val="20"/>
                <w:szCs w:val="20"/>
              </w:rPr>
              <w:t>1,723.0 </w:t>
            </w:r>
          </w:p>
        </w:tc>
        <w:tc>
          <w:tcPr>
            <w:tcW w:w="0" w:type="auto"/>
            <w:shd w:val="clear" w:color="auto" w:fill="FFFFFF"/>
            <w:tcMar>
              <w:top w:w="40" w:type="dxa"/>
              <w:left w:w="0" w:type="dxa"/>
              <w:bottom w:w="40" w:type="dxa"/>
              <w:right w:w="20" w:type="dxa"/>
            </w:tcMar>
            <w:vAlign w:val="bottom"/>
          </w:tcPr>
          <w:p w14:paraId="64296C6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6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63" w14:textId="77777777" w:rsidR="007B6C97" w:rsidRDefault="00E426D1">
            <w:pPr>
              <w:jc w:val="right"/>
              <w:textAlignment w:val="bottom"/>
            </w:pPr>
            <w:r>
              <w:rPr>
                <w:rFonts w:ascii="Times New Roman" w:eastAsia="宋体" w:hAnsi="Times New Roman"/>
                <w:color w:val="000000"/>
                <w:sz w:val="20"/>
                <w:szCs w:val="20"/>
              </w:rPr>
              <w:t>1,596.1 </w:t>
            </w:r>
          </w:p>
        </w:tc>
        <w:tc>
          <w:tcPr>
            <w:tcW w:w="0" w:type="auto"/>
            <w:shd w:val="clear" w:color="auto" w:fill="FFFFFF"/>
            <w:tcMar>
              <w:top w:w="40" w:type="dxa"/>
              <w:left w:w="0" w:type="dxa"/>
              <w:bottom w:w="40" w:type="dxa"/>
              <w:right w:w="20" w:type="dxa"/>
            </w:tcMar>
            <w:vAlign w:val="bottom"/>
          </w:tcPr>
          <w:p w14:paraId="64296C64" w14:textId="77777777" w:rsidR="007B6C97" w:rsidRDefault="007B6C97">
            <w:pPr>
              <w:jc w:val="right"/>
              <w:rPr>
                <w:rFonts w:ascii="宋体"/>
              </w:rPr>
            </w:pPr>
          </w:p>
        </w:tc>
      </w:tr>
      <w:tr w:rsidR="007B6C97" w14:paraId="64296C6C" w14:textId="77777777">
        <w:trPr>
          <w:jc w:val="center"/>
        </w:trPr>
        <w:tc>
          <w:tcPr>
            <w:tcW w:w="0" w:type="auto"/>
            <w:gridSpan w:val="3"/>
            <w:shd w:val="clear" w:color="auto" w:fill="D7E4BC"/>
            <w:tcMar>
              <w:top w:w="40" w:type="dxa"/>
              <w:left w:w="380" w:type="dxa"/>
              <w:bottom w:w="40" w:type="dxa"/>
              <w:right w:w="20" w:type="dxa"/>
            </w:tcMar>
          </w:tcPr>
          <w:p w14:paraId="64296C66" w14:textId="77777777" w:rsidR="007B6C97" w:rsidRDefault="00E426D1">
            <w:pPr>
              <w:textAlignment w:val="top"/>
            </w:pPr>
            <w:r>
              <w:rPr>
                <w:rFonts w:ascii="Times New Roman" w:eastAsia="宋体" w:hAnsi="Times New Roman"/>
                <w:color w:val="000000"/>
                <w:sz w:val="20"/>
                <w:szCs w:val="20"/>
              </w:rPr>
              <w:t>Short-term debt</w:t>
            </w:r>
          </w:p>
        </w:tc>
        <w:tc>
          <w:tcPr>
            <w:tcW w:w="0" w:type="auto"/>
            <w:gridSpan w:val="2"/>
            <w:shd w:val="clear" w:color="auto" w:fill="D7E4BC"/>
            <w:tcMar>
              <w:top w:w="40" w:type="dxa"/>
              <w:left w:w="20" w:type="dxa"/>
              <w:bottom w:w="40" w:type="dxa"/>
              <w:right w:w="0" w:type="dxa"/>
            </w:tcMar>
            <w:vAlign w:val="bottom"/>
          </w:tcPr>
          <w:p w14:paraId="64296C67" w14:textId="77777777" w:rsidR="007B6C97" w:rsidRDefault="00E426D1">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64296C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6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6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C6B" w14:textId="77777777" w:rsidR="007B6C97" w:rsidRDefault="007B6C97">
            <w:pPr>
              <w:jc w:val="right"/>
              <w:rPr>
                <w:rFonts w:ascii="宋体"/>
              </w:rPr>
            </w:pPr>
          </w:p>
        </w:tc>
      </w:tr>
      <w:tr w:rsidR="007B6C97" w14:paraId="64296C73" w14:textId="77777777">
        <w:trPr>
          <w:jc w:val="center"/>
        </w:trPr>
        <w:tc>
          <w:tcPr>
            <w:tcW w:w="0" w:type="auto"/>
            <w:gridSpan w:val="3"/>
            <w:shd w:val="clear" w:color="auto" w:fill="FFFFFF"/>
            <w:tcMar>
              <w:top w:w="40" w:type="dxa"/>
              <w:left w:w="380" w:type="dxa"/>
              <w:bottom w:w="40" w:type="dxa"/>
              <w:right w:w="20" w:type="dxa"/>
            </w:tcMar>
          </w:tcPr>
          <w:p w14:paraId="64296C6D" w14:textId="77777777" w:rsidR="007B6C97" w:rsidRDefault="00E426D1">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FFFFFF"/>
            <w:tcMar>
              <w:top w:w="40" w:type="dxa"/>
              <w:left w:w="20" w:type="dxa"/>
              <w:bottom w:w="40" w:type="dxa"/>
              <w:right w:w="0" w:type="dxa"/>
            </w:tcMar>
            <w:vAlign w:val="bottom"/>
          </w:tcPr>
          <w:p w14:paraId="64296C6E" w14:textId="77777777" w:rsidR="007B6C97" w:rsidRDefault="00E426D1">
            <w:pPr>
              <w:jc w:val="right"/>
              <w:textAlignment w:val="bottom"/>
            </w:pPr>
            <w:r>
              <w:rPr>
                <w:rFonts w:ascii="Times New Roman" w:eastAsia="宋体" w:hAnsi="Times New Roman"/>
                <w:color w:val="000000"/>
                <w:sz w:val="20"/>
                <w:szCs w:val="20"/>
              </w:rPr>
              <w:t>999.1 </w:t>
            </w:r>
          </w:p>
        </w:tc>
        <w:tc>
          <w:tcPr>
            <w:tcW w:w="0" w:type="auto"/>
            <w:shd w:val="clear" w:color="auto" w:fill="FFFFFF"/>
            <w:tcMar>
              <w:top w:w="40" w:type="dxa"/>
              <w:left w:w="0" w:type="dxa"/>
              <w:bottom w:w="40" w:type="dxa"/>
              <w:right w:w="20" w:type="dxa"/>
            </w:tcMar>
            <w:vAlign w:val="bottom"/>
          </w:tcPr>
          <w:p w14:paraId="64296C6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7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71" w14:textId="77777777" w:rsidR="007B6C97" w:rsidRDefault="00E426D1">
            <w:pPr>
              <w:jc w:val="right"/>
              <w:textAlignment w:val="bottom"/>
            </w:pPr>
            <w:r>
              <w:rPr>
                <w:rFonts w:ascii="Times New Roman" w:eastAsia="宋体" w:hAnsi="Times New Roman"/>
                <w:color w:val="000000"/>
                <w:sz w:val="20"/>
                <w:szCs w:val="20"/>
              </w:rPr>
              <w:t>998.9 </w:t>
            </w:r>
          </w:p>
        </w:tc>
        <w:tc>
          <w:tcPr>
            <w:tcW w:w="0" w:type="auto"/>
            <w:shd w:val="clear" w:color="auto" w:fill="FFFFFF"/>
            <w:tcMar>
              <w:top w:w="40" w:type="dxa"/>
              <w:left w:w="0" w:type="dxa"/>
              <w:bottom w:w="40" w:type="dxa"/>
              <w:right w:w="20" w:type="dxa"/>
            </w:tcMar>
            <w:vAlign w:val="bottom"/>
          </w:tcPr>
          <w:p w14:paraId="64296C72" w14:textId="77777777" w:rsidR="007B6C97" w:rsidRDefault="007B6C97">
            <w:pPr>
              <w:jc w:val="right"/>
              <w:rPr>
                <w:rFonts w:ascii="宋体"/>
              </w:rPr>
            </w:pPr>
          </w:p>
        </w:tc>
      </w:tr>
      <w:tr w:rsidR="007B6C97" w14:paraId="64296C7A" w14:textId="77777777">
        <w:trPr>
          <w:jc w:val="center"/>
        </w:trPr>
        <w:tc>
          <w:tcPr>
            <w:tcW w:w="0" w:type="auto"/>
            <w:gridSpan w:val="3"/>
            <w:shd w:val="clear" w:color="auto" w:fill="D7E4BC"/>
            <w:tcMar>
              <w:top w:w="40" w:type="dxa"/>
              <w:left w:w="740" w:type="dxa"/>
              <w:bottom w:w="40" w:type="dxa"/>
              <w:right w:w="20" w:type="dxa"/>
            </w:tcMar>
          </w:tcPr>
          <w:p w14:paraId="64296C74" w14:textId="77777777" w:rsidR="007B6C97" w:rsidRDefault="00E426D1">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C75" w14:textId="77777777" w:rsidR="007B6C97" w:rsidRDefault="00E426D1">
            <w:pPr>
              <w:jc w:val="right"/>
              <w:textAlignment w:val="bottom"/>
            </w:pPr>
            <w:r>
              <w:rPr>
                <w:rFonts w:ascii="Times New Roman" w:eastAsia="宋体" w:hAnsi="Times New Roman"/>
                <w:color w:val="000000"/>
                <w:sz w:val="20"/>
                <w:szCs w:val="20"/>
              </w:rPr>
              <w:t>8,402.4 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C7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7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6C78" w14:textId="77777777" w:rsidR="007B6C97" w:rsidRDefault="00E426D1">
            <w:pPr>
              <w:jc w:val="right"/>
              <w:textAlignment w:val="bottom"/>
            </w:pPr>
            <w:r>
              <w:rPr>
                <w:rFonts w:ascii="Times New Roman" w:eastAsia="宋体" w:hAnsi="Times New Roman"/>
                <w:color w:val="000000"/>
                <w:sz w:val="20"/>
                <w:szCs w:val="20"/>
              </w:rPr>
              <w:t>8,151.4 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C79" w14:textId="77777777" w:rsidR="007B6C97" w:rsidRDefault="007B6C97">
            <w:pPr>
              <w:jc w:val="right"/>
              <w:rPr>
                <w:rFonts w:ascii="宋体"/>
              </w:rPr>
            </w:pPr>
          </w:p>
        </w:tc>
      </w:tr>
      <w:tr w:rsidR="007B6C97" w14:paraId="64296C81" w14:textId="77777777">
        <w:trPr>
          <w:jc w:val="center"/>
        </w:trPr>
        <w:tc>
          <w:tcPr>
            <w:tcW w:w="0" w:type="auto"/>
            <w:gridSpan w:val="3"/>
            <w:shd w:val="clear" w:color="auto" w:fill="FFFFFF"/>
            <w:tcMar>
              <w:top w:w="40" w:type="dxa"/>
              <w:left w:w="20" w:type="dxa"/>
              <w:bottom w:w="40" w:type="dxa"/>
              <w:right w:w="20" w:type="dxa"/>
            </w:tcMar>
          </w:tcPr>
          <w:p w14:paraId="64296C7B" w14:textId="77777777" w:rsidR="007B6C97" w:rsidRDefault="00E426D1">
            <w:pPr>
              <w:textAlignment w:val="top"/>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64296C7C" w14:textId="77777777" w:rsidR="007B6C97" w:rsidRDefault="00E426D1">
            <w:pPr>
              <w:jc w:val="right"/>
              <w:textAlignment w:val="bottom"/>
            </w:pPr>
            <w:r>
              <w:rPr>
                <w:rFonts w:ascii="Times New Roman" w:eastAsia="宋体" w:hAnsi="Times New Roman"/>
                <w:color w:val="000000"/>
                <w:sz w:val="20"/>
                <w:szCs w:val="20"/>
              </w:rPr>
              <w:t>13,930.8 </w:t>
            </w:r>
          </w:p>
        </w:tc>
        <w:tc>
          <w:tcPr>
            <w:tcW w:w="0" w:type="auto"/>
            <w:shd w:val="clear" w:color="auto" w:fill="FFFFFF"/>
            <w:tcMar>
              <w:top w:w="40" w:type="dxa"/>
              <w:left w:w="0" w:type="dxa"/>
              <w:bottom w:w="40" w:type="dxa"/>
              <w:right w:w="20" w:type="dxa"/>
            </w:tcMar>
            <w:vAlign w:val="bottom"/>
          </w:tcPr>
          <w:p w14:paraId="64296C7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7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7F" w14:textId="77777777" w:rsidR="007B6C97" w:rsidRDefault="00E426D1">
            <w:pPr>
              <w:jc w:val="right"/>
              <w:textAlignment w:val="bottom"/>
            </w:pPr>
            <w:r>
              <w:rPr>
                <w:rFonts w:ascii="Times New Roman" w:eastAsia="宋体" w:hAnsi="Times New Roman"/>
                <w:color w:val="000000"/>
                <w:sz w:val="20"/>
                <w:szCs w:val="20"/>
              </w:rPr>
              <w:t>13,616.9 </w:t>
            </w:r>
          </w:p>
        </w:tc>
        <w:tc>
          <w:tcPr>
            <w:tcW w:w="0" w:type="auto"/>
            <w:shd w:val="clear" w:color="auto" w:fill="FFFFFF"/>
            <w:tcMar>
              <w:top w:w="40" w:type="dxa"/>
              <w:left w:w="0" w:type="dxa"/>
              <w:bottom w:w="40" w:type="dxa"/>
              <w:right w:w="20" w:type="dxa"/>
            </w:tcMar>
            <w:vAlign w:val="bottom"/>
          </w:tcPr>
          <w:p w14:paraId="64296C80" w14:textId="77777777" w:rsidR="007B6C97" w:rsidRDefault="007B6C97">
            <w:pPr>
              <w:jc w:val="right"/>
              <w:rPr>
                <w:rFonts w:ascii="宋体"/>
              </w:rPr>
            </w:pPr>
          </w:p>
        </w:tc>
      </w:tr>
      <w:tr w:rsidR="007B6C97" w14:paraId="64296C88" w14:textId="77777777">
        <w:trPr>
          <w:jc w:val="center"/>
        </w:trPr>
        <w:tc>
          <w:tcPr>
            <w:tcW w:w="0" w:type="auto"/>
            <w:gridSpan w:val="3"/>
            <w:shd w:val="clear" w:color="auto" w:fill="D7E4BC"/>
            <w:tcMar>
              <w:top w:w="40" w:type="dxa"/>
              <w:left w:w="20" w:type="dxa"/>
              <w:bottom w:w="40" w:type="dxa"/>
              <w:right w:w="20" w:type="dxa"/>
            </w:tcMar>
          </w:tcPr>
          <w:p w14:paraId="64296C82" w14:textId="77777777" w:rsidR="007B6C97" w:rsidRDefault="00E426D1">
            <w:pPr>
              <w:textAlignment w:val="top"/>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64296C83" w14:textId="77777777" w:rsidR="007B6C97" w:rsidRDefault="00E426D1">
            <w:pPr>
              <w:jc w:val="right"/>
              <w:textAlignment w:val="bottom"/>
            </w:pPr>
            <w:r>
              <w:rPr>
                <w:rFonts w:ascii="Times New Roman" w:eastAsia="宋体" w:hAnsi="Times New Roman"/>
                <w:color w:val="000000"/>
                <w:sz w:val="20"/>
                <w:szCs w:val="20"/>
              </w:rPr>
              <w:t>7,554.4 </w:t>
            </w:r>
          </w:p>
        </w:tc>
        <w:tc>
          <w:tcPr>
            <w:tcW w:w="0" w:type="auto"/>
            <w:shd w:val="clear" w:color="auto" w:fill="D7E4BC"/>
            <w:tcMar>
              <w:top w:w="40" w:type="dxa"/>
              <w:left w:w="0" w:type="dxa"/>
              <w:bottom w:w="40" w:type="dxa"/>
              <w:right w:w="20" w:type="dxa"/>
            </w:tcMar>
            <w:vAlign w:val="bottom"/>
          </w:tcPr>
          <w:p w14:paraId="64296C8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8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86" w14:textId="77777777" w:rsidR="007B6C97" w:rsidRDefault="00E426D1">
            <w:pPr>
              <w:jc w:val="right"/>
              <w:textAlignment w:val="bottom"/>
            </w:pPr>
            <w:r>
              <w:rPr>
                <w:rFonts w:ascii="Times New Roman" w:eastAsia="宋体" w:hAnsi="Times New Roman"/>
                <w:color w:val="000000"/>
                <w:sz w:val="20"/>
                <w:szCs w:val="20"/>
              </w:rPr>
              <w:t>7,738.0 </w:t>
            </w:r>
          </w:p>
        </w:tc>
        <w:tc>
          <w:tcPr>
            <w:tcW w:w="0" w:type="auto"/>
            <w:shd w:val="clear" w:color="auto" w:fill="D7E4BC"/>
            <w:tcMar>
              <w:top w:w="40" w:type="dxa"/>
              <w:left w:w="0" w:type="dxa"/>
              <w:bottom w:w="40" w:type="dxa"/>
              <w:right w:w="20" w:type="dxa"/>
            </w:tcMar>
            <w:vAlign w:val="bottom"/>
          </w:tcPr>
          <w:p w14:paraId="64296C87" w14:textId="77777777" w:rsidR="007B6C97" w:rsidRDefault="007B6C97">
            <w:pPr>
              <w:jc w:val="right"/>
              <w:rPr>
                <w:rFonts w:ascii="宋体"/>
              </w:rPr>
            </w:pPr>
          </w:p>
        </w:tc>
      </w:tr>
      <w:tr w:rsidR="007B6C97" w14:paraId="64296C8F" w14:textId="77777777">
        <w:trPr>
          <w:jc w:val="center"/>
        </w:trPr>
        <w:tc>
          <w:tcPr>
            <w:tcW w:w="0" w:type="auto"/>
            <w:gridSpan w:val="3"/>
            <w:shd w:val="clear" w:color="auto" w:fill="FFFFFF"/>
            <w:tcMar>
              <w:top w:w="40" w:type="dxa"/>
              <w:left w:w="20" w:type="dxa"/>
              <w:bottom w:w="40" w:type="dxa"/>
              <w:right w:w="20" w:type="dxa"/>
            </w:tcMar>
          </w:tcPr>
          <w:p w14:paraId="64296C89" w14:textId="77777777" w:rsidR="007B6C97" w:rsidRDefault="00E426D1">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FFFFFF"/>
            <w:tcMar>
              <w:top w:w="40" w:type="dxa"/>
              <w:left w:w="20" w:type="dxa"/>
              <w:bottom w:w="40" w:type="dxa"/>
              <w:right w:w="0" w:type="dxa"/>
            </w:tcMar>
            <w:vAlign w:val="bottom"/>
          </w:tcPr>
          <w:p w14:paraId="64296C8A" w14:textId="77777777" w:rsidR="007B6C97" w:rsidRDefault="00E426D1">
            <w:pPr>
              <w:jc w:val="right"/>
              <w:textAlignment w:val="bottom"/>
            </w:pPr>
            <w:r>
              <w:rPr>
                <w:rFonts w:ascii="Times New Roman" w:eastAsia="宋体" w:hAnsi="Times New Roman"/>
                <w:color w:val="000000"/>
                <w:sz w:val="20"/>
                <w:szCs w:val="20"/>
              </w:rPr>
              <w:t>6,333.1 </w:t>
            </w:r>
          </w:p>
        </w:tc>
        <w:tc>
          <w:tcPr>
            <w:tcW w:w="0" w:type="auto"/>
            <w:shd w:val="clear" w:color="auto" w:fill="FFFFFF"/>
            <w:tcMar>
              <w:top w:w="40" w:type="dxa"/>
              <w:left w:w="0" w:type="dxa"/>
              <w:bottom w:w="40" w:type="dxa"/>
              <w:right w:w="20" w:type="dxa"/>
            </w:tcMar>
            <w:vAlign w:val="bottom"/>
          </w:tcPr>
          <w:p w14:paraId="64296C8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8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8D" w14:textId="77777777" w:rsidR="007B6C97" w:rsidRDefault="00E426D1">
            <w:pPr>
              <w:jc w:val="right"/>
              <w:textAlignment w:val="bottom"/>
            </w:pPr>
            <w:r>
              <w:rPr>
                <w:rFonts w:ascii="Times New Roman" w:eastAsia="宋体" w:hAnsi="Times New Roman"/>
                <w:color w:val="000000"/>
                <w:sz w:val="20"/>
                <w:szCs w:val="20"/>
              </w:rPr>
              <w:t>6,463.0 </w:t>
            </w:r>
          </w:p>
        </w:tc>
        <w:tc>
          <w:tcPr>
            <w:tcW w:w="0" w:type="auto"/>
            <w:shd w:val="clear" w:color="auto" w:fill="FFFFFF"/>
            <w:tcMar>
              <w:top w:w="40" w:type="dxa"/>
              <w:left w:w="0" w:type="dxa"/>
              <w:bottom w:w="40" w:type="dxa"/>
              <w:right w:w="20" w:type="dxa"/>
            </w:tcMar>
            <w:vAlign w:val="bottom"/>
          </w:tcPr>
          <w:p w14:paraId="64296C8E" w14:textId="77777777" w:rsidR="007B6C97" w:rsidRDefault="007B6C97">
            <w:pPr>
              <w:jc w:val="right"/>
              <w:rPr>
                <w:rFonts w:ascii="宋体"/>
              </w:rPr>
            </w:pPr>
          </w:p>
        </w:tc>
      </w:tr>
      <w:tr w:rsidR="007B6C97" w14:paraId="64296C96" w14:textId="77777777">
        <w:trPr>
          <w:jc w:val="center"/>
        </w:trPr>
        <w:tc>
          <w:tcPr>
            <w:tcW w:w="0" w:type="auto"/>
            <w:gridSpan w:val="3"/>
            <w:shd w:val="clear" w:color="auto" w:fill="D7E4BC"/>
            <w:tcMar>
              <w:top w:w="40" w:type="dxa"/>
              <w:left w:w="20" w:type="dxa"/>
              <w:bottom w:w="40" w:type="dxa"/>
              <w:right w:w="20" w:type="dxa"/>
            </w:tcMar>
          </w:tcPr>
          <w:p w14:paraId="64296C90" w14:textId="77777777" w:rsidR="007B6C97" w:rsidRDefault="00E426D1">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D7E4BC"/>
            <w:tcMar>
              <w:top w:w="40" w:type="dxa"/>
              <w:left w:w="20" w:type="dxa"/>
              <w:bottom w:w="40" w:type="dxa"/>
              <w:right w:w="0" w:type="dxa"/>
            </w:tcMar>
            <w:vAlign w:val="bottom"/>
          </w:tcPr>
          <w:p w14:paraId="64296C91" w14:textId="77777777" w:rsidR="007B6C97" w:rsidRDefault="00E426D1">
            <w:pPr>
              <w:jc w:val="right"/>
              <w:textAlignment w:val="bottom"/>
            </w:pPr>
            <w:r>
              <w:rPr>
                <w:rFonts w:ascii="Times New Roman" w:eastAsia="宋体" w:hAnsi="Times New Roman"/>
                <w:color w:val="000000"/>
                <w:sz w:val="20"/>
                <w:szCs w:val="20"/>
              </w:rPr>
              <w:t>594.4 </w:t>
            </w:r>
          </w:p>
        </w:tc>
        <w:tc>
          <w:tcPr>
            <w:tcW w:w="0" w:type="auto"/>
            <w:shd w:val="clear" w:color="auto" w:fill="D7E4BC"/>
            <w:tcMar>
              <w:top w:w="40" w:type="dxa"/>
              <w:left w:w="0" w:type="dxa"/>
              <w:bottom w:w="40" w:type="dxa"/>
              <w:right w:w="20" w:type="dxa"/>
            </w:tcMar>
            <w:vAlign w:val="bottom"/>
          </w:tcPr>
          <w:p w14:paraId="64296C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94" w14:textId="77777777" w:rsidR="007B6C97" w:rsidRDefault="00E426D1">
            <w:pPr>
              <w:jc w:val="right"/>
              <w:textAlignment w:val="bottom"/>
            </w:pPr>
            <w:r>
              <w:rPr>
                <w:rFonts w:ascii="Times New Roman" w:eastAsia="宋体" w:hAnsi="Times New Roman"/>
                <w:color w:val="000000"/>
                <w:sz w:val="20"/>
                <w:szCs w:val="20"/>
              </w:rPr>
              <w:t>737.8 </w:t>
            </w:r>
          </w:p>
        </w:tc>
        <w:tc>
          <w:tcPr>
            <w:tcW w:w="0" w:type="auto"/>
            <w:shd w:val="clear" w:color="auto" w:fill="D7E4BC"/>
            <w:tcMar>
              <w:top w:w="40" w:type="dxa"/>
              <w:left w:w="0" w:type="dxa"/>
              <w:bottom w:w="40" w:type="dxa"/>
              <w:right w:w="20" w:type="dxa"/>
            </w:tcMar>
            <w:vAlign w:val="bottom"/>
          </w:tcPr>
          <w:p w14:paraId="64296C95" w14:textId="77777777" w:rsidR="007B6C97" w:rsidRDefault="007B6C97">
            <w:pPr>
              <w:jc w:val="right"/>
              <w:rPr>
                <w:rFonts w:ascii="宋体"/>
              </w:rPr>
            </w:pPr>
          </w:p>
        </w:tc>
      </w:tr>
      <w:tr w:rsidR="007B6C97" w14:paraId="64296C9D" w14:textId="77777777">
        <w:trPr>
          <w:jc w:val="center"/>
        </w:trPr>
        <w:tc>
          <w:tcPr>
            <w:tcW w:w="0" w:type="auto"/>
            <w:gridSpan w:val="3"/>
            <w:shd w:val="clear" w:color="auto" w:fill="FFFFFF"/>
            <w:tcMar>
              <w:top w:w="40" w:type="dxa"/>
              <w:left w:w="740" w:type="dxa"/>
              <w:bottom w:w="40" w:type="dxa"/>
              <w:right w:w="20" w:type="dxa"/>
            </w:tcMar>
          </w:tcPr>
          <w:p w14:paraId="64296C97" w14:textId="77777777" w:rsidR="007B6C97" w:rsidRDefault="00E426D1">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98" w14:textId="77777777" w:rsidR="007B6C97" w:rsidRDefault="00E426D1">
            <w:pPr>
              <w:jc w:val="right"/>
              <w:textAlignment w:val="bottom"/>
            </w:pPr>
            <w:r>
              <w:rPr>
                <w:rFonts w:ascii="Times New Roman" w:eastAsia="宋体" w:hAnsi="Times New Roman"/>
                <w:color w:val="000000"/>
                <w:sz w:val="20"/>
                <w:szCs w:val="20"/>
              </w:rPr>
              <w:t>36,815.1 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9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9A"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9B" w14:textId="77777777" w:rsidR="007B6C97" w:rsidRDefault="00E426D1">
            <w:pPr>
              <w:jc w:val="right"/>
              <w:textAlignment w:val="bottom"/>
            </w:pPr>
            <w:r>
              <w:rPr>
                <w:rFonts w:ascii="Times New Roman" w:eastAsia="宋体" w:hAnsi="Times New Roman"/>
                <w:color w:val="000000"/>
                <w:sz w:val="20"/>
                <w:szCs w:val="20"/>
              </w:rPr>
              <w:t>36,707.1 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9C" w14:textId="77777777" w:rsidR="007B6C97" w:rsidRDefault="007B6C97">
            <w:pPr>
              <w:jc w:val="right"/>
              <w:rPr>
                <w:rFonts w:ascii="宋体"/>
              </w:rPr>
            </w:pPr>
          </w:p>
        </w:tc>
      </w:tr>
      <w:tr w:rsidR="007B6C97" w14:paraId="64296CA2" w14:textId="77777777">
        <w:trPr>
          <w:jc w:val="center"/>
        </w:trPr>
        <w:tc>
          <w:tcPr>
            <w:tcW w:w="0" w:type="auto"/>
            <w:gridSpan w:val="3"/>
            <w:shd w:val="clear" w:color="auto" w:fill="D7E4BC"/>
            <w:tcMar>
              <w:top w:w="40" w:type="dxa"/>
              <w:left w:w="20" w:type="dxa"/>
              <w:bottom w:w="40" w:type="dxa"/>
              <w:right w:w="20" w:type="dxa"/>
            </w:tcMar>
          </w:tcPr>
          <w:p w14:paraId="64296C9E" w14:textId="77777777" w:rsidR="007B6C97" w:rsidRDefault="00E426D1">
            <w:pPr>
              <w:textAlignment w:val="top"/>
            </w:pPr>
            <w:r>
              <w:rPr>
                <w:rFonts w:ascii="Times New Roman" w:eastAsia="宋体" w:hAnsi="Times New Roman"/>
                <w:color w:val="000000"/>
                <w:sz w:val="20"/>
                <w:szCs w:val="20"/>
              </w:rPr>
              <w:t>Shareholders' deficit:</w:t>
            </w:r>
          </w:p>
        </w:tc>
        <w:tc>
          <w:tcPr>
            <w:tcW w:w="0" w:type="auto"/>
            <w:gridSpan w:val="3"/>
            <w:shd w:val="clear" w:color="auto" w:fill="D7E4BC"/>
            <w:tcMar>
              <w:top w:w="0" w:type="dxa"/>
              <w:left w:w="20" w:type="dxa"/>
              <w:bottom w:w="0" w:type="dxa"/>
              <w:right w:w="20" w:type="dxa"/>
            </w:tcMar>
            <w:vAlign w:val="bottom"/>
          </w:tcPr>
          <w:p w14:paraId="64296C9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CA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CA1" w14:textId="77777777" w:rsidR="007B6C97" w:rsidRDefault="007B6C97">
            <w:pPr>
              <w:rPr>
                <w:rFonts w:ascii="宋体"/>
              </w:rPr>
            </w:pPr>
          </w:p>
        </w:tc>
      </w:tr>
      <w:tr w:rsidR="007B6C97" w14:paraId="64296CA9" w14:textId="77777777">
        <w:trPr>
          <w:jc w:val="center"/>
        </w:trPr>
        <w:tc>
          <w:tcPr>
            <w:tcW w:w="0" w:type="auto"/>
            <w:gridSpan w:val="3"/>
            <w:shd w:val="clear" w:color="auto" w:fill="FFFFFF"/>
            <w:tcMar>
              <w:top w:w="40" w:type="dxa"/>
              <w:left w:w="20" w:type="dxa"/>
              <w:bottom w:w="40" w:type="dxa"/>
              <w:right w:w="20" w:type="dxa"/>
            </w:tcMar>
          </w:tcPr>
          <w:p w14:paraId="64296CA3"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Common stock ($0.001 par value) — authorized, 2,400.0 shares; issued and </w:t>
            </w:r>
            <w:r>
              <w:rPr>
                <w:rFonts w:ascii="Times New Roman" w:eastAsia="宋体" w:hAnsi="Times New Roman"/>
                <w:color w:val="000000"/>
                <w:sz w:val="20"/>
                <w:szCs w:val="20"/>
              </w:rPr>
              <w:t>outstanding, 1,146.9 and 1,180.0 shares, respectively</w:t>
            </w:r>
          </w:p>
        </w:tc>
        <w:tc>
          <w:tcPr>
            <w:tcW w:w="0" w:type="auto"/>
            <w:gridSpan w:val="2"/>
            <w:shd w:val="clear" w:color="auto" w:fill="FFFFFF"/>
            <w:tcMar>
              <w:top w:w="40" w:type="dxa"/>
              <w:left w:w="20" w:type="dxa"/>
              <w:bottom w:w="40" w:type="dxa"/>
              <w:right w:w="0" w:type="dxa"/>
            </w:tcMar>
            <w:vAlign w:val="bottom"/>
          </w:tcPr>
          <w:p w14:paraId="64296CA4" w14:textId="77777777" w:rsidR="007B6C97" w:rsidRDefault="00E426D1">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4296CA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A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A7"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4296CA8" w14:textId="77777777" w:rsidR="007B6C97" w:rsidRDefault="007B6C97">
            <w:pPr>
              <w:jc w:val="right"/>
              <w:rPr>
                <w:rFonts w:ascii="宋体"/>
              </w:rPr>
            </w:pPr>
          </w:p>
        </w:tc>
      </w:tr>
      <w:tr w:rsidR="007B6C97" w14:paraId="64296CB0" w14:textId="77777777">
        <w:trPr>
          <w:jc w:val="center"/>
        </w:trPr>
        <w:tc>
          <w:tcPr>
            <w:tcW w:w="0" w:type="auto"/>
            <w:gridSpan w:val="3"/>
            <w:shd w:val="clear" w:color="auto" w:fill="D7E4BC"/>
            <w:tcMar>
              <w:top w:w="40" w:type="dxa"/>
              <w:left w:w="380" w:type="dxa"/>
              <w:bottom w:w="40" w:type="dxa"/>
              <w:right w:w="20" w:type="dxa"/>
            </w:tcMar>
          </w:tcPr>
          <w:p w14:paraId="64296CAA" w14:textId="77777777" w:rsidR="007B6C97" w:rsidRDefault="00E426D1">
            <w:pPr>
              <w:textAlignment w:val="top"/>
            </w:pPr>
            <w:r>
              <w:rPr>
                <w:rFonts w:ascii="Times New Roman" w:eastAsia="宋体" w:hAnsi="Times New Roman"/>
                <w:color w:val="000000"/>
                <w:sz w:val="20"/>
                <w:szCs w:val="20"/>
              </w:rPr>
              <w:t>Additional paid-in capital</w:t>
            </w:r>
          </w:p>
        </w:tc>
        <w:tc>
          <w:tcPr>
            <w:tcW w:w="0" w:type="auto"/>
            <w:gridSpan w:val="2"/>
            <w:shd w:val="clear" w:color="auto" w:fill="D7E4BC"/>
            <w:tcMar>
              <w:top w:w="40" w:type="dxa"/>
              <w:left w:w="20" w:type="dxa"/>
              <w:bottom w:w="40" w:type="dxa"/>
              <w:right w:w="0" w:type="dxa"/>
            </w:tcMar>
            <w:vAlign w:val="bottom"/>
          </w:tcPr>
          <w:p w14:paraId="64296CAB" w14:textId="77777777" w:rsidR="007B6C97" w:rsidRDefault="00E426D1">
            <w:pPr>
              <w:jc w:val="right"/>
              <w:textAlignment w:val="bottom"/>
            </w:pPr>
            <w:r>
              <w:rPr>
                <w:rFonts w:ascii="Times New Roman" w:eastAsia="宋体" w:hAnsi="Times New Roman"/>
                <w:color w:val="000000"/>
                <w:sz w:val="20"/>
                <w:szCs w:val="20"/>
              </w:rPr>
              <w:t>117.1 </w:t>
            </w:r>
          </w:p>
        </w:tc>
        <w:tc>
          <w:tcPr>
            <w:tcW w:w="0" w:type="auto"/>
            <w:shd w:val="clear" w:color="auto" w:fill="D7E4BC"/>
            <w:tcMar>
              <w:top w:w="40" w:type="dxa"/>
              <w:left w:w="0" w:type="dxa"/>
              <w:bottom w:w="40" w:type="dxa"/>
              <w:right w:w="20" w:type="dxa"/>
            </w:tcMar>
            <w:vAlign w:val="bottom"/>
          </w:tcPr>
          <w:p w14:paraId="64296CA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A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AE" w14:textId="77777777" w:rsidR="007B6C97" w:rsidRDefault="00E426D1">
            <w:pPr>
              <w:jc w:val="right"/>
              <w:textAlignment w:val="bottom"/>
            </w:pPr>
            <w:r>
              <w:rPr>
                <w:rFonts w:ascii="Times New Roman" w:eastAsia="宋体" w:hAnsi="Times New Roman"/>
                <w:color w:val="000000"/>
                <w:sz w:val="20"/>
                <w:szCs w:val="20"/>
              </w:rPr>
              <w:t>846.1 </w:t>
            </w:r>
          </w:p>
        </w:tc>
        <w:tc>
          <w:tcPr>
            <w:tcW w:w="0" w:type="auto"/>
            <w:shd w:val="clear" w:color="auto" w:fill="D7E4BC"/>
            <w:tcMar>
              <w:top w:w="40" w:type="dxa"/>
              <w:left w:w="0" w:type="dxa"/>
              <w:bottom w:w="40" w:type="dxa"/>
              <w:right w:w="20" w:type="dxa"/>
            </w:tcMar>
            <w:vAlign w:val="bottom"/>
          </w:tcPr>
          <w:p w14:paraId="64296CAF" w14:textId="77777777" w:rsidR="007B6C97" w:rsidRDefault="007B6C97">
            <w:pPr>
              <w:jc w:val="right"/>
              <w:rPr>
                <w:rFonts w:ascii="宋体"/>
              </w:rPr>
            </w:pPr>
          </w:p>
        </w:tc>
      </w:tr>
      <w:tr w:rsidR="007B6C97" w14:paraId="64296CB7" w14:textId="77777777">
        <w:trPr>
          <w:jc w:val="center"/>
        </w:trPr>
        <w:tc>
          <w:tcPr>
            <w:tcW w:w="0" w:type="auto"/>
            <w:gridSpan w:val="3"/>
            <w:shd w:val="clear" w:color="auto" w:fill="FFFFFF"/>
            <w:tcMar>
              <w:top w:w="40" w:type="dxa"/>
              <w:left w:w="380" w:type="dxa"/>
              <w:bottom w:w="40" w:type="dxa"/>
              <w:right w:w="20" w:type="dxa"/>
            </w:tcMar>
          </w:tcPr>
          <w:p w14:paraId="64296CB1" w14:textId="77777777" w:rsidR="007B6C97" w:rsidRDefault="00E426D1">
            <w:pPr>
              <w:textAlignment w:val="top"/>
            </w:pPr>
            <w:r>
              <w:rPr>
                <w:rFonts w:ascii="Times New Roman" w:eastAsia="宋体" w:hAnsi="Times New Roman"/>
                <w:color w:val="000000"/>
                <w:sz w:val="20"/>
                <w:szCs w:val="20"/>
              </w:rPr>
              <w:t>Retained deficit</w:t>
            </w:r>
          </w:p>
        </w:tc>
        <w:tc>
          <w:tcPr>
            <w:tcW w:w="0" w:type="auto"/>
            <w:gridSpan w:val="2"/>
            <w:shd w:val="clear" w:color="auto" w:fill="FFFFFF"/>
            <w:tcMar>
              <w:top w:w="40" w:type="dxa"/>
              <w:left w:w="20" w:type="dxa"/>
              <w:bottom w:w="40" w:type="dxa"/>
              <w:right w:w="0" w:type="dxa"/>
            </w:tcMar>
            <w:vAlign w:val="bottom"/>
          </w:tcPr>
          <w:p w14:paraId="64296CB2" w14:textId="77777777" w:rsidR="007B6C97" w:rsidRDefault="00E426D1">
            <w:pPr>
              <w:jc w:val="right"/>
              <w:textAlignment w:val="bottom"/>
            </w:pPr>
            <w:r>
              <w:rPr>
                <w:rFonts w:ascii="Times New Roman" w:eastAsia="宋体" w:hAnsi="Times New Roman"/>
                <w:color w:val="000000"/>
                <w:sz w:val="20"/>
                <w:szCs w:val="20"/>
              </w:rPr>
              <w:t>(8,719.7)</w:t>
            </w:r>
          </w:p>
        </w:tc>
        <w:tc>
          <w:tcPr>
            <w:tcW w:w="0" w:type="auto"/>
            <w:shd w:val="clear" w:color="auto" w:fill="FFFFFF"/>
            <w:tcMar>
              <w:top w:w="40" w:type="dxa"/>
              <w:left w:w="0" w:type="dxa"/>
              <w:bottom w:w="40" w:type="dxa"/>
              <w:right w:w="20" w:type="dxa"/>
            </w:tcMar>
            <w:vAlign w:val="bottom"/>
          </w:tcPr>
          <w:p w14:paraId="64296CB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B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CB5" w14:textId="77777777" w:rsidR="007B6C97" w:rsidRDefault="00E426D1">
            <w:pPr>
              <w:jc w:val="right"/>
              <w:textAlignment w:val="bottom"/>
            </w:pPr>
            <w:r>
              <w:rPr>
                <w:rFonts w:ascii="Times New Roman" w:eastAsia="宋体" w:hAnsi="Times New Roman"/>
                <w:color w:val="000000"/>
                <w:sz w:val="20"/>
                <w:szCs w:val="20"/>
              </w:rPr>
              <w:t>(6,315.7)</w:t>
            </w:r>
          </w:p>
        </w:tc>
        <w:tc>
          <w:tcPr>
            <w:tcW w:w="0" w:type="auto"/>
            <w:shd w:val="clear" w:color="auto" w:fill="FFFFFF"/>
            <w:tcMar>
              <w:top w:w="40" w:type="dxa"/>
              <w:left w:w="0" w:type="dxa"/>
              <w:bottom w:w="40" w:type="dxa"/>
              <w:right w:w="20" w:type="dxa"/>
            </w:tcMar>
            <w:vAlign w:val="bottom"/>
          </w:tcPr>
          <w:p w14:paraId="64296CB6" w14:textId="77777777" w:rsidR="007B6C97" w:rsidRDefault="007B6C97">
            <w:pPr>
              <w:jc w:val="right"/>
              <w:rPr>
                <w:rFonts w:ascii="宋体"/>
              </w:rPr>
            </w:pPr>
          </w:p>
        </w:tc>
      </w:tr>
      <w:tr w:rsidR="007B6C97" w14:paraId="64296CBE" w14:textId="77777777">
        <w:trPr>
          <w:jc w:val="center"/>
        </w:trPr>
        <w:tc>
          <w:tcPr>
            <w:tcW w:w="0" w:type="auto"/>
            <w:gridSpan w:val="3"/>
            <w:shd w:val="clear" w:color="auto" w:fill="D7E4BC"/>
            <w:tcMar>
              <w:top w:w="40" w:type="dxa"/>
              <w:left w:w="380" w:type="dxa"/>
              <w:bottom w:w="40" w:type="dxa"/>
              <w:right w:w="20" w:type="dxa"/>
            </w:tcMar>
          </w:tcPr>
          <w:p w14:paraId="64296CB8" w14:textId="77777777" w:rsidR="007B6C97" w:rsidRDefault="00E426D1">
            <w:pPr>
              <w:textAlignment w:val="top"/>
            </w:pPr>
            <w:r>
              <w:rPr>
                <w:rFonts w:ascii="Times New Roman" w:eastAsia="宋体" w:hAnsi="Times New Roman"/>
                <w:color w:val="000000"/>
                <w:sz w:val="20"/>
                <w:szCs w:val="20"/>
              </w:rPr>
              <w:t>Accumulated other comprehensive income/(loss)</w:t>
            </w:r>
          </w:p>
        </w:tc>
        <w:tc>
          <w:tcPr>
            <w:tcW w:w="0" w:type="auto"/>
            <w:gridSpan w:val="2"/>
            <w:shd w:val="clear" w:color="auto" w:fill="D7E4BC"/>
            <w:tcMar>
              <w:top w:w="40" w:type="dxa"/>
              <w:left w:w="20" w:type="dxa"/>
              <w:bottom w:w="40" w:type="dxa"/>
              <w:right w:w="0" w:type="dxa"/>
            </w:tcMar>
            <w:vAlign w:val="bottom"/>
          </w:tcPr>
          <w:p w14:paraId="64296CB9" w14:textId="77777777" w:rsidR="007B6C97" w:rsidRDefault="00E426D1">
            <w:pPr>
              <w:jc w:val="right"/>
              <w:textAlignment w:val="bottom"/>
            </w:pPr>
            <w:r>
              <w:rPr>
                <w:rFonts w:ascii="Times New Roman" w:eastAsia="宋体" w:hAnsi="Times New Roman"/>
                <w:color w:val="000000"/>
                <w:sz w:val="20"/>
                <w:szCs w:val="20"/>
              </w:rPr>
              <w:t>(65.0)</w:t>
            </w:r>
          </w:p>
        </w:tc>
        <w:tc>
          <w:tcPr>
            <w:tcW w:w="0" w:type="auto"/>
            <w:shd w:val="clear" w:color="auto" w:fill="D7E4BC"/>
            <w:tcMar>
              <w:top w:w="40" w:type="dxa"/>
              <w:left w:w="0" w:type="dxa"/>
              <w:bottom w:w="40" w:type="dxa"/>
              <w:right w:w="20" w:type="dxa"/>
            </w:tcMar>
            <w:vAlign w:val="bottom"/>
          </w:tcPr>
          <w:p w14:paraId="64296CB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B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BC" w14:textId="77777777" w:rsidR="007B6C97" w:rsidRDefault="00E426D1">
            <w:pPr>
              <w:jc w:val="right"/>
              <w:textAlignment w:val="bottom"/>
            </w:pPr>
            <w:r>
              <w:rPr>
                <w:rFonts w:ascii="Times New Roman" w:eastAsia="宋体" w:hAnsi="Times New Roman"/>
                <w:color w:val="000000"/>
                <w:sz w:val="20"/>
                <w:szCs w:val="20"/>
              </w:rPr>
              <w:t>147.2 </w:t>
            </w:r>
          </w:p>
        </w:tc>
        <w:tc>
          <w:tcPr>
            <w:tcW w:w="0" w:type="auto"/>
            <w:shd w:val="clear" w:color="auto" w:fill="D7E4BC"/>
            <w:tcMar>
              <w:top w:w="40" w:type="dxa"/>
              <w:left w:w="0" w:type="dxa"/>
              <w:bottom w:w="40" w:type="dxa"/>
              <w:right w:w="20" w:type="dxa"/>
            </w:tcMar>
            <w:vAlign w:val="bottom"/>
          </w:tcPr>
          <w:p w14:paraId="64296CBD" w14:textId="77777777" w:rsidR="007B6C97" w:rsidRDefault="007B6C97">
            <w:pPr>
              <w:jc w:val="right"/>
              <w:rPr>
                <w:rFonts w:ascii="宋体"/>
              </w:rPr>
            </w:pPr>
          </w:p>
        </w:tc>
      </w:tr>
      <w:tr w:rsidR="007B6C97" w14:paraId="64296CC5" w14:textId="77777777">
        <w:trPr>
          <w:jc w:val="center"/>
        </w:trPr>
        <w:tc>
          <w:tcPr>
            <w:tcW w:w="0" w:type="auto"/>
            <w:gridSpan w:val="3"/>
            <w:shd w:val="clear" w:color="auto" w:fill="FFFFFF"/>
            <w:tcMar>
              <w:top w:w="40" w:type="dxa"/>
              <w:left w:w="740" w:type="dxa"/>
              <w:bottom w:w="40" w:type="dxa"/>
              <w:right w:w="20" w:type="dxa"/>
            </w:tcMar>
          </w:tcPr>
          <w:p w14:paraId="64296CBF" w14:textId="77777777" w:rsidR="007B6C97" w:rsidRDefault="00E426D1">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C0" w14:textId="77777777" w:rsidR="007B6C97" w:rsidRDefault="00E426D1">
            <w:pPr>
              <w:jc w:val="right"/>
              <w:textAlignment w:val="bottom"/>
            </w:pPr>
            <w:r>
              <w:rPr>
                <w:rFonts w:ascii="Times New Roman" w:eastAsia="宋体" w:hAnsi="Times New Roman"/>
                <w:color w:val="000000"/>
                <w:sz w:val="20"/>
                <w:szCs w:val="20"/>
              </w:rPr>
              <w:t>(8,666.5)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C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C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C3" w14:textId="77777777" w:rsidR="007B6C97" w:rsidRDefault="00E426D1">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C4" w14:textId="77777777" w:rsidR="007B6C97" w:rsidRDefault="007B6C97">
            <w:pPr>
              <w:jc w:val="right"/>
              <w:rPr>
                <w:rFonts w:ascii="宋体"/>
              </w:rPr>
            </w:pPr>
          </w:p>
        </w:tc>
      </w:tr>
      <w:tr w:rsidR="007B6C97" w14:paraId="64296CCC" w14:textId="77777777">
        <w:trPr>
          <w:jc w:val="center"/>
        </w:trPr>
        <w:tc>
          <w:tcPr>
            <w:tcW w:w="0" w:type="auto"/>
            <w:gridSpan w:val="3"/>
            <w:shd w:val="clear" w:color="auto" w:fill="D7E4BC"/>
            <w:tcMar>
              <w:top w:w="40" w:type="dxa"/>
              <w:left w:w="20" w:type="dxa"/>
              <w:bottom w:w="40" w:type="dxa"/>
              <w:right w:w="20" w:type="dxa"/>
            </w:tcMar>
          </w:tcPr>
          <w:p w14:paraId="64296CC6" w14:textId="77777777" w:rsidR="007B6C97" w:rsidRDefault="00E426D1">
            <w:pPr>
              <w:textAlignment w:val="top"/>
            </w:pPr>
            <w:r>
              <w:rPr>
                <w:rFonts w:ascii="Times New Roman" w:eastAsia="宋体" w:hAnsi="Times New Roman"/>
                <w:color w:val="000000"/>
                <w:sz w:val="20"/>
                <w:szCs w:val="20"/>
              </w:rPr>
              <w:t>Noncontrolling interests</w:t>
            </w:r>
          </w:p>
        </w:tc>
        <w:tc>
          <w:tcPr>
            <w:tcW w:w="0" w:type="auto"/>
            <w:gridSpan w:val="2"/>
            <w:shd w:val="clear" w:color="auto" w:fill="D7E4BC"/>
            <w:tcMar>
              <w:top w:w="40" w:type="dxa"/>
              <w:left w:w="20" w:type="dxa"/>
              <w:bottom w:w="40" w:type="dxa"/>
              <w:right w:w="0" w:type="dxa"/>
            </w:tcMar>
            <w:vAlign w:val="bottom"/>
          </w:tcPr>
          <w:p w14:paraId="64296CC7" w14:textId="77777777" w:rsidR="007B6C97" w:rsidRDefault="00E426D1">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64296CC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C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CCA" w14:textId="77777777" w:rsidR="007B6C97" w:rsidRDefault="00E426D1">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64296CCB" w14:textId="77777777" w:rsidR="007B6C97" w:rsidRDefault="007B6C97">
            <w:pPr>
              <w:jc w:val="right"/>
              <w:rPr>
                <w:rFonts w:ascii="宋体"/>
              </w:rPr>
            </w:pPr>
          </w:p>
        </w:tc>
      </w:tr>
      <w:tr w:rsidR="007B6C97" w14:paraId="64296CD3" w14:textId="77777777">
        <w:trPr>
          <w:jc w:val="center"/>
        </w:trPr>
        <w:tc>
          <w:tcPr>
            <w:tcW w:w="0" w:type="auto"/>
            <w:gridSpan w:val="3"/>
            <w:shd w:val="clear" w:color="auto" w:fill="FFFFFF"/>
            <w:tcMar>
              <w:top w:w="40" w:type="dxa"/>
              <w:left w:w="740" w:type="dxa"/>
              <w:bottom w:w="40" w:type="dxa"/>
              <w:right w:w="20" w:type="dxa"/>
            </w:tcMar>
          </w:tcPr>
          <w:p w14:paraId="64296CCD" w14:textId="77777777" w:rsidR="007B6C97" w:rsidRDefault="00E426D1">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CE" w14:textId="77777777" w:rsidR="007B6C97" w:rsidRDefault="00E426D1">
            <w:pPr>
              <w:jc w:val="right"/>
              <w:textAlignment w:val="bottom"/>
            </w:pPr>
            <w:r>
              <w:rPr>
                <w:rFonts w:ascii="Times New Roman" w:eastAsia="宋体" w:hAnsi="Times New Roman"/>
                <w:color w:val="000000"/>
                <w:sz w:val="20"/>
                <w:szCs w:val="20"/>
              </w:rPr>
              <w:t>(8,658.9)</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C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CD0"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6CD1" w14:textId="77777777" w:rsidR="007B6C97" w:rsidRDefault="00E426D1">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CD2" w14:textId="77777777" w:rsidR="007B6C97" w:rsidRDefault="007B6C97">
            <w:pPr>
              <w:jc w:val="right"/>
              <w:rPr>
                <w:rFonts w:ascii="宋体"/>
              </w:rPr>
            </w:pPr>
          </w:p>
        </w:tc>
      </w:tr>
      <w:tr w:rsidR="007B6C97" w14:paraId="64296CDC" w14:textId="77777777">
        <w:trPr>
          <w:jc w:val="center"/>
        </w:trPr>
        <w:tc>
          <w:tcPr>
            <w:tcW w:w="0" w:type="auto"/>
            <w:gridSpan w:val="3"/>
            <w:shd w:val="clear" w:color="auto" w:fill="D7E4BC"/>
            <w:tcMar>
              <w:top w:w="40" w:type="dxa"/>
              <w:left w:w="20" w:type="dxa"/>
              <w:bottom w:w="40" w:type="dxa"/>
              <w:right w:w="20" w:type="dxa"/>
            </w:tcMar>
          </w:tcPr>
          <w:p w14:paraId="64296CD4" w14:textId="77777777" w:rsidR="007B6C97" w:rsidRDefault="00E426D1">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6CD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6CD6" w14:textId="77777777" w:rsidR="007B6C97" w:rsidRDefault="00E426D1">
            <w:pPr>
              <w:jc w:val="right"/>
              <w:textAlignment w:val="bottom"/>
            </w:pPr>
            <w:r>
              <w:rPr>
                <w:rFonts w:ascii="Times New Roman" w:eastAsia="宋体" w:hAnsi="Times New Roman"/>
                <w:color w:val="000000"/>
                <w:sz w:val="20"/>
                <w:szCs w:val="20"/>
              </w:rPr>
              <w:t>28,156.2 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6CD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CD8"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6CD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6CDA" w14:textId="77777777" w:rsidR="007B6C97" w:rsidRDefault="00E426D1">
            <w:pPr>
              <w:jc w:val="right"/>
              <w:textAlignment w:val="bottom"/>
            </w:pPr>
            <w:r>
              <w:rPr>
                <w:rFonts w:ascii="Times New Roman" w:eastAsia="宋体" w:hAnsi="Times New Roman"/>
                <w:color w:val="000000"/>
                <w:sz w:val="20"/>
                <w:szCs w:val="20"/>
              </w:rPr>
              <w:t>31,392.6 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6CDB" w14:textId="77777777" w:rsidR="007B6C97" w:rsidRDefault="007B6C97">
            <w:pPr>
              <w:jc w:val="right"/>
              <w:rPr>
                <w:rFonts w:ascii="宋体"/>
              </w:rPr>
            </w:pPr>
          </w:p>
        </w:tc>
      </w:tr>
    </w:tbl>
    <w:p w14:paraId="64296CDD" w14:textId="77777777" w:rsidR="007B6C97" w:rsidRDefault="007B6C97">
      <w:pPr>
        <w:jc w:val="center"/>
      </w:pPr>
    </w:p>
    <w:p w14:paraId="64296CDE" w14:textId="77777777" w:rsidR="007B6C97" w:rsidRDefault="007B6C97">
      <w:pPr>
        <w:spacing w:before="180"/>
        <w:jc w:val="center"/>
      </w:pPr>
    </w:p>
    <w:p w14:paraId="64296CDF" w14:textId="77777777" w:rsidR="007B6C97" w:rsidRDefault="00E426D1">
      <w:pPr>
        <w:jc w:val="center"/>
      </w:pPr>
      <w:r>
        <w:rPr>
          <w:rFonts w:ascii="Times New Roman" w:eastAsia="宋体" w:hAnsi="Times New Roman"/>
          <w:i/>
          <w:iCs/>
          <w:color w:val="000000"/>
          <w:sz w:val="20"/>
          <w:szCs w:val="20"/>
        </w:rPr>
        <w:t>See Notes to Consolidated Financial Statements.</w:t>
      </w:r>
    </w:p>
    <w:p w14:paraId="64296CE0" w14:textId="77777777" w:rsidR="007B6C97" w:rsidRDefault="00E426D1">
      <w:pPr>
        <w:jc w:val="center"/>
      </w:pPr>
      <w:r>
        <w:rPr>
          <w:rFonts w:ascii="Times New Roman" w:eastAsia="宋体" w:hAnsi="Times New Roman"/>
          <w:color w:val="000000"/>
          <w:sz w:val="20"/>
          <w:szCs w:val="20"/>
        </w:rPr>
        <w:t>5</w:t>
      </w:r>
    </w:p>
    <w:p w14:paraId="64296CE1" w14:textId="77777777" w:rsidR="007B6C97" w:rsidRDefault="00E426D1">
      <w:r>
        <w:pict w14:anchorId="642999DF">
          <v:rect id="_x0000_i1029" style="width:415.3pt;height:1.5pt" o:hralign="center" o:hrstd="t" o:hr="t" fillcolor="#a0a0a0" stroked="f"/>
        </w:pict>
      </w:r>
    </w:p>
    <w:p w14:paraId="64296CE2" w14:textId="77777777" w:rsidR="007B6C97" w:rsidRDefault="00E426D1">
      <w:hyperlink r:id="rId53" w:anchor="ie38a2b375c9840e583a36769999bbee6_7" w:history="1">
        <w:r>
          <w:rPr>
            <w:rStyle w:val="a5"/>
            <w:rFonts w:ascii="Times New Roman" w:eastAsia="宋体" w:hAnsi="Times New Roman"/>
            <w:sz w:val="20"/>
            <w:szCs w:val="20"/>
          </w:rPr>
          <w:t>Table</w:t>
        </w:r>
      </w:hyperlink>
      <w:hyperlink r:id="rId54" w:anchor="ie38a2b375c9840e583a36769999bbee6_7" w:history="1">
        <w:r>
          <w:rPr>
            <w:rStyle w:val="a5"/>
            <w:rFonts w:ascii="Times New Roman" w:eastAsia="宋体" w:hAnsi="Times New Roman"/>
            <w:sz w:val="20"/>
            <w:szCs w:val="20"/>
          </w:rPr>
          <w:t xml:space="preserve"> of Contents</w:t>
        </w:r>
      </w:hyperlink>
    </w:p>
    <w:p w14:paraId="64296CE3" w14:textId="77777777" w:rsidR="007B6C97" w:rsidRDefault="00E426D1">
      <w:pPr>
        <w:spacing w:before="280"/>
        <w:ind w:firstLine="720"/>
        <w:jc w:val="center"/>
      </w:pPr>
      <w:r>
        <w:rPr>
          <w:rFonts w:ascii="Times New Roman" w:eastAsia="宋体" w:hAnsi="Times New Roman"/>
          <w:b/>
          <w:bCs/>
          <w:color w:val="000000"/>
          <w:sz w:val="20"/>
          <w:szCs w:val="20"/>
        </w:rPr>
        <w:t>STARBUCKS CORPORATION</w:t>
      </w:r>
    </w:p>
    <w:p w14:paraId="64296CE4" w14:textId="77777777" w:rsidR="007B6C97" w:rsidRDefault="00E426D1">
      <w:pPr>
        <w:jc w:val="center"/>
      </w:pPr>
      <w:r>
        <w:rPr>
          <w:rFonts w:ascii="Times New Roman" w:eastAsia="宋体" w:hAnsi="Times New Roman"/>
          <w:b/>
          <w:bCs/>
          <w:color w:val="000000"/>
          <w:sz w:val="20"/>
          <w:szCs w:val="20"/>
        </w:rPr>
        <w:t>CONSOLIDATED STATEMENTS OF CASH FLOWS</w:t>
      </w:r>
    </w:p>
    <w:p w14:paraId="64296CE5" w14:textId="77777777" w:rsidR="007B6C97" w:rsidRDefault="00E426D1">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07"/>
        <w:gridCol w:w="40"/>
        <w:gridCol w:w="120"/>
        <w:gridCol w:w="913"/>
        <w:gridCol w:w="36"/>
        <w:gridCol w:w="36"/>
        <w:gridCol w:w="36"/>
        <w:gridCol w:w="36"/>
        <w:gridCol w:w="120"/>
        <w:gridCol w:w="915"/>
        <w:gridCol w:w="36"/>
      </w:tblGrid>
      <w:tr w:rsidR="007B6C97" w14:paraId="64296CF2" w14:textId="77777777">
        <w:trPr>
          <w:jc w:val="center"/>
        </w:trPr>
        <w:tc>
          <w:tcPr>
            <w:tcW w:w="50" w:type="pct"/>
            <w:shd w:val="clear" w:color="auto" w:fill="auto"/>
            <w:vAlign w:val="bottom"/>
          </w:tcPr>
          <w:p w14:paraId="64296CE6" w14:textId="77777777" w:rsidR="007B6C97" w:rsidRDefault="007B6C97">
            <w:pPr>
              <w:rPr>
                <w:rFonts w:ascii="宋体"/>
              </w:rPr>
            </w:pPr>
          </w:p>
        </w:tc>
        <w:tc>
          <w:tcPr>
            <w:tcW w:w="3643" w:type="pct"/>
            <w:shd w:val="clear" w:color="auto" w:fill="auto"/>
            <w:vAlign w:val="bottom"/>
          </w:tcPr>
          <w:p w14:paraId="64296CE7" w14:textId="77777777" w:rsidR="007B6C97" w:rsidRDefault="007B6C97">
            <w:pPr>
              <w:rPr>
                <w:rFonts w:ascii="宋体"/>
              </w:rPr>
            </w:pPr>
          </w:p>
        </w:tc>
        <w:tc>
          <w:tcPr>
            <w:tcW w:w="5" w:type="pct"/>
            <w:shd w:val="clear" w:color="auto" w:fill="auto"/>
            <w:vAlign w:val="bottom"/>
          </w:tcPr>
          <w:p w14:paraId="64296CE8" w14:textId="77777777" w:rsidR="007B6C97" w:rsidRDefault="007B6C97">
            <w:pPr>
              <w:rPr>
                <w:rFonts w:ascii="宋体"/>
              </w:rPr>
            </w:pPr>
          </w:p>
        </w:tc>
        <w:tc>
          <w:tcPr>
            <w:tcW w:w="50" w:type="pct"/>
            <w:shd w:val="clear" w:color="auto" w:fill="auto"/>
            <w:vAlign w:val="bottom"/>
          </w:tcPr>
          <w:p w14:paraId="64296CE9" w14:textId="77777777" w:rsidR="007B6C97" w:rsidRDefault="007B6C97">
            <w:pPr>
              <w:rPr>
                <w:rFonts w:ascii="宋体"/>
              </w:rPr>
            </w:pPr>
          </w:p>
        </w:tc>
        <w:tc>
          <w:tcPr>
            <w:tcW w:w="580" w:type="pct"/>
            <w:shd w:val="clear" w:color="auto" w:fill="auto"/>
            <w:vAlign w:val="bottom"/>
          </w:tcPr>
          <w:p w14:paraId="64296CEA" w14:textId="77777777" w:rsidR="007B6C97" w:rsidRDefault="007B6C97">
            <w:pPr>
              <w:rPr>
                <w:rFonts w:ascii="宋体"/>
              </w:rPr>
            </w:pPr>
          </w:p>
        </w:tc>
        <w:tc>
          <w:tcPr>
            <w:tcW w:w="5" w:type="pct"/>
            <w:shd w:val="clear" w:color="auto" w:fill="auto"/>
            <w:vAlign w:val="bottom"/>
          </w:tcPr>
          <w:p w14:paraId="64296CEB" w14:textId="77777777" w:rsidR="007B6C97" w:rsidRDefault="007B6C97">
            <w:pPr>
              <w:rPr>
                <w:rFonts w:ascii="宋体"/>
              </w:rPr>
            </w:pPr>
          </w:p>
        </w:tc>
        <w:tc>
          <w:tcPr>
            <w:tcW w:w="5" w:type="pct"/>
            <w:shd w:val="clear" w:color="auto" w:fill="auto"/>
            <w:vAlign w:val="bottom"/>
          </w:tcPr>
          <w:p w14:paraId="64296CEC" w14:textId="77777777" w:rsidR="007B6C97" w:rsidRDefault="007B6C97">
            <w:pPr>
              <w:rPr>
                <w:rFonts w:ascii="宋体"/>
              </w:rPr>
            </w:pPr>
          </w:p>
        </w:tc>
        <w:tc>
          <w:tcPr>
            <w:tcW w:w="19" w:type="pct"/>
            <w:shd w:val="clear" w:color="auto" w:fill="auto"/>
            <w:vAlign w:val="bottom"/>
          </w:tcPr>
          <w:p w14:paraId="64296CED" w14:textId="77777777" w:rsidR="007B6C97" w:rsidRDefault="007B6C97">
            <w:pPr>
              <w:rPr>
                <w:rFonts w:ascii="宋体"/>
              </w:rPr>
            </w:pPr>
          </w:p>
        </w:tc>
        <w:tc>
          <w:tcPr>
            <w:tcW w:w="5" w:type="pct"/>
            <w:shd w:val="clear" w:color="auto" w:fill="auto"/>
            <w:vAlign w:val="bottom"/>
          </w:tcPr>
          <w:p w14:paraId="64296CEE" w14:textId="77777777" w:rsidR="007B6C97" w:rsidRDefault="007B6C97">
            <w:pPr>
              <w:rPr>
                <w:rFonts w:ascii="宋体"/>
              </w:rPr>
            </w:pPr>
          </w:p>
        </w:tc>
        <w:tc>
          <w:tcPr>
            <w:tcW w:w="50" w:type="pct"/>
            <w:shd w:val="clear" w:color="auto" w:fill="auto"/>
            <w:vAlign w:val="bottom"/>
          </w:tcPr>
          <w:p w14:paraId="64296CEF" w14:textId="77777777" w:rsidR="007B6C97" w:rsidRDefault="007B6C97">
            <w:pPr>
              <w:rPr>
                <w:rFonts w:ascii="宋体"/>
              </w:rPr>
            </w:pPr>
          </w:p>
        </w:tc>
        <w:tc>
          <w:tcPr>
            <w:tcW w:w="581" w:type="pct"/>
            <w:shd w:val="clear" w:color="auto" w:fill="auto"/>
            <w:vAlign w:val="bottom"/>
          </w:tcPr>
          <w:p w14:paraId="64296CF0" w14:textId="77777777" w:rsidR="007B6C97" w:rsidRDefault="007B6C97">
            <w:pPr>
              <w:rPr>
                <w:rFonts w:ascii="宋体"/>
              </w:rPr>
            </w:pPr>
          </w:p>
        </w:tc>
        <w:tc>
          <w:tcPr>
            <w:tcW w:w="5" w:type="pct"/>
            <w:shd w:val="clear" w:color="auto" w:fill="auto"/>
            <w:vAlign w:val="bottom"/>
          </w:tcPr>
          <w:p w14:paraId="64296CF1" w14:textId="77777777" w:rsidR="007B6C97" w:rsidRDefault="007B6C97">
            <w:pPr>
              <w:rPr>
                <w:rFonts w:ascii="宋体"/>
              </w:rPr>
            </w:pPr>
          </w:p>
        </w:tc>
      </w:tr>
      <w:tr w:rsidR="007B6C97" w14:paraId="64296CF5" w14:textId="77777777">
        <w:trPr>
          <w:jc w:val="center"/>
        </w:trPr>
        <w:tc>
          <w:tcPr>
            <w:tcW w:w="0" w:type="auto"/>
            <w:gridSpan w:val="3"/>
            <w:shd w:val="clear" w:color="auto" w:fill="auto"/>
            <w:tcMar>
              <w:top w:w="40" w:type="dxa"/>
              <w:left w:w="20" w:type="dxa"/>
              <w:bottom w:w="40" w:type="dxa"/>
              <w:right w:w="20" w:type="dxa"/>
            </w:tcMar>
            <w:vAlign w:val="center"/>
          </w:tcPr>
          <w:p w14:paraId="64296CF3" w14:textId="77777777" w:rsidR="007B6C97" w:rsidRDefault="00E426D1">
            <w:pPr>
              <w:textAlignment w:val="center"/>
            </w:pPr>
            <w:r>
              <w:rPr>
                <w:rFonts w:ascii="Times New Roman" w:eastAsia="宋体" w:hAnsi="Times New Roman"/>
                <w:color w:val="FFFFFF"/>
                <w:sz w:val="20"/>
                <w:szCs w:val="20"/>
              </w:rPr>
              <w:t> </w:t>
            </w:r>
          </w:p>
        </w:tc>
        <w:tc>
          <w:tcPr>
            <w:tcW w:w="0" w:type="auto"/>
            <w:gridSpan w:val="9"/>
            <w:shd w:val="clear" w:color="auto" w:fill="00704A"/>
            <w:tcMar>
              <w:top w:w="40" w:type="dxa"/>
              <w:left w:w="20" w:type="dxa"/>
              <w:bottom w:w="40" w:type="dxa"/>
              <w:right w:w="20" w:type="dxa"/>
            </w:tcMar>
            <w:vAlign w:val="center"/>
          </w:tcPr>
          <w:p w14:paraId="64296CF4" w14:textId="77777777" w:rsidR="007B6C97" w:rsidRDefault="00E426D1">
            <w:pPr>
              <w:jc w:val="center"/>
              <w:textAlignment w:val="center"/>
            </w:pPr>
            <w:r>
              <w:rPr>
                <w:rFonts w:ascii="Times New Roman" w:eastAsia="宋体" w:hAnsi="Times New Roman"/>
                <w:b/>
                <w:bCs/>
                <w:color w:val="FFFFFF"/>
                <w:sz w:val="16"/>
                <w:szCs w:val="16"/>
              </w:rPr>
              <w:t>Three Quarters Ended</w:t>
            </w:r>
          </w:p>
        </w:tc>
      </w:tr>
      <w:tr w:rsidR="007B6C97" w14:paraId="64296CFA" w14:textId="77777777">
        <w:trPr>
          <w:jc w:val="center"/>
        </w:trPr>
        <w:tc>
          <w:tcPr>
            <w:tcW w:w="0" w:type="auto"/>
            <w:gridSpan w:val="3"/>
            <w:shd w:val="clear" w:color="auto" w:fill="auto"/>
            <w:tcMar>
              <w:top w:w="0" w:type="dxa"/>
              <w:left w:w="20" w:type="dxa"/>
              <w:bottom w:w="0" w:type="dxa"/>
              <w:right w:w="20" w:type="dxa"/>
            </w:tcMar>
            <w:vAlign w:val="bottom"/>
          </w:tcPr>
          <w:p w14:paraId="64296CF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center"/>
          </w:tcPr>
          <w:p w14:paraId="64296CF7" w14:textId="77777777" w:rsidR="007B6C97" w:rsidRDefault="00E426D1">
            <w:pPr>
              <w:jc w:val="center"/>
              <w:textAlignment w:val="center"/>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6CF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center"/>
          </w:tcPr>
          <w:p w14:paraId="64296CF9" w14:textId="77777777" w:rsidR="007B6C97" w:rsidRDefault="00E426D1">
            <w:pPr>
              <w:jc w:val="center"/>
              <w:textAlignment w:val="center"/>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6CFF" w14:textId="77777777">
        <w:trPr>
          <w:jc w:val="center"/>
        </w:trPr>
        <w:tc>
          <w:tcPr>
            <w:tcW w:w="0" w:type="auto"/>
            <w:gridSpan w:val="3"/>
            <w:shd w:val="clear" w:color="auto" w:fill="D7E4BC"/>
            <w:tcMar>
              <w:top w:w="40" w:type="dxa"/>
              <w:left w:w="20" w:type="dxa"/>
              <w:bottom w:w="40" w:type="dxa"/>
              <w:right w:w="20" w:type="dxa"/>
            </w:tcMar>
            <w:vAlign w:val="center"/>
          </w:tcPr>
          <w:p w14:paraId="64296CFB" w14:textId="77777777" w:rsidR="007B6C97" w:rsidRDefault="00E426D1">
            <w:pPr>
              <w:textAlignment w:val="center"/>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CF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CF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CFE" w14:textId="77777777" w:rsidR="007B6C97" w:rsidRDefault="007B6C97">
            <w:pPr>
              <w:rPr>
                <w:rFonts w:ascii="宋体"/>
              </w:rPr>
            </w:pPr>
          </w:p>
        </w:tc>
      </w:tr>
      <w:tr w:rsidR="007B6C97" w14:paraId="64296D08" w14:textId="77777777">
        <w:trPr>
          <w:jc w:val="center"/>
        </w:trPr>
        <w:tc>
          <w:tcPr>
            <w:tcW w:w="0" w:type="auto"/>
            <w:gridSpan w:val="3"/>
            <w:shd w:val="clear" w:color="auto" w:fill="FFFFFF"/>
            <w:tcMar>
              <w:top w:w="40" w:type="dxa"/>
              <w:left w:w="20" w:type="dxa"/>
              <w:bottom w:w="40" w:type="dxa"/>
              <w:right w:w="20" w:type="dxa"/>
            </w:tcMar>
            <w:vAlign w:val="center"/>
          </w:tcPr>
          <w:p w14:paraId="64296D00" w14:textId="77777777" w:rsidR="007B6C97" w:rsidRDefault="00E426D1">
            <w:pPr>
              <w:textAlignment w:val="center"/>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center"/>
          </w:tcPr>
          <w:p w14:paraId="64296D01"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6D02" w14:textId="77777777" w:rsidR="007B6C97" w:rsidRDefault="00E426D1">
            <w:pPr>
              <w:jc w:val="right"/>
              <w:textAlignment w:val="center"/>
            </w:pPr>
            <w:r>
              <w:rPr>
                <w:rFonts w:ascii="Times New Roman" w:eastAsia="宋体" w:hAnsi="Times New Roman"/>
                <w:color w:val="000000"/>
                <w:sz w:val="20"/>
                <w:szCs w:val="20"/>
              </w:rPr>
              <w:t>2,404.8 </w:t>
            </w:r>
          </w:p>
        </w:tc>
        <w:tc>
          <w:tcPr>
            <w:tcW w:w="0" w:type="auto"/>
            <w:shd w:val="clear" w:color="auto" w:fill="FFFFFF"/>
            <w:tcMar>
              <w:top w:w="40" w:type="dxa"/>
              <w:left w:w="0" w:type="dxa"/>
              <w:bottom w:w="40" w:type="dxa"/>
              <w:right w:w="20" w:type="dxa"/>
            </w:tcMar>
            <w:vAlign w:val="center"/>
          </w:tcPr>
          <w:p w14:paraId="64296D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04"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6D05"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6D06" w14:textId="77777777" w:rsidR="007B6C97" w:rsidRDefault="00E426D1">
            <w:pPr>
              <w:jc w:val="right"/>
              <w:textAlignment w:val="center"/>
            </w:pPr>
            <w:r>
              <w:rPr>
                <w:rFonts w:ascii="Times New Roman" w:eastAsia="宋体" w:hAnsi="Times New Roman"/>
                <w:color w:val="000000"/>
                <w:sz w:val="20"/>
                <w:szCs w:val="20"/>
              </w:rPr>
              <w:t>2,435.7 </w:t>
            </w:r>
          </w:p>
        </w:tc>
        <w:tc>
          <w:tcPr>
            <w:tcW w:w="0" w:type="auto"/>
            <w:shd w:val="clear" w:color="auto" w:fill="FFFFFF"/>
            <w:tcMar>
              <w:top w:w="40" w:type="dxa"/>
              <w:left w:w="0" w:type="dxa"/>
              <w:bottom w:w="40" w:type="dxa"/>
              <w:right w:w="20" w:type="dxa"/>
            </w:tcMar>
            <w:vAlign w:val="center"/>
          </w:tcPr>
          <w:p w14:paraId="64296D07" w14:textId="77777777" w:rsidR="007B6C97" w:rsidRDefault="007B6C97">
            <w:pPr>
              <w:jc w:val="right"/>
              <w:rPr>
                <w:rFonts w:ascii="宋体"/>
              </w:rPr>
            </w:pPr>
          </w:p>
        </w:tc>
      </w:tr>
      <w:tr w:rsidR="007B6C97" w14:paraId="64296D0D" w14:textId="77777777">
        <w:trPr>
          <w:jc w:val="center"/>
        </w:trPr>
        <w:tc>
          <w:tcPr>
            <w:tcW w:w="0" w:type="auto"/>
            <w:gridSpan w:val="3"/>
            <w:shd w:val="clear" w:color="auto" w:fill="D7E4BC"/>
            <w:tcMar>
              <w:top w:w="40" w:type="dxa"/>
              <w:left w:w="20" w:type="dxa"/>
              <w:bottom w:w="40" w:type="dxa"/>
              <w:right w:w="20" w:type="dxa"/>
            </w:tcMar>
            <w:vAlign w:val="center"/>
          </w:tcPr>
          <w:p w14:paraId="64296D09" w14:textId="77777777" w:rsidR="007B6C97" w:rsidRDefault="00E426D1">
            <w:pPr>
              <w:textAlignment w:val="center"/>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vAlign w:val="bottom"/>
          </w:tcPr>
          <w:p w14:paraId="64296D0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D0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D0C" w14:textId="77777777" w:rsidR="007B6C97" w:rsidRDefault="007B6C97">
            <w:pPr>
              <w:rPr>
                <w:rFonts w:ascii="宋体"/>
              </w:rPr>
            </w:pPr>
          </w:p>
        </w:tc>
      </w:tr>
      <w:tr w:rsidR="007B6C97" w14:paraId="64296D14" w14:textId="77777777">
        <w:trPr>
          <w:jc w:val="center"/>
        </w:trPr>
        <w:tc>
          <w:tcPr>
            <w:tcW w:w="0" w:type="auto"/>
            <w:gridSpan w:val="3"/>
            <w:shd w:val="clear" w:color="auto" w:fill="FFFFFF"/>
            <w:tcMar>
              <w:top w:w="40" w:type="dxa"/>
              <w:left w:w="380" w:type="dxa"/>
              <w:bottom w:w="40" w:type="dxa"/>
              <w:right w:w="20" w:type="dxa"/>
            </w:tcMar>
            <w:vAlign w:val="center"/>
          </w:tcPr>
          <w:p w14:paraId="64296D0E" w14:textId="77777777" w:rsidR="007B6C97" w:rsidRDefault="00E426D1">
            <w:pPr>
              <w:textAlignment w:val="center"/>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center"/>
          </w:tcPr>
          <w:p w14:paraId="64296D0F" w14:textId="77777777" w:rsidR="007B6C97" w:rsidRDefault="00E426D1">
            <w:pPr>
              <w:jc w:val="right"/>
              <w:textAlignment w:val="center"/>
            </w:pPr>
            <w:r>
              <w:rPr>
                <w:rFonts w:ascii="Times New Roman" w:eastAsia="宋体" w:hAnsi="Times New Roman"/>
                <w:color w:val="000000"/>
                <w:sz w:val="20"/>
                <w:szCs w:val="20"/>
              </w:rPr>
              <w:t>1,169.0 </w:t>
            </w:r>
          </w:p>
        </w:tc>
        <w:tc>
          <w:tcPr>
            <w:tcW w:w="0" w:type="auto"/>
            <w:shd w:val="clear" w:color="auto" w:fill="FFFFFF"/>
            <w:tcMar>
              <w:top w:w="40" w:type="dxa"/>
              <w:left w:w="0" w:type="dxa"/>
              <w:bottom w:w="40" w:type="dxa"/>
              <w:right w:w="20" w:type="dxa"/>
            </w:tcMar>
            <w:vAlign w:val="center"/>
          </w:tcPr>
          <w:p w14:paraId="64296D1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1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12" w14:textId="77777777" w:rsidR="007B6C97" w:rsidRDefault="00E426D1">
            <w:pPr>
              <w:jc w:val="right"/>
              <w:textAlignment w:val="center"/>
            </w:pPr>
            <w:r>
              <w:rPr>
                <w:rFonts w:ascii="Times New Roman" w:eastAsia="宋体" w:hAnsi="Times New Roman"/>
                <w:color w:val="000000"/>
                <w:sz w:val="20"/>
                <w:szCs w:val="20"/>
              </w:rPr>
              <w:t>1,146.2 </w:t>
            </w:r>
          </w:p>
        </w:tc>
        <w:tc>
          <w:tcPr>
            <w:tcW w:w="0" w:type="auto"/>
            <w:shd w:val="clear" w:color="auto" w:fill="FFFFFF"/>
            <w:tcMar>
              <w:top w:w="40" w:type="dxa"/>
              <w:left w:w="0" w:type="dxa"/>
              <w:bottom w:w="40" w:type="dxa"/>
              <w:right w:w="20" w:type="dxa"/>
            </w:tcMar>
            <w:vAlign w:val="center"/>
          </w:tcPr>
          <w:p w14:paraId="64296D13" w14:textId="77777777" w:rsidR="007B6C97" w:rsidRDefault="007B6C97">
            <w:pPr>
              <w:jc w:val="right"/>
              <w:rPr>
                <w:rFonts w:ascii="宋体"/>
              </w:rPr>
            </w:pPr>
          </w:p>
        </w:tc>
      </w:tr>
      <w:tr w:rsidR="007B6C97" w14:paraId="64296D1B" w14:textId="77777777">
        <w:trPr>
          <w:jc w:val="center"/>
        </w:trPr>
        <w:tc>
          <w:tcPr>
            <w:tcW w:w="0" w:type="auto"/>
            <w:gridSpan w:val="3"/>
            <w:shd w:val="clear" w:color="auto" w:fill="D7E4BC"/>
            <w:tcMar>
              <w:top w:w="40" w:type="dxa"/>
              <w:left w:w="380" w:type="dxa"/>
              <w:bottom w:w="40" w:type="dxa"/>
              <w:right w:w="20" w:type="dxa"/>
            </w:tcMar>
            <w:vAlign w:val="center"/>
          </w:tcPr>
          <w:p w14:paraId="64296D15" w14:textId="77777777" w:rsidR="007B6C97" w:rsidRDefault="00E426D1">
            <w:pPr>
              <w:textAlignment w:val="center"/>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center"/>
          </w:tcPr>
          <w:p w14:paraId="64296D16" w14:textId="77777777" w:rsidR="007B6C97" w:rsidRDefault="00E426D1">
            <w:pPr>
              <w:jc w:val="right"/>
              <w:textAlignment w:val="center"/>
            </w:pPr>
            <w:r>
              <w:rPr>
                <w:rFonts w:ascii="Times New Roman" w:eastAsia="宋体" w:hAnsi="Times New Roman"/>
                <w:color w:val="000000"/>
                <w:sz w:val="20"/>
                <w:szCs w:val="20"/>
              </w:rPr>
              <w:t>35.0 </w:t>
            </w:r>
          </w:p>
        </w:tc>
        <w:tc>
          <w:tcPr>
            <w:tcW w:w="0" w:type="auto"/>
            <w:shd w:val="clear" w:color="auto" w:fill="D7E4BC"/>
            <w:tcMar>
              <w:top w:w="40" w:type="dxa"/>
              <w:left w:w="0" w:type="dxa"/>
              <w:bottom w:w="40" w:type="dxa"/>
              <w:right w:w="20" w:type="dxa"/>
            </w:tcMar>
            <w:vAlign w:val="center"/>
          </w:tcPr>
          <w:p w14:paraId="64296D1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1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19" w14:textId="77777777" w:rsidR="007B6C97" w:rsidRDefault="00E426D1">
            <w:pPr>
              <w:jc w:val="right"/>
              <w:textAlignment w:val="center"/>
            </w:pPr>
            <w:r>
              <w:rPr>
                <w:rFonts w:ascii="Times New Roman" w:eastAsia="宋体" w:hAnsi="Times New Roman"/>
                <w:color w:val="000000"/>
                <w:sz w:val="20"/>
                <w:szCs w:val="20"/>
              </w:rPr>
              <w:t>(113.2)</w:t>
            </w:r>
          </w:p>
        </w:tc>
        <w:tc>
          <w:tcPr>
            <w:tcW w:w="0" w:type="auto"/>
            <w:shd w:val="clear" w:color="auto" w:fill="D7E4BC"/>
            <w:tcMar>
              <w:top w:w="40" w:type="dxa"/>
              <w:left w:w="0" w:type="dxa"/>
              <w:bottom w:w="40" w:type="dxa"/>
              <w:right w:w="20" w:type="dxa"/>
            </w:tcMar>
            <w:vAlign w:val="center"/>
          </w:tcPr>
          <w:p w14:paraId="64296D1A" w14:textId="77777777" w:rsidR="007B6C97" w:rsidRDefault="007B6C97">
            <w:pPr>
              <w:jc w:val="right"/>
              <w:rPr>
                <w:rFonts w:ascii="宋体"/>
              </w:rPr>
            </w:pPr>
          </w:p>
        </w:tc>
      </w:tr>
      <w:tr w:rsidR="007B6C97" w14:paraId="64296D22" w14:textId="77777777">
        <w:trPr>
          <w:jc w:val="center"/>
        </w:trPr>
        <w:tc>
          <w:tcPr>
            <w:tcW w:w="0" w:type="auto"/>
            <w:gridSpan w:val="3"/>
            <w:shd w:val="clear" w:color="auto" w:fill="FFFFFF"/>
            <w:tcMar>
              <w:top w:w="40" w:type="dxa"/>
              <w:left w:w="380" w:type="dxa"/>
              <w:bottom w:w="40" w:type="dxa"/>
              <w:right w:w="20" w:type="dxa"/>
            </w:tcMar>
            <w:vAlign w:val="center"/>
          </w:tcPr>
          <w:p w14:paraId="64296D1C" w14:textId="77777777" w:rsidR="007B6C97" w:rsidRDefault="00E426D1">
            <w:pPr>
              <w:textAlignment w:val="center"/>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center"/>
          </w:tcPr>
          <w:p w14:paraId="64296D1D" w14:textId="77777777" w:rsidR="007B6C97" w:rsidRDefault="00E426D1">
            <w:pPr>
              <w:jc w:val="right"/>
              <w:textAlignment w:val="center"/>
            </w:pPr>
            <w:r>
              <w:rPr>
                <w:rFonts w:ascii="Times New Roman" w:eastAsia="宋体" w:hAnsi="Times New Roman"/>
                <w:color w:val="000000"/>
                <w:sz w:val="20"/>
                <w:szCs w:val="20"/>
              </w:rPr>
              <w:t>(175.0)</w:t>
            </w:r>
          </w:p>
        </w:tc>
        <w:tc>
          <w:tcPr>
            <w:tcW w:w="0" w:type="auto"/>
            <w:shd w:val="clear" w:color="auto" w:fill="FFFFFF"/>
            <w:tcMar>
              <w:top w:w="40" w:type="dxa"/>
              <w:left w:w="0" w:type="dxa"/>
              <w:bottom w:w="40" w:type="dxa"/>
              <w:right w:w="20" w:type="dxa"/>
            </w:tcMar>
            <w:vAlign w:val="center"/>
          </w:tcPr>
          <w:p w14:paraId="64296D1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1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20" w14:textId="77777777" w:rsidR="007B6C97" w:rsidRDefault="00E426D1">
            <w:pPr>
              <w:jc w:val="right"/>
              <w:textAlignment w:val="center"/>
            </w:pPr>
            <w:r>
              <w:rPr>
                <w:rFonts w:ascii="Times New Roman" w:eastAsia="宋体" w:hAnsi="Times New Roman"/>
                <w:color w:val="000000"/>
                <w:sz w:val="20"/>
                <w:szCs w:val="20"/>
              </w:rPr>
              <w:t>(238.3)</w:t>
            </w:r>
          </w:p>
        </w:tc>
        <w:tc>
          <w:tcPr>
            <w:tcW w:w="0" w:type="auto"/>
            <w:shd w:val="clear" w:color="auto" w:fill="FFFFFF"/>
            <w:tcMar>
              <w:top w:w="40" w:type="dxa"/>
              <w:left w:w="0" w:type="dxa"/>
              <w:bottom w:w="40" w:type="dxa"/>
              <w:right w:w="20" w:type="dxa"/>
            </w:tcMar>
            <w:vAlign w:val="center"/>
          </w:tcPr>
          <w:p w14:paraId="64296D21" w14:textId="77777777" w:rsidR="007B6C97" w:rsidRDefault="007B6C97">
            <w:pPr>
              <w:jc w:val="right"/>
              <w:rPr>
                <w:rFonts w:ascii="宋体"/>
              </w:rPr>
            </w:pPr>
          </w:p>
        </w:tc>
      </w:tr>
      <w:tr w:rsidR="007B6C97" w14:paraId="64296D29" w14:textId="77777777">
        <w:trPr>
          <w:jc w:val="center"/>
        </w:trPr>
        <w:tc>
          <w:tcPr>
            <w:tcW w:w="0" w:type="auto"/>
            <w:gridSpan w:val="3"/>
            <w:shd w:val="clear" w:color="auto" w:fill="D7E4BC"/>
            <w:tcMar>
              <w:top w:w="40" w:type="dxa"/>
              <w:left w:w="380" w:type="dxa"/>
              <w:bottom w:w="40" w:type="dxa"/>
              <w:right w:w="20" w:type="dxa"/>
            </w:tcMar>
            <w:vAlign w:val="center"/>
          </w:tcPr>
          <w:p w14:paraId="64296D23" w14:textId="77777777" w:rsidR="007B6C97" w:rsidRDefault="00E426D1">
            <w:pPr>
              <w:textAlignment w:val="center"/>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center"/>
          </w:tcPr>
          <w:p w14:paraId="64296D24" w14:textId="77777777" w:rsidR="007B6C97" w:rsidRDefault="00E426D1">
            <w:pPr>
              <w:jc w:val="right"/>
              <w:textAlignment w:val="center"/>
            </w:pPr>
            <w:r>
              <w:rPr>
                <w:rFonts w:ascii="Times New Roman" w:eastAsia="宋体" w:hAnsi="Times New Roman"/>
                <w:color w:val="000000"/>
                <w:sz w:val="20"/>
                <w:szCs w:val="20"/>
              </w:rPr>
              <w:t>145.9 </w:t>
            </w:r>
          </w:p>
        </w:tc>
        <w:tc>
          <w:tcPr>
            <w:tcW w:w="0" w:type="auto"/>
            <w:shd w:val="clear" w:color="auto" w:fill="D7E4BC"/>
            <w:tcMar>
              <w:top w:w="40" w:type="dxa"/>
              <w:left w:w="0" w:type="dxa"/>
              <w:bottom w:w="40" w:type="dxa"/>
              <w:right w:w="20" w:type="dxa"/>
            </w:tcMar>
            <w:vAlign w:val="center"/>
          </w:tcPr>
          <w:p w14:paraId="64296D2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2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27" w14:textId="77777777" w:rsidR="007B6C97" w:rsidRDefault="00E426D1">
            <w:pPr>
              <w:jc w:val="right"/>
              <w:textAlignment w:val="center"/>
            </w:pPr>
            <w:r>
              <w:rPr>
                <w:rFonts w:ascii="Times New Roman" w:eastAsia="宋体" w:hAnsi="Times New Roman"/>
                <w:color w:val="000000"/>
                <w:sz w:val="20"/>
                <w:szCs w:val="20"/>
              </w:rPr>
              <w:t>226.7 </w:t>
            </w:r>
          </w:p>
        </w:tc>
        <w:tc>
          <w:tcPr>
            <w:tcW w:w="0" w:type="auto"/>
            <w:shd w:val="clear" w:color="auto" w:fill="D7E4BC"/>
            <w:tcMar>
              <w:top w:w="40" w:type="dxa"/>
              <w:left w:w="0" w:type="dxa"/>
              <w:bottom w:w="40" w:type="dxa"/>
              <w:right w:w="20" w:type="dxa"/>
            </w:tcMar>
            <w:vAlign w:val="center"/>
          </w:tcPr>
          <w:p w14:paraId="64296D28" w14:textId="77777777" w:rsidR="007B6C97" w:rsidRDefault="007B6C97">
            <w:pPr>
              <w:jc w:val="right"/>
              <w:rPr>
                <w:rFonts w:ascii="宋体"/>
              </w:rPr>
            </w:pPr>
          </w:p>
        </w:tc>
      </w:tr>
      <w:tr w:rsidR="007B6C97" w14:paraId="64296D2E" w14:textId="77777777">
        <w:trPr>
          <w:jc w:val="center"/>
          <w:hidden/>
        </w:trPr>
        <w:tc>
          <w:tcPr>
            <w:tcW w:w="0" w:type="auto"/>
            <w:gridSpan w:val="3"/>
            <w:shd w:val="clear" w:color="auto" w:fill="auto"/>
            <w:vAlign w:val="bottom"/>
          </w:tcPr>
          <w:p w14:paraId="64296D2A" w14:textId="77777777" w:rsidR="007B6C97" w:rsidRDefault="007B6C97">
            <w:pPr>
              <w:rPr>
                <w:rFonts w:ascii="宋体"/>
                <w:vanish/>
              </w:rPr>
            </w:pPr>
          </w:p>
        </w:tc>
        <w:tc>
          <w:tcPr>
            <w:tcW w:w="0" w:type="auto"/>
            <w:gridSpan w:val="3"/>
            <w:shd w:val="clear" w:color="auto" w:fill="auto"/>
            <w:vAlign w:val="bottom"/>
          </w:tcPr>
          <w:p w14:paraId="64296D2B" w14:textId="77777777" w:rsidR="007B6C97" w:rsidRDefault="007B6C97">
            <w:pPr>
              <w:rPr>
                <w:rFonts w:ascii="宋体"/>
                <w:vanish/>
              </w:rPr>
            </w:pPr>
          </w:p>
        </w:tc>
        <w:tc>
          <w:tcPr>
            <w:tcW w:w="0" w:type="auto"/>
            <w:gridSpan w:val="3"/>
            <w:shd w:val="clear" w:color="auto" w:fill="auto"/>
            <w:vAlign w:val="bottom"/>
          </w:tcPr>
          <w:p w14:paraId="64296D2C" w14:textId="77777777" w:rsidR="007B6C97" w:rsidRDefault="007B6C97">
            <w:pPr>
              <w:rPr>
                <w:rFonts w:ascii="宋体"/>
                <w:vanish/>
              </w:rPr>
            </w:pPr>
          </w:p>
        </w:tc>
        <w:tc>
          <w:tcPr>
            <w:tcW w:w="0" w:type="auto"/>
            <w:gridSpan w:val="3"/>
            <w:shd w:val="clear" w:color="auto" w:fill="auto"/>
            <w:vAlign w:val="bottom"/>
          </w:tcPr>
          <w:p w14:paraId="64296D2D" w14:textId="77777777" w:rsidR="007B6C97" w:rsidRDefault="007B6C97">
            <w:pPr>
              <w:rPr>
                <w:rFonts w:ascii="宋体"/>
                <w:vanish/>
              </w:rPr>
            </w:pPr>
          </w:p>
        </w:tc>
      </w:tr>
      <w:tr w:rsidR="007B6C97" w14:paraId="64296D33" w14:textId="77777777">
        <w:trPr>
          <w:jc w:val="center"/>
          <w:hidden/>
        </w:trPr>
        <w:tc>
          <w:tcPr>
            <w:tcW w:w="0" w:type="auto"/>
            <w:gridSpan w:val="3"/>
            <w:shd w:val="clear" w:color="auto" w:fill="auto"/>
            <w:vAlign w:val="bottom"/>
          </w:tcPr>
          <w:p w14:paraId="64296D2F" w14:textId="77777777" w:rsidR="007B6C97" w:rsidRDefault="007B6C97">
            <w:pPr>
              <w:rPr>
                <w:rFonts w:ascii="宋体"/>
                <w:vanish/>
              </w:rPr>
            </w:pPr>
          </w:p>
        </w:tc>
        <w:tc>
          <w:tcPr>
            <w:tcW w:w="0" w:type="auto"/>
            <w:gridSpan w:val="3"/>
            <w:shd w:val="clear" w:color="auto" w:fill="auto"/>
            <w:vAlign w:val="bottom"/>
          </w:tcPr>
          <w:p w14:paraId="64296D30" w14:textId="77777777" w:rsidR="007B6C97" w:rsidRDefault="007B6C97">
            <w:pPr>
              <w:rPr>
                <w:rFonts w:ascii="宋体"/>
                <w:vanish/>
              </w:rPr>
            </w:pPr>
          </w:p>
        </w:tc>
        <w:tc>
          <w:tcPr>
            <w:tcW w:w="0" w:type="auto"/>
            <w:gridSpan w:val="3"/>
            <w:shd w:val="clear" w:color="auto" w:fill="auto"/>
            <w:vAlign w:val="bottom"/>
          </w:tcPr>
          <w:p w14:paraId="64296D31" w14:textId="77777777" w:rsidR="007B6C97" w:rsidRDefault="007B6C97">
            <w:pPr>
              <w:rPr>
                <w:rFonts w:ascii="宋体"/>
                <w:vanish/>
              </w:rPr>
            </w:pPr>
          </w:p>
        </w:tc>
        <w:tc>
          <w:tcPr>
            <w:tcW w:w="0" w:type="auto"/>
            <w:gridSpan w:val="3"/>
            <w:shd w:val="clear" w:color="auto" w:fill="auto"/>
            <w:vAlign w:val="bottom"/>
          </w:tcPr>
          <w:p w14:paraId="64296D32" w14:textId="77777777" w:rsidR="007B6C97" w:rsidRDefault="007B6C97">
            <w:pPr>
              <w:rPr>
                <w:rFonts w:ascii="宋体"/>
                <w:vanish/>
              </w:rPr>
            </w:pPr>
          </w:p>
        </w:tc>
      </w:tr>
      <w:tr w:rsidR="007B6C97" w14:paraId="64296D3A" w14:textId="77777777">
        <w:trPr>
          <w:jc w:val="center"/>
        </w:trPr>
        <w:tc>
          <w:tcPr>
            <w:tcW w:w="0" w:type="auto"/>
            <w:gridSpan w:val="3"/>
            <w:shd w:val="clear" w:color="auto" w:fill="FFFFFF"/>
            <w:tcMar>
              <w:top w:w="40" w:type="dxa"/>
              <w:left w:w="380" w:type="dxa"/>
              <w:bottom w:w="40" w:type="dxa"/>
              <w:right w:w="20" w:type="dxa"/>
            </w:tcMar>
            <w:vAlign w:val="center"/>
          </w:tcPr>
          <w:p w14:paraId="64296D34" w14:textId="77777777" w:rsidR="007B6C97" w:rsidRDefault="00E426D1">
            <w:pPr>
              <w:textAlignment w:val="center"/>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center"/>
          </w:tcPr>
          <w:p w14:paraId="64296D35" w14:textId="77777777" w:rsidR="007B6C97" w:rsidRDefault="00E426D1">
            <w:pPr>
              <w:jc w:val="right"/>
              <w:textAlignment w:val="center"/>
            </w:pPr>
            <w:r>
              <w:rPr>
                <w:rFonts w:ascii="Times New Roman" w:eastAsia="宋体" w:hAnsi="Times New Roman"/>
                <w:color w:val="000000"/>
                <w:sz w:val="20"/>
                <w:szCs w:val="20"/>
              </w:rPr>
              <w:t>206.6 </w:t>
            </w:r>
          </w:p>
        </w:tc>
        <w:tc>
          <w:tcPr>
            <w:tcW w:w="0" w:type="auto"/>
            <w:shd w:val="clear" w:color="auto" w:fill="FFFFFF"/>
            <w:tcMar>
              <w:top w:w="40" w:type="dxa"/>
              <w:left w:w="0" w:type="dxa"/>
              <w:bottom w:w="40" w:type="dxa"/>
              <w:right w:w="20" w:type="dxa"/>
            </w:tcMar>
            <w:vAlign w:val="center"/>
          </w:tcPr>
          <w:p w14:paraId="64296D3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3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38" w14:textId="77777777" w:rsidR="007B6C97" w:rsidRDefault="00E426D1">
            <w:pPr>
              <w:jc w:val="right"/>
              <w:textAlignment w:val="center"/>
            </w:pPr>
            <w:r>
              <w:rPr>
                <w:rFonts w:ascii="Times New Roman" w:eastAsia="宋体" w:hAnsi="Times New Roman"/>
                <w:color w:val="000000"/>
                <w:sz w:val="20"/>
                <w:szCs w:val="20"/>
              </w:rPr>
              <w:t>255.3 </w:t>
            </w:r>
          </w:p>
        </w:tc>
        <w:tc>
          <w:tcPr>
            <w:tcW w:w="0" w:type="auto"/>
            <w:shd w:val="clear" w:color="auto" w:fill="FFFFFF"/>
            <w:tcMar>
              <w:top w:w="40" w:type="dxa"/>
              <w:left w:w="0" w:type="dxa"/>
              <w:bottom w:w="40" w:type="dxa"/>
              <w:right w:w="20" w:type="dxa"/>
            </w:tcMar>
            <w:vAlign w:val="center"/>
          </w:tcPr>
          <w:p w14:paraId="64296D39" w14:textId="77777777" w:rsidR="007B6C97" w:rsidRDefault="007B6C97">
            <w:pPr>
              <w:jc w:val="right"/>
              <w:rPr>
                <w:rFonts w:ascii="宋体"/>
              </w:rPr>
            </w:pPr>
          </w:p>
        </w:tc>
      </w:tr>
      <w:tr w:rsidR="007B6C97" w14:paraId="64296D3F" w14:textId="77777777">
        <w:trPr>
          <w:jc w:val="center"/>
          <w:hidden/>
        </w:trPr>
        <w:tc>
          <w:tcPr>
            <w:tcW w:w="0" w:type="auto"/>
            <w:gridSpan w:val="3"/>
            <w:shd w:val="clear" w:color="auto" w:fill="auto"/>
            <w:vAlign w:val="bottom"/>
          </w:tcPr>
          <w:p w14:paraId="64296D3B" w14:textId="77777777" w:rsidR="007B6C97" w:rsidRDefault="007B6C97">
            <w:pPr>
              <w:rPr>
                <w:rFonts w:ascii="宋体"/>
                <w:vanish/>
              </w:rPr>
            </w:pPr>
          </w:p>
        </w:tc>
        <w:tc>
          <w:tcPr>
            <w:tcW w:w="0" w:type="auto"/>
            <w:gridSpan w:val="3"/>
            <w:shd w:val="clear" w:color="auto" w:fill="auto"/>
            <w:vAlign w:val="bottom"/>
          </w:tcPr>
          <w:p w14:paraId="64296D3C" w14:textId="77777777" w:rsidR="007B6C97" w:rsidRDefault="007B6C97">
            <w:pPr>
              <w:rPr>
                <w:rFonts w:ascii="宋体"/>
                <w:vanish/>
              </w:rPr>
            </w:pPr>
          </w:p>
        </w:tc>
        <w:tc>
          <w:tcPr>
            <w:tcW w:w="0" w:type="auto"/>
            <w:gridSpan w:val="3"/>
            <w:shd w:val="clear" w:color="auto" w:fill="auto"/>
            <w:vAlign w:val="bottom"/>
          </w:tcPr>
          <w:p w14:paraId="64296D3D" w14:textId="77777777" w:rsidR="007B6C97" w:rsidRDefault="007B6C97">
            <w:pPr>
              <w:rPr>
                <w:rFonts w:ascii="宋体"/>
                <w:vanish/>
              </w:rPr>
            </w:pPr>
          </w:p>
        </w:tc>
        <w:tc>
          <w:tcPr>
            <w:tcW w:w="0" w:type="auto"/>
            <w:gridSpan w:val="3"/>
            <w:shd w:val="clear" w:color="auto" w:fill="auto"/>
            <w:vAlign w:val="bottom"/>
          </w:tcPr>
          <w:p w14:paraId="64296D3E" w14:textId="77777777" w:rsidR="007B6C97" w:rsidRDefault="007B6C97">
            <w:pPr>
              <w:rPr>
                <w:rFonts w:ascii="宋体"/>
                <w:vanish/>
              </w:rPr>
            </w:pPr>
          </w:p>
        </w:tc>
      </w:tr>
      <w:tr w:rsidR="007B6C97" w14:paraId="64296D46" w14:textId="77777777">
        <w:trPr>
          <w:jc w:val="center"/>
        </w:trPr>
        <w:tc>
          <w:tcPr>
            <w:tcW w:w="0" w:type="auto"/>
            <w:gridSpan w:val="3"/>
            <w:shd w:val="clear" w:color="auto" w:fill="D7E4BC"/>
            <w:tcMar>
              <w:top w:w="40" w:type="dxa"/>
              <w:left w:w="380" w:type="dxa"/>
              <w:bottom w:w="40" w:type="dxa"/>
              <w:right w:w="20" w:type="dxa"/>
            </w:tcMar>
            <w:vAlign w:val="center"/>
          </w:tcPr>
          <w:p w14:paraId="64296D40" w14:textId="77777777" w:rsidR="007B6C97" w:rsidRDefault="00E426D1">
            <w:pPr>
              <w:textAlignment w:val="center"/>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center"/>
          </w:tcPr>
          <w:p w14:paraId="64296D41" w14:textId="77777777" w:rsidR="007B6C97" w:rsidRDefault="00E426D1">
            <w:pPr>
              <w:jc w:val="right"/>
              <w:textAlignment w:val="center"/>
            </w:pPr>
            <w:r>
              <w:rPr>
                <w:rFonts w:ascii="Times New Roman" w:eastAsia="宋体" w:hAnsi="Times New Roman"/>
                <w:color w:val="000000"/>
                <w:sz w:val="20"/>
                <w:szCs w:val="20"/>
              </w:rPr>
              <w:t>1,090.4 </w:t>
            </w:r>
          </w:p>
        </w:tc>
        <w:tc>
          <w:tcPr>
            <w:tcW w:w="0" w:type="auto"/>
            <w:shd w:val="clear" w:color="auto" w:fill="D7E4BC"/>
            <w:tcMar>
              <w:top w:w="40" w:type="dxa"/>
              <w:left w:w="0" w:type="dxa"/>
              <w:bottom w:w="40" w:type="dxa"/>
              <w:right w:w="20" w:type="dxa"/>
            </w:tcMar>
            <w:vAlign w:val="center"/>
          </w:tcPr>
          <w:p w14:paraId="64296D4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4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44" w14:textId="77777777" w:rsidR="007B6C97" w:rsidRDefault="00E426D1">
            <w:pPr>
              <w:jc w:val="right"/>
              <w:textAlignment w:val="center"/>
            </w:pPr>
            <w:r>
              <w:rPr>
                <w:rFonts w:ascii="Times New Roman" w:eastAsia="宋体" w:hAnsi="Times New Roman"/>
                <w:color w:val="000000"/>
                <w:sz w:val="20"/>
                <w:szCs w:val="20"/>
              </w:rPr>
              <w:t>931.7 </w:t>
            </w:r>
          </w:p>
        </w:tc>
        <w:tc>
          <w:tcPr>
            <w:tcW w:w="0" w:type="auto"/>
            <w:shd w:val="clear" w:color="auto" w:fill="D7E4BC"/>
            <w:tcMar>
              <w:top w:w="40" w:type="dxa"/>
              <w:left w:w="0" w:type="dxa"/>
              <w:bottom w:w="40" w:type="dxa"/>
              <w:right w:w="20" w:type="dxa"/>
            </w:tcMar>
            <w:vAlign w:val="center"/>
          </w:tcPr>
          <w:p w14:paraId="64296D45" w14:textId="77777777" w:rsidR="007B6C97" w:rsidRDefault="007B6C97">
            <w:pPr>
              <w:jc w:val="right"/>
              <w:rPr>
                <w:rFonts w:ascii="宋体"/>
              </w:rPr>
            </w:pPr>
          </w:p>
        </w:tc>
      </w:tr>
      <w:tr w:rsidR="007B6C97" w14:paraId="64296D4D" w14:textId="77777777">
        <w:trPr>
          <w:jc w:val="center"/>
        </w:trPr>
        <w:tc>
          <w:tcPr>
            <w:tcW w:w="0" w:type="auto"/>
            <w:gridSpan w:val="3"/>
            <w:shd w:val="clear" w:color="auto" w:fill="FFFFFF"/>
            <w:tcMar>
              <w:top w:w="40" w:type="dxa"/>
              <w:left w:w="380" w:type="dxa"/>
              <w:bottom w:w="40" w:type="dxa"/>
              <w:right w:w="20" w:type="dxa"/>
            </w:tcMar>
            <w:vAlign w:val="center"/>
          </w:tcPr>
          <w:p w14:paraId="64296D47" w14:textId="77777777" w:rsidR="007B6C97" w:rsidRDefault="00E426D1">
            <w:pPr>
              <w:textAlignment w:val="center"/>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center"/>
          </w:tcPr>
          <w:p w14:paraId="64296D48" w14:textId="77777777" w:rsidR="007B6C97" w:rsidRDefault="00E426D1">
            <w:pPr>
              <w:jc w:val="right"/>
              <w:textAlignment w:val="center"/>
            </w:pPr>
            <w:r>
              <w:rPr>
                <w:rFonts w:ascii="Times New Roman" w:eastAsia="宋体" w:hAnsi="Times New Roman"/>
                <w:color w:val="000000"/>
                <w:sz w:val="20"/>
                <w:szCs w:val="20"/>
              </w:rPr>
              <w:t>89.6 </w:t>
            </w:r>
          </w:p>
        </w:tc>
        <w:tc>
          <w:tcPr>
            <w:tcW w:w="0" w:type="auto"/>
            <w:shd w:val="clear" w:color="auto" w:fill="FFFFFF"/>
            <w:tcMar>
              <w:top w:w="40" w:type="dxa"/>
              <w:left w:w="0" w:type="dxa"/>
              <w:bottom w:w="40" w:type="dxa"/>
              <w:right w:w="20" w:type="dxa"/>
            </w:tcMar>
            <w:vAlign w:val="center"/>
          </w:tcPr>
          <w:p w14:paraId="64296D4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4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4B" w14:textId="77777777" w:rsidR="007B6C97" w:rsidRDefault="00E426D1">
            <w:pPr>
              <w:jc w:val="right"/>
              <w:textAlignment w:val="center"/>
            </w:pPr>
            <w:r>
              <w:rPr>
                <w:rFonts w:ascii="Times New Roman" w:eastAsia="宋体" w:hAnsi="Times New Roman"/>
                <w:color w:val="000000"/>
                <w:sz w:val="20"/>
                <w:szCs w:val="20"/>
              </w:rPr>
              <w:t>204.7 </w:t>
            </w:r>
          </w:p>
        </w:tc>
        <w:tc>
          <w:tcPr>
            <w:tcW w:w="0" w:type="auto"/>
            <w:shd w:val="clear" w:color="auto" w:fill="FFFFFF"/>
            <w:tcMar>
              <w:top w:w="40" w:type="dxa"/>
              <w:left w:w="0" w:type="dxa"/>
              <w:bottom w:w="40" w:type="dxa"/>
              <w:right w:w="20" w:type="dxa"/>
            </w:tcMar>
            <w:vAlign w:val="center"/>
          </w:tcPr>
          <w:p w14:paraId="64296D4C" w14:textId="77777777" w:rsidR="007B6C97" w:rsidRDefault="007B6C97">
            <w:pPr>
              <w:jc w:val="right"/>
              <w:rPr>
                <w:rFonts w:ascii="宋体"/>
              </w:rPr>
            </w:pPr>
          </w:p>
        </w:tc>
      </w:tr>
      <w:tr w:rsidR="007B6C97" w14:paraId="64296D54" w14:textId="77777777">
        <w:trPr>
          <w:jc w:val="center"/>
        </w:trPr>
        <w:tc>
          <w:tcPr>
            <w:tcW w:w="0" w:type="auto"/>
            <w:gridSpan w:val="3"/>
            <w:shd w:val="clear" w:color="auto" w:fill="D7E4BC"/>
            <w:tcMar>
              <w:top w:w="40" w:type="dxa"/>
              <w:left w:w="380" w:type="dxa"/>
              <w:bottom w:w="40" w:type="dxa"/>
              <w:right w:w="20" w:type="dxa"/>
            </w:tcMar>
            <w:vAlign w:val="center"/>
          </w:tcPr>
          <w:p w14:paraId="64296D4E" w14:textId="77777777" w:rsidR="007B6C97" w:rsidRDefault="00E426D1">
            <w:pPr>
              <w:textAlignment w:val="center"/>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center"/>
          </w:tcPr>
          <w:p w14:paraId="64296D4F" w14:textId="77777777" w:rsidR="007B6C97" w:rsidRDefault="00E426D1">
            <w:pPr>
              <w:jc w:val="right"/>
              <w:textAlignment w:val="center"/>
            </w:pPr>
            <w:r>
              <w:rPr>
                <w:rFonts w:ascii="Times New Roman" w:eastAsia="宋体" w:hAnsi="Times New Roman"/>
                <w:color w:val="000000"/>
                <w:sz w:val="20"/>
                <w:szCs w:val="20"/>
              </w:rPr>
              <w:t>(44.7)</w:t>
            </w:r>
          </w:p>
        </w:tc>
        <w:tc>
          <w:tcPr>
            <w:tcW w:w="0" w:type="auto"/>
            <w:shd w:val="clear" w:color="auto" w:fill="D7E4BC"/>
            <w:tcMar>
              <w:top w:w="40" w:type="dxa"/>
              <w:left w:w="0" w:type="dxa"/>
              <w:bottom w:w="40" w:type="dxa"/>
              <w:right w:w="20" w:type="dxa"/>
            </w:tcMar>
            <w:vAlign w:val="center"/>
          </w:tcPr>
          <w:p w14:paraId="64296D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5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52" w14:textId="77777777" w:rsidR="007B6C97" w:rsidRDefault="00E426D1">
            <w:pPr>
              <w:jc w:val="right"/>
              <w:textAlignment w:val="center"/>
            </w:pPr>
            <w:r>
              <w:rPr>
                <w:rFonts w:ascii="Times New Roman" w:eastAsia="宋体" w:hAnsi="Times New Roman"/>
                <w:color w:val="000000"/>
                <w:sz w:val="20"/>
                <w:szCs w:val="20"/>
              </w:rPr>
              <w:t>(6.8)</w:t>
            </w:r>
          </w:p>
        </w:tc>
        <w:tc>
          <w:tcPr>
            <w:tcW w:w="0" w:type="auto"/>
            <w:shd w:val="clear" w:color="auto" w:fill="D7E4BC"/>
            <w:tcMar>
              <w:top w:w="40" w:type="dxa"/>
              <w:left w:w="0" w:type="dxa"/>
              <w:bottom w:w="40" w:type="dxa"/>
              <w:right w:w="20" w:type="dxa"/>
            </w:tcMar>
            <w:vAlign w:val="center"/>
          </w:tcPr>
          <w:p w14:paraId="64296D53" w14:textId="77777777" w:rsidR="007B6C97" w:rsidRDefault="007B6C97">
            <w:pPr>
              <w:jc w:val="right"/>
              <w:rPr>
                <w:rFonts w:ascii="宋体"/>
              </w:rPr>
            </w:pPr>
          </w:p>
        </w:tc>
      </w:tr>
      <w:tr w:rsidR="007B6C97" w14:paraId="64296D59" w14:textId="77777777">
        <w:trPr>
          <w:jc w:val="center"/>
        </w:trPr>
        <w:tc>
          <w:tcPr>
            <w:tcW w:w="0" w:type="auto"/>
            <w:gridSpan w:val="3"/>
            <w:shd w:val="clear" w:color="auto" w:fill="FFFFFF"/>
            <w:tcMar>
              <w:top w:w="40" w:type="dxa"/>
              <w:left w:w="380" w:type="dxa"/>
              <w:bottom w:w="40" w:type="dxa"/>
              <w:right w:w="20" w:type="dxa"/>
            </w:tcMar>
            <w:vAlign w:val="center"/>
          </w:tcPr>
          <w:p w14:paraId="64296D55" w14:textId="77777777" w:rsidR="007B6C97" w:rsidRDefault="00E426D1">
            <w:pPr>
              <w:textAlignment w:val="center"/>
            </w:pPr>
            <w:r>
              <w:rPr>
                <w:rFonts w:ascii="Times New Roman" w:eastAsia="宋体" w:hAnsi="Times New Roman"/>
                <w:color w:val="000000"/>
                <w:sz w:val="20"/>
                <w:szCs w:val="20"/>
              </w:rPr>
              <w:t>Cash provided by/(used in) changes in operating assets and liabilities:</w:t>
            </w:r>
          </w:p>
        </w:tc>
        <w:tc>
          <w:tcPr>
            <w:tcW w:w="0" w:type="auto"/>
            <w:gridSpan w:val="3"/>
            <w:shd w:val="clear" w:color="auto" w:fill="FFFFFF"/>
            <w:tcMar>
              <w:top w:w="0" w:type="dxa"/>
              <w:left w:w="20" w:type="dxa"/>
              <w:bottom w:w="0" w:type="dxa"/>
              <w:right w:w="20" w:type="dxa"/>
            </w:tcMar>
            <w:vAlign w:val="bottom"/>
          </w:tcPr>
          <w:p w14:paraId="64296D5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D5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D58" w14:textId="77777777" w:rsidR="007B6C97" w:rsidRDefault="007B6C97">
            <w:pPr>
              <w:rPr>
                <w:rFonts w:ascii="宋体"/>
              </w:rPr>
            </w:pPr>
          </w:p>
        </w:tc>
      </w:tr>
      <w:tr w:rsidR="007B6C97" w14:paraId="64296D60" w14:textId="77777777">
        <w:trPr>
          <w:jc w:val="center"/>
        </w:trPr>
        <w:tc>
          <w:tcPr>
            <w:tcW w:w="0" w:type="auto"/>
            <w:gridSpan w:val="3"/>
            <w:shd w:val="clear" w:color="auto" w:fill="D7E4BC"/>
            <w:tcMar>
              <w:top w:w="40" w:type="dxa"/>
              <w:left w:w="740" w:type="dxa"/>
              <w:bottom w:w="40" w:type="dxa"/>
              <w:right w:w="20" w:type="dxa"/>
            </w:tcMar>
            <w:vAlign w:val="center"/>
          </w:tcPr>
          <w:p w14:paraId="64296D5A" w14:textId="77777777" w:rsidR="007B6C97" w:rsidRDefault="00E426D1">
            <w:pPr>
              <w:textAlignment w:val="center"/>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center"/>
          </w:tcPr>
          <w:p w14:paraId="64296D5B" w14:textId="77777777" w:rsidR="007B6C97" w:rsidRDefault="00E426D1">
            <w:pPr>
              <w:jc w:val="right"/>
              <w:textAlignment w:val="center"/>
            </w:pPr>
            <w:r>
              <w:rPr>
                <w:rFonts w:ascii="Times New Roman" w:eastAsia="宋体" w:hAnsi="Times New Roman"/>
                <w:color w:val="000000"/>
                <w:sz w:val="20"/>
                <w:szCs w:val="20"/>
              </w:rPr>
              <w:t>(245.5)</w:t>
            </w:r>
          </w:p>
        </w:tc>
        <w:tc>
          <w:tcPr>
            <w:tcW w:w="0" w:type="auto"/>
            <w:shd w:val="clear" w:color="auto" w:fill="D7E4BC"/>
            <w:tcMar>
              <w:top w:w="40" w:type="dxa"/>
              <w:left w:w="0" w:type="dxa"/>
              <w:bottom w:w="40" w:type="dxa"/>
              <w:right w:w="20" w:type="dxa"/>
            </w:tcMar>
            <w:vAlign w:val="center"/>
          </w:tcPr>
          <w:p w14:paraId="64296D5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5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5E" w14:textId="77777777" w:rsidR="007B6C97" w:rsidRDefault="00E426D1">
            <w:pPr>
              <w:jc w:val="right"/>
              <w:textAlignment w:val="center"/>
            </w:pPr>
            <w:r>
              <w:rPr>
                <w:rFonts w:ascii="Times New Roman" w:eastAsia="宋体" w:hAnsi="Times New Roman"/>
                <w:color w:val="000000"/>
                <w:sz w:val="20"/>
                <w:szCs w:val="20"/>
              </w:rPr>
              <w:t>(13.1)</w:t>
            </w:r>
          </w:p>
        </w:tc>
        <w:tc>
          <w:tcPr>
            <w:tcW w:w="0" w:type="auto"/>
            <w:shd w:val="clear" w:color="auto" w:fill="D7E4BC"/>
            <w:tcMar>
              <w:top w:w="40" w:type="dxa"/>
              <w:left w:w="0" w:type="dxa"/>
              <w:bottom w:w="40" w:type="dxa"/>
              <w:right w:w="20" w:type="dxa"/>
            </w:tcMar>
            <w:vAlign w:val="center"/>
          </w:tcPr>
          <w:p w14:paraId="64296D5F" w14:textId="77777777" w:rsidR="007B6C97" w:rsidRDefault="007B6C97">
            <w:pPr>
              <w:jc w:val="right"/>
              <w:rPr>
                <w:rFonts w:ascii="宋体"/>
              </w:rPr>
            </w:pPr>
          </w:p>
        </w:tc>
      </w:tr>
      <w:tr w:rsidR="007B6C97" w14:paraId="64296D67" w14:textId="77777777">
        <w:trPr>
          <w:jc w:val="center"/>
        </w:trPr>
        <w:tc>
          <w:tcPr>
            <w:tcW w:w="0" w:type="auto"/>
            <w:gridSpan w:val="3"/>
            <w:shd w:val="clear" w:color="auto" w:fill="FFFFFF"/>
            <w:tcMar>
              <w:top w:w="40" w:type="dxa"/>
              <w:left w:w="740" w:type="dxa"/>
              <w:bottom w:w="40" w:type="dxa"/>
              <w:right w:w="20" w:type="dxa"/>
            </w:tcMar>
            <w:vAlign w:val="center"/>
          </w:tcPr>
          <w:p w14:paraId="64296D61" w14:textId="77777777" w:rsidR="007B6C97" w:rsidRDefault="00E426D1">
            <w:pPr>
              <w:textAlignment w:val="center"/>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center"/>
          </w:tcPr>
          <w:p w14:paraId="64296D62" w14:textId="77777777" w:rsidR="007B6C97" w:rsidRDefault="00E426D1">
            <w:pPr>
              <w:jc w:val="right"/>
              <w:textAlignment w:val="center"/>
            </w:pPr>
            <w:r>
              <w:rPr>
                <w:rFonts w:ascii="Times New Roman" w:eastAsia="宋体" w:hAnsi="Times New Roman"/>
                <w:color w:val="000000"/>
                <w:sz w:val="20"/>
                <w:szCs w:val="20"/>
              </w:rPr>
              <w:t>(557.3)</w:t>
            </w:r>
          </w:p>
        </w:tc>
        <w:tc>
          <w:tcPr>
            <w:tcW w:w="0" w:type="auto"/>
            <w:shd w:val="clear" w:color="auto" w:fill="FFFFFF"/>
            <w:tcMar>
              <w:top w:w="40" w:type="dxa"/>
              <w:left w:w="0" w:type="dxa"/>
              <w:bottom w:w="40" w:type="dxa"/>
              <w:right w:w="20" w:type="dxa"/>
            </w:tcMar>
            <w:vAlign w:val="center"/>
          </w:tcPr>
          <w:p w14:paraId="64296D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6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65" w14:textId="77777777" w:rsidR="007B6C97" w:rsidRDefault="00E426D1">
            <w:pPr>
              <w:jc w:val="right"/>
              <w:textAlignment w:val="center"/>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center"/>
          </w:tcPr>
          <w:p w14:paraId="64296D66" w14:textId="77777777" w:rsidR="007B6C97" w:rsidRDefault="007B6C97">
            <w:pPr>
              <w:jc w:val="right"/>
              <w:rPr>
                <w:rFonts w:ascii="宋体"/>
              </w:rPr>
            </w:pPr>
          </w:p>
        </w:tc>
      </w:tr>
      <w:tr w:rsidR="007B6C97" w14:paraId="64296D6C" w14:textId="77777777">
        <w:trPr>
          <w:jc w:val="center"/>
          <w:hidden/>
        </w:trPr>
        <w:tc>
          <w:tcPr>
            <w:tcW w:w="0" w:type="auto"/>
            <w:gridSpan w:val="3"/>
            <w:shd w:val="clear" w:color="auto" w:fill="auto"/>
            <w:vAlign w:val="bottom"/>
          </w:tcPr>
          <w:p w14:paraId="64296D68" w14:textId="77777777" w:rsidR="007B6C97" w:rsidRDefault="007B6C97">
            <w:pPr>
              <w:rPr>
                <w:rFonts w:ascii="宋体"/>
                <w:vanish/>
              </w:rPr>
            </w:pPr>
          </w:p>
        </w:tc>
        <w:tc>
          <w:tcPr>
            <w:tcW w:w="0" w:type="auto"/>
            <w:gridSpan w:val="3"/>
            <w:shd w:val="clear" w:color="auto" w:fill="auto"/>
            <w:vAlign w:val="bottom"/>
          </w:tcPr>
          <w:p w14:paraId="64296D69" w14:textId="77777777" w:rsidR="007B6C97" w:rsidRDefault="007B6C97">
            <w:pPr>
              <w:rPr>
                <w:rFonts w:ascii="宋体"/>
                <w:vanish/>
              </w:rPr>
            </w:pPr>
          </w:p>
        </w:tc>
        <w:tc>
          <w:tcPr>
            <w:tcW w:w="0" w:type="auto"/>
            <w:gridSpan w:val="3"/>
            <w:shd w:val="clear" w:color="auto" w:fill="auto"/>
            <w:vAlign w:val="bottom"/>
          </w:tcPr>
          <w:p w14:paraId="64296D6A" w14:textId="77777777" w:rsidR="007B6C97" w:rsidRDefault="007B6C97">
            <w:pPr>
              <w:rPr>
                <w:rFonts w:ascii="宋体"/>
                <w:vanish/>
              </w:rPr>
            </w:pPr>
          </w:p>
        </w:tc>
        <w:tc>
          <w:tcPr>
            <w:tcW w:w="0" w:type="auto"/>
            <w:gridSpan w:val="3"/>
            <w:shd w:val="clear" w:color="auto" w:fill="auto"/>
            <w:vAlign w:val="bottom"/>
          </w:tcPr>
          <w:p w14:paraId="64296D6B" w14:textId="77777777" w:rsidR="007B6C97" w:rsidRDefault="007B6C97">
            <w:pPr>
              <w:rPr>
                <w:rFonts w:ascii="宋体"/>
                <w:vanish/>
              </w:rPr>
            </w:pPr>
          </w:p>
        </w:tc>
      </w:tr>
      <w:tr w:rsidR="007B6C97" w14:paraId="64296D71" w14:textId="77777777">
        <w:trPr>
          <w:jc w:val="center"/>
          <w:hidden/>
        </w:trPr>
        <w:tc>
          <w:tcPr>
            <w:tcW w:w="0" w:type="auto"/>
            <w:gridSpan w:val="3"/>
            <w:shd w:val="clear" w:color="auto" w:fill="auto"/>
            <w:vAlign w:val="bottom"/>
          </w:tcPr>
          <w:p w14:paraId="64296D6D" w14:textId="77777777" w:rsidR="007B6C97" w:rsidRDefault="007B6C97">
            <w:pPr>
              <w:rPr>
                <w:rFonts w:ascii="宋体"/>
                <w:vanish/>
              </w:rPr>
            </w:pPr>
          </w:p>
        </w:tc>
        <w:tc>
          <w:tcPr>
            <w:tcW w:w="0" w:type="auto"/>
            <w:gridSpan w:val="3"/>
            <w:shd w:val="clear" w:color="auto" w:fill="auto"/>
            <w:vAlign w:val="bottom"/>
          </w:tcPr>
          <w:p w14:paraId="64296D6E" w14:textId="77777777" w:rsidR="007B6C97" w:rsidRDefault="007B6C97">
            <w:pPr>
              <w:rPr>
                <w:rFonts w:ascii="宋体"/>
                <w:vanish/>
              </w:rPr>
            </w:pPr>
          </w:p>
        </w:tc>
        <w:tc>
          <w:tcPr>
            <w:tcW w:w="0" w:type="auto"/>
            <w:gridSpan w:val="3"/>
            <w:shd w:val="clear" w:color="auto" w:fill="auto"/>
            <w:vAlign w:val="bottom"/>
          </w:tcPr>
          <w:p w14:paraId="64296D6F" w14:textId="77777777" w:rsidR="007B6C97" w:rsidRDefault="007B6C97">
            <w:pPr>
              <w:rPr>
                <w:rFonts w:ascii="宋体"/>
                <w:vanish/>
              </w:rPr>
            </w:pPr>
          </w:p>
        </w:tc>
        <w:tc>
          <w:tcPr>
            <w:tcW w:w="0" w:type="auto"/>
            <w:gridSpan w:val="3"/>
            <w:shd w:val="clear" w:color="auto" w:fill="auto"/>
            <w:vAlign w:val="bottom"/>
          </w:tcPr>
          <w:p w14:paraId="64296D70" w14:textId="77777777" w:rsidR="007B6C97" w:rsidRDefault="007B6C97">
            <w:pPr>
              <w:rPr>
                <w:rFonts w:ascii="宋体"/>
                <w:vanish/>
              </w:rPr>
            </w:pPr>
          </w:p>
        </w:tc>
      </w:tr>
      <w:tr w:rsidR="007B6C97" w14:paraId="64296D78" w14:textId="77777777">
        <w:trPr>
          <w:jc w:val="center"/>
        </w:trPr>
        <w:tc>
          <w:tcPr>
            <w:tcW w:w="0" w:type="auto"/>
            <w:gridSpan w:val="3"/>
            <w:shd w:val="clear" w:color="auto" w:fill="D7E4BC"/>
            <w:tcMar>
              <w:top w:w="40" w:type="dxa"/>
              <w:left w:w="740" w:type="dxa"/>
              <w:bottom w:w="40" w:type="dxa"/>
              <w:right w:w="20" w:type="dxa"/>
            </w:tcMar>
            <w:vAlign w:val="center"/>
          </w:tcPr>
          <w:p w14:paraId="64296D72" w14:textId="77777777" w:rsidR="007B6C97" w:rsidRDefault="00E426D1">
            <w:pPr>
              <w:textAlignment w:val="center"/>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center"/>
          </w:tcPr>
          <w:p w14:paraId="64296D73" w14:textId="77777777" w:rsidR="007B6C97" w:rsidRDefault="00E426D1">
            <w:pPr>
              <w:jc w:val="right"/>
              <w:textAlignment w:val="center"/>
            </w:pPr>
            <w:r>
              <w:rPr>
                <w:rFonts w:ascii="Times New Roman" w:eastAsia="宋体" w:hAnsi="Times New Roman"/>
                <w:color w:val="000000"/>
                <w:sz w:val="20"/>
                <w:szCs w:val="20"/>
              </w:rPr>
              <w:t>341.7 </w:t>
            </w:r>
          </w:p>
        </w:tc>
        <w:tc>
          <w:tcPr>
            <w:tcW w:w="0" w:type="auto"/>
            <w:shd w:val="clear" w:color="auto" w:fill="D7E4BC"/>
            <w:tcMar>
              <w:top w:w="40" w:type="dxa"/>
              <w:left w:w="0" w:type="dxa"/>
              <w:bottom w:w="40" w:type="dxa"/>
              <w:right w:w="20" w:type="dxa"/>
            </w:tcMar>
            <w:vAlign w:val="center"/>
          </w:tcPr>
          <w:p w14:paraId="64296D7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7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76" w14:textId="77777777" w:rsidR="007B6C97" w:rsidRDefault="00E426D1">
            <w:pPr>
              <w:jc w:val="right"/>
              <w:textAlignment w:val="center"/>
            </w:pPr>
            <w:r>
              <w:rPr>
                <w:rFonts w:ascii="Times New Roman" w:eastAsia="宋体" w:hAnsi="Times New Roman"/>
                <w:color w:val="000000"/>
                <w:sz w:val="20"/>
                <w:szCs w:val="20"/>
              </w:rPr>
              <w:t>108.2 </w:t>
            </w:r>
          </w:p>
        </w:tc>
        <w:tc>
          <w:tcPr>
            <w:tcW w:w="0" w:type="auto"/>
            <w:shd w:val="clear" w:color="auto" w:fill="D7E4BC"/>
            <w:tcMar>
              <w:top w:w="40" w:type="dxa"/>
              <w:left w:w="0" w:type="dxa"/>
              <w:bottom w:w="40" w:type="dxa"/>
              <w:right w:w="20" w:type="dxa"/>
            </w:tcMar>
            <w:vAlign w:val="center"/>
          </w:tcPr>
          <w:p w14:paraId="64296D77" w14:textId="77777777" w:rsidR="007B6C97" w:rsidRDefault="007B6C97">
            <w:pPr>
              <w:jc w:val="right"/>
              <w:rPr>
                <w:rFonts w:ascii="宋体"/>
              </w:rPr>
            </w:pPr>
          </w:p>
        </w:tc>
      </w:tr>
      <w:tr w:rsidR="007B6C97" w14:paraId="64296D7F" w14:textId="77777777">
        <w:trPr>
          <w:jc w:val="center"/>
        </w:trPr>
        <w:tc>
          <w:tcPr>
            <w:tcW w:w="0" w:type="auto"/>
            <w:gridSpan w:val="3"/>
            <w:shd w:val="clear" w:color="auto" w:fill="FFFFFF"/>
            <w:tcMar>
              <w:top w:w="40" w:type="dxa"/>
              <w:left w:w="740" w:type="dxa"/>
              <w:bottom w:w="40" w:type="dxa"/>
              <w:right w:w="20" w:type="dxa"/>
            </w:tcMar>
            <w:vAlign w:val="center"/>
          </w:tcPr>
          <w:p w14:paraId="64296D79" w14:textId="77777777" w:rsidR="007B6C97" w:rsidRDefault="00E426D1">
            <w:pPr>
              <w:textAlignment w:val="center"/>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center"/>
          </w:tcPr>
          <w:p w14:paraId="64296D7A" w14:textId="77777777" w:rsidR="007B6C97" w:rsidRDefault="00E426D1">
            <w:pPr>
              <w:jc w:val="right"/>
              <w:textAlignment w:val="center"/>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center"/>
          </w:tcPr>
          <w:p w14:paraId="64296D7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7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7D" w14:textId="77777777" w:rsidR="007B6C97" w:rsidRDefault="00E426D1">
            <w:pPr>
              <w:jc w:val="right"/>
              <w:textAlignment w:val="center"/>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center"/>
          </w:tcPr>
          <w:p w14:paraId="64296D7E" w14:textId="77777777" w:rsidR="007B6C97" w:rsidRDefault="007B6C97">
            <w:pPr>
              <w:jc w:val="right"/>
              <w:rPr>
                <w:rFonts w:ascii="宋体"/>
              </w:rPr>
            </w:pPr>
          </w:p>
        </w:tc>
      </w:tr>
      <w:tr w:rsidR="007B6C97" w14:paraId="64296D86" w14:textId="77777777">
        <w:trPr>
          <w:jc w:val="center"/>
        </w:trPr>
        <w:tc>
          <w:tcPr>
            <w:tcW w:w="0" w:type="auto"/>
            <w:gridSpan w:val="3"/>
            <w:shd w:val="clear" w:color="auto" w:fill="D7E4BC"/>
            <w:tcMar>
              <w:top w:w="40" w:type="dxa"/>
              <w:left w:w="740" w:type="dxa"/>
              <w:bottom w:w="40" w:type="dxa"/>
              <w:right w:w="20" w:type="dxa"/>
            </w:tcMar>
            <w:vAlign w:val="center"/>
          </w:tcPr>
          <w:p w14:paraId="64296D80" w14:textId="77777777" w:rsidR="007B6C97" w:rsidRDefault="00E426D1">
            <w:pPr>
              <w:textAlignment w:val="center"/>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center"/>
          </w:tcPr>
          <w:p w14:paraId="64296D81" w14:textId="77777777" w:rsidR="007B6C97" w:rsidRDefault="00E426D1">
            <w:pPr>
              <w:jc w:val="right"/>
              <w:textAlignment w:val="center"/>
            </w:pPr>
            <w:r>
              <w:rPr>
                <w:rFonts w:ascii="Times New Roman" w:eastAsia="宋体" w:hAnsi="Times New Roman"/>
                <w:color w:val="000000"/>
                <w:sz w:val="20"/>
                <w:szCs w:val="20"/>
              </w:rPr>
              <w:t>(1,201.4)</w:t>
            </w:r>
          </w:p>
        </w:tc>
        <w:tc>
          <w:tcPr>
            <w:tcW w:w="0" w:type="auto"/>
            <w:shd w:val="clear" w:color="auto" w:fill="D7E4BC"/>
            <w:tcMar>
              <w:top w:w="40" w:type="dxa"/>
              <w:left w:w="0" w:type="dxa"/>
              <w:bottom w:w="40" w:type="dxa"/>
              <w:right w:w="20" w:type="dxa"/>
            </w:tcMar>
            <w:vAlign w:val="center"/>
          </w:tcPr>
          <w:p w14:paraId="64296D8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8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84" w14:textId="77777777" w:rsidR="007B6C97" w:rsidRDefault="00E426D1">
            <w:pPr>
              <w:jc w:val="right"/>
              <w:textAlignment w:val="center"/>
            </w:pPr>
            <w:r>
              <w:rPr>
                <w:rFonts w:ascii="Times New Roman" w:eastAsia="宋体" w:hAnsi="Times New Roman"/>
                <w:color w:val="000000"/>
                <w:sz w:val="20"/>
                <w:szCs w:val="20"/>
              </w:rPr>
              <w:t>(1,029.8)</w:t>
            </w:r>
          </w:p>
        </w:tc>
        <w:tc>
          <w:tcPr>
            <w:tcW w:w="0" w:type="auto"/>
            <w:shd w:val="clear" w:color="auto" w:fill="D7E4BC"/>
            <w:tcMar>
              <w:top w:w="40" w:type="dxa"/>
              <w:left w:w="0" w:type="dxa"/>
              <w:bottom w:w="40" w:type="dxa"/>
              <w:right w:w="20" w:type="dxa"/>
            </w:tcMar>
            <w:vAlign w:val="center"/>
          </w:tcPr>
          <w:p w14:paraId="64296D85" w14:textId="77777777" w:rsidR="007B6C97" w:rsidRDefault="007B6C97">
            <w:pPr>
              <w:jc w:val="right"/>
              <w:rPr>
                <w:rFonts w:ascii="宋体"/>
              </w:rPr>
            </w:pPr>
          </w:p>
        </w:tc>
      </w:tr>
      <w:tr w:rsidR="007B6C97" w14:paraId="64296D8D" w14:textId="77777777">
        <w:trPr>
          <w:jc w:val="center"/>
        </w:trPr>
        <w:tc>
          <w:tcPr>
            <w:tcW w:w="0" w:type="auto"/>
            <w:gridSpan w:val="3"/>
            <w:shd w:val="clear" w:color="auto" w:fill="FFFFFF"/>
            <w:tcMar>
              <w:top w:w="40" w:type="dxa"/>
              <w:left w:w="740" w:type="dxa"/>
              <w:bottom w:w="40" w:type="dxa"/>
              <w:right w:w="20" w:type="dxa"/>
            </w:tcMar>
            <w:vAlign w:val="center"/>
          </w:tcPr>
          <w:p w14:paraId="64296D87" w14:textId="77777777" w:rsidR="007B6C97" w:rsidRDefault="00E426D1">
            <w:pPr>
              <w:textAlignment w:val="center"/>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center"/>
          </w:tcPr>
          <w:p w14:paraId="64296D88" w14:textId="77777777" w:rsidR="007B6C97" w:rsidRDefault="00E426D1">
            <w:pPr>
              <w:jc w:val="right"/>
              <w:textAlignment w:val="center"/>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center"/>
          </w:tcPr>
          <w:p w14:paraId="64296D8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8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8B" w14:textId="77777777" w:rsidR="007B6C97" w:rsidRDefault="00E426D1">
            <w:pPr>
              <w:jc w:val="right"/>
              <w:textAlignment w:val="center"/>
            </w:pPr>
            <w:r>
              <w:rPr>
                <w:rFonts w:ascii="Times New Roman" w:eastAsia="宋体" w:hAnsi="Times New Roman"/>
                <w:color w:val="000000"/>
                <w:sz w:val="20"/>
                <w:szCs w:val="20"/>
              </w:rPr>
              <w:t>500.3 </w:t>
            </w:r>
          </w:p>
        </w:tc>
        <w:tc>
          <w:tcPr>
            <w:tcW w:w="0" w:type="auto"/>
            <w:shd w:val="clear" w:color="auto" w:fill="FFFFFF"/>
            <w:tcMar>
              <w:top w:w="40" w:type="dxa"/>
              <w:left w:w="0" w:type="dxa"/>
              <w:bottom w:w="40" w:type="dxa"/>
              <w:right w:w="20" w:type="dxa"/>
            </w:tcMar>
            <w:vAlign w:val="center"/>
          </w:tcPr>
          <w:p w14:paraId="64296D8C" w14:textId="77777777" w:rsidR="007B6C97" w:rsidRDefault="007B6C97">
            <w:pPr>
              <w:jc w:val="right"/>
              <w:rPr>
                <w:rFonts w:ascii="宋体"/>
              </w:rPr>
            </w:pPr>
          </w:p>
        </w:tc>
      </w:tr>
      <w:tr w:rsidR="007B6C97" w14:paraId="64296D94" w14:textId="77777777">
        <w:trPr>
          <w:jc w:val="center"/>
        </w:trPr>
        <w:tc>
          <w:tcPr>
            <w:tcW w:w="0" w:type="auto"/>
            <w:gridSpan w:val="3"/>
            <w:shd w:val="clear" w:color="auto" w:fill="D7E4BC"/>
            <w:tcMar>
              <w:top w:w="40" w:type="dxa"/>
              <w:left w:w="20" w:type="dxa"/>
              <w:bottom w:w="40" w:type="dxa"/>
              <w:right w:w="20" w:type="dxa"/>
            </w:tcMar>
            <w:vAlign w:val="center"/>
          </w:tcPr>
          <w:p w14:paraId="64296D8E" w14:textId="77777777" w:rsidR="007B6C97" w:rsidRDefault="00E426D1">
            <w:pPr>
              <w:textAlignment w:val="center"/>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4296D8F" w14:textId="77777777" w:rsidR="007B6C97" w:rsidRDefault="00E426D1">
            <w:pPr>
              <w:jc w:val="right"/>
              <w:textAlignment w:val="center"/>
            </w:pPr>
            <w:r>
              <w:rPr>
                <w:rFonts w:ascii="Times New Roman" w:eastAsia="宋体" w:hAnsi="Times New Roman"/>
                <w:color w:val="000000"/>
                <w:sz w:val="20"/>
                <w:szCs w:val="20"/>
              </w:rPr>
              <w:t>3,297.6 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D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9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4296D92" w14:textId="77777777" w:rsidR="007B6C97" w:rsidRDefault="00E426D1">
            <w:pPr>
              <w:jc w:val="right"/>
              <w:textAlignment w:val="center"/>
            </w:pPr>
            <w:r>
              <w:rPr>
                <w:rFonts w:ascii="Times New Roman" w:eastAsia="宋体" w:hAnsi="Times New Roman"/>
                <w:color w:val="000000"/>
                <w:sz w:val="20"/>
                <w:szCs w:val="20"/>
              </w:rPr>
              <w:t>4,468.4 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D93" w14:textId="77777777" w:rsidR="007B6C97" w:rsidRDefault="007B6C97">
            <w:pPr>
              <w:jc w:val="right"/>
              <w:rPr>
                <w:rFonts w:ascii="宋体"/>
              </w:rPr>
            </w:pPr>
          </w:p>
        </w:tc>
      </w:tr>
      <w:tr w:rsidR="007B6C97" w14:paraId="64296D99" w14:textId="77777777">
        <w:trPr>
          <w:jc w:val="center"/>
        </w:trPr>
        <w:tc>
          <w:tcPr>
            <w:tcW w:w="0" w:type="auto"/>
            <w:gridSpan w:val="3"/>
            <w:shd w:val="clear" w:color="auto" w:fill="FFFFFF"/>
            <w:tcMar>
              <w:top w:w="40" w:type="dxa"/>
              <w:left w:w="20" w:type="dxa"/>
              <w:bottom w:w="40" w:type="dxa"/>
              <w:right w:w="20" w:type="dxa"/>
            </w:tcMar>
            <w:vAlign w:val="center"/>
          </w:tcPr>
          <w:p w14:paraId="64296D95" w14:textId="77777777" w:rsidR="007B6C97" w:rsidRDefault="00E426D1">
            <w:pPr>
              <w:textAlignment w:val="center"/>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vAlign w:val="bottom"/>
          </w:tcPr>
          <w:p w14:paraId="64296D9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D9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D98" w14:textId="77777777" w:rsidR="007B6C97" w:rsidRDefault="007B6C97">
            <w:pPr>
              <w:rPr>
                <w:rFonts w:ascii="宋体"/>
              </w:rPr>
            </w:pPr>
          </w:p>
        </w:tc>
      </w:tr>
      <w:tr w:rsidR="007B6C97" w14:paraId="64296DA0" w14:textId="77777777">
        <w:trPr>
          <w:jc w:val="center"/>
        </w:trPr>
        <w:tc>
          <w:tcPr>
            <w:tcW w:w="0" w:type="auto"/>
            <w:gridSpan w:val="3"/>
            <w:shd w:val="clear" w:color="auto" w:fill="D7E4BC"/>
            <w:tcMar>
              <w:top w:w="40" w:type="dxa"/>
              <w:left w:w="20" w:type="dxa"/>
              <w:bottom w:w="40" w:type="dxa"/>
              <w:right w:w="20" w:type="dxa"/>
            </w:tcMar>
            <w:vAlign w:val="center"/>
          </w:tcPr>
          <w:p w14:paraId="64296D9A" w14:textId="77777777" w:rsidR="007B6C97" w:rsidRDefault="00E426D1">
            <w:pPr>
              <w:textAlignment w:val="center"/>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center"/>
          </w:tcPr>
          <w:p w14:paraId="64296D9B" w14:textId="77777777" w:rsidR="007B6C97" w:rsidRDefault="00E426D1">
            <w:pPr>
              <w:jc w:val="right"/>
              <w:textAlignment w:val="center"/>
            </w:pPr>
            <w:r>
              <w:rPr>
                <w:rFonts w:ascii="Times New Roman" w:eastAsia="宋体" w:hAnsi="Times New Roman"/>
                <w:color w:val="000000"/>
                <w:sz w:val="20"/>
                <w:szCs w:val="20"/>
              </w:rPr>
              <w:t>(117.3)</w:t>
            </w:r>
          </w:p>
        </w:tc>
        <w:tc>
          <w:tcPr>
            <w:tcW w:w="0" w:type="auto"/>
            <w:shd w:val="clear" w:color="auto" w:fill="D7E4BC"/>
            <w:tcMar>
              <w:top w:w="40" w:type="dxa"/>
              <w:left w:w="0" w:type="dxa"/>
              <w:bottom w:w="40" w:type="dxa"/>
              <w:right w:w="20" w:type="dxa"/>
            </w:tcMar>
            <w:vAlign w:val="center"/>
          </w:tcPr>
          <w:p w14:paraId="64296D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9E" w14:textId="77777777" w:rsidR="007B6C97" w:rsidRDefault="00E426D1">
            <w:pPr>
              <w:jc w:val="right"/>
              <w:textAlignment w:val="center"/>
            </w:pPr>
            <w:r>
              <w:rPr>
                <w:rFonts w:ascii="Times New Roman" w:eastAsia="宋体" w:hAnsi="Times New Roman"/>
                <w:color w:val="000000"/>
                <w:sz w:val="20"/>
                <w:szCs w:val="20"/>
              </w:rPr>
              <w:t>(367.3)</w:t>
            </w:r>
          </w:p>
        </w:tc>
        <w:tc>
          <w:tcPr>
            <w:tcW w:w="0" w:type="auto"/>
            <w:shd w:val="clear" w:color="auto" w:fill="D7E4BC"/>
            <w:tcMar>
              <w:top w:w="40" w:type="dxa"/>
              <w:left w:w="0" w:type="dxa"/>
              <w:bottom w:w="40" w:type="dxa"/>
              <w:right w:w="20" w:type="dxa"/>
            </w:tcMar>
            <w:vAlign w:val="center"/>
          </w:tcPr>
          <w:p w14:paraId="64296D9F" w14:textId="77777777" w:rsidR="007B6C97" w:rsidRDefault="007B6C97">
            <w:pPr>
              <w:jc w:val="right"/>
              <w:rPr>
                <w:rFonts w:ascii="宋体"/>
              </w:rPr>
            </w:pPr>
          </w:p>
        </w:tc>
      </w:tr>
      <w:tr w:rsidR="007B6C97" w14:paraId="64296DA7" w14:textId="77777777">
        <w:trPr>
          <w:jc w:val="center"/>
        </w:trPr>
        <w:tc>
          <w:tcPr>
            <w:tcW w:w="0" w:type="auto"/>
            <w:gridSpan w:val="3"/>
            <w:shd w:val="clear" w:color="auto" w:fill="FFFFFF"/>
            <w:tcMar>
              <w:top w:w="40" w:type="dxa"/>
              <w:left w:w="20" w:type="dxa"/>
              <w:bottom w:w="40" w:type="dxa"/>
              <w:right w:w="20" w:type="dxa"/>
            </w:tcMar>
            <w:vAlign w:val="center"/>
          </w:tcPr>
          <w:p w14:paraId="64296DA1" w14:textId="77777777" w:rsidR="007B6C97" w:rsidRDefault="00E426D1">
            <w:pPr>
              <w:textAlignment w:val="center"/>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center"/>
          </w:tcPr>
          <w:p w14:paraId="64296DA2" w14:textId="77777777" w:rsidR="007B6C97" w:rsidRDefault="00E426D1">
            <w:pPr>
              <w:jc w:val="right"/>
              <w:textAlignment w:val="center"/>
            </w:pPr>
            <w:r>
              <w:rPr>
                <w:rFonts w:ascii="Times New Roman" w:eastAsia="宋体" w:hAnsi="Times New Roman"/>
                <w:color w:val="000000"/>
                <w:sz w:val="20"/>
                <w:szCs w:val="20"/>
              </w:rPr>
              <w:t>72.6 </w:t>
            </w:r>
          </w:p>
        </w:tc>
        <w:tc>
          <w:tcPr>
            <w:tcW w:w="0" w:type="auto"/>
            <w:shd w:val="clear" w:color="auto" w:fill="FFFFFF"/>
            <w:tcMar>
              <w:top w:w="40" w:type="dxa"/>
              <w:left w:w="0" w:type="dxa"/>
              <w:bottom w:w="40" w:type="dxa"/>
              <w:right w:w="20" w:type="dxa"/>
            </w:tcMar>
            <w:vAlign w:val="center"/>
          </w:tcPr>
          <w:p w14:paraId="64296DA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A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A5" w14:textId="77777777" w:rsidR="007B6C97" w:rsidRDefault="00E426D1">
            <w:pPr>
              <w:jc w:val="right"/>
              <w:textAlignment w:val="center"/>
            </w:pPr>
            <w:r>
              <w:rPr>
                <w:rFonts w:ascii="Times New Roman" w:eastAsia="宋体" w:hAnsi="Times New Roman"/>
                <w:color w:val="000000"/>
                <w:sz w:val="20"/>
                <w:szCs w:val="20"/>
              </w:rPr>
              <w:t>130.4 </w:t>
            </w:r>
          </w:p>
        </w:tc>
        <w:tc>
          <w:tcPr>
            <w:tcW w:w="0" w:type="auto"/>
            <w:shd w:val="clear" w:color="auto" w:fill="FFFFFF"/>
            <w:tcMar>
              <w:top w:w="40" w:type="dxa"/>
              <w:left w:w="0" w:type="dxa"/>
              <w:bottom w:w="40" w:type="dxa"/>
              <w:right w:w="20" w:type="dxa"/>
            </w:tcMar>
            <w:vAlign w:val="center"/>
          </w:tcPr>
          <w:p w14:paraId="64296DA6" w14:textId="77777777" w:rsidR="007B6C97" w:rsidRDefault="007B6C97">
            <w:pPr>
              <w:jc w:val="right"/>
              <w:rPr>
                <w:rFonts w:ascii="宋体"/>
              </w:rPr>
            </w:pPr>
          </w:p>
        </w:tc>
      </w:tr>
      <w:tr w:rsidR="007B6C97" w14:paraId="64296DAE" w14:textId="77777777">
        <w:trPr>
          <w:jc w:val="center"/>
        </w:trPr>
        <w:tc>
          <w:tcPr>
            <w:tcW w:w="0" w:type="auto"/>
            <w:gridSpan w:val="3"/>
            <w:shd w:val="clear" w:color="auto" w:fill="D7E4BC"/>
            <w:tcMar>
              <w:top w:w="40" w:type="dxa"/>
              <w:left w:w="20" w:type="dxa"/>
              <w:bottom w:w="40" w:type="dxa"/>
              <w:right w:w="20" w:type="dxa"/>
            </w:tcMar>
            <w:vAlign w:val="center"/>
          </w:tcPr>
          <w:p w14:paraId="64296DA8" w14:textId="77777777" w:rsidR="007B6C97" w:rsidRDefault="00E426D1">
            <w:pPr>
              <w:textAlignment w:val="center"/>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center"/>
          </w:tcPr>
          <w:p w14:paraId="64296DA9" w14:textId="77777777" w:rsidR="007B6C97" w:rsidRDefault="00E426D1">
            <w:pPr>
              <w:jc w:val="right"/>
              <w:textAlignment w:val="center"/>
            </w:pPr>
            <w:r>
              <w:rPr>
                <w:rFonts w:ascii="Times New Roman" w:eastAsia="宋体" w:hAnsi="Times New Roman"/>
                <w:color w:val="000000"/>
                <w:sz w:val="20"/>
                <w:szCs w:val="20"/>
              </w:rPr>
              <w:t>59.5 </w:t>
            </w:r>
          </w:p>
        </w:tc>
        <w:tc>
          <w:tcPr>
            <w:tcW w:w="0" w:type="auto"/>
            <w:shd w:val="clear" w:color="auto" w:fill="D7E4BC"/>
            <w:tcMar>
              <w:top w:w="40" w:type="dxa"/>
              <w:left w:w="0" w:type="dxa"/>
              <w:bottom w:w="40" w:type="dxa"/>
              <w:right w:w="20" w:type="dxa"/>
            </w:tcMar>
            <w:vAlign w:val="center"/>
          </w:tcPr>
          <w:p w14:paraId="64296DA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A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AC" w14:textId="77777777" w:rsidR="007B6C97" w:rsidRDefault="00E426D1">
            <w:pPr>
              <w:jc w:val="right"/>
              <w:textAlignment w:val="center"/>
            </w:pPr>
            <w:r>
              <w:rPr>
                <w:rFonts w:ascii="Times New Roman" w:eastAsia="宋体" w:hAnsi="Times New Roman"/>
                <w:color w:val="000000"/>
                <w:sz w:val="20"/>
                <w:szCs w:val="20"/>
              </w:rPr>
              <w:t>298.7 </w:t>
            </w:r>
          </w:p>
        </w:tc>
        <w:tc>
          <w:tcPr>
            <w:tcW w:w="0" w:type="auto"/>
            <w:shd w:val="clear" w:color="auto" w:fill="D7E4BC"/>
            <w:tcMar>
              <w:top w:w="40" w:type="dxa"/>
              <w:left w:w="0" w:type="dxa"/>
              <w:bottom w:w="40" w:type="dxa"/>
              <w:right w:w="20" w:type="dxa"/>
            </w:tcMar>
            <w:vAlign w:val="center"/>
          </w:tcPr>
          <w:p w14:paraId="64296DAD" w14:textId="77777777" w:rsidR="007B6C97" w:rsidRDefault="007B6C97">
            <w:pPr>
              <w:jc w:val="right"/>
              <w:rPr>
                <w:rFonts w:ascii="宋体"/>
              </w:rPr>
            </w:pPr>
          </w:p>
        </w:tc>
      </w:tr>
      <w:tr w:rsidR="007B6C97" w14:paraId="64296DB3" w14:textId="77777777">
        <w:trPr>
          <w:jc w:val="center"/>
          <w:hidden/>
        </w:trPr>
        <w:tc>
          <w:tcPr>
            <w:tcW w:w="0" w:type="auto"/>
            <w:gridSpan w:val="3"/>
            <w:shd w:val="clear" w:color="auto" w:fill="auto"/>
            <w:vAlign w:val="bottom"/>
          </w:tcPr>
          <w:p w14:paraId="64296DAF" w14:textId="77777777" w:rsidR="007B6C97" w:rsidRDefault="007B6C97">
            <w:pPr>
              <w:rPr>
                <w:rFonts w:ascii="宋体"/>
                <w:vanish/>
              </w:rPr>
            </w:pPr>
          </w:p>
        </w:tc>
        <w:tc>
          <w:tcPr>
            <w:tcW w:w="0" w:type="auto"/>
            <w:gridSpan w:val="3"/>
            <w:shd w:val="clear" w:color="auto" w:fill="auto"/>
            <w:vAlign w:val="bottom"/>
          </w:tcPr>
          <w:p w14:paraId="64296DB0" w14:textId="77777777" w:rsidR="007B6C97" w:rsidRDefault="007B6C97">
            <w:pPr>
              <w:rPr>
                <w:rFonts w:ascii="宋体"/>
                <w:vanish/>
              </w:rPr>
            </w:pPr>
          </w:p>
        </w:tc>
        <w:tc>
          <w:tcPr>
            <w:tcW w:w="0" w:type="auto"/>
            <w:gridSpan w:val="3"/>
            <w:shd w:val="clear" w:color="auto" w:fill="auto"/>
            <w:vAlign w:val="bottom"/>
          </w:tcPr>
          <w:p w14:paraId="64296DB1" w14:textId="77777777" w:rsidR="007B6C97" w:rsidRDefault="007B6C97">
            <w:pPr>
              <w:rPr>
                <w:rFonts w:ascii="宋体"/>
                <w:vanish/>
              </w:rPr>
            </w:pPr>
          </w:p>
        </w:tc>
        <w:tc>
          <w:tcPr>
            <w:tcW w:w="0" w:type="auto"/>
            <w:gridSpan w:val="3"/>
            <w:shd w:val="clear" w:color="auto" w:fill="auto"/>
            <w:vAlign w:val="bottom"/>
          </w:tcPr>
          <w:p w14:paraId="64296DB2" w14:textId="77777777" w:rsidR="007B6C97" w:rsidRDefault="007B6C97">
            <w:pPr>
              <w:rPr>
                <w:rFonts w:ascii="宋体"/>
                <w:vanish/>
              </w:rPr>
            </w:pPr>
          </w:p>
        </w:tc>
      </w:tr>
      <w:tr w:rsidR="007B6C97" w14:paraId="64296DBA" w14:textId="77777777">
        <w:trPr>
          <w:jc w:val="center"/>
        </w:trPr>
        <w:tc>
          <w:tcPr>
            <w:tcW w:w="0" w:type="auto"/>
            <w:gridSpan w:val="3"/>
            <w:shd w:val="clear" w:color="auto" w:fill="FFFFFF"/>
            <w:tcMar>
              <w:top w:w="40" w:type="dxa"/>
              <w:left w:w="20" w:type="dxa"/>
              <w:bottom w:w="40" w:type="dxa"/>
              <w:right w:w="20" w:type="dxa"/>
            </w:tcMar>
            <w:vAlign w:val="center"/>
          </w:tcPr>
          <w:p w14:paraId="64296DB4" w14:textId="77777777" w:rsidR="007B6C97" w:rsidRDefault="00E426D1">
            <w:pPr>
              <w:textAlignment w:val="center"/>
            </w:pPr>
            <w:r>
              <w:rPr>
                <w:rFonts w:ascii="Times New Roman" w:eastAsia="宋体" w:hAnsi="Times New Roman"/>
                <w:color w:val="000000"/>
                <w:sz w:val="20"/>
                <w:szCs w:val="20"/>
              </w:rPr>
              <w:t xml:space="preserve">Additions to </w:t>
            </w:r>
            <w:r>
              <w:rPr>
                <w:rFonts w:ascii="Times New Roman" w:eastAsia="宋体" w:hAnsi="Times New Roman"/>
                <w:color w:val="000000"/>
                <w:sz w:val="20"/>
                <w:szCs w:val="20"/>
              </w:rPr>
              <w:t>property, plant and equipment</w:t>
            </w:r>
          </w:p>
        </w:tc>
        <w:tc>
          <w:tcPr>
            <w:tcW w:w="0" w:type="auto"/>
            <w:gridSpan w:val="2"/>
            <w:shd w:val="clear" w:color="auto" w:fill="FFFFFF"/>
            <w:tcMar>
              <w:top w:w="40" w:type="dxa"/>
              <w:left w:w="20" w:type="dxa"/>
              <w:bottom w:w="40" w:type="dxa"/>
              <w:right w:w="0" w:type="dxa"/>
            </w:tcMar>
            <w:vAlign w:val="center"/>
          </w:tcPr>
          <w:p w14:paraId="64296DB5" w14:textId="77777777" w:rsidR="007B6C97" w:rsidRDefault="00E426D1">
            <w:pPr>
              <w:jc w:val="right"/>
              <w:textAlignment w:val="center"/>
            </w:pPr>
            <w:r>
              <w:rPr>
                <w:rFonts w:ascii="Times New Roman" w:eastAsia="宋体" w:hAnsi="Times New Roman"/>
                <w:color w:val="000000"/>
                <w:sz w:val="20"/>
                <w:szCs w:val="20"/>
              </w:rPr>
              <w:t>(1,295.4)</w:t>
            </w:r>
          </w:p>
        </w:tc>
        <w:tc>
          <w:tcPr>
            <w:tcW w:w="0" w:type="auto"/>
            <w:shd w:val="clear" w:color="auto" w:fill="FFFFFF"/>
            <w:tcMar>
              <w:top w:w="40" w:type="dxa"/>
              <w:left w:w="0" w:type="dxa"/>
              <w:bottom w:w="40" w:type="dxa"/>
              <w:right w:w="20" w:type="dxa"/>
            </w:tcMar>
            <w:vAlign w:val="center"/>
          </w:tcPr>
          <w:p w14:paraId="64296DB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B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B8" w14:textId="77777777" w:rsidR="007B6C97" w:rsidRDefault="00E426D1">
            <w:pPr>
              <w:jc w:val="right"/>
              <w:textAlignment w:val="center"/>
            </w:pPr>
            <w:r>
              <w:rPr>
                <w:rFonts w:ascii="Times New Roman" w:eastAsia="宋体" w:hAnsi="Times New Roman"/>
                <w:color w:val="000000"/>
                <w:sz w:val="20"/>
                <w:szCs w:val="20"/>
              </w:rPr>
              <w:t>(985.7)</w:t>
            </w:r>
          </w:p>
        </w:tc>
        <w:tc>
          <w:tcPr>
            <w:tcW w:w="0" w:type="auto"/>
            <w:shd w:val="clear" w:color="auto" w:fill="FFFFFF"/>
            <w:tcMar>
              <w:top w:w="40" w:type="dxa"/>
              <w:left w:w="0" w:type="dxa"/>
              <w:bottom w:w="40" w:type="dxa"/>
              <w:right w:w="20" w:type="dxa"/>
            </w:tcMar>
            <w:vAlign w:val="center"/>
          </w:tcPr>
          <w:p w14:paraId="64296DB9" w14:textId="77777777" w:rsidR="007B6C97" w:rsidRDefault="007B6C97">
            <w:pPr>
              <w:jc w:val="right"/>
              <w:rPr>
                <w:rFonts w:ascii="宋体"/>
              </w:rPr>
            </w:pPr>
          </w:p>
        </w:tc>
      </w:tr>
      <w:tr w:rsidR="007B6C97" w14:paraId="64296DBF" w14:textId="77777777">
        <w:trPr>
          <w:jc w:val="center"/>
          <w:hidden/>
        </w:trPr>
        <w:tc>
          <w:tcPr>
            <w:tcW w:w="0" w:type="auto"/>
            <w:gridSpan w:val="3"/>
            <w:shd w:val="clear" w:color="auto" w:fill="auto"/>
            <w:vAlign w:val="bottom"/>
          </w:tcPr>
          <w:p w14:paraId="64296DBB" w14:textId="77777777" w:rsidR="007B6C97" w:rsidRDefault="007B6C97">
            <w:pPr>
              <w:rPr>
                <w:rFonts w:ascii="宋体"/>
                <w:vanish/>
              </w:rPr>
            </w:pPr>
          </w:p>
        </w:tc>
        <w:tc>
          <w:tcPr>
            <w:tcW w:w="0" w:type="auto"/>
            <w:gridSpan w:val="3"/>
            <w:shd w:val="clear" w:color="auto" w:fill="auto"/>
            <w:vAlign w:val="bottom"/>
          </w:tcPr>
          <w:p w14:paraId="64296DBC" w14:textId="77777777" w:rsidR="007B6C97" w:rsidRDefault="007B6C97">
            <w:pPr>
              <w:rPr>
                <w:rFonts w:ascii="宋体"/>
                <w:vanish/>
              </w:rPr>
            </w:pPr>
          </w:p>
        </w:tc>
        <w:tc>
          <w:tcPr>
            <w:tcW w:w="0" w:type="auto"/>
            <w:gridSpan w:val="3"/>
            <w:shd w:val="clear" w:color="auto" w:fill="auto"/>
            <w:vAlign w:val="bottom"/>
          </w:tcPr>
          <w:p w14:paraId="64296DBD" w14:textId="77777777" w:rsidR="007B6C97" w:rsidRDefault="007B6C97">
            <w:pPr>
              <w:rPr>
                <w:rFonts w:ascii="宋体"/>
                <w:vanish/>
              </w:rPr>
            </w:pPr>
          </w:p>
        </w:tc>
        <w:tc>
          <w:tcPr>
            <w:tcW w:w="0" w:type="auto"/>
            <w:gridSpan w:val="3"/>
            <w:shd w:val="clear" w:color="auto" w:fill="auto"/>
            <w:vAlign w:val="bottom"/>
          </w:tcPr>
          <w:p w14:paraId="64296DBE" w14:textId="77777777" w:rsidR="007B6C97" w:rsidRDefault="007B6C97">
            <w:pPr>
              <w:rPr>
                <w:rFonts w:ascii="宋体"/>
                <w:vanish/>
              </w:rPr>
            </w:pPr>
          </w:p>
        </w:tc>
      </w:tr>
      <w:tr w:rsidR="007B6C97" w14:paraId="64296DC4" w14:textId="77777777">
        <w:trPr>
          <w:jc w:val="center"/>
          <w:hidden/>
        </w:trPr>
        <w:tc>
          <w:tcPr>
            <w:tcW w:w="0" w:type="auto"/>
            <w:gridSpan w:val="3"/>
            <w:shd w:val="clear" w:color="auto" w:fill="auto"/>
            <w:vAlign w:val="bottom"/>
          </w:tcPr>
          <w:p w14:paraId="64296DC0" w14:textId="77777777" w:rsidR="007B6C97" w:rsidRDefault="007B6C97">
            <w:pPr>
              <w:rPr>
                <w:rFonts w:ascii="宋体"/>
                <w:vanish/>
              </w:rPr>
            </w:pPr>
          </w:p>
        </w:tc>
        <w:tc>
          <w:tcPr>
            <w:tcW w:w="0" w:type="auto"/>
            <w:gridSpan w:val="3"/>
            <w:shd w:val="clear" w:color="auto" w:fill="auto"/>
            <w:vAlign w:val="bottom"/>
          </w:tcPr>
          <w:p w14:paraId="64296DC1" w14:textId="77777777" w:rsidR="007B6C97" w:rsidRDefault="007B6C97">
            <w:pPr>
              <w:rPr>
                <w:rFonts w:ascii="宋体"/>
                <w:vanish/>
              </w:rPr>
            </w:pPr>
          </w:p>
        </w:tc>
        <w:tc>
          <w:tcPr>
            <w:tcW w:w="0" w:type="auto"/>
            <w:gridSpan w:val="3"/>
            <w:shd w:val="clear" w:color="auto" w:fill="auto"/>
            <w:vAlign w:val="bottom"/>
          </w:tcPr>
          <w:p w14:paraId="64296DC2" w14:textId="77777777" w:rsidR="007B6C97" w:rsidRDefault="007B6C97">
            <w:pPr>
              <w:rPr>
                <w:rFonts w:ascii="宋体"/>
                <w:vanish/>
              </w:rPr>
            </w:pPr>
          </w:p>
        </w:tc>
        <w:tc>
          <w:tcPr>
            <w:tcW w:w="0" w:type="auto"/>
            <w:gridSpan w:val="3"/>
            <w:shd w:val="clear" w:color="auto" w:fill="auto"/>
            <w:vAlign w:val="bottom"/>
          </w:tcPr>
          <w:p w14:paraId="64296DC3" w14:textId="77777777" w:rsidR="007B6C97" w:rsidRDefault="007B6C97">
            <w:pPr>
              <w:rPr>
                <w:rFonts w:ascii="宋体"/>
                <w:vanish/>
              </w:rPr>
            </w:pPr>
          </w:p>
        </w:tc>
      </w:tr>
      <w:tr w:rsidR="007B6C97" w14:paraId="64296DCB" w14:textId="77777777">
        <w:trPr>
          <w:jc w:val="center"/>
        </w:trPr>
        <w:tc>
          <w:tcPr>
            <w:tcW w:w="0" w:type="auto"/>
            <w:gridSpan w:val="3"/>
            <w:shd w:val="clear" w:color="auto" w:fill="D7E4BC"/>
            <w:tcMar>
              <w:top w:w="40" w:type="dxa"/>
              <w:left w:w="20" w:type="dxa"/>
              <w:bottom w:w="40" w:type="dxa"/>
              <w:right w:w="20" w:type="dxa"/>
            </w:tcMar>
            <w:vAlign w:val="center"/>
          </w:tcPr>
          <w:p w14:paraId="64296DC5" w14:textId="77777777" w:rsidR="007B6C97" w:rsidRDefault="00E426D1">
            <w:pPr>
              <w:textAlignment w:val="center"/>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center"/>
          </w:tcPr>
          <w:p w14:paraId="64296DC6" w14:textId="77777777" w:rsidR="007B6C97" w:rsidRDefault="00E426D1">
            <w:pPr>
              <w:jc w:val="right"/>
              <w:textAlignment w:val="center"/>
            </w:pPr>
            <w:r>
              <w:rPr>
                <w:rFonts w:ascii="Times New Roman" w:eastAsia="宋体" w:hAnsi="Times New Roman"/>
                <w:color w:val="000000"/>
                <w:sz w:val="20"/>
                <w:szCs w:val="20"/>
              </w:rPr>
              <w:t>(95.7)</w:t>
            </w:r>
          </w:p>
        </w:tc>
        <w:tc>
          <w:tcPr>
            <w:tcW w:w="0" w:type="auto"/>
            <w:shd w:val="clear" w:color="auto" w:fill="D7E4BC"/>
            <w:tcMar>
              <w:top w:w="40" w:type="dxa"/>
              <w:left w:w="0" w:type="dxa"/>
              <w:bottom w:w="40" w:type="dxa"/>
              <w:right w:w="20" w:type="dxa"/>
            </w:tcMar>
            <w:vAlign w:val="center"/>
          </w:tcPr>
          <w:p w14:paraId="64296D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C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C9" w14:textId="77777777" w:rsidR="007B6C97" w:rsidRDefault="00E426D1">
            <w:pPr>
              <w:jc w:val="right"/>
              <w:textAlignment w:val="center"/>
            </w:pPr>
            <w:r>
              <w:rPr>
                <w:rFonts w:ascii="Times New Roman" w:eastAsia="宋体" w:hAnsi="Times New Roman"/>
                <w:color w:val="000000"/>
                <w:sz w:val="20"/>
                <w:szCs w:val="20"/>
              </w:rPr>
              <w:t>(62.3)</w:t>
            </w:r>
          </w:p>
        </w:tc>
        <w:tc>
          <w:tcPr>
            <w:tcW w:w="0" w:type="auto"/>
            <w:shd w:val="clear" w:color="auto" w:fill="D7E4BC"/>
            <w:tcMar>
              <w:top w:w="40" w:type="dxa"/>
              <w:left w:w="0" w:type="dxa"/>
              <w:bottom w:w="40" w:type="dxa"/>
              <w:right w:w="20" w:type="dxa"/>
            </w:tcMar>
            <w:vAlign w:val="center"/>
          </w:tcPr>
          <w:p w14:paraId="64296DCA" w14:textId="77777777" w:rsidR="007B6C97" w:rsidRDefault="007B6C97">
            <w:pPr>
              <w:jc w:val="right"/>
              <w:rPr>
                <w:rFonts w:ascii="宋体"/>
              </w:rPr>
            </w:pPr>
          </w:p>
        </w:tc>
      </w:tr>
      <w:tr w:rsidR="007B6C97" w14:paraId="64296DD2" w14:textId="77777777">
        <w:trPr>
          <w:jc w:val="center"/>
        </w:trPr>
        <w:tc>
          <w:tcPr>
            <w:tcW w:w="0" w:type="auto"/>
            <w:gridSpan w:val="3"/>
            <w:shd w:val="clear" w:color="auto" w:fill="FFFFFF"/>
            <w:tcMar>
              <w:top w:w="40" w:type="dxa"/>
              <w:left w:w="20" w:type="dxa"/>
              <w:bottom w:w="40" w:type="dxa"/>
              <w:right w:w="20" w:type="dxa"/>
            </w:tcMar>
            <w:vAlign w:val="center"/>
          </w:tcPr>
          <w:p w14:paraId="64296DCC" w14:textId="77777777" w:rsidR="007B6C97" w:rsidRDefault="00E426D1">
            <w:pPr>
              <w:textAlignment w:val="center"/>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DCD" w14:textId="77777777" w:rsidR="007B6C97" w:rsidRDefault="00E426D1">
            <w:pPr>
              <w:jc w:val="right"/>
              <w:textAlignment w:val="center"/>
            </w:pPr>
            <w:r>
              <w:rPr>
                <w:rFonts w:ascii="Times New Roman" w:eastAsia="宋体" w:hAnsi="Times New Roman"/>
                <w:color w:val="000000"/>
                <w:sz w:val="20"/>
                <w:szCs w:val="20"/>
              </w:rPr>
              <w:t>(1,376.3)</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DC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C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DD0" w14:textId="77777777" w:rsidR="007B6C97" w:rsidRDefault="00E426D1">
            <w:pPr>
              <w:jc w:val="right"/>
              <w:textAlignment w:val="center"/>
            </w:pPr>
            <w:r>
              <w:rPr>
                <w:rFonts w:ascii="Times New Roman" w:eastAsia="宋体" w:hAnsi="Times New Roman"/>
                <w:color w:val="000000"/>
                <w:sz w:val="20"/>
                <w:szCs w:val="20"/>
              </w:rPr>
              <w:t>(986.2)</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DD1" w14:textId="77777777" w:rsidR="007B6C97" w:rsidRDefault="007B6C97">
            <w:pPr>
              <w:jc w:val="right"/>
              <w:rPr>
                <w:rFonts w:ascii="宋体"/>
              </w:rPr>
            </w:pPr>
          </w:p>
        </w:tc>
      </w:tr>
      <w:tr w:rsidR="007B6C97" w14:paraId="64296DD7" w14:textId="77777777">
        <w:trPr>
          <w:jc w:val="center"/>
        </w:trPr>
        <w:tc>
          <w:tcPr>
            <w:tcW w:w="0" w:type="auto"/>
            <w:gridSpan w:val="3"/>
            <w:shd w:val="clear" w:color="auto" w:fill="D7E4BC"/>
            <w:tcMar>
              <w:top w:w="40" w:type="dxa"/>
              <w:left w:w="20" w:type="dxa"/>
              <w:bottom w:w="40" w:type="dxa"/>
              <w:right w:w="20" w:type="dxa"/>
            </w:tcMar>
            <w:vAlign w:val="center"/>
          </w:tcPr>
          <w:p w14:paraId="64296DD3" w14:textId="77777777" w:rsidR="007B6C97" w:rsidRDefault="00E426D1">
            <w:pPr>
              <w:textAlignment w:val="center"/>
            </w:pPr>
            <w:r>
              <w:rPr>
                <w:rFonts w:ascii="Times New Roman" w:eastAsia="宋体" w:hAnsi="Times New Roman"/>
                <w:color w:val="000000"/>
                <w:sz w:val="20"/>
                <w:szCs w:val="20"/>
              </w:rPr>
              <w:t>FINANCING ACTIVITIES:</w:t>
            </w:r>
          </w:p>
        </w:tc>
        <w:tc>
          <w:tcPr>
            <w:tcW w:w="0" w:type="auto"/>
            <w:gridSpan w:val="3"/>
            <w:shd w:val="clear" w:color="auto" w:fill="D7E4BC"/>
            <w:tcMar>
              <w:top w:w="0" w:type="dxa"/>
              <w:left w:w="20" w:type="dxa"/>
              <w:bottom w:w="0" w:type="dxa"/>
              <w:right w:w="20" w:type="dxa"/>
            </w:tcMar>
            <w:vAlign w:val="bottom"/>
          </w:tcPr>
          <w:p w14:paraId="64296DD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DD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DD6" w14:textId="77777777" w:rsidR="007B6C97" w:rsidRDefault="007B6C97">
            <w:pPr>
              <w:rPr>
                <w:rFonts w:ascii="宋体"/>
              </w:rPr>
            </w:pPr>
          </w:p>
        </w:tc>
      </w:tr>
      <w:tr w:rsidR="007B6C97" w14:paraId="64296DDE" w14:textId="77777777">
        <w:trPr>
          <w:jc w:val="center"/>
        </w:trPr>
        <w:tc>
          <w:tcPr>
            <w:tcW w:w="0" w:type="auto"/>
            <w:gridSpan w:val="3"/>
            <w:shd w:val="clear" w:color="auto" w:fill="FFFFFF"/>
            <w:tcMar>
              <w:top w:w="40" w:type="dxa"/>
              <w:left w:w="20" w:type="dxa"/>
              <w:bottom w:w="40" w:type="dxa"/>
              <w:right w:w="20" w:type="dxa"/>
            </w:tcMar>
            <w:vAlign w:val="center"/>
          </w:tcPr>
          <w:p w14:paraId="64296DD8" w14:textId="77777777" w:rsidR="007B6C97" w:rsidRDefault="00E426D1">
            <w:pPr>
              <w:textAlignment w:val="center"/>
            </w:pPr>
            <w:r>
              <w:rPr>
                <w:rFonts w:ascii="Times New Roman" w:eastAsia="宋体" w:hAnsi="Times New Roman"/>
                <w:color w:val="000000"/>
                <w:sz w:val="20"/>
                <w:szCs w:val="20"/>
              </w:rPr>
              <w:t>Net proceeds/(payments) from issuance of commercial paper</w:t>
            </w:r>
          </w:p>
        </w:tc>
        <w:tc>
          <w:tcPr>
            <w:tcW w:w="0" w:type="auto"/>
            <w:gridSpan w:val="2"/>
            <w:shd w:val="clear" w:color="auto" w:fill="FFFFFF"/>
            <w:tcMar>
              <w:top w:w="40" w:type="dxa"/>
              <w:left w:w="20" w:type="dxa"/>
              <w:bottom w:w="40" w:type="dxa"/>
              <w:right w:w="0" w:type="dxa"/>
            </w:tcMar>
            <w:vAlign w:val="center"/>
          </w:tcPr>
          <w:p w14:paraId="64296DD9" w14:textId="77777777" w:rsidR="007B6C97" w:rsidRDefault="00E426D1">
            <w:pPr>
              <w:jc w:val="right"/>
              <w:textAlignment w:val="center"/>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center"/>
          </w:tcPr>
          <w:p w14:paraId="64296DD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D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DC" w14:textId="77777777" w:rsidR="007B6C97" w:rsidRDefault="00E426D1">
            <w:pPr>
              <w:jc w:val="right"/>
              <w:textAlignment w:val="center"/>
            </w:pPr>
            <w:r>
              <w:rPr>
                <w:rFonts w:ascii="Times New Roman" w:eastAsia="宋体" w:hAnsi="Times New Roman"/>
                <w:color w:val="000000"/>
                <w:sz w:val="20"/>
                <w:szCs w:val="20"/>
              </w:rPr>
              <w:t>(296.5)</w:t>
            </w:r>
          </w:p>
        </w:tc>
        <w:tc>
          <w:tcPr>
            <w:tcW w:w="0" w:type="auto"/>
            <w:shd w:val="clear" w:color="auto" w:fill="FFFFFF"/>
            <w:tcMar>
              <w:top w:w="40" w:type="dxa"/>
              <w:left w:w="0" w:type="dxa"/>
              <w:bottom w:w="40" w:type="dxa"/>
              <w:right w:w="20" w:type="dxa"/>
            </w:tcMar>
            <w:vAlign w:val="center"/>
          </w:tcPr>
          <w:p w14:paraId="64296DDD" w14:textId="77777777" w:rsidR="007B6C97" w:rsidRDefault="007B6C97">
            <w:pPr>
              <w:jc w:val="right"/>
              <w:rPr>
                <w:rFonts w:ascii="宋体"/>
              </w:rPr>
            </w:pPr>
          </w:p>
        </w:tc>
      </w:tr>
      <w:tr w:rsidR="007B6C97" w14:paraId="64296DE5" w14:textId="77777777">
        <w:trPr>
          <w:jc w:val="center"/>
        </w:trPr>
        <w:tc>
          <w:tcPr>
            <w:tcW w:w="0" w:type="auto"/>
            <w:gridSpan w:val="3"/>
            <w:shd w:val="clear" w:color="auto" w:fill="D7E4BC"/>
            <w:tcMar>
              <w:top w:w="40" w:type="dxa"/>
              <w:left w:w="20" w:type="dxa"/>
              <w:bottom w:w="40" w:type="dxa"/>
              <w:right w:w="20" w:type="dxa"/>
            </w:tcMar>
            <w:vAlign w:val="center"/>
          </w:tcPr>
          <w:p w14:paraId="64296DDF" w14:textId="77777777" w:rsidR="007B6C97" w:rsidRDefault="00E426D1">
            <w:pPr>
              <w:textAlignment w:val="center"/>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proceeds from issuance of short-term debt</w:t>
            </w:r>
          </w:p>
        </w:tc>
        <w:tc>
          <w:tcPr>
            <w:tcW w:w="0" w:type="auto"/>
            <w:gridSpan w:val="2"/>
            <w:shd w:val="clear" w:color="auto" w:fill="D7E4BC"/>
            <w:tcMar>
              <w:top w:w="40" w:type="dxa"/>
              <w:left w:w="20" w:type="dxa"/>
              <w:bottom w:w="40" w:type="dxa"/>
              <w:right w:w="0" w:type="dxa"/>
            </w:tcMar>
            <w:vAlign w:val="center"/>
          </w:tcPr>
          <w:p w14:paraId="64296DE0" w14:textId="77777777" w:rsidR="007B6C97" w:rsidRDefault="00E426D1">
            <w:pPr>
              <w:jc w:val="right"/>
              <w:textAlignment w:val="center"/>
            </w:pPr>
            <w:r>
              <w:rPr>
                <w:rFonts w:ascii="Times New Roman" w:eastAsia="宋体" w:hAnsi="Times New Roman"/>
                <w:color w:val="000000"/>
                <w:sz w:val="20"/>
                <w:szCs w:val="20"/>
              </w:rPr>
              <w:t>38.9 </w:t>
            </w:r>
          </w:p>
        </w:tc>
        <w:tc>
          <w:tcPr>
            <w:tcW w:w="0" w:type="auto"/>
            <w:shd w:val="clear" w:color="auto" w:fill="D7E4BC"/>
            <w:tcMar>
              <w:top w:w="40" w:type="dxa"/>
              <w:left w:w="0" w:type="dxa"/>
              <w:bottom w:w="40" w:type="dxa"/>
              <w:right w:w="20" w:type="dxa"/>
            </w:tcMar>
            <w:vAlign w:val="center"/>
          </w:tcPr>
          <w:p w14:paraId="64296DE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E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E3" w14:textId="77777777" w:rsidR="007B6C97" w:rsidRDefault="00E426D1">
            <w:pPr>
              <w:jc w:val="right"/>
              <w:textAlignment w:val="center"/>
            </w:pPr>
            <w:r>
              <w:rPr>
                <w:rFonts w:ascii="Times New Roman" w:eastAsia="宋体" w:hAnsi="Times New Roman"/>
                <w:color w:val="000000"/>
                <w:sz w:val="20"/>
                <w:szCs w:val="20"/>
              </w:rPr>
              <w:t>215.6 </w:t>
            </w:r>
          </w:p>
        </w:tc>
        <w:tc>
          <w:tcPr>
            <w:tcW w:w="0" w:type="auto"/>
            <w:shd w:val="clear" w:color="auto" w:fill="D7E4BC"/>
            <w:tcMar>
              <w:top w:w="40" w:type="dxa"/>
              <w:left w:w="0" w:type="dxa"/>
              <w:bottom w:w="40" w:type="dxa"/>
              <w:right w:w="20" w:type="dxa"/>
            </w:tcMar>
            <w:vAlign w:val="center"/>
          </w:tcPr>
          <w:p w14:paraId="64296DE4" w14:textId="77777777" w:rsidR="007B6C97" w:rsidRDefault="007B6C97">
            <w:pPr>
              <w:jc w:val="right"/>
              <w:rPr>
                <w:rFonts w:ascii="宋体"/>
              </w:rPr>
            </w:pPr>
          </w:p>
        </w:tc>
      </w:tr>
      <w:tr w:rsidR="007B6C97" w14:paraId="64296DEC" w14:textId="77777777">
        <w:trPr>
          <w:jc w:val="center"/>
        </w:trPr>
        <w:tc>
          <w:tcPr>
            <w:tcW w:w="0" w:type="auto"/>
            <w:gridSpan w:val="3"/>
            <w:shd w:val="clear" w:color="auto" w:fill="FFFFFF"/>
            <w:tcMar>
              <w:top w:w="40" w:type="dxa"/>
              <w:left w:w="20" w:type="dxa"/>
              <w:bottom w:w="40" w:type="dxa"/>
              <w:right w:w="20" w:type="dxa"/>
            </w:tcMar>
            <w:vAlign w:val="center"/>
          </w:tcPr>
          <w:p w14:paraId="64296DE6" w14:textId="77777777" w:rsidR="007B6C97" w:rsidRDefault="00E426D1">
            <w:pPr>
              <w:textAlignment w:val="center"/>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center"/>
          </w:tcPr>
          <w:p w14:paraId="64296DE7" w14:textId="77777777" w:rsidR="007B6C97" w:rsidRDefault="00E426D1">
            <w:pPr>
              <w:jc w:val="right"/>
              <w:textAlignment w:val="center"/>
            </w:pPr>
            <w:r>
              <w:rPr>
                <w:rFonts w:ascii="Times New Roman" w:eastAsia="宋体" w:hAnsi="Times New Roman"/>
                <w:color w:val="000000"/>
                <w:sz w:val="20"/>
                <w:szCs w:val="20"/>
              </w:rPr>
              <w:t>(38.9)</w:t>
            </w:r>
          </w:p>
        </w:tc>
        <w:tc>
          <w:tcPr>
            <w:tcW w:w="0" w:type="auto"/>
            <w:shd w:val="clear" w:color="auto" w:fill="FFFFFF"/>
            <w:tcMar>
              <w:top w:w="40" w:type="dxa"/>
              <w:left w:w="0" w:type="dxa"/>
              <w:bottom w:w="40" w:type="dxa"/>
              <w:right w:w="20" w:type="dxa"/>
            </w:tcMar>
            <w:vAlign w:val="center"/>
          </w:tcPr>
          <w:p w14:paraId="64296DE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E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EA" w14:textId="77777777" w:rsidR="007B6C97" w:rsidRDefault="00E426D1">
            <w:pPr>
              <w:jc w:val="right"/>
              <w:textAlignment w:val="center"/>
            </w:pPr>
            <w:r>
              <w:rPr>
                <w:rFonts w:ascii="Times New Roman" w:eastAsia="宋体" w:hAnsi="Times New Roman"/>
                <w:color w:val="000000"/>
                <w:sz w:val="20"/>
                <w:szCs w:val="20"/>
              </w:rPr>
              <w:t>(346.2)</w:t>
            </w:r>
          </w:p>
        </w:tc>
        <w:tc>
          <w:tcPr>
            <w:tcW w:w="0" w:type="auto"/>
            <w:shd w:val="clear" w:color="auto" w:fill="FFFFFF"/>
            <w:tcMar>
              <w:top w:w="40" w:type="dxa"/>
              <w:left w:w="0" w:type="dxa"/>
              <w:bottom w:w="40" w:type="dxa"/>
              <w:right w:w="20" w:type="dxa"/>
            </w:tcMar>
            <w:vAlign w:val="center"/>
          </w:tcPr>
          <w:p w14:paraId="64296DEB" w14:textId="77777777" w:rsidR="007B6C97" w:rsidRDefault="007B6C97">
            <w:pPr>
              <w:jc w:val="right"/>
              <w:rPr>
                <w:rFonts w:ascii="宋体"/>
              </w:rPr>
            </w:pPr>
          </w:p>
        </w:tc>
      </w:tr>
      <w:tr w:rsidR="007B6C97" w14:paraId="64296DF3" w14:textId="77777777">
        <w:trPr>
          <w:jc w:val="center"/>
        </w:trPr>
        <w:tc>
          <w:tcPr>
            <w:tcW w:w="0" w:type="auto"/>
            <w:gridSpan w:val="3"/>
            <w:shd w:val="clear" w:color="auto" w:fill="D7E4BC"/>
            <w:tcMar>
              <w:top w:w="40" w:type="dxa"/>
              <w:left w:w="20" w:type="dxa"/>
              <w:bottom w:w="40" w:type="dxa"/>
              <w:right w:w="20" w:type="dxa"/>
            </w:tcMar>
            <w:vAlign w:val="center"/>
          </w:tcPr>
          <w:p w14:paraId="64296DED" w14:textId="77777777" w:rsidR="007B6C97" w:rsidRDefault="00E426D1">
            <w:pPr>
              <w:textAlignment w:val="center"/>
            </w:pPr>
            <w:r>
              <w:rPr>
                <w:rFonts w:ascii="Times New Roman" w:eastAsia="宋体" w:hAnsi="Times New Roman"/>
                <w:color w:val="000000"/>
                <w:sz w:val="20"/>
                <w:szCs w:val="20"/>
              </w:rPr>
              <w:t>Proceeds from issuance of long-term debt</w:t>
            </w:r>
          </w:p>
        </w:tc>
        <w:tc>
          <w:tcPr>
            <w:tcW w:w="0" w:type="auto"/>
            <w:gridSpan w:val="2"/>
            <w:shd w:val="clear" w:color="auto" w:fill="D7E4BC"/>
            <w:tcMar>
              <w:top w:w="40" w:type="dxa"/>
              <w:left w:w="20" w:type="dxa"/>
              <w:bottom w:w="40" w:type="dxa"/>
              <w:right w:w="0" w:type="dxa"/>
            </w:tcMar>
            <w:vAlign w:val="center"/>
          </w:tcPr>
          <w:p w14:paraId="64296DEE" w14:textId="77777777" w:rsidR="007B6C97" w:rsidRDefault="00E426D1">
            <w:pPr>
              <w:jc w:val="right"/>
              <w:textAlignment w:val="center"/>
            </w:pPr>
            <w:r>
              <w:rPr>
                <w:rFonts w:ascii="Times New Roman" w:eastAsia="宋体" w:hAnsi="Times New Roman"/>
                <w:color w:val="000000"/>
                <w:sz w:val="20"/>
                <w:szCs w:val="20"/>
              </w:rPr>
              <w:t>1,498.1 </w:t>
            </w:r>
          </w:p>
        </w:tc>
        <w:tc>
          <w:tcPr>
            <w:tcW w:w="0" w:type="auto"/>
            <w:shd w:val="clear" w:color="auto" w:fill="D7E4BC"/>
            <w:tcMar>
              <w:top w:w="40" w:type="dxa"/>
              <w:left w:w="0" w:type="dxa"/>
              <w:bottom w:w="40" w:type="dxa"/>
              <w:right w:w="20" w:type="dxa"/>
            </w:tcMar>
            <w:vAlign w:val="center"/>
          </w:tcPr>
          <w:p w14:paraId="64296DE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DF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DF1"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4296DF2" w14:textId="77777777" w:rsidR="007B6C97" w:rsidRDefault="007B6C97">
            <w:pPr>
              <w:jc w:val="right"/>
              <w:rPr>
                <w:rFonts w:ascii="宋体"/>
              </w:rPr>
            </w:pPr>
          </w:p>
        </w:tc>
      </w:tr>
      <w:tr w:rsidR="007B6C97" w14:paraId="64296DFA" w14:textId="77777777">
        <w:trPr>
          <w:jc w:val="center"/>
        </w:trPr>
        <w:tc>
          <w:tcPr>
            <w:tcW w:w="0" w:type="auto"/>
            <w:gridSpan w:val="3"/>
            <w:shd w:val="clear" w:color="auto" w:fill="FFFFFF"/>
            <w:tcMar>
              <w:top w:w="40" w:type="dxa"/>
              <w:left w:w="20" w:type="dxa"/>
              <w:bottom w:w="40" w:type="dxa"/>
              <w:right w:w="20" w:type="dxa"/>
            </w:tcMar>
            <w:vAlign w:val="center"/>
          </w:tcPr>
          <w:p w14:paraId="64296DF4" w14:textId="77777777" w:rsidR="007B6C97" w:rsidRDefault="00E426D1">
            <w:pPr>
              <w:textAlignment w:val="center"/>
            </w:pPr>
            <w:r>
              <w:rPr>
                <w:rFonts w:ascii="Times New Roman" w:eastAsia="宋体" w:hAnsi="Times New Roman"/>
                <w:color w:val="000000"/>
                <w:sz w:val="20"/>
                <w:szCs w:val="20"/>
              </w:rPr>
              <w:t>Repayments of long-term debt</w:t>
            </w:r>
          </w:p>
        </w:tc>
        <w:tc>
          <w:tcPr>
            <w:tcW w:w="0" w:type="auto"/>
            <w:gridSpan w:val="2"/>
            <w:shd w:val="clear" w:color="auto" w:fill="FFFFFF"/>
            <w:tcMar>
              <w:top w:w="40" w:type="dxa"/>
              <w:left w:w="20" w:type="dxa"/>
              <w:bottom w:w="40" w:type="dxa"/>
              <w:right w:w="0" w:type="dxa"/>
            </w:tcMar>
            <w:vAlign w:val="center"/>
          </w:tcPr>
          <w:p w14:paraId="64296DF5" w14:textId="77777777" w:rsidR="007B6C97" w:rsidRDefault="00E426D1">
            <w:pPr>
              <w:jc w:val="right"/>
              <w:textAlignment w:val="center"/>
            </w:pPr>
            <w:r>
              <w:rPr>
                <w:rFonts w:ascii="Times New Roman" w:eastAsia="宋体" w:hAnsi="Times New Roman"/>
                <w:color w:val="000000"/>
                <w:sz w:val="20"/>
                <w:szCs w:val="20"/>
              </w:rPr>
              <w:t>(1,000.0)</w:t>
            </w:r>
          </w:p>
        </w:tc>
        <w:tc>
          <w:tcPr>
            <w:tcW w:w="0" w:type="auto"/>
            <w:shd w:val="clear" w:color="auto" w:fill="FFFFFF"/>
            <w:tcMar>
              <w:top w:w="40" w:type="dxa"/>
              <w:left w:w="0" w:type="dxa"/>
              <w:bottom w:w="40" w:type="dxa"/>
              <w:right w:w="20" w:type="dxa"/>
            </w:tcMar>
            <w:vAlign w:val="center"/>
          </w:tcPr>
          <w:p w14:paraId="64296D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D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DF8" w14:textId="77777777" w:rsidR="007B6C97" w:rsidRDefault="00E426D1">
            <w:pPr>
              <w:jc w:val="right"/>
              <w:textAlignment w:val="center"/>
            </w:pPr>
            <w:r>
              <w:rPr>
                <w:rFonts w:ascii="Times New Roman" w:eastAsia="宋体" w:hAnsi="Times New Roman"/>
                <w:color w:val="000000"/>
                <w:sz w:val="20"/>
                <w:szCs w:val="20"/>
              </w:rPr>
              <w:t>(1,250.0)</w:t>
            </w:r>
          </w:p>
        </w:tc>
        <w:tc>
          <w:tcPr>
            <w:tcW w:w="0" w:type="auto"/>
            <w:shd w:val="clear" w:color="auto" w:fill="FFFFFF"/>
            <w:tcMar>
              <w:top w:w="40" w:type="dxa"/>
              <w:left w:w="0" w:type="dxa"/>
              <w:bottom w:w="40" w:type="dxa"/>
              <w:right w:w="20" w:type="dxa"/>
            </w:tcMar>
            <w:vAlign w:val="center"/>
          </w:tcPr>
          <w:p w14:paraId="64296DF9" w14:textId="77777777" w:rsidR="007B6C97" w:rsidRDefault="007B6C97">
            <w:pPr>
              <w:jc w:val="right"/>
              <w:rPr>
                <w:rFonts w:ascii="宋体"/>
              </w:rPr>
            </w:pPr>
          </w:p>
        </w:tc>
      </w:tr>
      <w:tr w:rsidR="007B6C97" w14:paraId="64296DFF" w14:textId="77777777">
        <w:trPr>
          <w:jc w:val="center"/>
          <w:hidden/>
        </w:trPr>
        <w:tc>
          <w:tcPr>
            <w:tcW w:w="0" w:type="auto"/>
            <w:gridSpan w:val="3"/>
            <w:shd w:val="clear" w:color="auto" w:fill="auto"/>
            <w:vAlign w:val="bottom"/>
          </w:tcPr>
          <w:p w14:paraId="64296DFB" w14:textId="77777777" w:rsidR="007B6C97" w:rsidRDefault="007B6C97">
            <w:pPr>
              <w:rPr>
                <w:rFonts w:ascii="宋体"/>
                <w:vanish/>
              </w:rPr>
            </w:pPr>
          </w:p>
        </w:tc>
        <w:tc>
          <w:tcPr>
            <w:tcW w:w="0" w:type="auto"/>
            <w:gridSpan w:val="3"/>
            <w:shd w:val="clear" w:color="auto" w:fill="auto"/>
            <w:vAlign w:val="bottom"/>
          </w:tcPr>
          <w:p w14:paraId="64296DFC" w14:textId="77777777" w:rsidR="007B6C97" w:rsidRDefault="007B6C97">
            <w:pPr>
              <w:rPr>
                <w:rFonts w:ascii="宋体"/>
                <w:vanish/>
              </w:rPr>
            </w:pPr>
          </w:p>
        </w:tc>
        <w:tc>
          <w:tcPr>
            <w:tcW w:w="0" w:type="auto"/>
            <w:gridSpan w:val="3"/>
            <w:shd w:val="clear" w:color="auto" w:fill="auto"/>
            <w:vAlign w:val="bottom"/>
          </w:tcPr>
          <w:p w14:paraId="64296DFD" w14:textId="77777777" w:rsidR="007B6C97" w:rsidRDefault="007B6C97">
            <w:pPr>
              <w:rPr>
                <w:rFonts w:ascii="宋体"/>
                <w:vanish/>
              </w:rPr>
            </w:pPr>
          </w:p>
        </w:tc>
        <w:tc>
          <w:tcPr>
            <w:tcW w:w="0" w:type="auto"/>
            <w:gridSpan w:val="3"/>
            <w:shd w:val="clear" w:color="auto" w:fill="auto"/>
            <w:vAlign w:val="bottom"/>
          </w:tcPr>
          <w:p w14:paraId="64296DFE" w14:textId="77777777" w:rsidR="007B6C97" w:rsidRDefault="007B6C97">
            <w:pPr>
              <w:rPr>
                <w:rFonts w:ascii="宋体"/>
                <w:vanish/>
              </w:rPr>
            </w:pPr>
          </w:p>
        </w:tc>
      </w:tr>
      <w:tr w:rsidR="007B6C97" w14:paraId="64296E06" w14:textId="77777777">
        <w:trPr>
          <w:jc w:val="center"/>
        </w:trPr>
        <w:tc>
          <w:tcPr>
            <w:tcW w:w="0" w:type="auto"/>
            <w:gridSpan w:val="3"/>
            <w:shd w:val="clear" w:color="auto" w:fill="D7E4BC"/>
            <w:tcMar>
              <w:top w:w="40" w:type="dxa"/>
              <w:left w:w="20" w:type="dxa"/>
              <w:bottom w:w="40" w:type="dxa"/>
              <w:right w:w="20" w:type="dxa"/>
            </w:tcMar>
            <w:vAlign w:val="center"/>
          </w:tcPr>
          <w:p w14:paraId="64296E00" w14:textId="77777777" w:rsidR="007B6C97" w:rsidRDefault="00E426D1">
            <w:pPr>
              <w:textAlignment w:val="center"/>
            </w:pPr>
            <w:r>
              <w:rPr>
                <w:rFonts w:ascii="Times New Roman" w:eastAsia="宋体" w:hAnsi="Times New Roman"/>
                <w:color w:val="000000"/>
                <w:sz w:val="20"/>
                <w:szCs w:val="20"/>
              </w:rPr>
              <w:t xml:space="preserve">Proceeds from issuance of </w:t>
            </w:r>
            <w:r>
              <w:rPr>
                <w:rFonts w:ascii="Times New Roman" w:eastAsia="宋体" w:hAnsi="Times New Roman"/>
                <w:color w:val="000000"/>
                <w:sz w:val="20"/>
                <w:szCs w:val="20"/>
              </w:rPr>
              <w:t>common stock</w:t>
            </w:r>
          </w:p>
        </w:tc>
        <w:tc>
          <w:tcPr>
            <w:tcW w:w="0" w:type="auto"/>
            <w:gridSpan w:val="2"/>
            <w:shd w:val="clear" w:color="auto" w:fill="D7E4BC"/>
            <w:tcMar>
              <w:top w:w="40" w:type="dxa"/>
              <w:left w:w="20" w:type="dxa"/>
              <w:bottom w:w="40" w:type="dxa"/>
              <w:right w:w="0" w:type="dxa"/>
            </w:tcMar>
            <w:vAlign w:val="center"/>
          </w:tcPr>
          <w:p w14:paraId="64296E01" w14:textId="77777777" w:rsidR="007B6C97" w:rsidRDefault="00E426D1">
            <w:pPr>
              <w:jc w:val="right"/>
              <w:textAlignment w:val="center"/>
            </w:pPr>
            <w:r>
              <w:rPr>
                <w:rFonts w:ascii="Times New Roman" w:eastAsia="宋体" w:hAnsi="Times New Roman"/>
                <w:color w:val="000000"/>
                <w:sz w:val="20"/>
                <w:szCs w:val="20"/>
              </w:rPr>
              <w:t>75.5 </w:t>
            </w:r>
          </w:p>
        </w:tc>
        <w:tc>
          <w:tcPr>
            <w:tcW w:w="0" w:type="auto"/>
            <w:shd w:val="clear" w:color="auto" w:fill="D7E4BC"/>
            <w:tcMar>
              <w:top w:w="40" w:type="dxa"/>
              <w:left w:w="0" w:type="dxa"/>
              <w:bottom w:w="40" w:type="dxa"/>
              <w:right w:w="20" w:type="dxa"/>
            </w:tcMar>
            <w:vAlign w:val="center"/>
          </w:tcPr>
          <w:p w14:paraId="64296E0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0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E04" w14:textId="77777777" w:rsidR="007B6C97" w:rsidRDefault="00E426D1">
            <w:pPr>
              <w:jc w:val="right"/>
              <w:textAlignment w:val="center"/>
            </w:pPr>
            <w:r>
              <w:rPr>
                <w:rFonts w:ascii="Times New Roman" w:eastAsia="宋体" w:hAnsi="Times New Roman"/>
                <w:color w:val="000000"/>
                <w:sz w:val="20"/>
                <w:szCs w:val="20"/>
              </w:rPr>
              <w:t>191.6 </w:t>
            </w:r>
          </w:p>
        </w:tc>
        <w:tc>
          <w:tcPr>
            <w:tcW w:w="0" w:type="auto"/>
            <w:shd w:val="clear" w:color="auto" w:fill="D7E4BC"/>
            <w:tcMar>
              <w:top w:w="40" w:type="dxa"/>
              <w:left w:w="0" w:type="dxa"/>
              <w:bottom w:w="40" w:type="dxa"/>
              <w:right w:w="20" w:type="dxa"/>
            </w:tcMar>
            <w:vAlign w:val="center"/>
          </w:tcPr>
          <w:p w14:paraId="64296E05" w14:textId="77777777" w:rsidR="007B6C97" w:rsidRDefault="007B6C97">
            <w:pPr>
              <w:jc w:val="right"/>
              <w:rPr>
                <w:rFonts w:ascii="宋体"/>
              </w:rPr>
            </w:pPr>
          </w:p>
        </w:tc>
      </w:tr>
      <w:tr w:rsidR="007B6C97" w14:paraId="64296E0D" w14:textId="77777777">
        <w:trPr>
          <w:jc w:val="center"/>
        </w:trPr>
        <w:tc>
          <w:tcPr>
            <w:tcW w:w="0" w:type="auto"/>
            <w:gridSpan w:val="3"/>
            <w:shd w:val="clear" w:color="auto" w:fill="FFFFFF"/>
            <w:tcMar>
              <w:top w:w="40" w:type="dxa"/>
              <w:left w:w="20" w:type="dxa"/>
              <w:bottom w:w="40" w:type="dxa"/>
              <w:right w:w="20" w:type="dxa"/>
            </w:tcMar>
            <w:vAlign w:val="center"/>
          </w:tcPr>
          <w:p w14:paraId="64296E07" w14:textId="77777777" w:rsidR="007B6C97" w:rsidRDefault="00E426D1">
            <w:pPr>
              <w:textAlignment w:val="center"/>
            </w:pPr>
            <w:r>
              <w:rPr>
                <w:rFonts w:ascii="Times New Roman" w:eastAsia="宋体" w:hAnsi="Times New Roman"/>
                <w:color w:val="000000"/>
                <w:sz w:val="20"/>
                <w:szCs w:val="20"/>
              </w:rPr>
              <w:t>Cash dividends paid</w:t>
            </w:r>
          </w:p>
        </w:tc>
        <w:tc>
          <w:tcPr>
            <w:tcW w:w="0" w:type="auto"/>
            <w:gridSpan w:val="2"/>
            <w:shd w:val="clear" w:color="auto" w:fill="FFFFFF"/>
            <w:tcMar>
              <w:top w:w="40" w:type="dxa"/>
              <w:left w:w="20" w:type="dxa"/>
              <w:bottom w:w="40" w:type="dxa"/>
              <w:right w:w="0" w:type="dxa"/>
            </w:tcMar>
            <w:vAlign w:val="center"/>
          </w:tcPr>
          <w:p w14:paraId="64296E08" w14:textId="77777777" w:rsidR="007B6C97" w:rsidRDefault="00E426D1">
            <w:pPr>
              <w:jc w:val="right"/>
              <w:textAlignment w:val="center"/>
            </w:pPr>
            <w:r>
              <w:rPr>
                <w:rFonts w:ascii="Times New Roman" w:eastAsia="宋体" w:hAnsi="Times New Roman"/>
                <w:color w:val="000000"/>
                <w:sz w:val="20"/>
                <w:szCs w:val="20"/>
              </w:rPr>
              <w:t>(1,701.1)</w:t>
            </w:r>
          </w:p>
        </w:tc>
        <w:tc>
          <w:tcPr>
            <w:tcW w:w="0" w:type="auto"/>
            <w:shd w:val="clear" w:color="auto" w:fill="FFFFFF"/>
            <w:tcMar>
              <w:top w:w="40" w:type="dxa"/>
              <w:left w:w="0" w:type="dxa"/>
              <w:bottom w:w="40" w:type="dxa"/>
              <w:right w:w="20" w:type="dxa"/>
            </w:tcMar>
            <w:vAlign w:val="center"/>
          </w:tcPr>
          <w:p w14:paraId="64296E0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0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E0B" w14:textId="77777777" w:rsidR="007B6C97" w:rsidRDefault="00E426D1">
            <w:pPr>
              <w:jc w:val="right"/>
              <w:textAlignment w:val="center"/>
            </w:pPr>
            <w:r>
              <w:rPr>
                <w:rFonts w:ascii="Times New Roman" w:eastAsia="宋体" w:hAnsi="Times New Roman"/>
                <w:color w:val="000000"/>
                <w:sz w:val="20"/>
                <w:szCs w:val="20"/>
              </w:rPr>
              <w:t>(1,588.2)</w:t>
            </w:r>
          </w:p>
        </w:tc>
        <w:tc>
          <w:tcPr>
            <w:tcW w:w="0" w:type="auto"/>
            <w:shd w:val="clear" w:color="auto" w:fill="FFFFFF"/>
            <w:tcMar>
              <w:top w:w="40" w:type="dxa"/>
              <w:left w:w="0" w:type="dxa"/>
              <w:bottom w:w="40" w:type="dxa"/>
              <w:right w:w="20" w:type="dxa"/>
            </w:tcMar>
            <w:vAlign w:val="center"/>
          </w:tcPr>
          <w:p w14:paraId="64296E0C" w14:textId="77777777" w:rsidR="007B6C97" w:rsidRDefault="007B6C97">
            <w:pPr>
              <w:jc w:val="right"/>
              <w:rPr>
                <w:rFonts w:ascii="宋体"/>
              </w:rPr>
            </w:pPr>
          </w:p>
        </w:tc>
      </w:tr>
      <w:tr w:rsidR="007B6C97" w14:paraId="64296E14" w14:textId="77777777">
        <w:trPr>
          <w:jc w:val="center"/>
        </w:trPr>
        <w:tc>
          <w:tcPr>
            <w:tcW w:w="0" w:type="auto"/>
            <w:gridSpan w:val="3"/>
            <w:shd w:val="clear" w:color="auto" w:fill="D7E4BC"/>
            <w:tcMar>
              <w:top w:w="40" w:type="dxa"/>
              <w:left w:w="20" w:type="dxa"/>
              <w:bottom w:w="40" w:type="dxa"/>
              <w:right w:w="20" w:type="dxa"/>
            </w:tcMar>
            <w:vAlign w:val="center"/>
          </w:tcPr>
          <w:p w14:paraId="64296E0E" w14:textId="77777777" w:rsidR="007B6C97" w:rsidRDefault="00E426D1">
            <w:pPr>
              <w:textAlignment w:val="center"/>
            </w:pPr>
            <w:r>
              <w:rPr>
                <w:rFonts w:ascii="Times New Roman" w:eastAsia="宋体" w:hAnsi="Times New Roman"/>
                <w:color w:val="000000"/>
                <w:sz w:val="20"/>
                <w:szCs w:val="20"/>
              </w:rPr>
              <w:t>Repurchase of common stock</w:t>
            </w:r>
          </w:p>
        </w:tc>
        <w:tc>
          <w:tcPr>
            <w:tcW w:w="0" w:type="auto"/>
            <w:gridSpan w:val="2"/>
            <w:shd w:val="clear" w:color="auto" w:fill="D7E4BC"/>
            <w:tcMar>
              <w:top w:w="40" w:type="dxa"/>
              <w:left w:w="20" w:type="dxa"/>
              <w:bottom w:w="40" w:type="dxa"/>
              <w:right w:w="0" w:type="dxa"/>
            </w:tcMar>
            <w:vAlign w:val="center"/>
          </w:tcPr>
          <w:p w14:paraId="64296E0F" w14:textId="77777777" w:rsidR="007B6C97" w:rsidRDefault="00E426D1">
            <w:pPr>
              <w:jc w:val="right"/>
              <w:textAlignment w:val="center"/>
            </w:pPr>
            <w:r>
              <w:rPr>
                <w:rFonts w:ascii="Times New Roman" w:eastAsia="宋体" w:hAnsi="Times New Roman"/>
                <w:color w:val="000000"/>
                <w:sz w:val="20"/>
                <w:szCs w:val="20"/>
              </w:rPr>
              <w:t>(4,013.0)</w:t>
            </w:r>
          </w:p>
        </w:tc>
        <w:tc>
          <w:tcPr>
            <w:tcW w:w="0" w:type="auto"/>
            <w:shd w:val="clear" w:color="auto" w:fill="D7E4BC"/>
            <w:tcMar>
              <w:top w:w="40" w:type="dxa"/>
              <w:left w:w="0" w:type="dxa"/>
              <w:bottom w:w="40" w:type="dxa"/>
              <w:right w:w="20" w:type="dxa"/>
            </w:tcMar>
            <w:vAlign w:val="center"/>
          </w:tcPr>
          <w:p w14:paraId="64296E1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1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E12"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4296E13" w14:textId="77777777" w:rsidR="007B6C97" w:rsidRDefault="007B6C97">
            <w:pPr>
              <w:jc w:val="right"/>
              <w:rPr>
                <w:rFonts w:ascii="宋体"/>
              </w:rPr>
            </w:pPr>
          </w:p>
        </w:tc>
      </w:tr>
      <w:tr w:rsidR="007B6C97" w14:paraId="64296E1B" w14:textId="77777777">
        <w:trPr>
          <w:jc w:val="center"/>
        </w:trPr>
        <w:tc>
          <w:tcPr>
            <w:tcW w:w="0" w:type="auto"/>
            <w:gridSpan w:val="3"/>
            <w:shd w:val="clear" w:color="auto" w:fill="FFFFFF"/>
            <w:tcMar>
              <w:top w:w="40" w:type="dxa"/>
              <w:left w:w="20" w:type="dxa"/>
              <w:bottom w:w="40" w:type="dxa"/>
              <w:right w:w="20" w:type="dxa"/>
            </w:tcMar>
            <w:vAlign w:val="center"/>
          </w:tcPr>
          <w:p w14:paraId="64296E15" w14:textId="77777777" w:rsidR="007B6C97" w:rsidRDefault="00E426D1">
            <w:pPr>
              <w:textAlignment w:val="center"/>
            </w:pPr>
            <w:r>
              <w:rPr>
                <w:rFonts w:ascii="Times New Roman" w:eastAsia="宋体" w:hAnsi="Times New Roman"/>
                <w:color w:val="000000"/>
                <w:sz w:val="20"/>
                <w:szCs w:val="20"/>
              </w:rPr>
              <w:t>Minimum tax withholdings on share-based awards</w:t>
            </w:r>
          </w:p>
        </w:tc>
        <w:tc>
          <w:tcPr>
            <w:tcW w:w="0" w:type="auto"/>
            <w:gridSpan w:val="2"/>
            <w:shd w:val="clear" w:color="auto" w:fill="FFFFFF"/>
            <w:tcMar>
              <w:top w:w="40" w:type="dxa"/>
              <w:left w:w="20" w:type="dxa"/>
              <w:bottom w:w="40" w:type="dxa"/>
              <w:right w:w="0" w:type="dxa"/>
            </w:tcMar>
            <w:vAlign w:val="center"/>
          </w:tcPr>
          <w:p w14:paraId="64296E16" w14:textId="77777777" w:rsidR="007B6C97" w:rsidRDefault="00E426D1">
            <w:pPr>
              <w:jc w:val="right"/>
              <w:textAlignment w:val="center"/>
            </w:pPr>
            <w:r>
              <w:rPr>
                <w:rFonts w:ascii="Times New Roman" w:eastAsia="宋体" w:hAnsi="Times New Roman"/>
                <w:color w:val="000000"/>
                <w:sz w:val="20"/>
                <w:szCs w:val="20"/>
              </w:rPr>
              <w:t>(123.5)</w:t>
            </w:r>
          </w:p>
        </w:tc>
        <w:tc>
          <w:tcPr>
            <w:tcW w:w="0" w:type="auto"/>
            <w:shd w:val="clear" w:color="auto" w:fill="FFFFFF"/>
            <w:tcMar>
              <w:top w:w="40" w:type="dxa"/>
              <w:left w:w="0" w:type="dxa"/>
              <w:bottom w:w="40" w:type="dxa"/>
              <w:right w:w="20" w:type="dxa"/>
            </w:tcMar>
            <w:vAlign w:val="center"/>
          </w:tcPr>
          <w:p w14:paraId="64296E1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1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E19" w14:textId="77777777" w:rsidR="007B6C97" w:rsidRDefault="00E426D1">
            <w:pPr>
              <w:jc w:val="right"/>
              <w:textAlignment w:val="center"/>
            </w:pPr>
            <w:r>
              <w:rPr>
                <w:rFonts w:ascii="Times New Roman" w:eastAsia="宋体" w:hAnsi="Times New Roman"/>
                <w:color w:val="000000"/>
                <w:sz w:val="20"/>
                <w:szCs w:val="20"/>
              </w:rPr>
              <w:t>(94.2)</w:t>
            </w:r>
          </w:p>
        </w:tc>
        <w:tc>
          <w:tcPr>
            <w:tcW w:w="0" w:type="auto"/>
            <w:shd w:val="clear" w:color="auto" w:fill="FFFFFF"/>
            <w:tcMar>
              <w:top w:w="40" w:type="dxa"/>
              <w:left w:w="0" w:type="dxa"/>
              <w:bottom w:w="40" w:type="dxa"/>
              <w:right w:w="20" w:type="dxa"/>
            </w:tcMar>
            <w:vAlign w:val="center"/>
          </w:tcPr>
          <w:p w14:paraId="64296E1A" w14:textId="77777777" w:rsidR="007B6C97" w:rsidRDefault="007B6C97">
            <w:pPr>
              <w:jc w:val="right"/>
              <w:rPr>
                <w:rFonts w:ascii="宋体"/>
              </w:rPr>
            </w:pPr>
          </w:p>
        </w:tc>
      </w:tr>
      <w:tr w:rsidR="007B6C97" w14:paraId="64296E22" w14:textId="77777777">
        <w:trPr>
          <w:jc w:val="center"/>
        </w:trPr>
        <w:tc>
          <w:tcPr>
            <w:tcW w:w="0" w:type="auto"/>
            <w:gridSpan w:val="3"/>
            <w:shd w:val="clear" w:color="auto" w:fill="D7E4BC"/>
            <w:tcMar>
              <w:top w:w="40" w:type="dxa"/>
              <w:left w:w="20" w:type="dxa"/>
              <w:bottom w:w="40" w:type="dxa"/>
              <w:right w:w="20" w:type="dxa"/>
            </w:tcMar>
            <w:vAlign w:val="center"/>
          </w:tcPr>
          <w:p w14:paraId="64296E1C" w14:textId="77777777" w:rsidR="007B6C97" w:rsidRDefault="00E426D1">
            <w:pPr>
              <w:textAlignment w:val="center"/>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center"/>
          </w:tcPr>
          <w:p w14:paraId="64296E1D" w14:textId="77777777" w:rsidR="007B6C97" w:rsidRDefault="00E426D1">
            <w:pPr>
              <w:jc w:val="right"/>
              <w:textAlignment w:val="center"/>
            </w:pPr>
            <w:r>
              <w:rPr>
                <w:rFonts w:ascii="Times New Roman" w:eastAsia="宋体" w:hAnsi="Times New Roman"/>
                <w:color w:val="000000"/>
                <w:sz w:val="20"/>
                <w:szCs w:val="20"/>
              </w:rPr>
              <w:t>(9.2)</w:t>
            </w:r>
          </w:p>
        </w:tc>
        <w:tc>
          <w:tcPr>
            <w:tcW w:w="0" w:type="auto"/>
            <w:shd w:val="clear" w:color="auto" w:fill="D7E4BC"/>
            <w:tcMar>
              <w:top w:w="40" w:type="dxa"/>
              <w:left w:w="0" w:type="dxa"/>
              <w:bottom w:w="40" w:type="dxa"/>
              <w:right w:w="20" w:type="dxa"/>
            </w:tcMar>
            <w:vAlign w:val="center"/>
          </w:tcPr>
          <w:p w14:paraId="64296E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E20"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4296E21" w14:textId="77777777" w:rsidR="007B6C97" w:rsidRDefault="007B6C97">
            <w:pPr>
              <w:jc w:val="right"/>
              <w:rPr>
                <w:rFonts w:ascii="宋体"/>
              </w:rPr>
            </w:pPr>
          </w:p>
        </w:tc>
      </w:tr>
      <w:tr w:rsidR="007B6C97" w14:paraId="64296E29" w14:textId="77777777">
        <w:trPr>
          <w:jc w:val="center"/>
        </w:trPr>
        <w:tc>
          <w:tcPr>
            <w:tcW w:w="0" w:type="auto"/>
            <w:gridSpan w:val="3"/>
            <w:shd w:val="clear" w:color="auto" w:fill="FFFFFF"/>
            <w:tcMar>
              <w:top w:w="40" w:type="dxa"/>
              <w:left w:w="20" w:type="dxa"/>
              <w:bottom w:w="40" w:type="dxa"/>
              <w:right w:w="20" w:type="dxa"/>
            </w:tcMar>
            <w:vAlign w:val="center"/>
          </w:tcPr>
          <w:p w14:paraId="64296E23" w14:textId="77777777" w:rsidR="007B6C97" w:rsidRDefault="00E426D1">
            <w:pPr>
              <w:textAlignment w:val="center"/>
            </w:pPr>
            <w:r>
              <w:rPr>
                <w:rFonts w:ascii="Times New Roman" w:eastAsia="宋体" w:hAnsi="Times New Roman"/>
                <w:color w:val="000000"/>
                <w:sz w:val="20"/>
                <w:szCs w:val="20"/>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E24" w14:textId="77777777" w:rsidR="007B6C97" w:rsidRDefault="00E426D1">
            <w:pPr>
              <w:jc w:val="right"/>
              <w:textAlignment w:val="center"/>
            </w:pPr>
            <w:r>
              <w:rPr>
                <w:rFonts w:ascii="Times New Roman" w:eastAsia="宋体" w:hAnsi="Times New Roman"/>
                <w:color w:val="000000"/>
                <w:sz w:val="20"/>
                <w:szCs w:val="20"/>
              </w:rPr>
              <w:t>(5,073.2)</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E2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26"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E27" w14:textId="77777777" w:rsidR="007B6C97" w:rsidRDefault="00E426D1">
            <w:pPr>
              <w:jc w:val="right"/>
              <w:textAlignment w:val="center"/>
            </w:pPr>
            <w:r>
              <w:rPr>
                <w:rFonts w:ascii="Times New Roman" w:eastAsia="宋体" w:hAnsi="Times New Roman"/>
                <w:color w:val="000000"/>
                <w:sz w:val="20"/>
                <w:szCs w:val="20"/>
              </w:rPr>
              <w:t>(3,167.9)</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E28" w14:textId="77777777" w:rsidR="007B6C97" w:rsidRDefault="007B6C97">
            <w:pPr>
              <w:jc w:val="right"/>
              <w:rPr>
                <w:rFonts w:ascii="宋体"/>
              </w:rPr>
            </w:pPr>
          </w:p>
        </w:tc>
      </w:tr>
      <w:tr w:rsidR="007B6C97" w14:paraId="64296E30" w14:textId="77777777">
        <w:trPr>
          <w:jc w:val="center"/>
        </w:trPr>
        <w:tc>
          <w:tcPr>
            <w:tcW w:w="0" w:type="auto"/>
            <w:gridSpan w:val="3"/>
            <w:shd w:val="clear" w:color="auto" w:fill="D7E4BC"/>
            <w:tcMar>
              <w:top w:w="40" w:type="dxa"/>
              <w:left w:w="20" w:type="dxa"/>
              <w:bottom w:w="40" w:type="dxa"/>
              <w:right w:w="20" w:type="dxa"/>
            </w:tcMar>
            <w:vAlign w:val="center"/>
          </w:tcPr>
          <w:p w14:paraId="64296E2A" w14:textId="77777777" w:rsidR="007B6C97" w:rsidRDefault="00E426D1">
            <w:pPr>
              <w:textAlignment w:val="center"/>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D7E4BC"/>
            <w:tcMar>
              <w:top w:w="40" w:type="dxa"/>
              <w:left w:w="20" w:type="dxa"/>
              <w:bottom w:w="40" w:type="dxa"/>
              <w:right w:w="0" w:type="dxa"/>
            </w:tcMar>
            <w:vAlign w:val="center"/>
          </w:tcPr>
          <w:p w14:paraId="64296E2B" w14:textId="77777777" w:rsidR="007B6C97" w:rsidRDefault="00E426D1">
            <w:pPr>
              <w:jc w:val="right"/>
              <w:textAlignment w:val="center"/>
            </w:pPr>
            <w:r>
              <w:rPr>
                <w:rFonts w:ascii="Times New Roman" w:eastAsia="宋体" w:hAnsi="Times New Roman"/>
                <w:color w:val="000000"/>
                <w:sz w:val="20"/>
                <w:szCs w:val="20"/>
              </w:rPr>
              <w:t>(126.3)</w:t>
            </w:r>
          </w:p>
        </w:tc>
        <w:tc>
          <w:tcPr>
            <w:tcW w:w="0" w:type="auto"/>
            <w:shd w:val="clear" w:color="auto" w:fill="D7E4BC"/>
            <w:tcMar>
              <w:top w:w="40" w:type="dxa"/>
              <w:left w:w="0" w:type="dxa"/>
              <w:bottom w:w="40" w:type="dxa"/>
              <w:right w:w="20" w:type="dxa"/>
            </w:tcMar>
            <w:vAlign w:val="center"/>
          </w:tcPr>
          <w:p w14:paraId="64296E2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2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6E2E" w14:textId="77777777" w:rsidR="007B6C97" w:rsidRDefault="00E426D1">
            <w:pPr>
              <w:jc w:val="right"/>
              <w:textAlignment w:val="center"/>
            </w:pPr>
            <w:r>
              <w:rPr>
                <w:rFonts w:ascii="Times New Roman" w:eastAsia="宋体" w:hAnsi="Times New Roman"/>
                <w:color w:val="000000"/>
                <w:sz w:val="20"/>
                <w:szCs w:val="20"/>
              </w:rPr>
              <w:t>87.9 </w:t>
            </w:r>
          </w:p>
        </w:tc>
        <w:tc>
          <w:tcPr>
            <w:tcW w:w="0" w:type="auto"/>
            <w:shd w:val="clear" w:color="auto" w:fill="D7E4BC"/>
            <w:tcMar>
              <w:top w:w="40" w:type="dxa"/>
              <w:left w:w="0" w:type="dxa"/>
              <w:bottom w:w="40" w:type="dxa"/>
              <w:right w:w="20" w:type="dxa"/>
            </w:tcMar>
            <w:vAlign w:val="center"/>
          </w:tcPr>
          <w:p w14:paraId="64296E2F" w14:textId="77777777" w:rsidR="007B6C97" w:rsidRDefault="007B6C97">
            <w:pPr>
              <w:jc w:val="right"/>
              <w:rPr>
                <w:rFonts w:ascii="宋体"/>
              </w:rPr>
            </w:pPr>
          </w:p>
        </w:tc>
      </w:tr>
      <w:tr w:rsidR="007B6C97" w14:paraId="64296E37" w14:textId="77777777">
        <w:trPr>
          <w:jc w:val="center"/>
        </w:trPr>
        <w:tc>
          <w:tcPr>
            <w:tcW w:w="0" w:type="auto"/>
            <w:gridSpan w:val="3"/>
            <w:shd w:val="clear" w:color="auto" w:fill="FFFFFF"/>
            <w:tcMar>
              <w:top w:w="40" w:type="dxa"/>
              <w:left w:w="20" w:type="dxa"/>
              <w:bottom w:w="40" w:type="dxa"/>
              <w:right w:w="20" w:type="dxa"/>
            </w:tcMar>
            <w:vAlign w:val="center"/>
          </w:tcPr>
          <w:p w14:paraId="64296E31" w14:textId="77777777" w:rsidR="007B6C97" w:rsidRDefault="00E426D1">
            <w:pPr>
              <w:textAlignment w:val="center"/>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E32" w14:textId="77777777" w:rsidR="007B6C97" w:rsidRDefault="00E426D1">
            <w:pPr>
              <w:jc w:val="right"/>
              <w:textAlignment w:val="center"/>
            </w:pPr>
            <w:r>
              <w:rPr>
                <w:rFonts w:ascii="Times New Roman" w:eastAsia="宋体" w:hAnsi="Times New Roman"/>
                <w:color w:val="000000"/>
                <w:sz w:val="20"/>
                <w:szCs w:val="20"/>
              </w:rPr>
              <w:t>(3,278.2)</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E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34"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4296E35" w14:textId="77777777" w:rsidR="007B6C97" w:rsidRDefault="00E426D1">
            <w:pPr>
              <w:jc w:val="right"/>
              <w:textAlignment w:val="center"/>
            </w:pPr>
            <w:r>
              <w:rPr>
                <w:rFonts w:ascii="Times New Roman" w:eastAsia="宋体" w:hAnsi="Times New Roman"/>
                <w:color w:val="000000"/>
                <w:sz w:val="20"/>
                <w:szCs w:val="20"/>
              </w:rPr>
              <w:t>402.2 </w:t>
            </w:r>
          </w:p>
        </w:tc>
        <w:tc>
          <w:tcPr>
            <w:tcW w:w="0" w:type="auto"/>
            <w:tcBorders>
              <w:top w:val="single" w:sz="8" w:space="0" w:color="000000"/>
            </w:tcBorders>
            <w:shd w:val="clear" w:color="auto" w:fill="FFFFFF"/>
            <w:tcMar>
              <w:top w:w="40" w:type="dxa"/>
              <w:left w:w="0" w:type="dxa"/>
              <w:bottom w:w="40" w:type="dxa"/>
              <w:right w:w="20" w:type="dxa"/>
            </w:tcMar>
            <w:vAlign w:val="center"/>
          </w:tcPr>
          <w:p w14:paraId="64296E36" w14:textId="77777777" w:rsidR="007B6C97" w:rsidRDefault="007B6C97">
            <w:pPr>
              <w:jc w:val="right"/>
              <w:rPr>
                <w:rFonts w:ascii="宋体"/>
              </w:rPr>
            </w:pPr>
          </w:p>
        </w:tc>
      </w:tr>
      <w:tr w:rsidR="007B6C97" w14:paraId="64296E3C" w14:textId="77777777">
        <w:trPr>
          <w:jc w:val="center"/>
        </w:trPr>
        <w:tc>
          <w:tcPr>
            <w:tcW w:w="0" w:type="auto"/>
            <w:gridSpan w:val="3"/>
            <w:shd w:val="clear" w:color="auto" w:fill="D7E4BC"/>
            <w:tcMar>
              <w:top w:w="40" w:type="dxa"/>
              <w:left w:w="20" w:type="dxa"/>
              <w:bottom w:w="40" w:type="dxa"/>
              <w:right w:w="20" w:type="dxa"/>
            </w:tcMar>
            <w:vAlign w:val="center"/>
          </w:tcPr>
          <w:p w14:paraId="64296E38" w14:textId="77777777" w:rsidR="007B6C97" w:rsidRDefault="00E426D1">
            <w:pPr>
              <w:textAlignment w:val="center"/>
            </w:pPr>
            <w:r>
              <w:rPr>
                <w:rFonts w:ascii="Times New Roman" w:eastAsia="宋体" w:hAnsi="Times New Roman"/>
                <w:color w:val="000000"/>
                <w:sz w:val="20"/>
                <w:szCs w:val="20"/>
              </w:rPr>
              <w:t>CASH AND CASH EQUIVALENTS:</w:t>
            </w:r>
          </w:p>
        </w:tc>
        <w:tc>
          <w:tcPr>
            <w:tcW w:w="0" w:type="auto"/>
            <w:gridSpan w:val="3"/>
            <w:shd w:val="clear" w:color="auto" w:fill="D7E4BC"/>
            <w:tcMar>
              <w:top w:w="0" w:type="dxa"/>
              <w:left w:w="20" w:type="dxa"/>
              <w:bottom w:w="0" w:type="dxa"/>
              <w:right w:w="20" w:type="dxa"/>
            </w:tcMar>
            <w:vAlign w:val="bottom"/>
          </w:tcPr>
          <w:p w14:paraId="64296E3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E3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E3B" w14:textId="77777777" w:rsidR="007B6C97" w:rsidRDefault="007B6C97">
            <w:pPr>
              <w:rPr>
                <w:rFonts w:ascii="宋体"/>
              </w:rPr>
            </w:pPr>
          </w:p>
        </w:tc>
      </w:tr>
      <w:tr w:rsidR="007B6C97" w14:paraId="64296E43" w14:textId="77777777">
        <w:trPr>
          <w:jc w:val="center"/>
        </w:trPr>
        <w:tc>
          <w:tcPr>
            <w:tcW w:w="0" w:type="auto"/>
            <w:gridSpan w:val="3"/>
            <w:shd w:val="clear" w:color="auto" w:fill="FFFFFF"/>
            <w:tcMar>
              <w:top w:w="40" w:type="dxa"/>
              <w:left w:w="20" w:type="dxa"/>
              <w:bottom w:w="40" w:type="dxa"/>
              <w:right w:w="20" w:type="dxa"/>
            </w:tcMar>
            <w:vAlign w:val="center"/>
          </w:tcPr>
          <w:p w14:paraId="64296E3D" w14:textId="77777777" w:rsidR="007B6C97" w:rsidRDefault="00E426D1">
            <w:pPr>
              <w:textAlignment w:val="center"/>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center"/>
          </w:tcPr>
          <w:p w14:paraId="64296E3E" w14:textId="77777777" w:rsidR="007B6C97" w:rsidRDefault="00E426D1">
            <w:pPr>
              <w:jc w:val="right"/>
              <w:textAlignment w:val="center"/>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center"/>
          </w:tcPr>
          <w:p w14:paraId="64296E3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4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6E41" w14:textId="77777777" w:rsidR="007B6C97" w:rsidRDefault="00E426D1">
            <w:pPr>
              <w:jc w:val="right"/>
              <w:textAlignment w:val="center"/>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center"/>
          </w:tcPr>
          <w:p w14:paraId="64296E42" w14:textId="77777777" w:rsidR="007B6C97" w:rsidRDefault="007B6C97">
            <w:pPr>
              <w:jc w:val="right"/>
              <w:rPr>
                <w:rFonts w:ascii="宋体"/>
              </w:rPr>
            </w:pPr>
          </w:p>
        </w:tc>
      </w:tr>
      <w:tr w:rsidR="007B6C97" w14:paraId="64296E4C" w14:textId="77777777">
        <w:trPr>
          <w:jc w:val="center"/>
        </w:trPr>
        <w:tc>
          <w:tcPr>
            <w:tcW w:w="0" w:type="auto"/>
            <w:gridSpan w:val="3"/>
            <w:shd w:val="clear" w:color="auto" w:fill="D7E4BC"/>
            <w:tcMar>
              <w:top w:w="40" w:type="dxa"/>
              <w:left w:w="20" w:type="dxa"/>
              <w:bottom w:w="40" w:type="dxa"/>
              <w:right w:w="20" w:type="dxa"/>
            </w:tcMar>
            <w:vAlign w:val="center"/>
          </w:tcPr>
          <w:p w14:paraId="64296E44" w14:textId="77777777" w:rsidR="007B6C97" w:rsidRDefault="00E426D1">
            <w:pPr>
              <w:textAlignment w:val="center"/>
            </w:pPr>
            <w:r>
              <w:rPr>
                <w:rFonts w:ascii="Times New Roman" w:eastAsia="宋体" w:hAnsi="Times New Roman"/>
                <w:color w:val="000000"/>
                <w:sz w:val="20"/>
                <w:szCs w:val="20"/>
              </w:rPr>
              <w:t xml:space="preserve">End </w:t>
            </w:r>
            <w:r>
              <w:rPr>
                <w:rFonts w:ascii="Times New Roman" w:eastAsia="宋体" w:hAnsi="Times New Roman"/>
                <w:color w:val="000000"/>
                <w:sz w:val="20"/>
                <w:szCs w:val="20"/>
              </w:rPr>
              <w:t>of period</w:t>
            </w:r>
          </w:p>
        </w:tc>
        <w:tc>
          <w:tcPr>
            <w:tcW w:w="0" w:type="auto"/>
            <w:tcBorders>
              <w:top w:val="single" w:sz="8" w:space="0" w:color="000000"/>
            </w:tcBorders>
            <w:shd w:val="clear" w:color="auto" w:fill="D7E4BC"/>
            <w:tcMar>
              <w:top w:w="40" w:type="dxa"/>
              <w:left w:w="20" w:type="dxa"/>
              <w:bottom w:w="40" w:type="dxa"/>
              <w:right w:w="0" w:type="dxa"/>
            </w:tcMar>
            <w:vAlign w:val="center"/>
          </w:tcPr>
          <w:p w14:paraId="64296E45"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E46" w14:textId="77777777" w:rsidR="007B6C97" w:rsidRDefault="00E426D1">
            <w:pPr>
              <w:jc w:val="right"/>
              <w:textAlignment w:val="center"/>
            </w:pPr>
            <w:r>
              <w:rPr>
                <w:rFonts w:ascii="Times New Roman" w:eastAsia="宋体" w:hAnsi="Times New Roman"/>
                <w:color w:val="000000"/>
                <w:sz w:val="20"/>
                <w:szCs w:val="20"/>
              </w:rPr>
              <w:t>3,177.5 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E4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4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4296E49" w14:textId="77777777" w:rsidR="007B6C97" w:rsidRDefault="00E426D1">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4296E4A" w14:textId="77777777" w:rsidR="007B6C97" w:rsidRDefault="00E426D1">
            <w:pPr>
              <w:jc w:val="right"/>
              <w:textAlignment w:val="center"/>
            </w:pPr>
            <w:r>
              <w:rPr>
                <w:rFonts w:ascii="Times New Roman" w:eastAsia="宋体" w:hAnsi="Times New Roman"/>
                <w:color w:val="000000"/>
                <w:sz w:val="20"/>
                <w:szCs w:val="20"/>
              </w:rPr>
              <w:t>4,753.1 </w:t>
            </w:r>
          </w:p>
        </w:tc>
        <w:tc>
          <w:tcPr>
            <w:tcW w:w="0" w:type="auto"/>
            <w:tcBorders>
              <w:top w:val="single" w:sz="8" w:space="0" w:color="000000"/>
            </w:tcBorders>
            <w:shd w:val="clear" w:color="auto" w:fill="D7E4BC"/>
            <w:tcMar>
              <w:top w:w="40" w:type="dxa"/>
              <w:left w:w="0" w:type="dxa"/>
              <w:bottom w:w="40" w:type="dxa"/>
              <w:right w:w="20" w:type="dxa"/>
            </w:tcMar>
            <w:vAlign w:val="center"/>
          </w:tcPr>
          <w:p w14:paraId="64296E4B" w14:textId="77777777" w:rsidR="007B6C97" w:rsidRDefault="007B6C97">
            <w:pPr>
              <w:jc w:val="right"/>
              <w:rPr>
                <w:rFonts w:ascii="宋体"/>
              </w:rPr>
            </w:pPr>
          </w:p>
        </w:tc>
      </w:tr>
      <w:tr w:rsidR="007B6C97" w14:paraId="64296E51" w14:textId="77777777">
        <w:trPr>
          <w:jc w:val="center"/>
        </w:trPr>
        <w:tc>
          <w:tcPr>
            <w:tcW w:w="0" w:type="auto"/>
            <w:gridSpan w:val="3"/>
            <w:shd w:val="clear" w:color="auto" w:fill="FFFFFF"/>
            <w:tcMar>
              <w:top w:w="40" w:type="dxa"/>
              <w:left w:w="20" w:type="dxa"/>
              <w:bottom w:w="40" w:type="dxa"/>
              <w:right w:w="20" w:type="dxa"/>
            </w:tcMar>
            <w:vAlign w:val="center"/>
          </w:tcPr>
          <w:p w14:paraId="64296E4D" w14:textId="77777777" w:rsidR="007B6C97" w:rsidRDefault="00E426D1">
            <w:pPr>
              <w:textAlignment w:val="center"/>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6E4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6E4F"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6E50" w14:textId="77777777" w:rsidR="007B6C97" w:rsidRDefault="007B6C97">
            <w:pPr>
              <w:rPr>
                <w:rFonts w:ascii="宋体"/>
              </w:rPr>
            </w:pPr>
          </w:p>
        </w:tc>
      </w:tr>
      <w:tr w:rsidR="007B6C97" w14:paraId="64296E56" w14:textId="77777777">
        <w:trPr>
          <w:jc w:val="center"/>
        </w:trPr>
        <w:tc>
          <w:tcPr>
            <w:tcW w:w="0" w:type="auto"/>
            <w:gridSpan w:val="3"/>
            <w:shd w:val="clear" w:color="auto" w:fill="D7E4BC"/>
            <w:tcMar>
              <w:top w:w="40" w:type="dxa"/>
              <w:left w:w="20" w:type="dxa"/>
              <w:bottom w:w="40" w:type="dxa"/>
              <w:right w:w="20" w:type="dxa"/>
            </w:tcMar>
            <w:vAlign w:val="center"/>
          </w:tcPr>
          <w:p w14:paraId="64296E52" w14:textId="77777777" w:rsidR="007B6C97" w:rsidRDefault="00E426D1">
            <w:pPr>
              <w:textAlignment w:val="center"/>
            </w:pPr>
            <w:r>
              <w:rPr>
                <w:rFonts w:ascii="Times New Roman" w:eastAsia="宋体" w:hAnsi="Times New Roman"/>
                <w:color w:val="000000"/>
                <w:sz w:val="20"/>
                <w:szCs w:val="20"/>
              </w:rPr>
              <w:t>Cash paid during the period for:</w:t>
            </w:r>
          </w:p>
        </w:tc>
        <w:tc>
          <w:tcPr>
            <w:tcW w:w="0" w:type="auto"/>
            <w:gridSpan w:val="3"/>
            <w:shd w:val="clear" w:color="auto" w:fill="D7E4BC"/>
            <w:tcMar>
              <w:top w:w="0" w:type="dxa"/>
              <w:left w:w="20" w:type="dxa"/>
              <w:bottom w:w="0" w:type="dxa"/>
              <w:right w:w="20" w:type="dxa"/>
            </w:tcMar>
            <w:vAlign w:val="bottom"/>
          </w:tcPr>
          <w:p w14:paraId="64296E5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E5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E55" w14:textId="77777777" w:rsidR="007B6C97" w:rsidRDefault="007B6C97">
            <w:pPr>
              <w:rPr>
                <w:rFonts w:ascii="宋体"/>
              </w:rPr>
            </w:pPr>
          </w:p>
        </w:tc>
      </w:tr>
      <w:tr w:rsidR="007B6C97" w14:paraId="64296E5F" w14:textId="77777777">
        <w:trPr>
          <w:jc w:val="center"/>
        </w:trPr>
        <w:tc>
          <w:tcPr>
            <w:tcW w:w="0" w:type="auto"/>
            <w:gridSpan w:val="3"/>
            <w:shd w:val="clear" w:color="auto" w:fill="FFFFFF"/>
            <w:tcMar>
              <w:top w:w="40" w:type="dxa"/>
              <w:left w:w="20" w:type="dxa"/>
              <w:bottom w:w="40" w:type="dxa"/>
              <w:right w:w="20" w:type="dxa"/>
            </w:tcMar>
            <w:vAlign w:val="center"/>
          </w:tcPr>
          <w:p w14:paraId="64296E57" w14:textId="77777777" w:rsidR="007B6C97" w:rsidRDefault="00E426D1">
            <w:pPr>
              <w:textAlignment w:val="center"/>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right w:w="0" w:type="dxa"/>
            </w:tcMar>
            <w:vAlign w:val="center"/>
          </w:tcPr>
          <w:p w14:paraId="64296E58"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6E59" w14:textId="77777777" w:rsidR="007B6C97" w:rsidRDefault="00E426D1">
            <w:pPr>
              <w:jc w:val="right"/>
              <w:textAlignment w:val="center"/>
            </w:pPr>
            <w:r>
              <w:rPr>
                <w:rFonts w:ascii="Times New Roman" w:eastAsia="宋体" w:hAnsi="Times New Roman"/>
                <w:color w:val="000000"/>
                <w:sz w:val="20"/>
                <w:szCs w:val="20"/>
              </w:rPr>
              <w:t>344.9 </w:t>
            </w:r>
          </w:p>
        </w:tc>
        <w:tc>
          <w:tcPr>
            <w:tcW w:w="0" w:type="auto"/>
            <w:shd w:val="clear" w:color="auto" w:fill="FFFFFF"/>
            <w:tcMar>
              <w:top w:w="40" w:type="dxa"/>
              <w:left w:w="0" w:type="dxa"/>
              <w:bottom w:w="40" w:type="dxa"/>
              <w:right w:w="20" w:type="dxa"/>
            </w:tcMar>
            <w:vAlign w:val="center"/>
          </w:tcPr>
          <w:p w14:paraId="64296E5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E5B"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6E5C"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6E5D" w14:textId="77777777" w:rsidR="007B6C97" w:rsidRDefault="00E426D1">
            <w:pPr>
              <w:jc w:val="right"/>
              <w:textAlignment w:val="center"/>
            </w:pPr>
            <w:r>
              <w:rPr>
                <w:rFonts w:ascii="Times New Roman" w:eastAsia="宋体" w:hAnsi="Times New Roman"/>
                <w:color w:val="000000"/>
                <w:sz w:val="20"/>
                <w:szCs w:val="20"/>
              </w:rPr>
              <w:t>373.6 </w:t>
            </w:r>
          </w:p>
        </w:tc>
        <w:tc>
          <w:tcPr>
            <w:tcW w:w="0" w:type="auto"/>
            <w:shd w:val="clear" w:color="auto" w:fill="FFFFFF"/>
            <w:tcMar>
              <w:top w:w="40" w:type="dxa"/>
              <w:left w:w="0" w:type="dxa"/>
              <w:bottom w:w="40" w:type="dxa"/>
              <w:right w:w="20" w:type="dxa"/>
            </w:tcMar>
            <w:vAlign w:val="center"/>
          </w:tcPr>
          <w:p w14:paraId="64296E5E" w14:textId="77777777" w:rsidR="007B6C97" w:rsidRDefault="007B6C97">
            <w:pPr>
              <w:jc w:val="right"/>
              <w:rPr>
                <w:rFonts w:ascii="宋体"/>
              </w:rPr>
            </w:pPr>
          </w:p>
        </w:tc>
      </w:tr>
      <w:tr w:rsidR="007B6C97" w14:paraId="64296E68" w14:textId="77777777">
        <w:trPr>
          <w:jc w:val="center"/>
        </w:trPr>
        <w:tc>
          <w:tcPr>
            <w:tcW w:w="0" w:type="auto"/>
            <w:gridSpan w:val="3"/>
            <w:shd w:val="clear" w:color="auto" w:fill="D7E4BC"/>
            <w:tcMar>
              <w:top w:w="40" w:type="dxa"/>
              <w:left w:w="20" w:type="dxa"/>
              <w:bottom w:w="40" w:type="dxa"/>
              <w:right w:w="20" w:type="dxa"/>
            </w:tcMar>
            <w:vAlign w:val="center"/>
          </w:tcPr>
          <w:p w14:paraId="64296E60" w14:textId="77777777" w:rsidR="007B6C97" w:rsidRDefault="00E426D1">
            <w:pPr>
              <w:textAlignment w:val="center"/>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right w:w="0" w:type="dxa"/>
            </w:tcMar>
            <w:vAlign w:val="center"/>
          </w:tcPr>
          <w:p w14:paraId="64296E61"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center"/>
          </w:tcPr>
          <w:p w14:paraId="64296E62" w14:textId="77777777" w:rsidR="007B6C97" w:rsidRDefault="00E426D1">
            <w:pPr>
              <w:jc w:val="right"/>
              <w:textAlignment w:val="center"/>
            </w:pPr>
            <w:r>
              <w:rPr>
                <w:rFonts w:ascii="Times New Roman" w:eastAsia="宋体" w:hAnsi="Times New Roman"/>
                <w:color w:val="000000"/>
                <w:sz w:val="20"/>
                <w:szCs w:val="20"/>
              </w:rPr>
              <w:t>911.2 </w:t>
            </w:r>
          </w:p>
        </w:tc>
        <w:tc>
          <w:tcPr>
            <w:tcW w:w="0" w:type="auto"/>
            <w:shd w:val="clear" w:color="auto" w:fill="D7E4BC"/>
            <w:tcMar>
              <w:top w:w="40" w:type="dxa"/>
              <w:left w:w="0" w:type="dxa"/>
              <w:bottom w:w="40" w:type="dxa"/>
              <w:right w:w="20" w:type="dxa"/>
            </w:tcMar>
            <w:vAlign w:val="center"/>
          </w:tcPr>
          <w:p w14:paraId="64296E6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64" w14:textId="77777777" w:rsidR="007B6C97" w:rsidRDefault="007B6C97">
            <w:pPr>
              <w:rPr>
                <w:rFonts w:ascii="宋体"/>
              </w:rPr>
            </w:pPr>
          </w:p>
        </w:tc>
        <w:tc>
          <w:tcPr>
            <w:tcW w:w="0" w:type="auto"/>
            <w:shd w:val="clear" w:color="auto" w:fill="D7E4BC"/>
            <w:tcMar>
              <w:top w:w="40" w:type="dxa"/>
              <w:left w:w="20" w:type="dxa"/>
              <w:bottom w:w="40" w:type="dxa"/>
              <w:right w:w="0" w:type="dxa"/>
            </w:tcMar>
            <w:vAlign w:val="center"/>
          </w:tcPr>
          <w:p w14:paraId="64296E65"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center"/>
          </w:tcPr>
          <w:p w14:paraId="64296E66" w14:textId="77777777" w:rsidR="007B6C97" w:rsidRDefault="00E426D1">
            <w:pPr>
              <w:jc w:val="right"/>
              <w:textAlignment w:val="center"/>
            </w:pPr>
            <w:r>
              <w:rPr>
                <w:rFonts w:ascii="Times New Roman" w:eastAsia="宋体" w:hAnsi="Times New Roman"/>
                <w:color w:val="000000"/>
                <w:sz w:val="20"/>
                <w:szCs w:val="20"/>
              </w:rPr>
              <w:t>407.9 </w:t>
            </w:r>
          </w:p>
        </w:tc>
        <w:tc>
          <w:tcPr>
            <w:tcW w:w="0" w:type="auto"/>
            <w:shd w:val="clear" w:color="auto" w:fill="D7E4BC"/>
            <w:tcMar>
              <w:top w:w="40" w:type="dxa"/>
              <w:left w:w="0" w:type="dxa"/>
              <w:bottom w:w="40" w:type="dxa"/>
              <w:right w:w="20" w:type="dxa"/>
            </w:tcMar>
            <w:vAlign w:val="center"/>
          </w:tcPr>
          <w:p w14:paraId="64296E67" w14:textId="77777777" w:rsidR="007B6C97" w:rsidRDefault="007B6C97">
            <w:pPr>
              <w:jc w:val="right"/>
              <w:rPr>
                <w:rFonts w:ascii="宋体"/>
              </w:rPr>
            </w:pPr>
          </w:p>
        </w:tc>
      </w:tr>
      <w:tr w:rsidR="007B6C97" w14:paraId="64296E6D" w14:textId="77777777">
        <w:trPr>
          <w:jc w:val="center"/>
          <w:hidden/>
        </w:trPr>
        <w:tc>
          <w:tcPr>
            <w:tcW w:w="0" w:type="auto"/>
            <w:gridSpan w:val="3"/>
            <w:shd w:val="clear" w:color="auto" w:fill="auto"/>
            <w:vAlign w:val="bottom"/>
          </w:tcPr>
          <w:p w14:paraId="64296E69" w14:textId="77777777" w:rsidR="007B6C97" w:rsidRDefault="007B6C97">
            <w:pPr>
              <w:rPr>
                <w:rFonts w:ascii="宋体"/>
                <w:vanish/>
              </w:rPr>
            </w:pPr>
          </w:p>
        </w:tc>
        <w:tc>
          <w:tcPr>
            <w:tcW w:w="0" w:type="auto"/>
            <w:gridSpan w:val="3"/>
            <w:shd w:val="clear" w:color="auto" w:fill="auto"/>
            <w:vAlign w:val="bottom"/>
          </w:tcPr>
          <w:p w14:paraId="64296E6A" w14:textId="77777777" w:rsidR="007B6C97" w:rsidRDefault="007B6C97">
            <w:pPr>
              <w:rPr>
                <w:rFonts w:ascii="宋体"/>
                <w:vanish/>
              </w:rPr>
            </w:pPr>
          </w:p>
        </w:tc>
        <w:tc>
          <w:tcPr>
            <w:tcW w:w="0" w:type="auto"/>
            <w:gridSpan w:val="3"/>
            <w:shd w:val="clear" w:color="auto" w:fill="auto"/>
            <w:vAlign w:val="bottom"/>
          </w:tcPr>
          <w:p w14:paraId="64296E6B" w14:textId="77777777" w:rsidR="007B6C97" w:rsidRDefault="007B6C97">
            <w:pPr>
              <w:rPr>
                <w:rFonts w:ascii="宋体"/>
                <w:vanish/>
              </w:rPr>
            </w:pPr>
          </w:p>
        </w:tc>
        <w:tc>
          <w:tcPr>
            <w:tcW w:w="0" w:type="auto"/>
            <w:gridSpan w:val="3"/>
            <w:shd w:val="clear" w:color="auto" w:fill="auto"/>
            <w:vAlign w:val="bottom"/>
          </w:tcPr>
          <w:p w14:paraId="64296E6C" w14:textId="77777777" w:rsidR="007B6C97" w:rsidRDefault="007B6C97">
            <w:pPr>
              <w:rPr>
                <w:rFonts w:ascii="宋体"/>
                <w:vanish/>
              </w:rPr>
            </w:pPr>
          </w:p>
        </w:tc>
      </w:tr>
      <w:tr w:rsidR="007B6C97" w14:paraId="64296E72" w14:textId="77777777">
        <w:trPr>
          <w:jc w:val="center"/>
          <w:hidden/>
        </w:trPr>
        <w:tc>
          <w:tcPr>
            <w:tcW w:w="0" w:type="auto"/>
            <w:gridSpan w:val="3"/>
            <w:shd w:val="clear" w:color="auto" w:fill="auto"/>
            <w:vAlign w:val="bottom"/>
          </w:tcPr>
          <w:p w14:paraId="64296E6E" w14:textId="77777777" w:rsidR="007B6C97" w:rsidRDefault="007B6C97">
            <w:pPr>
              <w:rPr>
                <w:rFonts w:ascii="宋体"/>
                <w:vanish/>
              </w:rPr>
            </w:pPr>
          </w:p>
        </w:tc>
        <w:tc>
          <w:tcPr>
            <w:tcW w:w="0" w:type="auto"/>
            <w:gridSpan w:val="3"/>
            <w:shd w:val="clear" w:color="auto" w:fill="auto"/>
            <w:vAlign w:val="bottom"/>
          </w:tcPr>
          <w:p w14:paraId="64296E6F" w14:textId="77777777" w:rsidR="007B6C97" w:rsidRDefault="007B6C97">
            <w:pPr>
              <w:rPr>
                <w:rFonts w:ascii="宋体"/>
                <w:vanish/>
              </w:rPr>
            </w:pPr>
          </w:p>
        </w:tc>
        <w:tc>
          <w:tcPr>
            <w:tcW w:w="0" w:type="auto"/>
            <w:gridSpan w:val="3"/>
            <w:shd w:val="clear" w:color="auto" w:fill="auto"/>
            <w:vAlign w:val="bottom"/>
          </w:tcPr>
          <w:p w14:paraId="64296E70" w14:textId="77777777" w:rsidR="007B6C97" w:rsidRDefault="007B6C97">
            <w:pPr>
              <w:rPr>
                <w:rFonts w:ascii="宋体"/>
                <w:vanish/>
              </w:rPr>
            </w:pPr>
          </w:p>
        </w:tc>
        <w:tc>
          <w:tcPr>
            <w:tcW w:w="0" w:type="auto"/>
            <w:gridSpan w:val="3"/>
            <w:shd w:val="clear" w:color="auto" w:fill="auto"/>
            <w:vAlign w:val="bottom"/>
          </w:tcPr>
          <w:p w14:paraId="64296E71" w14:textId="77777777" w:rsidR="007B6C97" w:rsidRDefault="007B6C97">
            <w:pPr>
              <w:rPr>
                <w:rFonts w:ascii="宋体"/>
                <w:vanish/>
              </w:rPr>
            </w:pPr>
          </w:p>
        </w:tc>
      </w:tr>
    </w:tbl>
    <w:p w14:paraId="64296E73" w14:textId="77777777" w:rsidR="007B6C97" w:rsidRDefault="00E426D1">
      <w:pPr>
        <w:jc w:val="center"/>
      </w:pPr>
      <w:r>
        <w:rPr>
          <w:rFonts w:ascii="Times New Roman" w:eastAsia="宋体" w:hAnsi="Times New Roman"/>
          <w:i/>
          <w:iCs/>
          <w:color w:val="000000"/>
          <w:sz w:val="20"/>
          <w:szCs w:val="20"/>
        </w:rPr>
        <w:t xml:space="preserve">See Notes to </w:t>
      </w:r>
      <w:r>
        <w:rPr>
          <w:rFonts w:ascii="Times New Roman" w:eastAsia="宋体" w:hAnsi="Times New Roman"/>
          <w:i/>
          <w:iCs/>
          <w:color w:val="000000"/>
          <w:sz w:val="20"/>
          <w:szCs w:val="20"/>
        </w:rPr>
        <w:t>Consolidated Financial Statements.</w:t>
      </w:r>
    </w:p>
    <w:p w14:paraId="64296E74" w14:textId="77777777" w:rsidR="007B6C97" w:rsidRDefault="00E426D1">
      <w:pPr>
        <w:jc w:val="center"/>
      </w:pPr>
      <w:r>
        <w:rPr>
          <w:rFonts w:ascii="Times New Roman" w:eastAsia="宋体" w:hAnsi="Times New Roman"/>
          <w:color w:val="000000"/>
          <w:sz w:val="20"/>
          <w:szCs w:val="20"/>
        </w:rPr>
        <w:t>6</w:t>
      </w:r>
    </w:p>
    <w:p w14:paraId="64296E75" w14:textId="77777777" w:rsidR="007B6C97" w:rsidRDefault="00E426D1">
      <w:r>
        <w:pict w14:anchorId="642999E0">
          <v:rect id="_x0000_i1030" style="width:415.3pt;height:1.5pt" o:hralign="center" o:hrstd="t" o:hr="t" fillcolor="#a0a0a0" stroked="f"/>
        </w:pict>
      </w:r>
    </w:p>
    <w:p w14:paraId="64296E76" w14:textId="77777777" w:rsidR="007B6C97" w:rsidRDefault="00E426D1">
      <w:hyperlink r:id="rId55" w:anchor="ie38a2b375c9840e583a36769999bbee6_7" w:history="1">
        <w:r>
          <w:rPr>
            <w:rStyle w:val="a5"/>
            <w:rFonts w:ascii="Times New Roman" w:eastAsia="宋体" w:hAnsi="Times New Roman"/>
            <w:sz w:val="20"/>
            <w:szCs w:val="20"/>
          </w:rPr>
          <w:t>Table</w:t>
        </w:r>
      </w:hyperlink>
      <w:hyperlink r:id="rId56" w:anchor="ie38a2b375c9840e583a36769999bbee6_7" w:history="1">
        <w:r>
          <w:rPr>
            <w:rStyle w:val="a5"/>
            <w:rFonts w:ascii="Times New Roman" w:eastAsia="宋体" w:hAnsi="Times New Roman"/>
            <w:sz w:val="20"/>
            <w:szCs w:val="20"/>
          </w:rPr>
          <w:t xml:space="preserve"> of Contents</w:t>
        </w:r>
      </w:hyperlink>
    </w:p>
    <w:p w14:paraId="64296E77" w14:textId="77777777" w:rsidR="007B6C97" w:rsidRDefault="00E426D1">
      <w:pPr>
        <w:spacing w:before="280"/>
        <w:jc w:val="center"/>
      </w:pPr>
      <w:r>
        <w:rPr>
          <w:rFonts w:ascii="Times New Roman" w:eastAsia="宋体" w:hAnsi="Times New Roman"/>
          <w:b/>
          <w:bCs/>
          <w:color w:val="000000"/>
          <w:sz w:val="20"/>
          <w:szCs w:val="20"/>
        </w:rPr>
        <w:t>STARBUCKS CORPORATION</w:t>
      </w:r>
    </w:p>
    <w:p w14:paraId="64296E78" w14:textId="77777777" w:rsidR="007B6C97" w:rsidRDefault="00E426D1">
      <w:pPr>
        <w:jc w:val="center"/>
      </w:pPr>
      <w:r>
        <w:rPr>
          <w:rFonts w:ascii="Times New Roman" w:eastAsia="宋体" w:hAnsi="Times New Roman"/>
          <w:b/>
          <w:bCs/>
          <w:color w:val="000000"/>
          <w:sz w:val="20"/>
          <w:szCs w:val="20"/>
        </w:rPr>
        <w:t>CONSOLIDATED STATEMENTS OF EQUITY</w:t>
      </w:r>
    </w:p>
    <w:p w14:paraId="64296E79" w14:textId="77777777" w:rsidR="007B6C97" w:rsidRDefault="00E426D1">
      <w:pPr>
        <w:jc w:val="center"/>
      </w:pPr>
      <w:r>
        <w:rPr>
          <w:rFonts w:ascii="Times New Roman" w:eastAsia="宋体" w:hAnsi="Times New Roman"/>
          <w:i/>
          <w:iCs/>
          <w:color w:val="000000"/>
          <w:sz w:val="20"/>
          <w:szCs w:val="20"/>
        </w:rPr>
        <w:t>For the Quarters Ended July 3, 2022 and June 27, 2021</w:t>
      </w:r>
    </w:p>
    <w:p w14:paraId="64296E7A" w14:textId="77777777" w:rsidR="007B6C97" w:rsidRDefault="00E426D1">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7B6C97" w14:paraId="64296EAB" w14:textId="77777777">
        <w:trPr>
          <w:jc w:val="center"/>
        </w:trPr>
        <w:tc>
          <w:tcPr>
            <w:tcW w:w="50" w:type="pct"/>
            <w:shd w:val="clear" w:color="auto" w:fill="auto"/>
            <w:vAlign w:val="bottom"/>
          </w:tcPr>
          <w:p w14:paraId="64296E7B" w14:textId="77777777" w:rsidR="007B6C97" w:rsidRDefault="007B6C97">
            <w:pPr>
              <w:rPr>
                <w:rFonts w:ascii="宋体"/>
              </w:rPr>
            </w:pPr>
          </w:p>
        </w:tc>
        <w:tc>
          <w:tcPr>
            <w:tcW w:w="1330" w:type="pct"/>
            <w:shd w:val="clear" w:color="auto" w:fill="auto"/>
            <w:vAlign w:val="bottom"/>
          </w:tcPr>
          <w:p w14:paraId="64296E7C" w14:textId="77777777" w:rsidR="007B6C97" w:rsidRDefault="007B6C97">
            <w:pPr>
              <w:rPr>
                <w:rFonts w:ascii="宋体"/>
              </w:rPr>
            </w:pPr>
          </w:p>
        </w:tc>
        <w:tc>
          <w:tcPr>
            <w:tcW w:w="5" w:type="pct"/>
            <w:shd w:val="clear" w:color="auto" w:fill="auto"/>
            <w:vAlign w:val="bottom"/>
          </w:tcPr>
          <w:p w14:paraId="64296E7D" w14:textId="77777777" w:rsidR="007B6C97" w:rsidRDefault="007B6C97">
            <w:pPr>
              <w:rPr>
                <w:rFonts w:ascii="宋体"/>
              </w:rPr>
            </w:pPr>
          </w:p>
        </w:tc>
        <w:tc>
          <w:tcPr>
            <w:tcW w:w="50" w:type="pct"/>
            <w:shd w:val="clear" w:color="auto" w:fill="auto"/>
            <w:vAlign w:val="bottom"/>
          </w:tcPr>
          <w:p w14:paraId="64296E7E" w14:textId="77777777" w:rsidR="007B6C97" w:rsidRDefault="007B6C97">
            <w:pPr>
              <w:rPr>
                <w:rFonts w:ascii="宋体"/>
              </w:rPr>
            </w:pPr>
          </w:p>
        </w:tc>
        <w:tc>
          <w:tcPr>
            <w:tcW w:w="377" w:type="pct"/>
            <w:shd w:val="clear" w:color="auto" w:fill="auto"/>
            <w:vAlign w:val="bottom"/>
          </w:tcPr>
          <w:p w14:paraId="64296E7F" w14:textId="77777777" w:rsidR="007B6C97" w:rsidRDefault="007B6C97">
            <w:pPr>
              <w:rPr>
                <w:rFonts w:ascii="宋体"/>
              </w:rPr>
            </w:pPr>
          </w:p>
        </w:tc>
        <w:tc>
          <w:tcPr>
            <w:tcW w:w="5" w:type="pct"/>
            <w:shd w:val="clear" w:color="auto" w:fill="auto"/>
            <w:vAlign w:val="bottom"/>
          </w:tcPr>
          <w:p w14:paraId="64296E80" w14:textId="77777777" w:rsidR="007B6C97" w:rsidRDefault="007B6C97">
            <w:pPr>
              <w:rPr>
                <w:rFonts w:ascii="宋体"/>
              </w:rPr>
            </w:pPr>
          </w:p>
        </w:tc>
        <w:tc>
          <w:tcPr>
            <w:tcW w:w="5" w:type="pct"/>
            <w:shd w:val="clear" w:color="auto" w:fill="auto"/>
            <w:vAlign w:val="bottom"/>
          </w:tcPr>
          <w:p w14:paraId="64296E81" w14:textId="77777777" w:rsidR="007B6C97" w:rsidRDefault="007B6C97">
            <w:pPr>
              <w:rPr>
                <w:rFonts w:ascii="宋体"/>
              </w:rPr>
            </w:pPr>
          </w:p>
        </w:tc>
        <w:tc>
          <w:tcPr>
            <w:tcW w:w="11" w:type="pct"/>
            <w:shd w:val="clear" w:color="auto" w:fill="auto"/>
            <w:vAlign w:val="bottom"/>
          </w:tcPr>
          <w:p w14:paraId="64296E82" w14:textId="77777777" w:rsidR="007B6C97" w:rsidRDefault="007B6C97">
            <w:pPr>
              <w:rPr>
                <w:rFonts w:ascii="宋体"/>
              </w:rPr>
            </w:pPr>
          </w:p>
        </w:tc>
        <w:tc>
          <w:tcPr>
            <w:tcW w:w="5" w:type="pct"/>
            <w:shd w:val="clear" w:color="auto" w:fill="auto"/>
            <w:vAlign w:val="bottom"/>
          </w:tcPr>
          <w:p w14:paraId="64296E83" w14:textId="77777777" w:rsidR="007B6C97" w:rsidRDefault="007B6C97">
            <w:pPr>
              <w:rPr>
                <w:rFonts w:ascii="宋体"/>
              </w:rPr>
            </w:pPr>
          </w:p>
        </w:tc>
        <w:tc>
          <w:tcPr>
            <w:tcW w:w="50" w:type="pct"/>
            <w:shd w:val="clear" w:color="auto" w:fill="auto"/>
            <w:vAlign w:val="bottom"/>
          </w:tcPr>
          <w:p w14:paraId="64296E84" w14:textId="77777777" w:rsidR="007B6C97" w:rsidRDefault="007B6C97">
            <w:pPr>
              <w:rPr>
                <w:rFonts w:ascii="宋体"/>
              </w:rPr>
            </w:pPr>
          </w:p>
        </w:tc>
        <w:tc>
          <w:tcPr>
            <w:tcW w:w="377" w:type="pct"/>
            <w:shd w:val="clear" w:color="auto" w:fill="auto"/>
            <w:vAlign w:val="bottom"/>
          </w:tcPr>
          <w:p w14:paraId="64296E85" w14:textId="77777777" w:rsidR="007B6C97" w:rsidRDefault="007B6C97">
            <w:pPr>
              <w:rPr>
                <w:rFonts w:ascii="宋体"/>
              </w:rPr>
            </w:pPr>
          </w:p>
        </w:tc>
        <w:tc>
          <w:tcPr>
            <w:tcW w:w="5" w:type="pct"/>
            <w:shd w:val="clear" w:color="auto" w:fill="auto"/>
            <w:vAlign w:val="bottom"/>
          </w:tcPr>
          <w:p w14:paraId="64296E86" w14:textId="77777777" w:rsidR="007B6C97" w:rsidRDefault="007B6C97">
            <w:pPr>
              <w:rPr>
                <w:rFonts w:ascii="宋体"/>
              </w:rPr>
            </w:pPr>
          </w:p>
        </w:tc>
        <w:tc>
          <w:tcPr>
            <w:tcW w:w="5" w:type="pct"/>
            <w:shd w:val="clear" w:color="auto" w:fill="auto"/>
            <w:vAlign w:val="bottom"/>
          </w:tcPr>
          <w:p w14:paraId="64296E87" w14:textId="77777777" w:rsidR="007B6C97" w:rsidRDefault="007B6C97">
            <w:pPr>
              <w:rPr>
                <w:rFonts w:ascii="宋体"/>
              </w:rPr>
            </w:pPr>
          </w:p>
        </w:tc>
        <w:tc>
          <w:tcPr>
            <w:tcW w:w="11" w:type="pct"/>
            <w:shd w:val="clear" w:color="auto" w:fill="auto"/>
            <w:vAlign w:val="bottom"/>
          </w:tcPr>
          <w:p w14:paraId="64296E88" w14:textId="77777777" w:rsidR="007B6C97" w:rsidRDefault="007B6C97">
            <w:pPr>
              <w:rPr>
                <w:rFonts w:ascii="宋体"/>
              </w:rPr>
            </w:pPr>
          </w:p>
        </w:tc>
        <w:tc>
          <w:tcPr>
            <w:tcW w:w="5" w:type="pct"/>
            <w:shd w:val="clear" w:color="auto" w:fill="auto"/>
            <w:vAlign w:val="bottom"/>
          </w:tcPr>
          <w:p w14:paraId="64296E89" w14:textId="77777777" w:rsidR="007B6C97" w:rsidRDefault="007B6C97">
            <w:pPr>
              <w:rPr>
                <w:rFonts w:ascii="宋体"/>
              </w:rPr>
            </w:pPr>
          </w:p>
        </w:tc>
        <w:tc>
          <w:tcPr>
            <w:tcW w:w="50" w:type="pct"/>
            <w:shd w:val="clear" w:color="auto" w:fill="auto"/>
            <w:vAlign w:val="bottom"/>
          </w:tcPr>
          <w:p w14:paraId="64296E8A" w14:textId="77777777" w:rsidR="007B6C97" w:rsidRDefault="007B6C97">
            <w:pPr>
              <w:rPr>
                <w:rFonts w:ascii="宋体"/>
              </w:rPr>
            </w:pPr>
          </w:p>
        </w:tc>
        <w:tc>
          <w:tcPr>
            <w:tcW w:w="377" w:type="pct"/>
            <w:shd w:val="clear" w:color="auto" w:fill="auto"/>
            <w:vAlign w:val="bottom"/>
          </w:tcPr>
          <w:p w14:paraId="64296E8B" w14:textId="77777777" w:rsidR="007B6C97" w:rsidRDefault="007B6C97">
            <w:pPr>
              <w:rPr>
                <w:rFonts w:ascii="宋体"/>
              </w:rPr>
            </w:pPr>
          </w:p>
        </w:tc>
        <w:tc>
          <w:tcPr>
            <w:tcW w:w="5" w:type="pct"/>
            <w:shd w:val="clear" w:color="auto" w:fill="auto"/>
            <w:vAlign w:val="bottom"/>
          </w:tcPr>
          <w:p w14:paraId="64296E8C" w14:textId="77777777" w:rsidR="007B6C97" w:rsidRDefault="007B6C97">
            <w:pPr>
              <w:rPr>
                <w:rFonts w:ascii="宋体"/>
              </w:rPr>
            </w:pPr>
          </w:p>
        </w:tc>
        <w:tc>
          <w:tcPr>
            <w:tcW w:w="5" w:type="pct"/>
            <w:shd w:val="clear" w:color="auto" w:fill="auto"/>
            <w:vAlign w:val="bottom"/>
          </w:tcPr>
          <w:p w14:paraId="64296E8D" w14:textId="77777777" w:rsidR="007B6C97" w:rsidRDefault="007B6C97">
            <w:pPr>
              <w:rPr>
                <w:rFonts w:ascii="宋体"/>
              </w:rPr>
            </w:pPr>
          </w:p>
        </w:tc>
        <w:tc>
          <w:tcPr>
            <w:tcW w:w="11" w:type="pct"/>
            <w:shd w:val="clear" w:color="auto" w:fill="auto"/>
            <w:vAlign w:val="bottom"/>
          </w:tcPr>
          <w:p w14:paraId="64296E8E" w14:textId="77777777" w:rsidR="007B6C97" w:rsidRDefault="007B6C97">
            <w:pPr>
              <w:rPr>
                <w:rFonts w:ascii="宋体"/>
              </w:rPr>
            </w:pPr>
          </w:p>
        </w:tc>
        <w:tc>
          <w:tcPr>
            <w:tcW w:w="5" w:type="pct"/>
            <w:shd w:val="clear" w:color="auto" w:fill="auto"/>
            <w:vAlign w:val="bottom"/>
          </w:tcPr>
          <w:p w14:paraId="64296E8F" w14:textId="77777777" w:rsidR="007B6C97" w:rsidRDefault="007B6C97">
            <w:pPr>
              <w:rPr>
                <w:rFonts w:ascii="宋体"/>
              </w:rPr>
            </w:pPr>
          </w:p>
        </w:tc>
        <w:tc>
          <w:tcPr>
            <w:tcW w:w="50" w:type="pct"/>
            <w:shd w:val="clear" w:color="auto" w:fill="auto"/>
            <w:vAlign w:val="bottom"/>
          </w:tcPr>
          <w:p w14:paraId="64296E90" w14:textId="77777777" w:rsidR="007B6C97" w:rsidRDefault="007B6C97">
            <w:pPr>
              <w:rPr>
                <w:rFonts w:ascii="宋体"/>
              </w:rPr>
            </w:pPr>
          </w:p>
        </w:tc>
        <w:tc>
          <w:tcPr>
            <w:tcW w:w="377" w:type="pct"/>
            <w:shd w:val="clear" w:color="auto" w:fill="auto"/>
            <w:vAlign w:val="bottom"/>
          </w:tcPr>
          <w:p w14:paraId="64296E91" w14:textId="77777777" w:rsidR="007B6C97" w:rsidRDefault="007B6C97">
            <w:pPr>
              <w:rPr>
                <w:rFonts w:ascii="宋体"/>
              </w:rPr>
            </w:pPr>
          </w:p>
        </w:tc>
        <w:tc>
          <w:tcPr>
            <w:tcW w:w="5" w:type="pct"/>
            <w:shd w:val="clear" w:color="auto" w:fill="auto"/>
            <w:vAlign w:val="bottom"/>
          </w:tcPr>
          <w:p w14:paraId="64296E92" w14:textId="77777777" w:rsidR="007B6C97" w:rsidRDefault="007B6C97">
            <w:pPr>
              <w:rPr>
                <w:rFonts w:ascii="宋体"/>
              </w:rPr>
            </w:pPr>
          </w:p>
        </w:tc>
        <w:tc>
          <w:tcPr>
            <w:tcW w:w="5" w:type="pct"/>
            <w:shd w:val="clear" w:color="auto" w:fill="auto"/>
            <w:vAlign w:val="bottom"/>
          </w:tcPr>
          <w:p w14:paraId="64296E93" w14:textId="77777777" w:rsidR="007B6C97" w:rsidRDefault="007B6C97">
            <w:pPr>
              <w:rPr>
                <w:rFonts w:ascii="宋体"/>
              </w:rPr>
            </w:pPr>
          </w:p>
        </w:tc>
        <w:tc>
          <w:tcPr>
            <w:tcW w:w="11" w:type="pct"/>
            <w:shd w:val="clear" w:color="auto" w:fill="auto"/>
            <w:vAlign w:val="bottom"/>
          </w:tcPr>
          <w:p w14:paraId="64296E94" w14:textId="77777777" w:rsidR="007B6C97" w:rsidRDefault="007B6C97">
            <w:pPr>
              <w:rPr>
                <w:rFonts w:ascii="宋体"/>
              </w:rPr>
            </w:pPr>
          </w:p>
        </w:tc>
        <w:tc>
          <w:tcPr>
            <w:tcW w:w="5" w:type="pct"/>
            <w:shd w:val="clear" w:color="auto" w:fill="auto"/>
            <w:vAlign w:val="bottom"/>
          </w:tcPr>
          <w:p w14:paraId="64296E95" w14:textId="77777777" w:rsidR="007B6C97" w:rsidRDefault="007B6C97">
            <w:pPr>
              <w:rPr>
                <w:rFonts w:ascii="宋体"/>
              </w:rPr>
            </w:pPr>
          </w:p>
        </w:tc>
        <w:tc>
          <w:tcPr>
            <w:tcW w:w="50" w:type="pct"/>
            <w:shd w:val="clear" w:color="auto" w:fill="auto"/>
            <w:vAlign w:val="bottom"/>
          </w:tcPr>
          <w:p w14:paraId="64296E96" w14:textId="77777777" w:rsidR="007B6C97" w:rsidRDefault="007B6C97">
            <w:pPr>
              <w:rPr>
                <w:rFonts w:ascii="宋体"/>
              </w:rPr>
            </w:pPr>
          </w:p>
        </w:tc>
        <w:tc>
          <w:tcPr>
            <w:tcW w:w="377" w:type="pct"/>
            <w:shd w:val="clear" w:color="auto" w:fill="auto"/>
            <w:vAlign w:val="bottom"/>
          </w:tcPr>
          <w:p w14:paraId="64296E97" w14:textId="77777777" w:rsidR="007B6C97" w:rsidRDefault="007B6C97">
            <w:pPr>
              <w:rPr>
                <w:rFonts w:ascii="宋体"/>
              </w:rPr>
            </w:pPr>
          </w:p>
        </w:tc>
        <w:tc>
          <w:tcPr>
            <w:tcW w:w="5" w:type="pct"/>
            <w:shd w:val="clear" w:color="auto" w:fill="auto"/>
            <w:vAlign w:val="bottom"/>
          </w:tcPr>
          <w:p w14:paraId="64296E98" w14:textId="77777777" w:rsidR="007B6C97" w:rsidRDefault="007B6C97">
            <w:pPr>
              <w:rPr>
                <w:rFonts w:ascii="宋体"/>
              </w:rPr>
            </w:pPr>
          </w:p>
        </w:tc>
        <w:tc>
          <w:tcPr>
            <w:tcW w:w="5" w:type="pct"/>
            <w:shd w:val="clear" w:color="auto" w:fill="auto"/>
            <w:vAlign w:val="bottom"/>
          </w:tcPr>
          <w:p w14:paraId="64296E99" w14:textId="77777777" w:rsidR="007B6C97" w:rsidRDefault="007B6C97">
            <w:pPr>
              <w:rPr>
                <w:rFonts w:ascii="宋体"/>
              </w:rPr>
            </w:pPr>
          </w:p>
        </w:tc>
        <w:tc>
          <w:tcPr>
            <w:tcW w:w="11" w:type="pct"/>
            <w:shd w:val="clear" w:color="auto" w:fill="auto"/>
            <w:vAlign w:val="bottom"/>
          </w:tcPr>
          <w:p w14:paraId="64296E9A" w14:textId="77777777" w:rsidR="007B6C97" w:rsidRDefault="007B6C97">
            <w:pPr>
              <w:rPr>
                <w:rFonts w:ascii="宋体"/>
              </w:rPr>
            </w:pPr>
          </w:p>
        </w:tc>
        <w:tc>
          <w:tcPr>
            <w:tcW w:w="5" w:type="pct"/>
            <w:shd w:val="clear" w:color="auto" w:fill="auto"/>
            <w:vAlign w:val="bottom"/>
          </w:tcPr>
          <w:p w14:paraId="64296E9B" w14:textId="77777777" w:rsidR="007B6C97" w:rsidRDefault="007B6C97">
            <w:pPr>
              <w:rPr>
                <w:rFonts w:ascii="宋体"/>
              </w:rPr>
            </w:pPr>
          </w:p>
        </w:tc>
        <w:tc>
          <w:tcPr>
            <w:tcW w:w="50" w:type="pct"/>
            <w:shd w:val="clear" w:color="auto" w:fill="auto"/>
            <w:vAlign w:val="bottom"/>
          </w:tcPr>
          <w:p w14:paraId="64296E9C" w14:textId="77777777" w:rsidR="007B6C97" w:rsidRDefault="007B6C97">
            <w:pPr>
              <w:rPr>
                <w:rFonts w:ascii="宋体"/>
              </w:rPr>
            </w:pPr>
          </w:p>
        </w:tc>
        <w:tc>
          <w:tcPr>
            <w:tcW w:w="377" w:type="pct"/>
            <w:shd w:val="clear" w:color="auto" w:fill="auto"/>
            <w:vAlign w:val="bottom"/>
          </w:tcPr>
          <w:p w14:paraId="64296E9D" w14:textId="77777777" w:rsidR="007B6C97" w:rsidRDefault="007B6C97">
            <w:pPr>
              <w:rPr>
                <w:rFonts w:ascii="宋体"/>
              </w:rPr>
            </w:pPr>
          </w:p>
        </w:tc>
        <w:tc>
          <w:tcPr>
            <w:tcW w:w="5" w:type="pct"/>
            <w:shd w:val="clear" w:color="auto" w:fill="auto"/>
            <w:vAlign w:val="bottom"/>
          </w:tcPr>
          <w:p w14:paraId="64296E9E" w14:textId="77777777" w:rsidR="007B6C97" w:rsidRDefault="007B6C97">
            <w:pPr>
              <w:rPr>
                <w:rFonts w:ascii="宋体"/>
              </w:rPr>
            </w:pPr>
          </w:p>
        </w:tc>
        <w:tc>
          <w:tcPr>
            <w:tcW w:w="5" w:type="pct"/>
            <w:shd w:val="clear" w:color="auto" w:fill="auto"/>
            <w:vAlign w:val="bottom"/>
          </w:tcPr>
          <w:p w14:paraId="64296E9F" w14:textId="77777777" w:rsidR="007B6C97" w:rsidRDefault="007B6C97">
            <w:pPr>
              <w:rPr>
                <w:rFonts w:ascii="宋体"/>
              </w:rPr>
            </w:pPr>
          </w:p>
        </w:tc>
        <w:tc>
          <w:tcPr>
            <w:tcW w:w="11" w:type="pct"/>
            <w:shd w:val="clear" w:color="auto" w:fill="auto"/>
            <w:vAlign w:val="bottom"/>
          </w:tcPr>
          <w:p w14:paraId="64296EA0" w14:textId="77777777" w:rsidR="007B6C97" w:rsidRDefault="007B6C97">
            <w:pPr>
              <w:rPr>
                <w:rFonts w:ascii="宋体"/>
              </w:rPr>
            </w:pPr>
          </w:p>
        </w:tc>
        <w:tc>
          <w:tcPr>
            <w:tcW w:w="5" w:type="pct"/>
            <w:shd w:val="clear" w:color="auto" w:fill="auto"/>
            <w:vAlign w:val="bottom"/>
          </w:tcPr>
          <w:p w14:paraId="64296EA1" w14:textId="77777777" w:rsidR="007B6C97" w:rsidRDefault="007B6C97">
            <w:pPr>
              <w:rPr>
                <w:rFonts w:ascii="宋体"/>
              </w:rPr>
            </w:pPr>
          </w:p>
        </w:tc>
        <w:tc>
          <w:tcPr>
            <w:tcW w:w="50" w:type="pct"/>
            <w:shd w:val="clear" w:color="auto" w:fill="auto"/>
            <w:vAlign w:val="bottom"/>
          </w:tcPr>
          <w:p w14:paraId="64296EA2" w14:textId="77777777" w:rsidR="007B6C97" w:rsidRDefault="007B6C97">
            <w:pPr>
              <w:rPr>
                <w:rFonts w:ascii="宋体"/>
              </w:rPr>
            </w:pPr>
          </w:p>
        </w:tc>
        <w:tc>
          <w:tcPr>
            <w:tcW w:w="377" w:type="pct"/>
            <w:shd w:val="clear" w:color="auto" w:fill="auto"/>
            <w:vAlign w:val="bottom"/>
          </w:tcPr>
          <w:p w14:paraId="64296EA3" w14:textId="77777777" w:rsidR="007B6C97" w:rsidRDefault="007B6C97">
            <w:pPr>
              <w:rPr>
                <w:rFonts w:ascii="宋体"/>
              </w:rPr>
            </w:pPr>
          </w:p>
        </w:tc>
        <w:tc>
          <w:tcPr>
            <w:tcW w:w="5" w:type="pct"/>
            <w:shd w:val="clear" w:color="auto" w:fill="auto"/>
            <w:vAlign w:val="bottom"/>
          </w:tcPr>
          <w:p w14:paraId="64296EA4" w14:textId="77777777" w:rsidR="007B6C97" w:rsidRDefault="007B6C97">
            <w:pPr>
              <w:rPr>
                <w:rFonts w:ascii="宋体"/>
              </w:rPr>
            </w:pPr>
          </w:p>
        </w:tc>
        <w:tc>
          <w:tcPr>
            <w:tcW w:w="5" w:type="pct"/>
            <w:shd w:val="clear" w:color="auto" w:fill="auto"/>
            <w:vAlign w:val="bottom"/>
          </w:tcPr>
          <w:p w14:paraId="64296EA5" w14:textId="77777777" w:rsidR="007B6C97" w:rsidRDefault="007B6C97">
            <w:pPr>
              <w:rPr>
                <w:rFonts w:ascii="宋体"/>
              </w:rPr>
            </w:pPr>
          </w:p>
        </w:tc>
        <w:tc>
          <w:tcPr>
            <w:tcW w:w="11" w:type="pct"/>
            <w:shd w:val="clear" w:color="auto" w:fill="auto"/>
            <w:vAlign w:val="bottom"/>
          </w:tcPr>
          <w:p w14:paraId="64296EA6" w14:textId="77777777" w:rsidR="007B6C97" w:rsidRDefault="007B6C97">
            <w:pPr>
              <w:rPr>
                <w:rFonts w:ascii="宋体"/>
              </w:rPr>
            </w:pPr>
          </w:p>
        </w:tc>
        <w:tc>
          <w:tcPr>
            <w:tcW w:w="5" w:type="pct"/>
            <w:shd w:val="clear" w:color="auto" w:fill="auto"/>
            <w:vAlign w:val="bottom"/>
          </w:tcPr>
          <w:p w14:paraId="64296EA7" w14:textId="77777777" w:rsidR="007B6C97" w:rsidRDefault="007B6C97">
            <w:pPr>
              <w:rPr>
                <w:rFonts w:ascii="宋体"/>
              </w:rPr>
            </w:pPr>
          </w:p>
        </w:tc>
        <w:tc>
          <w:tcPr>
            <w:tcW w:w="50" w:type="pct"/>
            <w:shd w:val="clear" w:color="auto" w:fill="auto"/>
            <w:vAlign w:val="bottom"/>
          </w:tcPr>
          <w:p w14:paraId="64296EA8" w14:textId="77777777" w:rsidR="007B6C97" w:rsidRDefault="007B6C97">
            <w:pPr>
              <w:rPr>
                <w:rFonts w:ascii="宋体"/>
              </w:rPr>
            </w:pPr>
          </w:p>
        </w:tc>
        <w:tc>
          <w:tcPr>
            <w:tcW w:w="378" w:type="pct"/>
            <w:shd w:val="clear" w:color="auto" w:fill="auto"/>
            <w:vAlign w:val="bottom"/>
          </w:tcPr>
          <w:p w14:paraId="64296EA9" w14:textId="77777777" w:rsidR="007B6C97" w:rsidRDefault="007B6C97">
            <w:pPr>
              <w:rPr>
                <w:rFonts w:ascii="宋体"/>
              </w:rPr>
            </w:pPr>
          </w:p>
        </w:tc>
        <w:tc>
          <w:tcPr>
            <w:tcW w:w="5" w:type="pct"/>
            <w:shd w:val="clear" w:color="auto" w:fill="auto"/>
            <w:vAlign w:val="bottom"/>
          </w:tcPr>
          <w:p w14:paraId="64296EAA" w14:textId="77777777" w:rsidR="007B6C97" w:rsidRDefault="007B6C97">
            <w:pPr>
              <w:rPr>
                <w:rFonts w:ascii="宋体"/>
              </w:rPr>
            </w:pPr>
          </w:p>
        </w:tc>
      </w:tr>
      <w:tr w:rsidR="007B6C97" w14:paraId="64296EBA" w14:textId="77777777">
        <w:trPr>
          <w:trHeight w:val="400"/>
          <w:jc w:val="center"/>
        </w:trPr>
        <w:tc>
          <w:tcPr>
            <w:tcW w:w="0" w:type="auto"/>
            <w:gridSpan w:val="3"/>
            <w:shd w:val="clear" w:color="auto" w:fill="auto"/>
            <w:tcMar>
              <w:top w:w="0" w:type="dxa"/>
              <w:left w:w="20" w:type="dxa"/>
              <w:bottom w:w="0" w:type="dxa"/>
              <w:right w:w="20" w:type="dxa"/>
            </w:tcMar>
            <w:vAlign w:val="bottom"/>
          </w:tcPr>
          <w:p w14:paraId="64296EAC"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6EAD" w14:textId="77777777" w:rsidR="007B6C97" w:rsidRDefault="00E426D1">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64296EAE"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AF" w14:textId="77777777" w:rsidR="007B6C97" w:rsidRDefault="00E426D1">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64296EB0"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B1" w14:textId="77777777" w:rsidR="007B6C97" w:rsidRDefault="00E426D1">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64296EB2"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B3" w14:textId="77777777" w:rsidR="007B6C97" w:rsidRDefault="00E426D1">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64296EB4"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B5" w14:textId="77777777" w:rsidR="007B6C97" w:rsidRDefault="00E426D1">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64296EB6"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B7" w14:textId="77777777" w:rsidR="007B6C97" w:rsidRDefault="00E426D1">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64296EB8"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6EB9"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6ECB" w14:textId="77777777">
        <w:trPr>
          <w:trHeight w:val="400"/>
          <w:jc w:val="center"/>
        </w:trPr>
        <w:tc>
          <w:tcPr>
            <w:tcW w:w="0" w:type="auto"/>
            <w:gridSpan w:val="3"/>
            <w:shd w:val="clear" w:color="auto" w:fill="auto"/>
            <w:tcMar>
              <w:top w:w="40" w:type="dxa"/>
              <w:left w:w="20" w:type="dxa"/>
              <w:bottom w:w="40" w:type="dxa"/>
              <w:right w:w="20" w:type="dxa"/>
            </w:tcMar>
            <w:vAlign w:val="bottom"/>
          </w:tcPr>
          <w:p w14:paraId="64296EBB" w14:textId="77777777" w:rsidR="007B6C97" w:rsidRDefault="00E426D1">
            <w:pPr>
              <w:textAlignment w:val="bottom"/>
            </w:pPr>
            <w:r>
              <w:rPr>
                <w:rFonts w:ascii="Times New Roman" w:eastAsia="宋体" w:hAnsi="Times New Roman"/>
                <w:color w:val="000000"/>
                <w:sz w:val="18"/>
                <w:szCs w:val="18"/>
              </w:rPr>
              <w:t> </w:t>
            </w:r>
          </w:p>
        </w:tc>
        <w:tc>
          <w:tcPr>
            <w:tcW w:w="0" w:type="auto"/>
            <w:gridSpan w:val="3"/>
            <w:shd w:val="clear" w:color="auto" w:fill="00704A"/>
            <w:tcMar>
              <w:top w:w="40" w:type="dxa"/>
              <w:left w:w="20" w:type="dxa"/>
              <w:bottom w:w="40" w:type="dxa"/>
              <w:right w:w="20" w:type="dxa"/>
            </w:tcMar>
            <w:vAlign w:val="bottom"/>
          </w:tcPr>
          <w:p w14:paraId="64296EBC" w14:textId="77777777" w:rsidR="007B6C97" w:rsidRDefault="00E426D1">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64296EB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6EBE" w14:textId="77777777" w:rsidR="007B6C97" w:rsidRDefault="00E426D1">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4296EBF"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0"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6EC1"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2"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6EC3"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4"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6EC5"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6"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6EC7"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8"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6EC9"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6ECA" w14:textId="77777777" w:rsidR="007B6C97" w:rsidRDefault="007B6C97">
            <w:pPr>
              <w:jc w:val="center"/>
              <w:rPr>
                <w:rFonts w:ascii="宋体"/>
              </w:rPr>
            </w:pPr>
          </w:p>
        </w:tc>
      </w:tr>
      <w:tr w:rsidR="00E426D1" w14:paraId="64296EEA" w14:textId="77777777">
        <w:trPr>
          <w:jc w:val="center"/>
        </w:trPr>
        <w:tc>
          <w:tcPr>
            <w:tcW w:w="0" w:type="auto"/>
            <w:gridSpan w:val="3"/>
            <w:shd w:val="clear" w:color="auto" w:fill="D7E4BC"/>
            <w:tcMar>
              <w:top w:w="40" w:type="dxa"/>
              <w:left w:w="20" w:type="dxa"/>
              <w:bottom w:w="40" w:type="dxa"/>
              <w:right w:w="20" w:type="dxa"/>
            </w:tcMar>
            <w:vAlign w:val="bottom"/>
          </w:tcPr>
          <w:p w14:paraId="64296ECC"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April 3, 2022</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4296ECD" w14:textId="77777777" w:rsidR="007B6C97" w:rsidRDefault="00E426D1">
            <w:pPr>
              <w:jc w:val="right"/>
              <w:textAlignment w:val="bottom"/>
            </w:pPr>
            <w:r>
              <w:rPr>
                <w:rFonts w:ascii="Times New Roman" w:eastAsia="宋体" w:hAnsi="Times New Roman"/>
                <w:color w:val="000000"/>
                <w:sz w:val="20"/>
                <w:szCs w:val="20"/>
              </w:rPr>
              <w:t>1,146.9</w:t>
            </w:r>
          </w:p>
        </w:tc>
        <w:tc>
          <w:tcPr>
            <w:tcW w:w="0" w:type="auto"/>
            <w:gridSpan w:val="3"/>
            <w:shd w:val="clear" w:color="auto" w:fill="D7E4BC"/>
            <w:tcMar>
              <w:top w:w="0" w:type="dxa"/>
              <w:left w:w="20" w:type="dxa"/>
              <w:bottom w:w="0" w:type="dxa"/>
              <w:right w:w="20" w:type="dxa"/>
            </w:tcMar>
            <w:vAlign w:val="bottom"/>
          </w:tcPr>
          <w:p w14:paraId="64296ECE"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C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D0" w14:textId="77777777" w:rsidR="007B6C97" w:rsidRDefault="00E426D1">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D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D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D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D4" w14:textId="77777777" w:rsidR="007B6C97" w:rsidRDefault="00E426D1">
            <w:pPr>
              <w:jc w:val="right"/>
              <w:textAlignment w:val="bottom"/>
            </w:pPr>
            <w:r>
              <w:rPr>
                <w:rFonts w:ascii="Times New Roman" w:eastAsia="宋体" w:hAnsi="Times New Roman"/>
                <w:color w:val="000000"/>
                <w:sz w:val="20"/>
                <w:szCs w:val="20"/>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D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D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D8" w14:textId="77777777" w:rsidR="007B6C97" w:rsidRDefault="00E426D1">
            <w:pPr>
              <w:jc w:val="right"/>
              <w:textAlignment w:val="bottom"/>
            </w:pPr>
            <w:r>
              <w:rPr>
                <w:rFonts w:ascii="Times New Roman" w:eastAsia="宋体" w:hAnsi="Times New Roman"/>
                <w:color w:val="000000"/>
                <w:sz w:val="20"/>
                <w:szCs w:val="20"/>
              </w:rPr>
              <w:t>(9,070.5)</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D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D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D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DC" w14:textId="77777777" w:rsidR="007B6C97" w:rsidRDefault="00E426D1">
            <w:pPr>
              <w:jc w:val="right"/>
              <w:textAlignment w:val="bottom"/>
            </w:pPr>
            <w:r>
              <w:rPr>
                <w:rFonts w:ascii="Times New Roman" w:eastAsia="宋体" w:hAnsi="Times New Roman"/>
                <w:color w:val="000000"/>
                <w:sz w:val="20"/>
                <w:szCs w:val="20"/>
              </w:rPr>
              <w:t>260.3 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D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DE"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D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E0" w14:textId="77777777" w:rsidR="007B6C97" w:rsidRDefault="00E426D1">
            <w:pPr>
              <w:jc w:val="right"/>
              <w:textAlignment w:val="bottom"/>
            </w:pPr>
            <w:r>
              <w:rPr>
                <w:rFonts w:ascii="Times New Roman" w:eastAsia="宋体" w:hAnsi="Times New Roman"/>
                <w:color w:val="000000"/>
                <w:sz w:val="20"/>
                <w:szCs w:val="20"/>
              </w:rPr>
              <w:t>(8,768.0)</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E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E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E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E4" w14:textId="77777777" w:rsidR="007B6C97" w:rsidRDefault="00E426D1">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E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EE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6EE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6EE8" w14:textId="77777777" w:rsidR="007B6C97" w:rsidRDefault="00E426D1">
            <w:pPr>
              <w:jc w:val="right"/>
              <w:textAlignment w:val="bottom"/>
            </w:pPr>
            <w:r>
              <w:rPr>
                <w:rFonts w:ascii="Times New Roman" w:eastAsia="宋体" w:hAnsi="Times New Roman"/>
                <w:color w:val="000000"/>
                <w:sz w:val="20"/>
                <w:szCs w:val="20"/>
              </w:rPr>
              <w:t>(8,761.2)</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6EE9" w14:textId="77777777" w:rsidR="007B6C97" w:rsidRDefault="007B6C97">
            <w:pPr>
              <w:jc w:val="right"/>
              <w:rPr>
                <w:rFonts w:ascii="宋体"/>
              </w:rPr>
            </w:pPr>
          </w:p>
        </w:tc>
      </w:tr>
      <w:tr w:rsidR="007B6C97" w14:paraId="64296EFB" w14:textId="77777777">
        <w:trPr>
          <w:jc w:val="center"/>
          <w:hidden/>
        </w:trPr>
        <w:tc>
          <w:tcPr>
            <w:tcW w:w="0" w:type="auto"/>
            <w:gridSpan w:val="3"/>
            <w:shd w:val="clear" w:color="auto" w:fill="auto"/>
            <w:vAlign w:val="bottom"/>
          </w:tcPr>
          <w:p w14:paraId="64296EEB" w14:textId="77777777" w:rsidR="007B6C97" w:rsidRDefault="007B6C97">
            <w:pPr>
              <w:rPr>
                <w:rFonts w:ascii="宋体"/>
                <w:vanish/>
              </w:rPr>
            </w:pPr>
          </w:p>
        </w:tc>
        <w:tc>
          <w:tcPr>
            <w:tcW w:w="0" w:type="auto"/>
            <w:gridSpan w:val="3"/>
            <w:shd w:val="clear" w:color="auto" w:fill="auto"/>
            <w:vAlign w:val="bottom"/>
          </w:tcPr>
          <w:p w14:paraId="64296EEC" w14:textId="77777777" w:rsidR="007B6C97" w:rsidRDefault="007B6C97">
            <w:pPr>
              <w:rPr>
                <w:rFonts w:ascii="宋体"/>
                <w:vanish/>
              </w:rPr>
            </w:pPr>
          </w:p>
        </w:tc>
        <w:tc>
          <w:tcPr>
            <w:tcW w:w="0" w:type="auto"/>
            <w:gridSpan w:val="3"/>
            <w:shd w:val="clear" w:color="auto" w:fill="auto"/>
            <w:vAlign w:val="bottom"/>
          </w:tcPr>
          <w:p w14:paraId="64296EED" w14:textId="77777777" w:rsidR="007B6C97" w:rsidRDefault="007B6C97">
            <w:pPr>
              <w:rPr>
                <w:rFonts w:ascii="宋体"/>
                <w:vanish/>
              </w:rPr>
            </w:pPr>
          </w:p>
        </w:tc>
        <w:tc>
          <w:tcPr>
            <w:tcW w:w="0" w:type="auto"/>
            <w:gridSpan w:val="3"/>
            <w:shd w:val="clear" w:color="auto" w:fill="auto"/>
            <w:vAlign w:val="bottom"/>
          </w:tcPr>
          <w:p w14:paraId="64296EEE" w14:textId="77777777" w:rsidR="007B6C97" w:rsidRDefault="007B6C97">
            <w:pPr>
              <w:rPr>
                <w:rFonts w:ascii="宋体"/>
                <w:vanish/>
              </w:rPr>
            </w:pPr>
          </w:p>
        </w:tc>
        <w:tc>
          <w:tcPr>
            <w:tcW w:w="0" w:type="auto"/>
            <w:gridSpan w:val="3"/>
            <w:shd w:val="clear" w:color="auto" w:fill="auto"/>
            <w:vAlign w:val="bottom"/>
          </w:tcPr>
          <w:p w14:paraId="64296EEF" w14:textId="77777777" w:rsidR="007B6C97" w:rsidRDefault="007B6C97">
            <w:pPr>
              <w:rPr>
                <w:rFonts w:ascii="宋体"/>
                <w:vanish/>
              </w:rPr>
            </w:pPr>
          </w:p>
        </w:tc>
        <w:tc>
          <w:tcPr>
            <w:tcW w:w="0" w:type="auto"/>
            <w:gridSpan w:val="3"/>
            <w:shd w:val="clear" w:color="auto" w:fill="auto"/>
            <w:vAlign w:val="bottom"/>
          </w:tcPr>
          <w:p w14:paraId="64296EF0" w14:textId="77777777" w:rsidR="007B6C97" w:rsidRDefault="007B6C97">
            <w:pPr>
              <w:rPr>
                <w:rFonts w:ascii="宋体"/>
                <w:vanish/>
              </w:rPr>
            </w:pPr>
          </w:p>
        </w:tc>
        <w:tc>
          <w:tcPr>
            <w:tcW w:w="0" w:type="auto"/>
            <w:gridSpan w:val="3"/>
            <w:shd w:val="clear" w:color="auto" w:fill="auto"/>
            <w:vAlign w:val="bottom"/>
          </w:tcPr>
          <w:p w14:paraId="64296EF1" w14:textId="77777777" w:rsidR="007B6C97" w:rsidRDefault="007B6C97">
            <w:pPr>
              <w:rPr>
                <w:rFonts w:ascii="宋体"/>
                <w:vanish/>
              </w:rPr>
            </w:pPr>
          </w:p>
        </w:tc>
        <w:tc>
          <w:tcPr>
            <w:tcW w:w="0" w:type="auto"/>
            <w:gridSpan w:val="3"/>
            <w:shd w:val="clear" w:color="auto" w:fill="auto"/>
            <w:vAlign w:val="bottom"/>
          </w:tcPr>
          <w:p w14:paraId="64296EF2" w14:textId="77777777" w:rsidR="007B6C97" w:rsidRDefault="007B6C97">
            <w:pPr>
              <w:rPr>
                <w:rFonts w:ascii="宋体"/>
                <w:vanish/>
              </w:rPr>
            </w:pPr>
          </w:p>
        </w:tc>
        <w:tc>
          <w:tcPr>
            <w:tcW w:w="0" w:type="auto"/>
            <w:gridSpan w:val="3"/>
            <w:shd w:val="clear" w:color="auto" w:fill="auto"/>
            <w:vAlign w:val="bottom"/>
          </w:tcPr>
          <w:p w14:paraId="64296EF3" w14:textId="77777777" w:rsidR="007B6C97" w:rsidRDefault="007B6C97">
            <w:pPr>
              <w:rPr>
                <w:rFonts w:ascii="宋体"/>
                <w:vanish/>
              </w:rPr>
            </w:pPr>
          </w:p>
        </w:tc>
        <w:tc>
          <w:tcPr>
            <w:tcW w:w="0" w:type="auto"/>
            <w:gridSpan w:val="3"/>
            <w:shd w:val="clear" w:color="auto" w:fill="auto"/>
            <w:vAlign w:val="bottom"/>
          </w:tcPr>
          <w:p w14:paraId="64296EF4" w14:textId="77777777" w:rsidR="007B6C97" w:rsidRDefault="007B6C97">
            <w:pPr>
              <w:rPr>
                <w:rFonts w:ascii="宋体"/>
                <w:vanish/>
              </w:rPr>
            </w:pPr>
          </w:p>
        </w:tc>
        <w:tc>
          <w:tcPr>
            <w:tcW w:w="0" w:type="auto"/>
            <w:gridSpan w:val="3"/>
            <w:shd w:val="clear" w:color="auto" w:fill="auto"/>
            <w:vAlign w:val="bottom"/>
          </w:tcPr>
          <w:p w14:paraId="64296EF5" w14:textId="77777777" w:rsidR="007B6C97" w:rsidRDefault="007B6C97">
            <w:pPr>
              <w:rPr>
                <w:rFonts w:ascii="宋体"/>
                <w:vanish/>
              </w:rPr>
            </w:pPr>
          </w:p>
        </w:tc>
        <w:tc>
          <w:tcPr>
            <w:tcW w:w="0" w:type="auto"/>
            <w:gridSpan w:val="3"/>
            <w:shd w:val="clear" w:color="auto" w:fill="auto"/>
            <w:vAlign w:val="bottom"/>
          </w:tcPr>
          <w:p w14:paraId="64296EF6" w14:textId="77777777" w:rsidR="007B6C97" w:rsidRDefault="007B6C97">
            <w:pPr>
              <w:rPr>
                <w:rFonts w:ascii="宋体"/>
                <w:vanish/>
              </w:rPr>
            </w:pPr>
          </w:p>
        </w:tc>
        <w:tc>
          <w:tcPr>
            <w:tcW w:w="0" w:type="auto"/>
            <w:gridSpan w:val="3"/>
            <w:shd w:val="clear" w:color="auto" w:fill="auto"/>
            <w:vAlign w:val="bottom"/>
          </w:tcPr>
          <w:p w14:paraId="64296EF7" w14:textId="77777777" w:rsidR="007B6C97" w:rsidRDefault="007B6C97">
            <w:pPr>
              <w:rPr>
                <w:rFonts w:ascii="宋体"/>
                <w:vanish/>
              </w:rPr>
            </w:pPr>
          </w:p>
        </w:tc>
        <w:tc>
          <w:tcPr>
            <w:tcW w:w="0" w:type="auto"/>
            <w:gridSpan w:val="3"/>
            <w:shd w:val="clear" w:color="auto" w:fill="auto"/>
            <w:vAlign w:val="bottom"/>
          </w:tcPr>
          <w:p w14:paraId="64296EF8" w14:textId="77777777" w:rsidR="007B6C97" w:rsidRDefault="007B6C97">
            <w:pPr>
              <w:rPr>
                <w:rFonts w:ascii="宋体"/>
                <w:vanish/>
              </w:rPr>
            </w:pPr>
          </w:p>
        </w:tc>
        <w:tc>
          <w:tcPr>
            <w:tcW w:w="0" w:type="auto"/>
            <w:gridSpan w:val="3"/>
            <w:shd w:val="clear" w:color="auto" w:fill="auto"/>
            <w:vAlign w:val="bottom"/>
          </w:tcPr>
          <w:p w14:paraId="64296EF9" w14:textId="77777777" w:rsidR="007B6C97" w:rsidRDefault="007B6C97">
            <w:pPr>
              <w:rPr>
                <w:rFonts w:ascii="宋体"/>
                <w:vanish/>
              </w:rPr>
            </w:pPr>
          </w:p>
        </w:tc>
        <w:tc>
          <w:tcPr>
            <w:tcW w:w="0" w:type="auto"/>
            <w:gridSpan w:val="3"/>
            <w:shd w:val="clear" w:color="auto" w:fill="auto"/>
            <w:vAlign w:val="bottom"/>
          </w:tcPr>
          <w:p w14:paraId="64296EFA" w14:textId="77777777" w:rsidR="007B6C97" w:rsidRDefault="007B6C97">
            <w:pPr>
              <w:rPr>
                <w:rFonts w:ascii="宋体"/>
                <w:vanish/>
              </w:rPr>
            </w:pPr>
          </w:p>
        </w:tc>
      </w:tr>
      <w:tr w:rsidR="007B6C97" w14:paraId="64296F13" w14:textId="77777777">
        <w:trPr>
          <w:jc w:val="center"/>
        </w:trPr>
        <w:tc>
          <w:tcPr>
            <w:tcW w:w="0" w:type="auto"/>
            <w:gridSpan w:val="3"/>
            <w:shd w:val="clear" w:color="auto" w:fill="FFFFFF"/>
            <w:tcMar>
              <w:top w:w="40" w:type="dxa"/>
              <w:left w:w="20" w:type="dxa"/>
              <w:bottom w:w="40" w:type="dxa"/>
              <w:right w:w="20" w:type="dxa"/>
            </w:tcMar>
          </w:tcPr>
          <w:p w14:paraId="64296EFC" w14:textId="77777777" w:rsidR="007B6C97" w:rsidRDefault="00E426D1">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4296EFD"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6EF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EF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0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0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0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05" w14:textId="77777777" w:rsidR="007B6C97" w:rsidRDefault="00E426D1">
            <w:pPr>
              <w:jc w:val="right"/>
              <w:textAlignment w:val="bottom"/>
            </w:pPr>
            <w:r>
              <w:rPr>
                <w:rFonts w:ascii="Times New Roman" w:eastAsia="宋体" w:hAnsi="Times New Roman"/>
                <w:color w:val="000000"/>
                <w:sz w:val="20"/>
                <w:szCs w:val="20"/>
              </w:rPr>
              <w:t>912.9 </w:t>
            </w:r>
          </w:p>
        </w:tc>
        <w:tc>
          <w:tcPr>
            <w:tcW w:w="0" w:type="auto"/>
            <w:shd w:val="clear" w:color="auto" w:fill="FFFFFF"/>
            <w:tcMar>
              <w:top w:w="40" w:type="dxa"/>
              <w:left w:w="0" w:type="dxa"/>
              <w:bottom w:w="40" w:type="dxa"/>
              <w:right w:w="20" w:type="dxa"/>
            </w:tcMar>
            <w:vAlign w:val="bottom"/>
          </w:tcPr>
          <w:p w14:paraId="64296F0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0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0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0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0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0B" w14:textId="77777777" w:rsidR="007B6C97" w:rsidRDefault="00E426D1">
            <w:pPr>
              <w:jc w:val="right"/>
              <w:textAlignment w:val="bottom"/>
            </w:pPr>
            <w:r>
              <w:rPr>
                <w:rFonts w:ascii="Times New Roman" w:eastAsia="宋体" w:hAnsi="Times New Roman"/>
                <w:color w:val="000000"/>
                <w:sz w:val="20"/>
                <w:szCs w:val="20"/>
              </w:rPr>
              <w:t>912.9 </w:t>
            </w:r>
          </w:p>
        </w:tc>
        <w:tc>
          <w:tcPr>
            <w:tcW w:w="0" w:type="auto"/>
            <w:shd w:val="clear" w:color="auto" w:fill="FFFFFF"/>
            <w:tcMar>
              <w:top w:w="40" w:type="dxa"/>
              <w:left w:w="0" w:type="dxa"/>
              <w:bottom w:w="40" w:type="dxa"/>
              <w:right w:w="20" w:type="dxa"/>
            </w:tcMar>
            <w:vAlign w:val="bottom"/>
          </w:tcPr>
          <w:p w14:paraId="64296F0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0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0E"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6F0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1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11" w14:textId="77777777" w:rsidR="007B6C97" w:rsidRDefault="00E426D1">
            <w:pPr>
              <w:jc w:val="right"/>
              <w:textAlignment w:val="bottom"/>
            </w:pPr>
            <w:r>
              <w:rPr>
                <w:rFonts w:ascii="Times New Roman" w:eastAsia="宋体" w:hAnsi="Times New Roman"/>
                <w:color w:val="000000"/>
                <w:sz w:val="20"/>
                <w:szCs w:val="20"/>
              </w:rPr>
              <w:t>913.7 </w:t>
            </w:r>
          </w:p>
        </w:tc>
        <w:tc>
          <w:tcPr>
            <w:tcW w:w="0" w:type="auto"/>
            <w:shd w:val="clear" w:color="auto" w:fill="FFFFFF"/>
            <w:tcMar>
              <w:top w:w="40" w:type="dxa"/>
              <w:left w:w="0" w:type="dxa"/>
              <w:bottom w:w="40" w:type="dxa"/>
              <w:right w:w="20" w:type="dxa"/>
            </w:tcMar>
            <w:vAlign w:val="bottom"/>
          </w:tcPr>
          <w:p w14:paraId="64296F12" w14:textId="77777777" w:rsidR="007B6C97" w:rsidRDefault="007B6C97">
            <w:pPr>
              <w:jc w:val="right"/>
              <w:rPr>
                <w:rFonts w:ascii="宋体"/>
              </w:rPr>
            </w:pPr>
          </w:p>
        </w:tc>
      </w:tr>
      <w:tr w:rsidR="007B6C97" w14:paraId="64296F2B" w14:textId="77777777">
        <w:trPr>
          <w:jc w:val="center"/>
        </w:trPr>
        <w:tc>
          <w:tcPr>
            <w:tcW w:w="0" w:type="auto"/>
            <w:gridSpan w:val="3"/>
            <w:shd w:val="clear" w:color="auto" w:fill="D7E4BC"/>
            <w:tcMar>
              <w:top w:w="40" w:type="dxa"/>
              <w:left w:w="20" w:type="dxa"/>
              <w:bottom w:w="40" w:type="dxa"/>
              <w:right w:w="20" w:type="dxa"/>
            </w:tcMar>
          </w:tcPr>
          <w:p w14:paraId="64296F14" w14:textId="77777777" w:rsidR="007B6C97" w:rsidRDefault="00E426D1">
            <w:pPr>
              <w:textAlignment w:val="top"/>
            </w:pPr>
            <w:r>
              <w:rPr>
                <w:rFonts w:ascii="Times New Roman" w:eastAsia="宋体" w:hAnsi="Times New Roman"/>
                <w:color w:val="000000"/>
                <w:sz w:val="20"/>
                <w:szCs w:val="20"/>
              </w:rPr>
              <w:t>Other comprehensive loss</w:t>
            </w:r>
          </w:p>
        </w:tc>
        <w:tc>
          <w:tcPr>
            <w:tcW w:w="0" w:type="auto"/>
            <w:gridSpan w:val="3"/>
            <w:shd w:val="clear" w:color="auto" w:fill="D7E4BC"/>
            <w:tcMar>
              <w:top w:w="40" w:type="dxa"/>
              <w:left w:w="20" w:type="dxa"/>
              <w:bottom w:w="40" w:type="dxa"/>
              <w:right w:w="20" w:type="dxa"/>
            </w:tcMar>
            <w:vAlign w:val="bottom"/>
          </w:tcPr>
          <w:p w14:paraId="64296F15"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6F1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1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1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1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1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1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1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1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20" w14:textId="77777777" w:rsidR="007B6C97" w:rsidRDefault="00E426D1">
            <w:pPr>
              <w:jc w:val="right"/>
              <w:textAlignment w:val="bottom"/>
            </w:pPr>
            <w:r>
              <w:rPr>
                <w:rFonts w:ascii="Times New Roman" w:eastAsia="宋体" w:hAnsi="Times New Roman"/>
                <w:color w:val="000000"/>
                <w:sz w:val="20"/>
                <w:szCs w:val="20"/>
              </w:rPr>
              <w:t>(325.3)</w:t>
            </w:r>
          </w:p>
        </w:tc>
        <w:tc>
          <w:tcPr>
            <w:tcW w:w="0" w:type="auto"/>
            <w:shd w:val="clear" w:color="auto" w:fill="D7E4BC"/>
            <w:tcMar>
              <w:top w:w="40" w:type="dxa"/>
              <w:left w:w="0" w:type="dxa"/>
              <w:bottom w:w="40" w:type="dxa"/>
              <w:right w:w="20" w:type="dxa"/>
            </w:tcMar>
            <w:vAlign w:val="bottom"/>
          </w:tcPr>
          <w:p w14:paraId="64296F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23" w14:textId="77777777" w:rsidR="007B6C97" w:rsidRDefault="00E426D1">
            <w:pPr>
              <w:jc w:val="right"/>
              <w:textAlignment w:val="bottom"/>
            </w:pPr>
            <w:r>
              <w:rPr>
                <w:rFonts w:ascii="Times New Roman" w:eastAsia="宋体" w:hAnsi="Times New Roman"/>
                <w:color w:val="000000"/>
                <w:sz w:val="20"/>
                <w:szCs w:val="20"/>
              </w:rPr>
              <w:t>(325.3)</w:t>
            </w:r>
          </w:p>
        </w:tc>
        <w:tc>
          <w:tcPr>
            <w:tcW w:w="0" w:type="auto"/>
            <w:shd w:val="clear" w:color="auto" w:fill="D7E4BC"/>
            <w:tcMar>
              <w:top w:w="40" w:type="dxa"/>
              <w:left w:w="0" w:type="dxa"/>
              <w:bottom w:w="40" w:type="dxa"/>
              <w:right w:w="20" w:type="dxa"/>
            </w:tcMar>
            <w:vAlign w:val="bottom"/>
          </w:tcPr>
          <w:p w14:paraId="64296F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2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2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2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2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29" w14:textId="77777777" w:rsidR="007B6C97" w:rsidRDefault="00E426D1">
            <w:pPr>
              <w:jc w:val="right"/>
              <w:textAlignment w:val="bottom"/>
            </w:pPr>
            <w:r>
              <w:rPr>
                <w:rFonts w:ascii="Times New Roman" w:eastAsia="宋体" w:hAnsi="Times New Roman"/>
                <w:color w:val="000000"/>
                <w:sz w:val="20"/>
                <w:szCs w:val="20"/>
              </w:rPr>
              <w:t>(325.3)</w:t>
            </w:r>
          </w:p>
        </w:tc>
        <w:tc>
          <w:tcPr>
            <w:tcW w:w="0" w:type="auto"/>
            <w:shd w:val="clear" w:color="auto" w:fill="D7E4BC"/>
            <w:tcMar>
              <w:top w:w="40" w:type="dxa"/>
              <w:left w:w="0" w:type="dxa"/>
              <w:bottom w:w="40" w:type="dxa"/>
              <w:right w:w="20" w:type="dxa"/>
            </w:tcMar>
            <w:vAlign w:val="bottom"/>
          </w:tcPr>
          <w:p w14:paraId="64296F2A" w14:textId="77777777" w:rsidR="007B6C97" w:rsidRDefault="007B6C97">
            <w:pPr>
              <w:jc w:val="right"/>
              <w:rPr>
                <w:rFonts w:ascii="宋体"/>
              </w:rPr>
            </w:pPr>
          </w:p>
        </w:tc>
      </w:tr>
      <w:tr w:rsidR="007B6C97" w14:paraId="64296F43" w14:textId="77777777">
        <w:trPr>
          <w:jc w:val="center"/>
        </w:trPr>
        <w:tc>
          <w:tcPr>
            <w:tcW w:w="0" w:type="auto"/>
            <w:gridSpan w:val="3"/>
            <w:shd w:val="clear" w:color="auto" w:fill="FFFFFF"/>
            <w:tcMar>
              <w:top w:w="40" w:type="dxa"/>
              <w:left w:w="20" w:type="dxa"/>
              <w:bottom w:w="40" w:type="dxa"/>
              <w:right w:w="20" w:type="dxa"/>
            </w:tcMar>
          </w:tcPr>
          <w:p w14:paraId="64296F2C" w14:textId="77777777" w:rsidR="007B6C97" w:rsidRDefault="00E426D1">
            <w:pPr>
              <w:textAlignment w:val="top"/>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3"/>
            <w:shd w:val="clear" w:color="auto" w:fill="FFFFFF"/>
            <w:tcMar>
              <w:top w:w="40" w:type="dxa"/>
              <w:left w:w="20" w:type="dxa"/>
              <w:bottom w:w="40" w:type="dxa"/>
              <w:right w:w="20" w:type="dxa"/>
            </w:tcMar>
            <w:vAlign w:val="bottom"/>
          </w:tcPr>
          <w:p w14:paraId="64296F2D"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6F2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2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3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32" w14:textId="77777777" w:rsidR="007B6C97" w:rsidRDefault="00E426D1">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64296F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3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3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3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3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3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3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3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3B" w14:textId="77777777" w:rsidR="007B6C97" w:rsidRDefault="00E426D1">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64296F3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3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3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3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4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41" w14:textId="77777777" w:rsidR="007B6C97" w:rsidRDefault="00E426D1">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64296F42" w14:textId="77777777" w:rsidR="007B6C97" w:rsidRDefault="007B6C97">
            <w:pPr>
              <w:jc w:val="right"/>
              <w:rPr>
                <w:rFonts w:ascii="宋体"/>
              </w:rPr>
            </w:pPr>
          </w:p>
        </w:tc>
      </w:tr>
      <w:tr w:rsidR="007B6C97" w14:paraId="64296F5B" w14:textId="77777777">
        <w:trPr>
          <w:jc w:val="center"/>
        </w:trPr>
        <w:tc>
          <w:tcPr>
            <w:tcW w:w="0" w:type="auto"/>
            <w:gridSpan w:val="3"/>
            <w:shd w:val="clear" w:color="auto" w:fill="D7E4BC"/>
            <w:tcMar>
              <w:top w:w="40" w:type="dxa"/>
              <w:left w:w="20" w:type="dxa"/>
              <w:bottom w:w="40" w:type="dxa"/>
              <w:right w:w="20" w:type="dxa"/>
            </w:tcMar>
          </w:tcPr>
          <w:p w14:paraId="64296F44" w14:textId="77777777" w:rsidR="007B6C97" w:rsidRDefault="00E426D1">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D7E4BC"/>
            <w:tcMar>
              <w:top w:w="40" w:type="dxa"/>
              <w:left w:w="20" w:type="dxa"/>
              <w:bottom w:w="40" w:type="dxa"/>
              <w:right w:w="20" w:type="dxa"/>
            </w:tcMar>
            <w:vAlign w:val="bottom"/>
          </w:tcPr>
          <w:p w14:paraId="64296F45" w14:textId="77777777" w:rsidR="007B6C97" w:rsidRDefault="00E426D1">
            <w:pPr>
              <w:jc w:val="right"/>
              <w:textAlignment w:val="bottom"/>
            </w:pPr>
            <w:r>
              <w:rPr>
                <w:rFonts w:ascii="Times New Roman" w:eastAsia="宋体" w:hAnsi="Times New Roman"/>
                <w:color w:val="000000"/>
                <w:sz w:val="20"/>
                <w:szCs w:val="20"/>
              </w:rPr>
              <w:t>0.2</w:t>
            </w:r>
          </w:p>
        </w:tc>
        <w:tc>
          <w:tcPr>
            <w:tcW w:w="0" w:type="auto"/>
            <w:gridSpan w:val="3"/>
            <w:shd w:val="clear" w:color="auto" w:fill="D7E4BC"/>
            <w:tcMar>
              <w:top w:w="0" w:type="dxa"/>
              <w:left w:w="20" w:type="dxa"/>
              <w:bottom w:w="0" w:type="dxa"/>
              <w:right w:w="20" w:type="dxa"/>
            </w:tcMar>
            <w:vAlign w:val="bottom"/>
          </w:tcPr>
          <w:p w14:paraId="64296F4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4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4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4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4A" w14:textId="77777777" w:rsidR="007B6C97" w:rsidRDefault="00E426D1">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64296F4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4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4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4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5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5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5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53" w14:textId="77777777" w:rsidR="007B6C97" w:rsidRDefault="00E426D1">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64296F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5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5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5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5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59" w14:textId="77777777" w:rsidR="007B6C97" w:rsidRDefault="00E426D1">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64296F5A" w14:textId="77777777" w:rsidR="007B6C97" w:rsidRDefault="007B6C97">
            <w:pPr>
              <w:jc w:val="right"/>
              <w:rPr>
                <w:rFonts w:ascii="宋体"/>
              </w:rPr>
            </w:pPr>
          </w:p>
        </w:tc>
      </w:tr>
      <w:tr w:rsidR="007B6C97" w14:paraId="64296F73" w14:textId="77777777">
        <w:trPr>
          <w:jc w:val="center"/>
        </w:trPr>
        <w:tc>
          <w:tcPr>
            <w:tcW w:w="0" w:type="auto"/>
            <w:gridSpan w:val="3"/>
            <w:shd w:val="clear" w:color="auto" w:fill="FFFFFF"/>
            <w:tcMar>
              <w:top w:w="40" w:type="dxa"/>
              <w:left w:w="20" w:type="dxa"/>
              <w:bottom w:w="40" w:type="dxa"/>
              <w:right w:w="20" w:type="dxa"/>
            </w:tcMar>
          </w:tcPr>
          <w:p w14:paraId="64296F5C" w14:textId="77777777" w:rsidR="007B6C97" w:rsidRDefault="00E426D1">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4296F5D" w14:textId="77777777" w:rsidR="007B6C97" w:rsidRDefault="00E426D1">
            <w:pPr>
              <w:jc w:val="right"/>
              <w:textAlignment w:val="bottom"/>
            </w:pPr>
            <w:r>
              <w:rPr>
                <w:rFonts w:ascii="Times New Roman" w:eastAsia="宋体" w:hAnsi="Times New Roman"/>
                <w:color w:val="000000"/>
                <w:sz w:val="20"/>
                <w:szCs w:val="20"/>
              </w:rPr>
              <w:t>0.2</w:t>
            </w:r>
          </w:p>
        </w:tc>
        <w:tc>
          <w:tcPr>
            <w:tcW w:w="0" w:type="auto"/>
            <w:gridSpan w:val="3"/>
            <w:shd w:val="clear" w:color="auto" w:fill="FFFFFF"/>
            <w:tcMar>
              <w:top w:w="0" w:type="dxa"/>
              <w:left w:w="20" w:type="dxa"/>
              <w:bottom w:w="0" w:type="dxa"/>
              <w:right w:w="20" w:type="dxa"/>
            </w:tcMar>
            <w:vAlign w:val="bottom"/>
          </w:tcPr>
          <w:p w14:paraId="64296F5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5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6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62" w14:textId="77777777" w:rsidR="007B6C97" w:rsidRDefault="00E426D1">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64296F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6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6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6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6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6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6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6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6B" w14:textId="77777777" w:rsidR="007B6C97" w:rsidRDefault="00E426D1">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64296F6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6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6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6F6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7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6F71" w14:textId="77777777" w:rsidR="007B6C97" w:rsidRDefault="00E426D1">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64296F72" w14:textId="77777777" w:rsidR="007B6C97" w:rsidRDefault="007B6C97">
            <w:pPr>
              <w:jc w:val="right"/>
              <w:rPr>
                <w:rFonts w:ascii="宋体"/>
              </w:rPr>
            </w:pPr>
          </w:p>
        </w:tc>
      </w:tr>
      <w:tr w:rsidR="007B6C97" w14:paraId="64296F84" w14:textId="77777777">
        <w:trPr>
          <w:jc w:val="center"/>
          <w:hidden/>
        </w:trPr>
        <w:tc>
          <w:tcPr>
            <w:tcW w:w="0" w:type="auto"/>
            <w:gridSpan w:val="3"/>
            <w:shd w:val="clear" w:color="auto" w:fill="auto"/>
            <w:vAlign w:val="bottom"/>
          </w:tcPr>
          <w:p w14:paraId="64296F74" w14:textId="77777777" w:rsidR="007B6C97" w:rsidRDefault="007B6C97">
            <w:pPr>
              <w:rPr>
                <w:rFonts w:ascii="宋体"/>
                <w:vanish/>
              </w:rPr>
            </w:pPr>
          </w:p>
        </w:tc>
        <w:tc>
          <w:tcPr>
            <w:tcW w:w="0" w:type="auto"/>
            <w:gridSpan w:val="3"/>
            <w:shd w:val="clear" w:color="auto" w:fill="auto"/>
            <w:vAlign w:val="bottom"/>
          </w:tcPr>
          <w:p w14:paraId="64296F75" w14:textId="77777777" w:rsidR="007B6C97" w:rsidRDefault="007B6C97">
            <w:pPr>
              <w:rPr>
                <w:rFonts w:ascii="宋体"/>
                <w:vanish/>
              </w:rPr>
            </w:pPr>
          </w:p>
        </w:tc>
        <w:tc>
          <w:tcPr>
            <w:tcW w:w="0" w:type="auto"/>
            <w:gridSpan w:val="3"/>
            <w:shd w:val="clear" w:color="auto" w:fill="auto"/>
            <w:vAlign w:val="bottom"/>
          </w:tcPr>
          <w:p w14:paraId="64296F76" w14:textId="77777777" w:rsidR="007B6C97" w:rsidRDefault="007B6C97">
            <w:pPr>
              <w:rPr>
                <w:rFonts w:ascii="宋体"/>
                <w:vanish/>
              </w:rPr>
            </w:pPr>
          </w:p>
        </w:tc>
        <w:tc>
          <w:tcPr>
            <w:tcW w:w="0" w:type="auto"/>
            <w:gridSpan w:val="3"/>
            <w:shd w:val="clear" w:color="auto" w:fill="auto"/>
            <w:vAlign w:val="bottom"/>
          </w:tcPr>
          <w:p w14:paraId="64296F77" w14:textId="77777777" w:rsidR="007B6C97" w:rsidRDefault="007B6C97">
            <w:pPr>
              <w:rPr>
                <w:rFonts w:ascii="宋体"/>
                <w:vanish/>
              </w:rPr>
            </w:pPr>
          </w:p>
        </w:tc>
        <w:tc>
          <w:tcPr>
            <w:tcW w:w="0" w:type="auto"/>
            <w:gridSpan w:val="3"/>
            <w:shd w:val="clear" w:color="auto" w:fill="auto"/>
            <w:vAlign w:val="bottom"/>
          </w:tcPr>
          <w:p w14:paraId="64296F78" w14:textId="77777777" w:rsidR="007B6C97" w:rsidRDefault="007B6C97">
            <w:pPr>
              <w:rPr>
                <w:rFonts w:ascii="宋体"/>
                <w:vanish/>
              </w:rPr>
            </w:pPr>
          </w:p>
        </w:tc>
        <w:tc>
          <w:tcPr>
            <w:tcW w:w="0" w:type="auto"/>
            <w:gridSpan w:val="3"/>
            <w:shd w:val="clear" w:color="auto" w:fill="auto"/>
            <w:vAlign w:val="bottom"/>
          </w:tcPr>
          <w:p w14:paraId="64296F79" w14:textId="77777777" w:rsidR="007B6C97" w:rsidRDefault="007B6C97">
            <w:pPr>
              <w:rPr>
                <w:rFonts w:ascii="宋体"/>
                <w:vanish/>
              </w:rPr>
            </w:pPr>
          </w:p>
        </w:tc>
        <w:tc>
          <w:tcPr>
            <w:tcW w:w="0" w:type="auto"/>
            <w:gridSpan w:val="3"/>
            <w:shd w:val="clear" w:color="auto" w:fill="auto"/>
            <w:vAlign w:val="bottom"/>
          </w:tcPr>
          <w:p w14:paraId="64296F7A" w14:textId="77777777" w:rsidR="007B6C97" w:rsidRDefault="007B6C97">
            <w:pPr>
              <w:rPr>
                <w:rFonts w:ascii="宋体"/>
                <w:vanish/>
              </w:rPr>
            </w:pPr>
          </w:p>
        </w:tc>
        <w:tc>
          <w:tcPr>
            <w:tcW w:w="0" w:type="auto"/>
            <w:gridSpan w:val="3"/>
            <w:shd w:val="clear" w:color="auto" w:fill="auto"/>
            <w:vAlign w:val="bottom"/>
          </w:tcPr>
          <w:p w14:paraId="64296F7B" w14:textId="77777777" w:rsidR="007B6C97" w:rsidRDefault="007B6C97">
            <w:pPr>
              <w:rPr>
                <w:rFonts w:ascii="宋体"/>
                <w:vanish/>
              </w:rPr>
            </w:pPr>
          </w:p>
        </w:tc>
        <w:tc>
          <w:tcPr>
            <w:tcW w:w="0" w:type="auto"/>
            <w:gridSpan w:val="3"/>
            <w:shd w:val="clear" w:color="auto" w:fill="auto"/>
            <w:vAlign w:val="bottom"/>
          </w:tcPr>
          <w:p w14:paraId="64296F7C" w14:textId="77777777" w:rsidR="007B6C97" w:rsidRDefault="007B6C97">
            <w:pPr>
              <w:rPr>
                <w:rFonts w:ascii="宋体"/>
                <w:vanish/>
              </w:rPr>
            </w:pPr>
          </w:p>
        </w:tc>
        <w:tc>
          <w:tcPr>
            <w:tcW w:w="0" w:type="auto"/>
            <w:gridSpan w:val="3"/>
            <w:shd w:val="clear" w:color="auto" w:fill="auto"/>
            <w:vAlign w:val="bottom"/>
          </w:tcPr>
          <w:p w14:paraId="64296F7D" w14:textId="77777777" w:rsidR="007B6C97" w:rsidRDefault="007B6C97">
            <w:pPr>
              <w:rPr>
                <w:rFonts w:ascii="宋体"/>
                <w:vanish/>
              </w:rPr>
            </w:pPr>
          </w:p>
        </w:tc>
        <w:tc>
          <w:tcPr>
            <w:tcW w:w="0" w:type="auto"/>
            <w:gridSpan w:val="3"/>
            <w:shd w:val="clear" w:color="auto" w:fill="auto"/>
            <w:vAlign w:val="bottom"/>
          </w:tcPr>
          <w:p w14:paraId="64296F7E" w14:textId="77777777" w:rsidR="007B6C97" w:rsidRDefault="007B6C97">
            <w:pPr>
              <w:rPr>
                <w:rFonts w:ascii="宋体"/>
                <w:vanish/>
              </w:rPr>
            </w:pPr>
          </w:p>
        </w:tc>
        <w:tc>
          <w:tcPr>
            <w:tcW w:w="0" w:type="auto"/>
            <w:gridSpan w:val="3"/>
            <w:shd w:val="clear" w:color="auto" w:fill="auto"/>
            <w:vAlign w:val="bottom"/>
          </w:tcPr>
          <w:p w14:paraId="64296F7F" w14:textId="77777777" w:rsidR="007B6C97" w:rsidRDefault="007B6C97">
            <w:pPr>
              <w:rPr>
                <w:rFonts w:ascii="宋体"/>
                <w:vanish/>
              </w:rPr>
            </w:pPr>
          </w:p>
        </w:tc>
        <w:tc>
          <w:tcPr>
            <w:tcW w:w="0" w:type="auto"/>
            <w:gridSpan w:val="3"/>
            <w:shd w:val="clear" w:color="auto" w:fill="auto"/>
            <w:vAlign w:val="bottom"/>
          </w:tcPr>
          <w:p w14:paraId="64296F80" w14:textId="77777777" w:rsidR="007B6C97" w:rsidRDefault="007B6C97">
            <w:pPr>
              <w:rPr>
                <w:rFonts w:ascii="宋体"/>
                <w:vanish/>
              </w:rPr>
            </w:pPr>
          </w:p>
        </w:tc>
        <w:tc>
          <w:tcPr>
            <w:tcW w:w="0" w:type="auto"/>
            <w:gridSpan w:val="3"/>
            <w:shd w:val="clear" w:color="auto" w:fill="auto"/>
            <w:vAlign w:val="bottom"/>
          </w:tcPr>
          <w:p w14:paraId="64296F81" w14:textId="77777777" w:rsidR="007B6C97" w:rsidRDefault="007B6C97">
            <w:pPr>
              <w:rPr>
                <w:rFonts w:ascii="宋体"/>
                <w:vanish/>
              </w:rPr>
            </w:pPr>
          </w:p>
        </w:tc>
        <w:tc>
          <w:tcPr>
            <w:tcW w:w="0" w:type="auto"/>
            <w:gridSpan w:val="3"/>
            <w:shd w:val="clear" w:color="auto" w:fill="auto"/>
            <w:vAlign w:val="bottom"/>
          </w:tcPr>
          <w:p w14:paraId="64296F82" w14:textId="77777777" w:rsidR="007B6C97" w:rsidRDefault="007B6C97">
            <w:pPr>
              <w:rPr>
                <w:rFonts w:ascii="宋体"/>
                <w:vanish/>
              </w:rPr>
            </w:pPr>
          </w:p>
        </w:tc>
        <w:tc>
          <w:tcPr>
            <w:tcW w:w="0" w:type="auto"/>
            <w:gridSpan w:val="3"/>
            <w:shd w:val="clear" w:color="auto" w:fill="auto"/>
            <w:vAlign w:val="bottom"/>
          </w:tcPr>
          <w:p w14:paraId="64296F83" w14:textId="77777777" w:rsidR="007B6C97" w:rsidRDefault="007B6C97">
            <w:pPr>
              <w:rPr>
                <w:rFonts w:ascii="宋体"/>
                <w:vanish/>
              </w:rPr>
            </w:pPr>
          </w:p>
        </w:tc>
      </w:tr>
      <w:tr w:rsidR="007B6C97" w14:paraId="64296F9C" w14:textId="77777777">
        <w:trPr>
          <w:jc w:val="center"/>
        </w:trPr>
        <w:tc>
          <w:tcPr>
            <w:tcW w:w="0" w:type="auto"/>
            <w:gridSpan w:val="3"/>
            <w:shd w:val="clear" w:color="auto" w:fill="D7E4BC"/>
            <w:tcMar>
              <w:top w:w="40" w:type="dxa"/>
              <w:left w:w="20" w:type="dxa"/>
              <w:bottom w:w="40" w:type="dxa"/>
              <w:right w:w="20" w:type="dxa"/>
            </w:tcMar>
          </w:tcPr>
          <w:p w14:paraId="64296F85"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$0.49 per share</w:t>
            </w:r>
          </w:p>
        </w:tc>
        <w:tc>
          <w:tcPr>
            <w:tcW w:w="0" w:type="auto"/>
            <w:gridSpan w:val="3"/>
            <w:shd w:val="clear" w:color="auto" w:fill="D7E4BC"/>
            <w:tcMar>
              <w:top w:w="40" w:type="dxa"/>
              <w:left w:w="20" w:type="dxa"/>
              <w:bottom w:w="40" w:type="dxa"/>
              <w:right w:w="20" w:type="dxa"/>
            </w:tcMar>
            <w:vAlign w:val="bottom"/>
          </w:tcPr>
          <w:p w14:paraId="64296F86"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6F8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8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8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8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8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8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8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8E" w14:textId="77777777" w:rsidR="007B6C97" w:rsidRDefault="00E426D1">
            <w:pPr>
              <w:jc w:val="right"/>
              <w:textAlignment w:val="bottom"/>
            </w:pPr>
            <w:r>
              <w:rPr>
                <w:rFonts w:ascii="Times New Roman" w:eastAsia="宋体" w:hAnsi="Times New Roman"/>
                <w:color w:val="000000"/>
                <w:sz w:val="20"/>
                <w:szCs w:val="20"/>
              </w:rPr>
              <w:t>(562.1)</w:t>
            </w:r>
          </w:p>
        </w:tc>
        <w:tc>
          <w:tcPr>
            <w:tcW w:w="0" w:type="auto"/>
            <w:shd w:val="clear" w:color="auto" w:fill="D7E4BC"/>
            <w:tcMar>
              <w:top w:w="40" w:type="dxa"/>
              <w:left w:w="0" w:type="dxa"/>
              <w:bottom w:w="40" w:type="dxa"/>
              <w:right w:w="20" w:type="dxa"/>
            </w:tcMar>
            <w:vAlign w:val="bottom"/>
          </w:tcPr>
          <w:p w14:paraId="64296F8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9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9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94" w14:textId="77777777" w:rsidR="007B6C97" w:rsidRDefault="00E426D1">
            <w:pPr>
              <w:jc w:val="right"/>
              <w:textAlignment w:val="bottom"/>
            </w:pPr>
            <w:r>
              <w:rPr>
                <w:rFonts w:ascii="Times New Roman" w:eastAsia="宋体" w:hAnsi="Times New Roman"/>
                <w:color w:val="000000"/>
                <w:sz w:val="20"/>
                <w:szCs w:val="20"/>
              </w:rPr>
              <w:t>(562.1)</w:t>
            </w:r>
          </w:p>
        </w:tc>
        <w:tc>
          <w:tcPr>
            <w:tcW w:w="0" w:type="auto"/>
            <w:shd w:val="clear" w:color="auto" w:fill="D7E4BC"/>
            <w:tcMar>
              <w:top w:w="40" w:type="dxa"/>
              <w:left w:w="0" w:type="dxa"/>
              <w:bottom w:w="40" w:type="dxa"/>
              <w:right w:w="20" w:type="dxa"/>
            </w:tcMar>
            <w:vAlign w:val="bottom"/>
          </w:tcPr>
          <w:p w14:paraId="64296F9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9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9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6F9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6F9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6F9A" w14:textId="77777777" w:rsidR="007B6C97" w:rsidRDefault="00E426D1">
            <w:pPr>
              <w:jc w:val="right"/>
              <w:textAlignment w:val="bottom"/>
            </w:pPr>
            <w:r>
              <w:rPr>
                <w:rFonts w:ascii="Times New Roman" w:eastAsia="宋体" w:hAnsi="Times New Roman"/>
                <w:color w:val="000000"/>
                <w:sz w:val="20"/>
                <w:szCs w:val="20"/>
              </w:rPr>
              <w:t>(562.1)</w:t>
            </w:r>
          </w:p>
        </w:tc>
        <w:tc>
          <w:tcPr>
            <w:tcW w:w="0" w:type="auto"/>
            <w:shd w:val="clear" w:color="auto" w:fill="D7E4BC"/>
            <w:tcMar>
              <w:top w:w="40" w:type="dxa"/>
              <w:left w:w="0" w:type="dxa"/>
              <w:bottom w:w="40" w:type="dxa"/>
              <w:right w:w="20" w:type="dxa"/>
            </w:tcMar>
            <w:vAlign w:val="bottom"/>
          </w:tcPr>
          <w:p w14:paraId="64296F9B" w14:textId="77777777" w:rsidR="007B6C97" w:rsidRDefault="007B6C97">
            <w:pPr>
              <w:jc w:val="right"/>
              <w:rPr>
                <w:rFonts w:ascii="宋体"/>
              </w:rPr>
            </w:pPr>
          </w:p>
        </w:tc>
      </w:tr>
      <w:tr w:rsidR="007B6C97" w14:paraId="64296FAD" w14:textId="77777777">
        <w:trPr>
          <w:jc w:val="center"/>
          <w:hidden/>
        </w:trPr>
        <w:tc>
          <w:tcPr>
            <w:tcW w:w="0" w:type="auto"/>
            <w:gridSpan w:val="3"/>
            <w:shd w:val="clear" w:color="auto" w:fill="auto"/>
            <w:vAlign w:val="bottom"/>
          </w:tcPr>
          <w:p w14:paraId="64296F9D" w14:textId="77777777" w:rsidR="007B6C97" w:rsidRDefault="007B6C97">
            <w:pPr>
              <w:rPr>
                <w:rFonts w:ascii="宋体"/>
                <w:vanish/>
              </w:rPr>
            </w:pPr>
          </w:p>
        </w:tc>
        <w:tc>
          <w:tcPr>
            <w:tcW w:w="0" w:type="auto"/>
            <w:gridSpan w:val="3"/>
            <w:shd w:val="clear" w:color="auto" w:fill="auto"/>
            <w:vAlign w:val="bottom"/>
          </w:tcPr>
          <w:p w14:paraId="64296F9E" w14:textId="77777777" w:rsidR="007B6C97" w:rsidRDefault="007B6C97">
            <w:pPr>
              <w:rPr>
                <w:rFonts w:ascii="宋体"/>
                <w:vanish/>
              </w:rPr>
            </w:pPr>
          </w:p>
        </w:tc>
        <w:tc>
          <w:tcPr>
            <w:tcW w:w="0" w:type="auto"/>
            <w:gridSpan w:val="3"/>
            <w:shd w:val="clear" w:color="auto" w:fill="auto"/>
            <w:vAlign w:val="bottom"/>
          </w:tcPr>
          <w:p w14:paraId="64296F9F" w14:textId="77777777" w:rsidR="007B6C97" w:rsidRDefault="007B6C97">
            <w:pPr>
              <w:rPr>
                <w:rFonts w:ascii="宋体"/>
                <w:vanish/>
              </w:rPr>
            </w:pPr>
          </w:p>
        </w:tc>
        <w:tc>
          <w:tcPr>
            <w:tcW w:w="0" w:type="auto"/>
            <w:gridSpan w:val="3"/>
            <w:shd w:val="clear" w:color="auto" w:fill="auto"/>
            <w:vAlign w:val="bottom"/>
          </w:tcPr>
          <w:p w14:paraId="64296FA0" w14:textId="77777777" w:rsidR="007B6C97" w:rsidRDefault="007B6C97">
            <w:pPr>
              <w:rPr>
                <w:rFonts w:ascii="宋体"/>
                <w:vanish/>
              </w:rPr>
            </w:pPr>
          </w:p>
        </w:tc>
        <w:tc>
          <w:tcPr>
            <w:tcW w:w="0" w:type="auto"/>
            <w:gridSpan w:val="3"/>
            <w:shd w:val="clear" w:color="auto" w:fill="auto"/>
            <w:vAlign w:val="bottom"/>
          </w:tcPr>
          <w:p w14:paraId="64296FA1" w14:textId="77777777" w:rsidR="007B6C97" w:rsidRDefault="007B6C97">
            <w:pPr>
              <w:rPr>
                <w:rFonts w:ascii="宋体"/>
                <w:vanish/>
              </w:rPr>
            </w:pPr>
          </w:p>
        </w:tc>
        <w:tc>
          <w:tcPr>
            <w:tcW w:w="0" w:type="auto"/>
            <w:gridSpan w:val="3"/>
            <w:shd w:val="clear" w:color="auto" w:fill="auto"/>
            <w:vAlign w:val="bottom"/>
          </w:tcPr>
          <w:p w14:paraId="64296FA2" w14:textId="77777777" w:rsidR="007B6C97" w:rsidRDefault="007B6C97">
            <w:pPr>
              <w:rPr>
                <w:rFonts w:ascii="宋体"/>
                <w:vanish/>
              </w:rPr>
            </w:pPr>
          </w:p>
        </w:tc>
        <w:tc>
          <w:tcPr>
            <w:tcW w:w="0" w:type="auto"/>
            <w:gridSpan w:val="3"/>
            <w:shd w:val="clear" w:color="auto" w:fill="auto"/>
            <w:vAlign w:val="bottom"/>
          </w:tcPr>
          <w:p w14:paraId="64296FA3" w14:textId="77777777" w:rsidR="007B6C97" w:rsidRDefault="007B6C97">
            <w:pPr>
              <w:rPr>
                <w:rFonts w:ascii="宋体"/>
                <w:vanish/>
              </w:rPr>
            </w:pPr>
          </w:p>
        </w:tc>
        <w:tc>
          <w:tcPr>
            <w:tcW w:w="0" w:type="auto"/>
            <w:gridSpan w:val="3"/>
            <w:shd w:val="clear" w:color="auto" w:fill="auto"/>
            <w:vAlign w:val="bottom"/>
          </w:tcPr>
          <w:p w14:paraId="64296FA4" w14:textId="77777777" w:rsidR="007B6C97" w:rsidRDefault="007B6C97">
            <w:pPr>
              <w:rPr>
                <w:rFonts w:ascii="宋体"/>
                <w:vanish/>
              </w:rPr>
            </w:pPr>
          </w:p>
        </w:tc>
        <w:tc>
          <w:tcPr>
            <w:tcW w:w="0" w:type="auto"/>
            <w:gridSpan w:val="3"/>
            <w:shd w:val="clear" w:color="auto" w:fill="auto"/>
            <w:vAlign w:val="bottom"/>
          </w:tcPr>
          <w:p w14:paraId="64296FA5" w14:textId="77777777" w:rsidR="007B6C97" w:rsidRDefault="007B6C97">
            <w:pPr>
              <w:rPr>
                <w:rFonts w:ascii="宋体"/>
                <w:vanish/>
              </w:rPr>
            </w:pPr>
          </w:p>
        </w:tc>
        <w:tc>
          <w:tcPr>
            <w:tcW w:w="0" w:type="auto"/>
            <w:gridSpan w:val="3"/>
            <w:shd w:val="clear" w:color="auto" w:fill="auto"/>
            <w:vAlign w:val="bottom"/>
          </w:tcPr>
          <w:p w14:paraId="64296FA6" w14:textId="77777777" w:rsidR="007B6C97" w:rsidRDefault="007B6C97">
            <w:pPr>
              <w:rPr>
                <w:rFonts w:ascii="宋体"/>
                <w:vanish/>
              </w:rPr>
            </w:pPr>
          </w:p>
        </w:tc>
        <w:tc>
          <w:tcPr>
            <w:tcW w:w="0" w:type="auto"/>
            <w:gridSpan w:val="3"/>
            <w:shd w:val="clear" w:color="auto" w:fill="auto"/>
            <w:vAlign w:val="bottom"/>
          </w:tcPr>
          <w:p w14:paraId="64296FA7" w14:textId="77777777" w:rsidR="007B6C97" w:rsidRDefault="007B6C97">
            <w:pPr>
              <w:rPr>
                <w:rFonts w:ascii="宋体"/>
                <w:vanish/>
              </w:rPr>
            </w:pPr>
          </w:p>
        </w:tc>
        <w:tc>
          <w:tcPr>
            <w:tcW w:w="0" w:type="auto"/>
            <w:gridSpan w:val="3"/>
            <w:shd w:val="clear" w:color="auto" w:fill="auto"/>
            <w:vAlign w:val="bottom"/>
          </w:tcPr>
          <w:p w14:paraId="64296FA8" w14:textId="77777777" w:rsidR="007B6C97" w:rsidRDefault="007B6C97">
            <w:pPr>
              <w:rPr>
                <w:rFonts w:ascii="宋体"/>
                <w:vanish/>
              </w:rPr>
            </w:pPr>
          </w:p>
        </w:tc>
        <w:tc>
          <w:tcPr>
            <w:tcW w:w="0" w:type="auto"/>
            <w:gridSpan w:val="3"/>
            <w:shd w:val="clear" w:color="auto" w:fill="auto"/>
            <w:vAlign w:val="bottom"/>
          </w:tcPr>
          <w:p w14:paraId="64296FA9" w14:textId="77777777" w:rsidR="007B6C97" w:rsidRDefault="007B6C97">
            <w:pPr>
              <w:rPr>
                <w:rFonts w:ascii="宋体"/>
                <w:vanish/>
              </w:rPr>
            </w:pPr>
          </w:p>
        </w:tc>
        <w:tc>
          <w:tcPr>
            <w:tcW w:w="0" w:type="auto"/>
            <w:gridSpan w:val="3"/>
            <w:shd w:val="clear" w:color="auto" w:fill="auto"/>
            <w:vAlign w:val="bottom"/>
          </w:tcPr>
          <w:p w14:paraId="64296FAA" w14:textId="77777777" w:rsidR="007B6C97" w:rsidRDefault="007B6C97">
            <w:pPr>
              <w:rPr>
                <w:rFonts w:ascii="宋体"/>
                <w:vanish/>
              </w:rPr>
            </w:pPr>
          </w:p>
        </w:tc>
        <w:tc>
          <w:tcPr>
            <w:tcW w:w="0" w:type="auto"/>
            <w:gridSpan w:val="3"/>
            <w:shd w:val="clear" w:color="auto" w:fill="auto"/>
            <w:vAlign w:val="bottom"/>
          </w:tcPr>
          <w:p w14:paraId="64296FAB" w14:textId="77777777" w:rsidR="007B6C97" w:rsidRDefault="007B6C97">
            <w:pPr>
              <w:rPr>
                <w:rFonts w:ascii="宋体"/>
                <w:vanish/>
              </w:rPr>
            </w:pPr>
          </w:p>
        </w:tc>
        <w:tc>
          <w:tcPr>
            <w:tcW w:w="0" w:type="auto"/>
            <w:gridSpan w:val="3"/>
            <w:shd w:val="clear" w:color="auto" w:fill="auto"/>
            <w:vAlign w:val="bottom"/>
          </w:tcPr>
          <w:p w14:paraId="64296FAC" w14:textId="77777777" w:rsidR="007B6C97" w:rsidRDefault="007B6C97">
            <w:pPr>
              <w:rPr>
                <w:rFonts w:ascii="宋体"/>
                <w:vanish/>
              </w:rPr>
            </w:pPr>
          </w:p>
        </w:tc>
      </w:tr>
      <w:tr w:rsidR="00E426D1" w14:paraId="64296FCC" w14:textId="77777777">
        <w:trPr>
          <w:jc w:val="center"/>
        </w:trPr>
        <w:tc>
          <w:tcPr>
            <w:tcW w:w="0" w:type="auto"/>
            <w:gridSpan w:val="3"/>
            <w:shd w:val="clear" w:color="auto" w:fill="FFFFFF"/>
            <w:tcMar>
              <w:top w:w="40" w:type="dxa"/>
              <w:left w:w="20" w:type="dxa"/>
              <w:bottom w:w="40" w:type="dxa"/>
              <w:right w:w="20" w:type="dxa"/>
            </w:tcMar>
            <w:vAlign w:val="bottom"/>
          </w:tcPr>
          <w:p w14:paraId="64296FA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July 3, 2022</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296FAF" w14:textId="77777777" w:rsidR="007B6C97" w:rsidRDefault="00E426D1">
            <w:pPr>
              <w:jc w:val="right"/>
              <w:textAlignment w:val="bottom"/>
            </w:pPr>
            <w:r>
              <w:rPr>
                <w:rFonts w:ascii="Times New Roman" w:eastAsia="宋体" w:hAnsi="Times New Roman"/>
                <w:color w:val="000000"/>
                <w:sz w:val="20"/>
                <w:szCs w:val="20"/>
              </w:rPr>
              <w:t>1,147.3</w:t>
            </w:r>
          </w:p>
        </w:tc>
        <w:tc>
          <w:tcPr>
            <w:tcW w:w="0" w:type="auto"/>
            <w:gridSpan w:val="3"/>
            <w:shd w:val="clear" w:color="auto" w:fill="FFFFFF"/>
            <w:tcMar>
              <w:top w:w="0" w:type="dxa"/>
              <w:left w:w="20" w:type="dxa"/>
              <w:bottom w:w="0" w:type="dxa"/>
              <w:right w:w="20" w:type="dxa"/>
            </w:tcMar>
            <w:vAlign w:val="bottom"/>
          </w:tcPr>
          <w:p w14:paraId="64296FB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B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B2" w14:textId="77777777" w:rsidR="007B6C97" w:rsidRDefault="00E426D1">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B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B4"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B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B6" w14:textId="77777777" w:rsidR="007B6C97" w:rsidRDefault="00E426D1">
            <w:pPr>
              <w:jc w:val="right"/>
              <w:textAlignment w:val="bottom"/>
            </w:pPr>
            <w:r>
              <w:rPr>
                <w:rFonts w:ascii="Times New Roman" w:eastAsia="宋体" w:hAnsi="Times New Roman"/>
                <w:color w:val="000000"/>
                <w:sz w:val="20"/>
                <w:szCs w:val="20"/>
              </w:rPr>
              <w:t>117.1 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B8"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B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BA" w14:textId="77777777" w:rsidR="007B6C97" w:rsidRDefault="00E426D1">
            <w:pPr>
              <w:jc w:val="right"/>
              <w:textAlignment w:val="bottom"/>
            </w:pPr>
            <w:r>
              <w:rPr>
                <w:rFonts w:ascii="Times New Roman" w:eastAsia="宋体" w:hAnsi="Times New Roman"/>
                <w:color w:val="000000"/>
                <w:sz w:val="20"/>
                <w:szCs w:val="20"/>
              </w:rPr>
              <w:t>(8,719.7)</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B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BC"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B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BE" w14:textId="77777777" w:rsidR="007B6C97" w:rsidRDefault="00E426D1">
            <w:pPr>
              <w:jc w:val="right"/>
              <w:textAlignment w:val="bottom"/>
            </w:pPr>
            <w:r>
              <w:rPr>
                <w:rFonts w:ascii="Times New Roman" w:eastAsia="宋体" w:hAnsi="Times New Roman"/>
                <w:color w:val="000000"/>
                <w:sz w:val="20"/>
                <w:szCs w:val="20"/>
              </w:rPr>
              <w:t>(65.0)</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B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C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C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C2" w14:textId="77777777" w:rsidR="007B6C97" w:rsidRDefault="00E426D1">
            <w:pPr>
              <w:jc w:val="right"/>
              <w:textAlignment w:val="bottom"/>
            </w:pPr>
            <w:r>
              <w:rPr>
                <w:rFonts w:ascii="Times New Roman" w:eastAsia="宋体" w:hAnsi="Times New Roman"/>
                <w:color w:val="000000"/>
                <w:sz w:val="20"/>
                <w:szCs w:val="20"/>
              </w:rPr>
              <w:t>(8,666.5)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C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C4"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C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C6" w14:textId="77777777" w:rsidR="007B6C97" w:rsidRDefault="00E426D1">
            <w:pPr>
              <w:jc w:val="right"/>
              <w:textAlignment w:val="bottom"/>
            </w:pPr>
            <w:r>
              <w:rPr>
                <w:rFonts w:ascii="Times New Roman" w:eastAsia="宋体" w:hAnsi="Times New Roman"/>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C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C8"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6FC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6FCA" w14:textId="77777777" w:rsidR="007B6C97" w:rsidRDefault="00E426D1">
            <w:pPr>
              <w:jc w:val="right"/>
              <w:textAlignment w:val="bottom"/>
            </w:pPr>
            <w:r>
              <w:rPr>
                <w:rFonts w:ascii="Times New Roman" w:eastAsia="宋体" w:hAnsi="Times New Roman"/>
                <w:color w:val="000000"/>
                <w:sz w:val="20"/>
                <w:szCs w:val="20"/>
              </w:rPr>
              <w:t>(8,658.9)</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6FCB" w14:textId="77777777" w:rsidR="007B6C97" w:rsidRDefault="007B6C97">
            <w:pPr>
              <w:jc w:val="right"/>
              <w:rPr>
                <w:rFonts w:ascii="宋体"/>
              </w:rPr>
            </w:pPr>
          </w:p>
        </w:tc>
      </w:tr>
      <w:tr w:rsidR="007B6C97" w14:paraId="64296FDD" w14:textId="77777777">
        <w:trPr>
          <w:trHeight w:val="300"/>
          <w:jc w:val="center"/>
        </w:trPr>
        <w:tc>
          <w:tcPr>
            <w:tcW w:w="0" w:type="auto"/>
            <w:gridSpan w:val="3"/>
            <w:shd w:val="clear" w:color="auto" w:fill="D7E4BC"/>
            <w:tcMar>
              <w:top w:w="0" w:type="dxa"/>
              <w:left w:w="20" w:type="dxa"/>
              <w:bottom w:w="0" w:type="dxa"/>
              <w:right w:w="20" w:type="dxa"/>
            </w:tcMar>
            <w:vAlign w:val="bottom"/>
          </w:tcPr>
          <w:p w14:paraId="64296FC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C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CF"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3"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6FD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6FDC" w14:textId="77777777" w:rsidR="007B6C97" w:rsidRDefault="007B6C97">
            <w:pPr>
              <w:rPr>
                <w:rFonts w:ascii="宋体"/>
              </w:rPr>
            </w:pPr>
          </w:p>
        </w:tc>
      </w:tr>
      <w:tr w:rsidR="00E426D1" w14:paraId="64296FFC" w14:textId="77777777">
        <w:trPr>
          <w:jc w:val="center"/>
        </w:trPr>
        <w:tc>
          <w:tcPr>
            <w:tcW w:w="0" w:type="auto"/>
            <w:gridSpan w:val="3"/>
            <w:shd w:val="clear" w:color="auto" w:fill="FFFFFF"/>
            <w:tcMar>
              <w:top w:w="40" w:type="dxa"/>
              <w:left w:w="20" w:type="dxa"/>
              <w:bottom w:w="40" w:type="dxa"/>
              <w:right w:w="20" w:type="dxa"/>
            </w:tcMar>
            <w:vAlign w:val="bottom"/>
          </w:tcPr>
          <w:p w14:paraId="64296FD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March 28, 2021</w:t>
            </w:r>
          </w:p>
        </w:tc>
        <w:tc>
          <w:tcPr>
            <w:tcW w:w="0" w:type="auto"/>
            <w:gridSpan w:val="3"/>
            <w:shd w:val="clear" w:color="auto" w:fill="FFFFFF"/>
            <w:tcMar>
              <w:top w:w="40" w:type="dxa"/>
              <w:left w:w="20" w:type="dxa"/>
              <w:bottom w:w="40" w:type="dxa"/>
              <w:right w:w="20" w:type="dxa"/>
            </w:tcMar>
            <w:vAlign w:val="bottom"/>
          </w:tcPr>
          <w:p w14:paraId="64296FDF" w14:textId="77777777" w:rsidR="007B6C97" w:rsidRDefault="00E426D1">
            <w:pPr>
              <w:jc w:val="right"/>
              <w:textAlignment w:val="bottom"/>
            </w:pPr>
            <w:r>
              <w:rPr>
                <w:rFonts w:ascii="Times New Roman" w:eastAsia="宋体" w:hAnsi="Times New Roman"/>
                <w:color w:val="000000"/>
                <w:sz w:val="20"/>
                <w:szCs w:val="20"/>
              </w:rPr>
              <w:t>1,177.9</w:t>
            </w:r>
          </w:p>
        </w:tc>
        <w:tc>
          <w:tcPr>
            <w:tcW w:w="0" w:type="auto"/>
            <w:gridSpan w:val="3"/>
            <w:shd w:val="clear" w:color="auto" w:fill="FFFFFF"/>
            <w:tcMar>
              <w:top w:w="0" w:type="dxa"/>
              <w:left w:w="20" w:type="dxa"/>
              <w:bottom w:w="0" w:type="dxa"/>
              <w:right w:w="20" w:type="dxa"/>
            </w:tcMar>
            <w:vAlign w:val="bottom"/>
          </w:tcPr>
          <w:p w14:paraId="64296FE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E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E2"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4296FE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E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E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E6" w14:textId="77777777" w:rsidR="007B6C97" w:rsidRDefault="00E426D1">
            <w:pPr>
              <w:jc w:val="right"/>
              <w:textAlignment w:val="bottom"/>
            </w:pPr>
            <w:r>
              <w:rPr>
                <w:rFonts w:ascii="Times New Roman" w:eastAsia="宋体" w:hAnsi="Times New Roman"/>
                <w:color w:val="000000"/>
                <w:sz w:val="20"/>
                <w:szCs w:val="20"/>
              </w:rPr>
              <w:t>595.4 </w:t>
            </w:r>
          </w:p>
        </w:tc>
        <w:tc>
          <w:tcPr>
            <w:tcW w:w="0" w:type="auto"/>
            <w:shd w:val="clear" w:color="auto" w:fill="FFFFFF"/>
            <w:tcMar>
              <w:top w:w="40" w:type="dxa"/>
              <w:left w:w="0" w:type="dxa"/>
              <w:bottom w:w="40" w:type="dxa"/>
              <w:right w:w="20" w:type="dxa"/>
            </w:tcMar>
            <w:vAlign w:val="bottom"/>
          </w:tcPr>
          <w:p w14:paraId="64296FE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E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E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EA" w14:textId="77777777" w:rsidR="007B6C97" w:rsidRDefault="00E426D1">
            <w:pPr>
              <w:jc w:val="right"/>
              <w:textAlignment w:val="bottom"/>
            </w:pPr>
            <w:r>
              <w:rPr>
                <w:rFonts w:ascii="Times New Roman" w:eastAsia="宋体" w:hAnsi="Times New Roman"/>
                <w:color w:val="000000"/>
                <w:sz w:val="20"/>
                <w:szCs w:val="20"/>
              </w:rPr>
              <w:t>(8,124.3)</w:t>
            </w:r>
          </w:p>
        </w:tc>
        <w:tc>
          <w:tcPr>
            <w:tcW w:w="0" w:type="auto"/>
            <w:shd w:val="clear" w:color="auto" w:fill="FFFFFF"/>
            <w:tcMar>
              <w:top w:w="40" w:type="dxa"/>
              <w:left w:w="0" w:type="dxa"/>
              <w:bottom w:w="40" w:type="dxa"/>
              <w:right w:w="20" w:type="dxa"/>
            </w:tcMar>
            <w:vAlign w:val="bottom"/>
          </w:tcPr>
          <w:p w14:paraId="64296F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E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E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EE" w14:textId="77777777" w:rsidR="007B6C97" w:rsidRDefault="00E426D1">
            <w:pPr>
              <w:jc w:val="right"/>
              <w:textAlignment w:val="bottom"/>
            </w:pPr>
            <w:r>
              <w:rPr>
                <w:rFonts w:ascii="Times New Roman" w:eastAsia="宋体" w:hAnsi="Times New Roman"/>
                <w:color w:val="000000"/>
                <w:sz w:val="20"/>
                <w:szCs w:val="20"/>
              </w:rPr>
              <w:t>(126.3)</w:t>
            </w:r>
          </w:p>
        </w:tc>
        <w:tc>
          <w:tcPr>
            <w:tcW w:w="0" w:type="auto"/>
            <w:shd w:val="clear" w:color="auto" w:fill="FFFFFF"/>
            <w:tcMar>
              <w:top w:w="40" w:type="dxa"/>
              <w:left w:w="0" w:type="dxa"/>
              <w:bottom w:w="40" w:type="dxa"/>
              <w:right w:w="20" w:type="dxa"/>
            </w:tcMar>
            <w:vAlign w:val="bottom"/>
          </w:tcPr>
          <w:p w14:paraId="64296F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F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F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F2" w14:textId="77777777" w:rsidR="007B6C97" w:rsidRDefault="00E426D1">
            <w:pPr>
              <w:jc w:val="right"/>
              <w:textAlignment w:val="bottom"/>
            </w:pPr>
            <w:r>
              <w:rPr>
                <w:rFonts w:ascii="Times New Roman" w:eastAsia="宋体" w:hAnsi="Times New Roman"/>
                <w:color w:val="000000"/>
                <w:sz w:val="20"/>
                <w:szCs w:val="20"/>
              </w:rPr>
              <w:t>(7,654.0)</w:t>
            </w:r>
          </w:p>
        </w:tc>
        <w:tc>
          <w:tcPr>
            <w:tcW w:w="0" w:type="auto"/>
            <w:shd w:val="clear" w:color="auto" w:fill="FFFFFF"/>
            <w:tcMar>
              <w:top w:w="40" w:type="dxa"/>
              <w:left w:w="0" w:type="dxa"/>
              <w:bottom w:w="40" w:type="dxa"/>
              <w:right w:w="20" w:type="dxa"/>
            </w:tcMar>
            <w:vAlign w:val="bottom"/>
          </w:tcPr>
          <w:p w14:paraId="64296F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F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F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F6" w14:textId="77777777" w:rsidR="007B6C97" w:rsidRDefault="00E426D1">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4296FF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6FF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6FF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6FFA" w14:textId="77777777" w:rsidR="007B6C97" w:rsidRDefault="00E426D1">
            <w:pPr>
              <w:jc w:val="right"/>
              <w:textAlignment w:val="bottom"/>
            </w:pPr>
            <w:r>
              <w:rPr>
                <w:rFonts w:ascii="Times New Roman" w:eastAsia="宋体" w:hAnsi="Times New Roman"/>
                <w:color w:val="000000"/>
                <w:sz w:val="20"/>
                <w:szCs w:val="20"/>
              </w:rPr>
              <w:t>(7,648.3)</w:t>
            </w:r>
          </w:p>
        </w:tc>
        <w:tc>
          <w:tcPr>
            <w:tcW w:w="0" w:type="auto"/>
            <w:shd w:val="clear" w:color="auto" w:fill="FFFFFF"/>
            <w:tcMar>
              <w:top w:w="40" w:type="dxa"/>
              <w:left w:w="0" w:type="dxa"/>
              <w:bottom w:w="40" w:type="dxa"/>
              <w:right w:w="20" w:type="dxa"/>
            </w:tcMar>
            <w:vAlign w:val="bottom"/>
          </w:tcPr>
          <w:p w14:paraId="64296FFB" w14:textId="77777777" w:rsidR="007B6C97" w:rsidRDefault="007B6C97">
            <w:pPr>
              <w:jc w:val="right"/>
              <w:rPr>
                <w:rFonts w:ascii="宋体"/>
              </w:rPr>
            </w:pPr>
          </w:p>
        </w:tc>
      </w:tr>
      <w:tr w:rsidR="007B6C97" w14:paraId="6429700D" w14:textId="77777777">
        <w:trPr>
          <w:jc w:val="center"/>
          <w:hidden/>
        </w:trPr>
        <w:tc>
          <w:tcPr>
            <w:tcW w:w="0" w:type="auto"/>
            <w:gridSpan w:val="3"/>
            <w:shd w:val="clear" w:color="auto" w:fill="auto"/>
            <w:vAlign w:val="bottom"/>
          </w:tcPr>
          <w:p w14:paraId="64296FFD" w14:textId="77777777" w:rsidR="007B6C97" w:rsidRDefault="007B6C97">
            <w:pPr>
              <w:rPr>
                <w:rFonts w:ascii="宋体"/>
                <w:vanish/>
              </w:rPr>
            </w:pPr>
          </w:p>
        </w:tc>
        <w:tc>
          <w:tcPr>
            <w:tcW w:w="0" w:type="auto"/>
            <w:gridSpan w:val="3"/>
            <w:shd w:val="clear" w:color="auto" w:fill="auto"/>
            <w:vAlign w:val="bottom"/>
          </w:tcPr>
          <w:p w14:paraId="64296FFE" w14:textId="77777777" w:rsidR="007B6C97" w:rsidRDefault="007B6C97">
            <w:pPr>
              <w:rPr>
                <w:rFonts w:ascii="宋体"/>
                <w:vanish/>
              </w:rPr>
            </w:pPr>
          </w:p>
        </w:tc>
        <w:tc>
          <w:tcPr>
            <w:tcW w:w="0" w:type="auto"/>
            <w:gridSpan w:val="3"/>
            <w:shd w:val="clear" w:color="auto" w:fill="auto"/>
            <w:vAlign w:val="bottom"/>
          </w:tcPr>
          <w:p w14:paraId="64296FFF" w14:textId="77777777" w:rsidR="007B6C97" w:rsidRDefault="007B6C97">
            <w:pPr>
              <w:rPr>
                <w:rFonts w:ascii="宋体"/>
                <w:vanish/>
              </w:rPr>
            </w:pPr>
          </w:p>
        </w:tc>
        <w:tc>
          <w:tcPr>
            <w:tcW w:w="0" w:type="auto"/>
            <w:gridSpan w:val="3"/>
            <w:shd w:val="clear" w:color="auto" w:fill="auto"/>
            <w:vAlign w:val="bottom"/>
          </w:tcPr>
          <w:p w14:paraId="64297000" w14:textId="77777777" w:rsidR="007B6C97" w:rsidRDefault="007B6C97">
            <w:pPr>
              <w:rPr>
                <w:rFonts w:ascii="宋体"/>
                <w:vanish/>
              </w:rPr>
            </w:pPr>
          </w:p>
        </w:tc>
        <w:tc>
          <w:tcPr>
            <w:tcW w:w="0" w:type="auto"/>
            <w:gridSpan w:val="3"/>
            <w:shd w:val="clear" w:color="auto" w:fill="auto"/>
            <w:vAlign w:val="bottom"/>
          </w:tcPr>
          <w:p w14:paraId="64297001" w14:textId="77777777" w:rsidR="007B6C97" w:rsidRDefault="007B6C97">
            <w:pPr>
              <w:rPr>
                <w:rFonts w:ascii="宋体"/>
                <w:vanish/>
              </w:rPr>
            </w:pPr>
          </w:p>
        </w:tc>
        <w:tc>
          <w:tcPr>
            <w:tcW w:w="0" w:type="auto"/>
            <w:gridSpan w:val="3"/>
            <w:shd w:val="clear" w:color="auto" w:fill="auto"/>
            <w:vAlign w:val="bottom"/>
          </w:tcPr>
          <w:p w14:paraId="64297002" w14:textId="77777777" w:rsidR="007B6C97" w:rsidRDefault="007B6C97">
            <w:pPr>
              <w:rPr>
                <w:rFonts w:ascii="宋体"/>
                <w:vanish/>
              </w:rPr>
            </w:pPr>
          </w:p>
        </w:tc>
        <w:tc>
          <w:tcPr>
            <w:tcW w:w="0" w:type="auto"/>
            <w:gridSpan w:val="3"/>
            <w:shd w:val="clear" w:color="auto" w:fill="auto"/>
            <w:vAlign w:val="bottom"/>
          </w:tcPr>
          <w:p w14:paraId="64297003" w14:textId="77777777" w:rsidR="007B6C97" w:rsidRDefault="007B6C97">
            <w:pPr>
              <w:rPr>
                <w:rFonts w:ascii="宋体"/>
                <w:vanish/>
              </w:rPr>
            </w:pPr>
          </w:p>
        </w:tc>
        <w:tc>
          <w:tcPr>
            <w:tcW w:w="0" w:type="auto"/>
            <w:gridSpan w:val="3"/>
            <w:shd w:val="clear" w:color="auto" w:fill="auto"/>
            <w:vAlign w:val="bottom"/>
          </w:tcPr>
          <w:p w14:paraId="64297004" w14:textId="77777777" w:rsidR="007B6C97" w:rsidRDefault="007B6C97">
            <w:pPr>
              <w:rPr>
                <w:rFonts w:ascii="宋体"/>
                <w:vanish/>
              </w:rPr>
            </w:pPr>
          </w:p>
        </w:tc>
        <w:tc>
          <w:tcPr>
            <w:tcW w:w="0" w:type="auto"/>
            <w:gridSpan w:val="3"/>
            <w:shd w:val="clear" w:color="auto" w:fill="auto"/>
            <w:vAlign w:val="bottom"/>
          </w:tcPr>
          <w:p w14:paraId="64297005" w14:textId="77777777" w:rsidR="007B6C97" w:rsidRDefault="007B6C97">
            <w:pPr>
              <w:rPr>
                <w:rFonts w:ascii="宋体"/>
                <w:vanish/>
              </w:rPr>
            </w:pPr>
          </w:p>
        </w:tc>
        <w:tc>
          <w:tcPr>
            <w:tcW w:w="0" w:type="auto"/>
            <w:gridSpan w:val="3"/>
            <w:shd w:val="clear" w:color="auto" w:fill="auto"/>
            <w:vAlign w:val="bottom"/>
          </w:tcPr>
          <w:p w14:paraId="64297006" w14:textId="77777777" w:rsidR="007B6C97" w:rsidRDefault="007B6C97">
            <w:pPr>
              <w:rPr>
                <w:rFonts w:ascii="宋体"/>
                <w:vanish/>
              </w:rPr>
            </w:pPr>
          </w:p>
        </w:tc>
        <w:tc>
          <w:tcPr>
            <w:tcW w:w="0" w:type="auto"/>
            <w:gridSpan w:val="3"/>
            <w:shd w:val="clear" w:color="auto" w:fill="auto"/>
            <w:vAlign w:val="bottom"/>
          </w:tcPr>
          <w:p w14:paraId="64297007" w14:textId="77777777" w:rsidR="007B6C97" w:rsidRDefault="007B6C97">
            <w:pPr>
              <w:rPr>
                <w:rFonts w:ascii="宋体"/>
                <w:vanish/>
              </w:rPr>
            </w:pPr>
          </w:p>
        </w:tc>
        <w:tc>
          <w:tcPr>
            <w:tcW w:w="0" w:type="auto"/>
            <w:gridSpan w:val="3"/>
            <w:shd w:val="clear" w:color="auto" w:fill="auto"/>
            <w:vAlign w:val="bottom"/>
          </w:tcPr>
          <w:p w14:paraId="64297008" w14:textId="77777777" w:rsidR="007B6C97" w:rsidRDefault="007B6C97">
            <w:pPr>
              <w:rPr>
                <w:rFonts w:ascii="宋体"/>
                <w:vanish/>
              </w:rPr>
            </w:pPr>
          </w:p>
        </w:tc>
        <w:tc>
          <w:tcPr>
            <w:tcW w:w="0" w:type="auto"/>
            <w:gridSpan w:val="3"/>
            <w:shd w:val="clear" w:color="auto" w:fill="auto"/>
            <w:vAlign w:val="bottom"/>
          </w:tcPr>
          <w:p w14:paraId="64297009" w14:textId="77777777" w:rsidR="007B6C97" w:rsidRDefault="007B6C97">
            <w:pPr>
              <w:rPr>
                <w:rFonts w:ascii="宋体"/>
                <w:vanish/>
              </w:rPr>
            </w:pPr>
          </w:p>
        </w:tc>
        <w:tc>
          <w:tcPr>
            <w:tcW w:w="0" w:type="auto"/>
            <w:gridSpan w:val="3"/>
            <w:shd w:val="clear" w:color="auto" w:fill="auto"/>
            <w:vAlign w:val="bottom"/>
          </w:tcPr>
          <w:p w14:paraId="6429700A" w14:textId="77777777" w:rsidR="007B6C97" w:rsidRDefault="007B6C97">
            <w:pPr>
              <w:rPr>
                <w:rFonts w:ascii="宋体"/>
                <w:vanish/>
              </w:rPr>
            </w:pPr>
          </w:p>
        </w:tc>
        <w:tc>
          <w:tcPr>
            <w:tcW w:w="0" w:type="auto"/>
            <w:gridSpan w:val="3"/>
            <w:shd w:val="clear" w:color="auto" w:fill="auto"/>
            <w:vAlign w:val="bottom"/>
          </w:tcPr>
          <w:p w14:paraId="6429700B" w14:textId="77777777" w:rsidR="007B6C97" w:rsidRDefault="007B6C97">
            <w:pPr>
              <w:rPr>
                <w:rFonts w:ascii="宋体"/>
                <w:vanish/>
              </w:rPr>
            </w:pPr>
          </w:p>
        </w:tc>
        <w:tc>
          <w:tcPr>
            <w:tcW w:w="0" w:type="auto"/>
            <w:gridSpan w:val="3"/>
            <w:shd w:val="clear" w:color="auto" w:fill="auto"/>
            <w:vAlign w:val="bottom"/>
          </w:tcPr>
          <w:p w14:paraId="6429700C" w14:textId="77777777" w:rsidR="007B6C97" w:rsidRDefault="007B6C97">
            <w:pPr>
              <w:rPr>
                <w:rFonts w:ascii="宋体"/>
                <w:vanish/>
              </w:rPr>
            </w:pPr>
          </w:p>
        </w:tc>
      </w:tr>
      <w:tr w:rsidR="007B6C97" w14:paraId="64297025" w14:textId="77777777">
        <w:trPr>
          <w:jc w:val="center"/>
        </w:trPr>
        <w:tc>
          <w:tcPr>
            <w:tcW w:w="0" w:type="auto"/>
            <w:gridSpan w:val="3"/>
            <w:shd w:val="clear" w:color="auto" w:fill="D7E4BC"/>
            <w:tcMar>
              <w:top w:w="40" w:type="dxa"/>
              <w:left w:w="20" w:type="dxa"/>
              <w:bottom w:w="40" w:type="dxa"/>
              <w:right w:w="20" w:type="dxa"/>
            </w:tcMar>
          </w:tcPr>
          <w:p w14:paraId="6429700E" w14:textId="77777777" w:rsidR="007B6C97" w:rsidRDefault="00E426D1">
            <w:pPr>
              <w:textAlignment w:val="top"/>
            </w:pPr>
            <w:r>
              <w:rPr>
                <w:rFonts w:ascii="Times New Roman" w:eastAsia="宋体" w:hAnsi="Times New Roman"/>
                <w:color w:val="000000"/>
                <w:sz w:val="20"/>
                <w:szCs w:val="20"/>
              </w:rPr>
              <w:t>Net earnings</w:t>
            </w:r>
          </w:p>
        </w:tc>
        <w:tc>
          <w:tcPr>
            <w:tcW w:w="0" w:type="auto"/>
            <w:gridSpan w:val="3"/>
            <w:shd w:val="clear" w:color="auto" w:fill="D7E4BC"/>
            <w:tcMar>
              <w:top w:w="40" w:type="dxa"/>
              <w:left w:w="20" w:type="dxa"/>
              <w:bottom w:w="40" w:type="dxa"/>
              <w:right w:w="20" w:type="dxa"/>
            </w:tcMar>
            <w:vAlign w:val="bottom"/>
          </w:tcPr>
          <w:p w14:paraId="6429700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01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1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1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1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1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1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1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17" w14:textId="77777777" w:rsidR="007B6C97" w:rsidRDefault="00E426D1">
            <w:pPr>
              <w:jc w:val="right"/>
              <w:textAlignment w:val="bottom"/>
            </w:pPr>
            <w:r>
              <w:rPr>
                <w:rFonts w:ascii="Times New Roman" w:eastAsia="宋体" w:hAnsi="Times New Roman"/>
                <w:color w:val="000000"/>
                <w:sz w:val="20"/>
                <w:szCs w:val="20"/>
              </w:rPr>
              <w:t>1,153.4 </w:t>
            </w:r>
          </w:p>
        </w:tc>
        <w:tc>
          <w:tcPr>
            <w:tcW w:w="0" w:type="auto"/>
            <w:shd w:val="clear" w:color="auto" w:fill="D7E4BC"/>
            <w:tcMar>
              <w:top w:w="40" w:type="dxa"/>
              <w:left w:w="0" w:type="dxa"/>
              <w:bottom w:w="40" w:type="dxa"/>
              <w:right w:w="20" w:type="dxa"/>
            </w:tcMar>
            <w:vAlign w:val="bottom"/>
          </w:tcPr>
          <w:p w14:paraId="6429701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1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1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1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1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1D" w14:textId="77777777" w:rsidR="007B6C97" w:rsidRDefault="00E426D1">
            <w:pPr>
              <w:jc w:val="right"/>
              <w:textAlignment w:val="bottom"/>
            </w:pPr>
            <w:r>
              <w:rPr>
                <w:rFonts w:ascii="Times New Roman" w:eastAsia="宋体" w:hAnsi="Times New Roman"/>
                <w:color w:val="000000"/>
                <w:sz w:val="20"/>
                <w:szCs w:val="20"/>
              </w:rPr>
              <w:t>1,153.4 </w:t>
            </w:r>
          </w:p>
        </w:tc>
        <w:tc>
          <w:tcPr>
            <w:tcW w:w="0" w:type="auto"/>
            <w:shd w:val="clear" w:color="auto" w:fill="D7E4BC"/>
            <w:tcMar>
              <w:top w:w="40" w:type="dxa"/>
              <w:left w:w="0" w:type="dxa"/>
              <w:bottom w:w="40" w:type="dxa"/>
              <w:right w:w="20" w:type="dxa"/>
            </w:tcMar>
            <w:vAlign w:val="bottom"/>
          </w:tcPr>
          <w:p w14:paraId="642970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20"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42970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23" w14:textId="77777777" w:rsidR="007B6C97" w:rsidRDefault="00E426D1">
            <w:pPr>
              <w:jc w:val="right"/>
              <w:textAlignment w:val="bottom"/>
            </w:pPr>
            <w:r>
              <w:rPr>
                <w:rFonts w:ascii="Times New Roman" w:eastAsia="宋体" w:hAnsi="Times New Roman"/>
                <w:color w:val="000000"/>
                <w:sz w:val="20"/>
                <w:szCs w:val="20"/>
              </w:rPr>
              <w:t>1,154.2 </w:t>
            </w:r>
          </w:p>
        </w:tc>
        <w:tc>
          <w:tcPr>
            <w:tcW w:w="0" w:type="auto"/>
            <w:shd w:val="clear" w:color="auto" w:fill="D7E4BC"/>
            <w:tcMar>
              <w:top w:w="40" w:type="dxa"/>
              <w:left w:w="0" w:type="dxa"/>
              <w:bottom w:w="40" w:type="dxa"/>
              <w:right w:w="20" w:type="dxa"/>
            </w:tcMar>
            <w:vAlign w:val="bottom"/>
          </w:tcPr>
          <w:p w14:paraId="64297024" w14:textId="77777777" w:rsidR="007B6C97" w:rsidRDefault="007B6C97">
            <w:pPr>
              <w:jc w:val="right"/>
              <w:rPr>
                <w:rFonts w:ascii="宋体"/>
              </w:rPr>
            </w:pPr>
          </w:p>
        </w:tc>
      </w:tr>
      <w:tr w:rsidR="007B6C97" w14:paraId="6429703D" w14:textId="77777777">
        <w:trPr>
          <w:jc w:val="center"/>
        </w:trPr>
        <w:tc>
          <w:tcPr>
            <w:tcW w:w="0" w:type="auto"/>
            <w:gridSpan w:val="3"/>
            <w:shd w:val="clear" w:color="auto" w:fill="FFFFFF"/>
            <w:tcMar>
              <w:top w:w="40" w:type="dxa"/>
              <w:left w:w="20" w:type="dxa"/>
              <w:bottom w:w="40" w:type="dxa"/>
              <w:right w:w="20" w:type="dxa"/>
            </w:tcMar>
          </w:tcPr>
          <w:p w14:paraId="64297026" w14:textId="77777777" w:rsidR="007B6C97" w:rsidRDefault="00E426D1">
            <w:pPr>
              <w:textAlignment w:val="top"/>
            </w:pPr>
            <w:r>
              <w:rPr>
                <w:rFonts w:ascii="Times New Roman" w:eastAsia="宋体" w:hAnsi="Times New Roman"/>
                <w:color w:val="000000"/>
                <w:sz w:val="20"/>
                <w:szCs w:val="20"/>
              </w:rPr>
              <w:t>Other comprehensive income</w:t>
            </w:r>
          </w:p>
        </w:tc>
        <w:tc>
          <w:tcPr>
            <w:tcW w:w="0" w:type="auto"/>
            <w:gridSpan w:val="3"/>
            <w:shd w:val="clear" w:color="auto" w:fill="FFFFFF"/>
            <w:tcMar>
              <w:top w:w="40" w:type="dxa"/>
              <w:left w:w="20" w:type="dxa"/>
              <w:bottom w:w="40" w:type="dxa"/>
              <w:right w:w="20" w:type="dxa"/>
            </w:tcMar>
            <w:vAlign w:val="bottom"/>
          </w:tcPr>
          <w:p w14:paraId="6429702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02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2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2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2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2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2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2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2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3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32" w14:textId="77777777" w:rsidR="007B6C97" w:rsidRDefault="00E426D1">
            <w:pPr>
              <w:jc w:val="right"/>
              <w:textAlignment w:val="bottom"/>
            </w:pPr>
            <w:r>
              <w:rPr>
                <w:rFonts w:ascii="Times New Roman" w:eastAsia="宋体" w:hAnsi="Times New Roman"/>
                <w:color w:val="000000"/>
                <w:sz w:val="20"/>
                <w:szCs w:val="20"/>
              </w:rPr>
              <w:t>96.6 </w:t>
            </w:r>
          </w:p>
        </w:tc>
        <w:tc>
          <w:tcPr>
            <w:tcW w:w="0" w:type="auto"/>
            <w:shd w:val="clear" w:color="auto" w:fill="FFFFFF"/>
            <w:tcMar>
              <w:top w:w="40" w:type="dxa"/>
              <w:left w:w="0" w:type="dxa"/>
              <w:bottom w:w="40" w:type="dxa"/>
              <w:right w:w="20" w:type="dxa"/>
            </w:tcMar>
            <w:vAlign w:val="bottom"/>
          </w:tcPr>
          <w:p w14:paraId="642970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3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35" w14:textId="77777777" w:rsidR="007B6C97" w:rsidRDefault="00E426D1">
            <w:pPr>
              <w:jc w:val="right"/>
              <w:textAlignment w:val="bottom"/>
            </w:pPr>
            <w:r>
              <w:rPr>
                <w:rFonts w:ascii="Times New Roman" w:eastAsia="宋体" w:hAnsi="Times New Roman"/>
                <w:color w:val="000000"/>
                <w:sz w:val="20"/>
                <w:szCs w:val="20"/>
              </w:rPr>
              <w:t>96.6 </w:t>
            </w:r>
          </w:p>
        </w:tc>
        <w:tc>
          <w:tcPr>
            <w:tcW w:w="0" w:type="auto"/>
            <w:shd w:val="clear" w:color="auto" w:fill="FFFFFF"/>
            <w:tcMar>
              <w:top w:w="40" w:type="dxa"/>
              <w:left w:w="0" w:type="dxa"/>
              <w:bottom w:w="40" w:type="dxa"/>
              <w:right w:w="20" w:type="dxa"/>
            </w:tcMar>
            <w:vAlign w:val="bottom"/>
          </w:tcPr>
          <w:p w14:paraId="6429703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3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3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3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3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3B" w14:textId="77777777" w:rsidR="007B6C97" w:rsidRDefault="00E426D1">
            <w:pPr>
              <w:jc w:val="right"/>
              <w:textAlignment w:val="bottom"/>
            </w:pPr>
            <w:r>
              <w:rPr>
                <w:rFonts w:ascii="Times New Roman" w:eastAsia="宋体" w:hAnsi="Times New Roman"/>
                <w:color w:val="000000"/>
                <w:sz w:val="20"/>
                <w:szCs w:val="20"/>
              </w:rPr>
              <w:t>96.6 </w:t>
            </w:r>
          </w:p>
        </w:tc>
        <w:tc>
          <w:tcPr>
            <w:tcW w:w="0" w:type="auto"/>
            <w:shd w:val="clear" w:color="auto" w:fill="FFFFFF"/>
            <w:tcMar>
              <w:top w:w="40" w:type="dxa"/>
              <w:left w:w="0" w:type="dxa"/>
              <w:bottom w:w="40" w:type="dxa"/>
              <w:right w:w="20" w:type="dxa"/>
            </w:tcMar>
            <w:vAlign w:val="bottom"/>
          </w:tcPr>
          <w:p w14:paraId="6429703C" w14:textId="77777777" w:rsidR="007B6C97" w:rsidRDefault="007B6C97">
            <w:pPr>
              <w:jc w:val="right"/>
              <w:rPr>
                <w:rFonts w:ascii="宋体"/>
              </w:rPr>
            </w:pPr>
          </w:p>
        </w:tc>
      </w:tr>
      <w:tr w:rsidR="007B6C97" w14:paraId="64297055" w14:textId="77777777">
        <w:trPr>
          <w:jc w:val="center"/>
        </w:trPr>
        <w:tc>
          <w:tcPr>
            <w:tcW w:w="0" w:type="auto"/>
            <w:gridSpan w:val="3"/>
            <w:shd w:val="clear" w:color="auto" w:fill="D7E4BC"/>
            <w:tcMar>
              <w:top w:w="40" w:type="dxa"/>
              <w:left w:w="20" w:type="dxa"/>
              <w:bottom w:w="40" w:type="dxa"/>
              <w:right w:w="20" w:type="dxa"/>
            </w:tcMar>
          </w:tcPr>
          <w:p w14:paraId="6429703E" w14:textId="77777777" w:rsidR="007B6C97" w:rsidRDefault="00E426D1">
            <w:pPr>
              <w:textAlignment w:val="top"/>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3"/>
            <w:shd w:val="clear" w:color="auto" w:fill="D7E4BC"/>
            <w:tcMar>
              <w:top w:w="40" w:type="dxa"/>
              <w:left w:w="20" w:type="dxa"/>
              <w:bottom w:w="40" w:type="dxa"/>
              <w:right w:w="20" w:type="dxa"/>
            </w:tcMar>
            <w:vAlign w:val="bottom"/>
          </w:tcPr>
          <w:p w14:paraId="6429703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04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4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4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4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44" w14:textId="77777777" w:rsidR="007B6C97" w:rsidRDefault="00E426D1">
            <w:pPr>
              <w:jc w:val="right"/>
              <w:textAlignment w:val="bottom"/>
            </w:pPr>
            <w:r>
              <w:rPr>
                <w:rFonts w:ascii="Times New Roman" w:eastAsia="宋体" w:hAnsi="Times New Roman"/>
                <w:color w:val="000000"/>
                <w:sz w:val="20"/>
                <w:szCs w:val="20"/>
              </w:rPr>
              <w:t>80.9 </w:t>
            </w:r>
          </w:p>
        </w:tc>
        <w:tc>
          <w:tcPr>
            <w:tcW w:w="0" w:type="auto"/>
            <w:shd w:val="clear" w:color="auto" w:fill="D7E4BC"/>
            <w:tcMar>
              <w:top w:w="40" w:type="dxa"/>
              <w:left w:w="0" w:type="dxa"/>
              <w:bottom w:w="40" w:type="dxa"/>
              <w:right w:w="20" w:type="dxa"/>
            </w:tcMar>
            <w:vAlign w:val="bottom"/>
          </w:tcPr>
          <w:p w14:paraId="6429704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4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4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4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4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4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4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4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4D" w14:textId="77777777" w:rsidR="007B6C97" w:rsidRDefault="00E426D1">
            <w:pPr>
              <w:jc w:val="right"/>
              <w:textAlignment w:val="bottom"/>
            </w:pPr>
            <w:r>
              <w:rPr>
                <w:rFonts w:ascii="Times New Roman" w:eastAsia="宋体" w:hAnsi="Times New Roman"/>
                <w:color w:val="000000"/>
                <w:sz w:val="20"/>
                <w:szCs w:val="20"/>
              </w:rPr>
              <w:t>80.9 </w:t>
            </w:r>
          </w:p>
        </w:tc>
        <w:tc>
          <w:tcPr>
            <w:tcW w:w="0" w:type="auto"/>
            <w:shd w:val="clear" w:color="auto" w:fill="D7E4BC"/>
            <w:tcMar>
              <w:top w:w="40" w:type="dxa"/>
              <w:left w:w="0" w:type="dxa"/>
              <w:bottom w:w="40" w:type="dxa"/>
              <w:right w:w="20" w:type="dxa"/>
            </w:tcMar>
            <w:vAlign w:val="bottom"/>
          </w:tcPr>
          <w:p w14:paraId="642970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4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5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5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5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53" w14:textId="77777777" w:rsidR="007B6C97" w:rsidRDefault="00E426D1">
            <w:pPr>
              <w:jc w:val="right"/>
              <w:textAlignment w:val="bottom"/>
            </w:pPr>
            <w:r>
              <w:rPr>
                <w:rFonts w:ascii="Times New Roman" w:eastAsia="宋体" w:hAnsi="Times New Roman"/>
                <w:color w:val="000000"/>
                <w:sz w:val="20"/>
                <w:szCs w:val="20"/>
              </w:rPr>
              <w:t>80.9 </w:t>
            </w:r>
          </w:p>
        </w:tc>
        <w:tc>
          <w:tcPr>
            <w:tcW w:w="0" w:type="auto"/>
            <w:shd w:val="clear" w:color="auto" w:fill="D7E4BC"/>
            <w:tcMar>
              <w:top w:w="40" w:type="dxa"/>
              <w:left w:w="0" w:type="dxa"/>
              <w:bottom w:w="40" w:type="dxa"/>
              <w:right w:w="20" w:type="dxa"/>
            </w:tcMar>
            <w:vAlign w:val="bottom"/>
          </w:tcPr>
          <w:p w14:paraId="64297054" w14:textId="77777777" w:rsidR="007B6C97" w:rsidRDefault="007B6C97">
            <w:pPr>
              <w:jc w:val="right"/>
              <w:rPr>
                <w:rFonts w:ascii="宋体"/>
              </w:rPr>
            </w:pPr>
          </w:p>
        </w:tc>
      </w:tr>
      <w:tr w:rsidR="007B6C97" w14:paraId="6429706D" w14:textId="77777777">
        <w:trPr>
          <w:jc w:val="center"/>
        </w:trPr>
        <w:tc>
          <w:tcPr>
            <w:tcW w:w="0" w:type="auto"/>
            <w:gridSpan w:val="3"/>
            <w:shd w:val="clear" w:color="auto" w:fill="FFFFFF"/>
            <w:tcMar>
              <w:top w:w="40" w:type="dxa"/>
              <w:left w:w="20" w:type="dxa"/>
              <w:bottom w:w="40" w:type="dxa"/>
              <w:right w:w="20" w:type="dxa"/>
            </w:tcMar>
          </w:tcPr>
          <w:p w14:paraId="64297056" w14:textId="77777777" w:rsidR="007B6C97" w:rsidRDefault="00E426D1">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FFFFFF"/>
            <w:tcMar>
              <w:top w:w="40" w:type="dxa"/>
              <w:left w:w="20" w:type="dxa"/>
              <w:bottom w:w="40" w:type="dxa"/>
              <w:right w:w="20" w:type="dxa"/>
            </w:tcMar>
            <w:vAlign w:val="bottom"/>
          </w:tcPr>
          <w:p w14:paraId="64297057" w14:textId="77777777" w:rsidR="007B6C97" w:rsidRDefault="00E426D1">
            <w:pPr>
              <w:jc w:val="right"/>
              <w:textAlignment w:val="bottom"/>
            </w:pPr>
            <w:r>
              <w:rPr>
                <w:rFonts w:ascii="Times New Roman" w:eastAsia="宋体" w:hAnsi="Times New Roman"/>
                <w:color w:val="000000"/>
                <w:sz w:val="20"/>
                <w:szCs w:val="20"/>
              </w:rPr>
              <w:t>1.0</w:t>
            </w:r>
          </w:p>
        </w:tc>
        <w:tc>
          <w:tcPr>
            <w:tcW w:w="0" w:type="auto"/>
            <w:gridSpan w:val="3"/>
            <w:shd w:val="clear" w:color="auto" w:fill="FFFFFF"/>
            <w:tcMar>
              <w:top w:w="0" w:type="dxa"/>
              <w:left w:w="20" w:type="dxa"/>
              <w:bottom w:w="0" w:type="dxa"/>
              <w:right w:w="20" w:type="dxa"/>
            </w:tcMar>
            <w:vAlign w:val="bottom"/>
          </w:tcPr>
          <w:p w14:paraId="6429705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5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5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5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5C" w14:textId="77777777" w:rsidR="007B6C97" w:rsidRDefault="00E426D1">
            <w:pPr>
              <w:jc w:val="right"/>
              <w:textAlignment w:val="bottom"/>
            </w:pPr>
            <w:r>
              <w:rPr>
                <w:rFonts w:ascii="Times New Roman" w:eastAsia="宋体" w:hAnsi="Times New Roman"/>
                <w:color w:val="000000"/>
                <w:sz w:val="20"/>
                <w:szCs w:val="20"/>
              </w:rPr>
              <w:t>41.7 </w:t>
            </w:r>
          </w:p>
        </w:tc>
        <w:tc>
          <w:tcPr>
            <w:tcW w:w="0" w:type="auto"/>
            <w:shd w:val="clear" w:color="auto" w:fill="FFFFFF"/>
            <w:tcMar>
              <w:top w:w="40" w:type="dxa"/>
              <w:left w:w="0" w:type="dxa"/>
              <w:bottom w:w="40" w:type="dxa"/>
              <w:right w:w="20" w:type="dxa"/>
            </w:tcMar>
            <w:vAlign w:val="bottom"/>
          </w:tcPr>
          <w:p w14:paraId="6429705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5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5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6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6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6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65" w14:textId="77777777" w:rsidR="007B6C97" w:rsidRDefault="00E426D1">
            <w:pPr>
              <w:jc w:val="right"/>
              <w:textAlignment w:val="bottom"/>
            </w:pPr>
            <w:r>
              <w:rPr>
                <w:rFonts w:ascii="Times New Roman" w:eastAsia="宋体" w:hAnsi="Times New Roman"/>
                <w:color w:val="000000"/>
                <w:sz w:val="20"/>
                <w:szCs w:val="20"/>
              </w:rPr>
              <w:t>41.7 </w:t>
            </w:r>
          </w:p>
        </w:tc>
        <w:tc>
          <w:tcPr>
            <w:tcW w:w="0" w:type="auto"/>
            <w:shd w:val="clear" w:color="auto" w:fill="FFFFFF"/>
            <w:tcMar>
              <w:top w:w="40" w:type="dxa"/>
              <w:left w:w="0" w:type="dxa"/>
              <w:bottom w:w="40" w:type="dxa"/>
              <w:right w:w="20" w:type="dxa"/>
            </w:tcMar>
            <w:vAlign w:val="bottom"/>
          </w:tcPr>
          <w:p w14:paraId="6429706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6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6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6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6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6B" w14:textId="77777777" w:rsidR="007B6C97" w:rsidRDefault="00E426D1">
            <w:pPr>
              <w:jc w:val="right"/>
              <w:textAlignment w:val="bottom"/>
            </w:pPr>
            <w:r>
              <w:rPr>
                <w:rFonts w:ascii="Times New Roman" w:eastAsia="宋体" w:hAnsi="Times New Roman"/>
                <w:color w:val="000000"/>
                <w:sz w:val="20"/>
                <w:szCs w:val="20"/>
              </w:rPr>
              <w:t>41.7 </w:t>
            </w:r>
          </w:p>
        </w:tc>
        <w:tc>
          <w:tcPr>
            <w:tcW w:w="0" w:type="auto"/>
            <w:shd w:val="clear" w:color="auto" w:fill="FFFFFF"/>
            <w:tcMar>
              <w:top w:w="40" w:type="dxa"/>
              <w:left w:w="0" w:type="dxa"/>
              <w:bottom w:w="40" w:type="dxa"/>
              <w:right w:w="20" w:type="dxa"/>
            </w:tcMar>
            <w:vAlign w:val="bottom"/>
          </w:tcPr>
          <w:p w14:paraId="6429706C" w14:textId="77777777" w:rsidR="007B6C97" w:rsidRDefault="007B6C97">
            <w:pPr>
              <w:jc w:val="right"/>
              <w:rPr>
                <w:rFonts w:ascii="宋体"/>
              </w:rPr>
            </w:pPr>
          </w:p>
        </w:tc>
      </w:tr>
      <w:tr w:rsidR="007B6C97" w14:paraId="64297085" w14:textId="77777777">
        <w:trPr>
          <w:jc w:val="center"/>
        </w:trPr>
        <w:tc>
          <w:tcPr>
            <w:tcW w:w="0" w:type="auto"/>
            <w:gridSpan w:val="3"/>
            <w:shd w:val="clear" w:color="auto" w:fill="D7E4BC"/>
            <w:tcMar>
              <w:top w:w="40" w:type="dxa"/>
              <w:left w:w="20" w:type="dxa"/>
              <w:bottom w:w="40" w:type="dxa"/>
              <w:right w:w="20" w:type="dxa"/>
            </w:tcMar>
          </w:tcPr>
          <w:p w14:paraId="6429706E" w14:textId="77777777" w:rsidR="007B6C97" w:rsidRDefault="00E426D1">
            <w:pPr>
              <w:textAlignment w:val="top"/>
            </w:pPr>
            <w:r>
              <w:rPr>
                <w:rFonts w:ascii="Times New Roman" w:eastAsia="宋体" w:hAnsi="Times New Roman"/>
                <w:color w:val="000000"/>
                <w:sz w:val="20"/>
                <w:szCs w:val="20"/>
              </w:rPr>
              <w:t>Sale of common stock</w:t>
            </w:r>
          </w:p>
        </w:tc>
        <w:tc>
          <w:tcPr>
            <w:tcW w:w="0" w:type="auto"/>
            <w:gridSpan w:val="3"/>
            <w:shd w:val="clear" w:color="auto" w:fill="D7E4BC"/>
            <w:tcMar>
              <w:top w:w="40" w:type="dxa"/>
              <w:left w:w="20" w:type="dxa"/>
              <w:bottom w:w="40" w:type="dxa"/>
              <w:right w:w="20" w:type="dxa"/>
            </w:tcMar>
            <w:vAlign w:val="bottom"/>
          </w:tcPr>
          <w:p w14:paraId="6429706F" w14:textId="77777777" w:rsidR="007B6C97" w:rsidRDefault="00E426D1">
            <w:pPr>
              <w:jc w:val="right"/>
              <w:textAlignment w:val="bottom"/>
            </w:pPr>
            <w:r>
              <w:rPr>
                <w:rFonts w:ascii="Times New Roman" w:eastAsia="宋体" w:hAnsi="Times New Roman"/>
                <w:color w:val="000000"/>
                <w:sz w:val="20"/>
                <w:szCs w:val="20"/>
              </w:rPr>
              <w:t>0.1</w:t>
            </w:r>
          </w:p>
        </w:tc>
        <w:tc>
          <w:tcPr>
            <w:tcW w:w="0" w:type="auto"/>
            <w:gridSpan w:val="3"/>
            <w:shd w:val="clear" w:color="auto" w:fill="D7E4BC"/>
            <w:tcMar>
              <w:top w:w="0" w:type="dxa"/>
              <w:left w:w="20" w:type="dxa"/>
              <w:bottom w:w="0" w:type="dxa"/>
              <w:right w:w="20" w:type="dxa"/>
            </w:tcMar>
            <w:vAlign w:val="bottom"/>
          </w:tcPr>
          <w:p w14:paraId="6429707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7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7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7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74" w14:textId="77777777" w:rsidR="007B6C97" w:rsidRDefault="00E426D1">
            <w:pPr>
              <w:jc w:val="right"/>
              <w:textAlignment w:val="bottom"/>
            </w:pPr>
            <w:r>
              <w:rPr>
                <w:rFonts w:ascii="Times New Roman" w:eastAsia="宋体" w:hAnsi="Times New Roman"/>
                <w:color w:val="000000"/>
                <w:sz w:val="20"/>
                <w:szCs w:val="20"/>
              </w:rPr>
              <w:t>11.3 </w:t>
            </w:r>
          </w:p>
        </w:tc>
        <w:tc>
          <w:tcPr>
            <w:tcW w:w="0" w:type="auto"/>
            <w:shd w:val="clear" w:color="auto" w:fill="D7E4BC"/>
            <w:tcMar>
              <w:top w:w="40" w:type="dxa"/>
              <w:left w:w="0" w:type="dxa"/>
              <w:bottom w:w="40" w:type="dxa"/>
              <w:right w:w="20" w:type="dxa"/>
            </w:tcMar>
            <w:vAlign w:val="bottom"/>
          </w:tcPr>
          <w:p w14:paraId="6429707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7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7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7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7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7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7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7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7D" w14:textId="77777777" w:rsidR="007B6C97" w:rsidRDefault="00E426D1">
            <w:pPr>
              <w:jc w:val="right"/>
              <w:textAlignment w:val="bottom"/>
            </w:pPr>
            <w:r>
              <w:rPr>
                <w:rFonts w:ascii="Times New Roman" w:eastAsia="宋体" w:hAnsi="Times New Roman"/>
                <w:color w:val="000000"/>
                <w:sz w:val="20"/>
                <w:szCs w:val="20"/>
              </w:rPr>
              <w:t>11.3 </w:t>
            </w:r>
          </w:p>
        </w:tc>
        <w:tc>
          <w:tcPr>
            <w:tcW w:w="0" w:type="auto"/>
            <w:shd w:val="clear" w:color="auto" w:fill="D7E4BC"/>
            <w:tcMar>
              <w:top w:w="40" w:type="dxa"/>
              <w:left w:w="0" w:type="dxa"/>
              <w:bottom w:w="40" w:type="dxa"/>
              <w:right w:w="20" w:type="dxa"/>
            </w:tcMar>
            <w:vAlign w:val="bottom"/>
          </w:tcPr>
          <w:p w14:paraId="6429707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7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8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08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8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083" w14:textId="77777777" w:rsidR="007B6C97" w:rsidRDefault="00E426D1">
            <w:pPr>
              <w:jc w:val="right"/>
              <w:textAlignment w:val="bottom"/>
            </w:pPr>
            <w:r>
              <w:rPr>
                <w:rFonts w:ascii="Times New Roman" w:eastAsia="宋体" w:hAnsi="Times New Roman"/>
                <w:color w:val="000000"/>
                <w:sz w:val="20"/>
                <w:szCs w:val="20"/>
              </w:rPr>
              <w:t>11.3 </w:t>
            </w:r>
          </w:p>
        </w:tc>
        <w:tc>
          <w:tcPr>
            <w:tcW w:w="0" w:type="auto"/>
            <w:shd w:val="clear" w:color="auto" w:fill="D7E4BC"/>
            <w:tcMar>
              <w:top w:w="40" w:type="dxa"/>
              <w:left w:w="0" w:type="dxa"/>
              <w:bottom w:w="40" w:type="dxa"/>
              <w:right w:w="20" w:type="dxa"/>
            </w:tcMar>
            <w:vAlign w:val="bottom"/>
          </w:tcPr>
          <w:p w14:paraId="64297084" w14:textId="77777777" w:rsidR="007B6C97" w:rsidRDefault="007B6C97">
            <w:pPr>
              <w:jc w:val="right"/>
              <w:rPr>
                <w:rFonts w:ascii="宋体"/>
              </w:rPr>
            </w:pPr>
          </w:p>
        </w:tc>
      </w:tr>
      <w:tr w:rsidR="007B6C97" w14:paraId="64297096" w14:textId="77777777">
        <w:trPr>
          <w:jc w:val="center"/>
          <w:hidden/>
        </w:trPr>
        <w:tc>
          <w:tcPr>
            <w:tcW w:w="0" w:type="auto"/>
            <w:gridSpan w:val="3"/>
            <w:shd w:val="clear" w:color="auto" w:fill="auto"/>
            <w:vAlign w:val="bottom"/>
          </w:tcPr>
          <w:p w14:paraId="64297086" w14:textId="77777777" w:rsidR="007B6C97" w:rsidRDefault="007B6C97">
            <w:pPr>
              <w:rPr>
                <w:rFonts w:ascii="宋体"/>
                <w:vanish/>
              </w:rPr>
            </w:pPr>
          </w:p>
        </w:tc>
        <w:tc>
          <w:tcPr>
            <w:tcW w:w="0" w:type="auto"/>
            <w:gridSpan w:val="3"/>
            <w:shd w:val="clear" w:color="auto" w:fill="auto"/>
            <w:vAlign w:val="bottom"/>
          </w:tcPr>
          <w:p w14:paraId="64297087" w14:textId="77777777" w:rsidR="007B6C97" w:rsidRDefault="007B6C97">
            <w:pPr>
              <w:rPr>
                <w:rFonts w:ascii="宋体"/>
                <w:vanish/>
              </w:rPr>
            </w:pPr>
          </w:p>
        </w:tc>
        <w:tc>
          <w:tcPr>
            <w:tcW w:w="0" w:type="auto"/>
            <w:gridSpan w:val="3"/>
            <w:shd w:val="clear" w:color="auto" w:fill="auto"/>
            <w:vAlign w:val="bottom"/>
          </w:tcPr>
          <w:p w14:paraId="64297088" w14:textId="77777777" w:rsidR="007B6C97" w:rsidRDefault="007B6C97">
            <w:pPr>
              <w:rPr>
                <w:rFonts w:ascii="宋体"/>
                <w:vanish/>
              </w:rPr>
            </w:pPr>
          </w:p>
        </w:tc>
        <w:tc>
          <w:tcPr>
            <w:tcW w:w="0" w:type="auto"/>
            <w:gridSpan w:val="3"/>
            <w:shd w:val="clear" w:color="auto" w:fill="auto"/>
            <w:vAlign w:val="bottom"/>
          </w:tcPr>
          <w:p w14:paraId="64297089" w14:textId="77777777" w:rsidR="007B6C97" w:rsidRDefault="007B6C97">
            <w:pPr>
              <w:rPr>
                <w:rFonts w:ascii="宋体"/>
                <w:vanish/>
              </w:rPr>
            </w:pPr>
          </w:p>
        </w:tc>
        <w:tc>
          <w:tcPr>
            <w:tcW w:w="0" w:type="auto"/>
            <w:gridSpan w:val="3"/>
            <w:shd w:val="clear" w:color="auto" w:fill="auto"/>
            <w:vAlign w:val="bottom"/>
          </w:tcPr>
          <w:p w14:paraId="6429708A" w14:textId="77777777" w:rsidR="007B6C97" w:rsidRDefault="007B6C97">
            <w:pPr>
              <w:rPr>
                <w:rFonts w:ascii="宋体"/>
                <w:vanish/>
              </w:rPr>
            </w:pPr>
          </w:p>
        </w:tc>
        <w:tc>
          <w:tcPr>
            <w:tcW w:w="0" w:type="auto"/>
            <w:gridSpan w:val="3"/>
            <w:shd w:val="clear" w:color="auto" w:fill="auto"/>
            <w:vAlign w:val="bottom"/>
          </w:tcPr>
          <w:p w14:paraId="6429708B" w14:textId="77777777" w:rsidR="007B6C97" w:rsidRDefault="007B6C97">
            <w:pPr>
              <w:rPr>
                <w:rFonts w:ascii="宋体"/>
                <w:vanish/>
              </w:rPr>
            </w:pPr>
          </w:p>
        </w:tc>
        <w:tc>
          <w:tcPr>
            <w:tcW w:w="0" w:type="auto"/>
            <w:gridSpan w:val="3"/>
            <w:shd w:val="clear" w:color="auto" w:fill="auto"/>
            <w:vAlign w:val="bottom"/>
          </w:tcPr>
          <w:p w14:paraId="6429708C" w14:textId="77777777" w:rsidR="007B6C97" w:rsidRDefault="007B6C97">
            <w:pPr>
              <w:rPr>
                <w:rFonts w:ascii="宋体"/>
                <w:vanish/>
              </w:rPr>
            </w:pPr>
          </w:p>
        </w:tc>
        <w:tc>
          <w:tcPr>
            <w:tcW w:w="0" w:type="auto"/>
            <w:gridSpan w:val="3"/>
            <w:shd w:val="clear" w:color="auto" w:fill="auto"/>
            <w:vAlign w:val="bottom"/>
          </w:tcPr>
          <w:p w14:paraId="6429708D" w14:textId="77777777" w:rsidR="007B6C97" w:rsidRDefault="007B6C97">
            <w:pPr>
              <w:rPr>
                <w:rFonts w:ascii="宋体"/>
                <w:vanish/>
              </w:rPr>
            </w:pPr>
          </w:p>
        </w:tc>
        <w:tc>
          <w:tcPr>
            <w:tcW w:w="0" w:type="auto"/>
            <w:gridSpan w:val="3"/>
            <w:shd w:val="clear" w:color="auto" w:fill="auto"/>
            <w:vAlign w:val="bottom"/>
          </w:tcPr>
          <w:p w14:paraId="6429708E" w14:textId="77777777" w:rsidR="007B6C97" w:rsidRDefault="007B6C97">
            <w:pPr>
              <w:rPr>
                <w:rFonts w:ascii="宋体"/>
                <w:vanish/>
              </w:rPr>
            </w:pPr>
          </w:p>
        </w:tc>
        <w:tc>
          <w:tcPr>
            <w:tcW w:w="0" w:type="auto"/>
            <w:gridSpan w:val="3"/>
            <w:shd w:val="clear" w:color="auto" w:fill="auto"/>
            <w:vAlign w:val="bottom"/>
          </w:tcPr>
          <w:p w14:paraId="6429708F" w14:textId="77777777" w:rsidR="007B6C97" w:rsidRDefault="007B6C97">
            <w:pPr>
              <w:rPr>
                <w:rFonts w:ascii="宋体"/>
                <w:vanish/>
              </w:rPr>
            </w:pPr>
          </w:p>
        </w:tc>
        <w:tc>
          <w:tcPr>
            <w:tcW w:w="0" w:type="auto"/>
            <w:gridSpan w:val="3"/>
            <w:shd w:val="clear" w:color="auto" w:fill="auto"/>
            <w:vAlign w:val="bottom"/>
          </w:tcPr>
          <w:p w14:paraId="64297090" w14:textId="77777777" w:rsidR="007B6C97" w:rsidRDefault="007B6C97">
            <w:pPr>
              <w:rPr>
                <w:rFonts w:ascii="宋体"/>
                <w:vanish/>
              </w:rPr>
            </w:pPr>
          </w:p>
        </w:tc>
        <w:tc>
          <w:tcPr>
            <w:tcW w:w="0" w:type="auto"/>
            <w:gridSpan w:val="3"/>
            <w:shd w:val="clear" w:color="auto" w:fill="auto"/>
            <w:vAlign w:val="bottom"/>
          </w:tcPr>
          <w:p w14:paraId="64297091" w14:textId="77777777" w:rsidR="007B6C97" w:rsidRDefault="007B6C97">
            <w:pPr>
              <w:rPr>
                <w:rFonts w:ascii="宋体"/>
                <w:vanish/>
              </w:rPr>
            </w:pPr>
          </w:p>
        </w:tc>
        <w:tc>
          <w:tcPr>
            <w:tcW w:w="0" w:type="auto"/>
            <w:gridSpan w:val="3"/>
            <w:shd w:val="clear" w:color="auto" w:fill="auto"/>
            <w:vAlign w:val="bottom"/>
          </w:tcPr>
          <w:p w14:paraId="64297092" w14:textId="77777777" w:rsidR="007B6C97" w:rsidRDefault="007B6C97">
            <w:pPr>
              <w:rPr>
                <w:rFonts w:ascii="宋体"/>
                <w:vanish/>
              </w:rPr>
            </w:pPr>
          </w:p>
        </w:tc>
        <w:tc>
          <w:tcPr>
            <w:tcW w:w="0" w:type="auto"/>
            <w:gridSpan w:val="3"/>
            <w:shd w:val="clear" w:color="auto" w:fill="auto"/>
            <w:vAlign w:val="bottom"/>
          </w:tcPr>
          <w:p w14:paraId="64297093" w14:textId="77777777" w:rsidR="007B6C97" w:rsidRDefault="007B6C97">
            <w:pPr>
              <w:rPr>
                <w:rFonts w:ascii="宋体"/>
                <w:vanish/>
              </w:rPr>
            </w:pPr>
          </w:p>
        </w:tc>
        <w:tc>
          <w:tcPr>
            <w:tcW w:w="0" w:type="auto"/>
            <w:gridSpan w:val="3"/>
            <w:shd w:val="clear" w:color="auto" w:fill="auto"/>
            <w:vAlign w:val="bottom"/>
          </w:tcPr>
          <w:p w14:paraId="64297094" w14:textId="77777777" w:rsidR="007B6C97" w:rsidRDefault="007B6C97">
            <w:pPr>
              <w:rPr>
                <w:rFonts w:ascii="宋体"/>
                <w:vanish/>
              </w:rPr>
            </w:pPr>
          </w:p>
        </w:tc>
        <w:tc>
          <w:tcPr>
            <w:tcW w:w="0" w:type="auto"/>
            <w:gridSpan w:val="3"/>
            <w:shd w:val="clear" w:color="auto" w:fill="auto"/>
            <w:vAlign w:val="bottom"/>
          </w:tcPr>
          <w:p w14:paraId="64297095" w14:textId="77777777" w:rsidR="007B6C97" w:rsidRDefault="007B6C97">
            <w:pPr>
              <w:rPr>
                <w:rFonts w:ascii="宋体"/>
                <w:vanish/>
              </w:rPr>
            </w:pPr>
          </w:p>
        </w:tc>
      </w:tr>
      <w:tr w:rsidR="007B6C97" w14:paraId="642970AE" w14:textId="77777777">
        <w:trPr>
          <w:jc w:val="center"/>
        </w:trPr>
        <w:tc>
          <w:tcPr>
            <w:tcW w:w="0" w:type="auto"/>
            <w:gridSpan w:val="3"/>
            <w:shd w:val="clear" w:color="auto" w:fill="FFFFFF"/>
            <w:tcMar>
              <w:top w:w="40" w:type="dxa"/>
              <w:left w:w="20" w:type="dxa"/>
              <w:bottom w:w="40" w:type="dxa"/>
              <w:right w:w="20" w:type="dxa"/>
            </w:tcMar>
          </w:tcPr>
          <w:p w14:paraId="64297097"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$0.45 per share</w:t>
            </w:r>
          </w:p>
        </w:tc>
        <w:tc>
          <w:tcPr>
            <w:tcW w:w="0" w:type="auto"/>
            <w:gridSpan w:val="3"/>
            <w:shd w:val="clear" w:color="auto" w:fill="FFFFFF"/>
            <w:tcMar>
              <w:top w:w="40" w:type="dxa"/>
              <w:left w:w="20" w:type="dxa"/>
              <w:bottom w:w="40" w:type="dxa"/>
              <w:right w:w="20" w:type="dxa"/>
            </w:tcMar>
            <w:vAlign w:val="bottom"/>
          </w:tcPr>
          <w:p w14:paraId="6429709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09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9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9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9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9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9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9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A0" w14:textId="77777777" w:rsidR="007B6C97" w:rsidRDefault="00E426D1">
            <w:pPr>
              <w:jc w:val="right"/>
              <w:textAlignment w:val="bottom"/>
            </w:pPr>
            <w:r>
              <w:rPr>
                <w:rFonts w:ascii="Times New Roman" w:eastAsia="宋体" w:hAnsi="Times New Roman"/>
                <w:color w:val="000000"/>
                <w:sz w:val="20"/>
                <w:szCs w:val="20"/>
              </w:rPr>
              <w:t>(530.7)</w:t>
            </w:r>
          </w:p>
        </w:tc>
        <w:tc>
          <w:tcPr>
            <w:tcW w:w="0" w:type="auto"/>
            <w:shd w:val="clear" w:color="auto" w:fill="FFFFFF"/>
            <w:tcMar>
              <w:top w:w="40" w:type="dxa"/>
              <w:left w:w="0" w:type="dxa"/>
              <w:bottom w:w="40" w:type="dxa"/>
              <w:right w:w="20" w:type="dxa"/>
            </w:tcMar>
            <w:vAlign w:val="bottom"/>
          </w:tcPr>
          <w:p w14:paraId="642970A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A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A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A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A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A6" w14:textId="77777777" w:rsidR="007B6C97" w:rsidRDefault="00E426D1">
            <w:pPr>
              <w:jc w:val="right"/>
              <w:textAlignment w:val="bottom"/>
            </w:pPr>
            <w:r>
              <w:rPr>
                <w:rFonts w:ascii="Times New Roman" w:eastAsia="宋体" w:hAnsi="Times New Roman"/>
                <w:color w:val="000000"/>
                <w:sz w:val="20"/>
                <w:szCs w:val="20"/>
              </w:rPr>
              <w:t>(530.7)</w:t>
            </w:r>
          </w:p>
        </w:tc>
        <w:tc>
          <w:tcPr>
            <w:tcW w:w="0" w:type="auto"/>
            <w:shd w:val="clear" w:color="auto" w:fill="FFFFFF"/>
            <w:tcMar>
              <w:top w:w="40" w:type="dxa"/>
              <w:left w:w="0" w:type="dxa"/>
              <w:bottom w:w="40" w:type="dxa"/>
              <w:right w:w="20" w:type="dxa"/>
            </w:tcMar>
            <w:vAlign w:val="bottom"/>
          </w:tcPr>
          <w:p w14:paraId="642970A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A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A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0A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0A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0AC" w14:textId="77777777" w:rsidR="007B6C97" w:rsidRDefault="00E426D1">
            <w:pPr>
              <w:jc w:val="right"/>
              <w:textAlignment w:val="bottom"/>
            </w:pPr>
            <w:r>
              <w:rPr>
                <w:rFonts w:ascii="Times New Roman" w:eastAsia="宋体" w:hAnsi="Times New Roman"/>
                <w:color w:val="000000"/>
                <w:sz w:val="20"/>
                <w:szCs w:val="20"/>
              </w:rPr>
              <w:t>(530.7)</w:t>
            </w:r>
          </w:p>
        </w:tc>
        <w:tc>
          <w:tcPr>
            <w:tcW w:w="0" w:type="auto"/>
            <w:shd w:val="clear" w:color="auto" w:fill="FFFFFF"/>
            <w:tcMar>
              <w:top w:w="40" w:type="dxa"/>
              <w:left w:w="0" w:type="dxa"/>
              <w:bottom w:w="40" w:type="dxa"/>
              <w:right w:w="20" w:type="dxa"/>
            </w:tcMar>
            <w:vAlign w:val="bottom"/>
          </w:tcPr>
          <w:p w14:paraId="642970AD" w14:textId="77777777" w:rsidR="007B6C97" w:rsidRDefault="007B6C97">
            <w:pPr>
              <w:jc w:val="right"/>
              <w:rPr>
                <w:rFonts w:ascii="宋体"/>
              </w:rPr>
            </w:pPr>
          </w:p>
        </w:tc>
      </w:tr>
      <w:tr w:rsidR="007B6C97" w14:paraId="642970BF" w14:textId="77777777">
        <w:trPr>
          <w:jc w:val="center"/>
          <w:hidden/>
        </w:trPr>
        <w:tc>
          <w:tcPr>
            <w:tcW w:w="0" w:type="auto"/>
            <w:gridSpan w:val="3"/>
            <w:shd w:val="clear" w:color="auto" w:fill="auto"/>
            <w:vAlign w:val="bottom"/>
          </w:tcPr>
          <w:p w14:paraId="642970AF" w14:textId="77777777" w:rsidR="007B6C97" w:rsidRDefault="007B6C97">
            <w:pPr>
              <w:rPr>
                <w:rFonts w:ascii="宋体"/>
                <w:vanish/>
              </w:rPr>
            </w:pPr>
          </w:p>
        </w:tc>
        <w:tc>
          <w:tcPr>
            <w:tcW w:w="0" w:type="auto"/>
            <w:gridSpan w:val="3"/>
            <w:shd w:val="clear" w:color="auto" w:fill="auto"/>
            <w:vAlign w:val="bottom"/>
          </w:tcPr>
          <w:p w14:paraId="642970B0" w14:textId="77777777" w:rsidR="007B6C97" w:rsidRDefault="007B6C97">
            <w:pPr>
              <w:rPr>
                <w:rFonts w:ascii="宋体"/>
                <w:vanish/>
              </w:rPr>
            </w:pPr>
          </w:p>
        </w:tc>
        <w:tc>
          <w:tcPr>
            <w:tcW w:w="0" w:type="auto"/>
            <w:gridSpan w:val="3"/>
            <w:shd w:val="clear" w:color="auto" w:fill="auto"/>
            <w:vAlign w:val="bottom"/>
          </w:tcPr>
          <w:p w14:paraId="642970B1" w14:textId="77777777" w:rsidR="007B6C97" w:rsidRDefault="007B6C97">
            <w:pPr>
              <w:rPr>
                <w:rFonts w:ascii="宋体"/>
                <w:vanish/>
              </w:rPr>
            </w:pPr>
          </w:p>
        </w:tc>
        <w:tc>
          <w:tcPr>
            <w:tcW w:w="0" w:type="auto"/>
            <w:gridSpan w:val="3"/>
            <w:shd w:val="clear" w:color="auto" w:fill="auto"/>
            <w:vAlign w:val="bottom"/>
          </w:tcPr>
          <w:p w14:paraId="642970B2" w14:textId="77777777" w:rsidR="007B6C97" w:rsidRDefault="007B6C97">
            <w:pPr>
              <w:rPr>
                <w:rFonts w:ascii="宋体"/>
                <w:vanish/>
              </w:rPr>
            </w:pPr>
          </w:p>
        </w:tc>
        <w:tc>
          <w:tcPr>
            <w:tcW w:w="0" w:type="auto"/>
            <w:gridSpan w:val="3"/>
            <w:shd w:val="clear" w:color="auto" w:fill="auto"/>
            <w:vAlign w:val="bottom"/>
          </w:tcPr>
          <w:p w14:paraId="642970B3" w14:textId="77777777" w:rsidR="007B6C97" w:rsidRDefault="007B6C97">
            <w:pPr>
              <w:rPr>
                <w:rFonts w:ascii="宋体"/>
                <w:vanish/>
              </w:rPr>
            </w:pPr>
          </w:p>
        </w:tc>
        <w:tc>
          <w:tcPr>
            <w:tcW w:w="0" w:type="auto"/>
            <w:gridSpan w:val="3"/>
            <w:shd w:val="clear" w:color="auto" w:fill="auto"/>
            <w:vAlign w:val="bottom"/>
          </w:tcPr>
          <w:p w14:paraId="642970B4" w14:textId="77777777" w:rsidR="007B6C97" w:rsidRDefault="007B6C97">
            <w:pPr>
              <w:rPr>
                <w:rFonts w:ascii="宋体"/>
                <w:vanish/>
              </w:rPr>
            </w:pPr>
          </w:p>
        </w:tc>
        <w:tc>
          <w:tcPr>
            <w:tcW w:w="0" w:type="auto"/>
            <w:gridSpan w:val="3"/>
            <w:shd w:val="clear" w:color="auto" w:fill="auto"/>
            <w:vAlign w:val="bottom"/>
          </w:tcPr>
          <w:p w14:paraId="642970B5" w14:textId="77777777" w:rsidR="007B6C97" w:rsidRDefault="007B6C97">
            <w:pPr>
              <w:rPr>
                <w:rFonts w:ascii="宋体"/>
                <w:vanish/>
              </w:rPr>
            </w:pPr>
          </w:p>
        </w:tc>
        <w:tc>
          <w:tcPr>
            <w:tcW w:w="0" w:type="auto"/>
            <w:gridSpan w:val="3"/>
            <w:shd w:val="clear" w:color="auto" w:fill="auto"/>
            <w:vAlign w:val="bottom"/>
          </w:tcPr>
          <w:p w14:paraId="642970B6" w14:textId="77777777" w:rsidR="007B6C97" w:rsidRDefault="007B6C97">
            <w:pPr>
              <w:rPr>
                <w:rFonts w:ascii="宋体"/>
                <w:vanish/>
              </w:rPr>
            </w:pPr>
          </w:p>
        </w:tc>
        <w:tc>
          <w:tcPr>
            <w:tcW w:w="0" w:type="auto"/>
            <w:gridSpan w:val="3"/>
            <w:shd w:val="clear" w:color="auto" w:fill="auto"/>
            <w:vAlign w:val="bottom"/>
          </w:tcPr>
          <w:p w14:paraId="642970B7" w14:textId="77777777" w:rsidR="007B6C97" w:rsidRDefault="007B6C97">
            <w:pPr>
              <w:rPr>
                <w:rFonts w:ascii="宋体"/>
                <w:vanish/>
              </w:rPr>
            </w:pPr>
          </w:p>
        </w:tc>
        <w:tc>
          <w:tcPr>
            <w:tcW w:w="0" w:type="auto"/>
            <w:gridSpan w:val="3"/>
            <w:shd w:val="clear" w:color="auto" w:fill="auto"/>
            <w:vAlign w:val="bottom"/>
          </w:tcPr>
          <w:p w14:paraId="642970B8" w14:textId="77777777" w:rsidR="007B6C97" w:rsidRDefault="007B6C97">
            <w:pPr>
              <w:rPr>
                <w:rFonts w:ascii="宋体"/>
                <w:vanish/>
              </w:rPr>
            </w:pPr>
          </w:p>
        </w:tc>
        <w:tc>
          <w:tcPr>
            <w:tcW w:w="0" w:type="auto"/>
            <w:gridSpan w:val="3"/>
            <w:shd w:val="clear" w:color="auto" w:fill="auto"/>
            <w:vAlign w:val="bottom"/>
          </w:tcPr>
          <w:p w14:paraId="642970B9" w14:textId="77777777" w:rsidR="007B6C97" w:rsidRDefault="007B6C97">
            <w:pPr>
              <w:rPr>
                <w:rFonts w:ascii="宋体"/>
                <w:vanish/>
              </w:rPr>
            </w:pPr>
          </w:p>
        </w:tc>
        <w:tc>
          <w:tcPr>
            <w:tcW w:w="0" w:type="auto"/>
            <w:gridSpan w:val="3"/>
            <w:shd w:val="clear" w:color="auto" w:fill="auto"/>
            <w:vAlign w:val="bottom"/>
          </w:tcPr>
          <w:p w14:paraId="642970BA" w14:textId="77777777" w:rsidR="007B6C97" w:rsidRDefault="007B6C97">
            <w:pPr>
              <w:rPr>
                <w:rFonts w:ascii="宋体"/>
                <w:vanish/>
              </w:rPr>
            </w:pPr>
          </w:p>
        </w:tc>
        <w:tc>
          <w:tcPr>
            <w:tcW w:w="0" w:type="auto"/>
            <w:gridSpan w:val="3"/>
            <w:shd w:val="clear" w:color="auto" w:fill="auto"/>
            <w:vAlign w:val="bottom"/>
          </w:tcPr>
          <w:p w14:paraId="642970BB" w14:textId="77777777" w:rsidR="007B6C97" w:rsidRDefault="007B6C97">
            <w:pPr>
              <w:rPr>
                <w:rFonts w:ascii="宋体"/>
                <w:vanish/>
              </w:rPr>
            </w:pPr>
          </w:p>
        </w:tc>
        <w:tc>
          <w:tcPr>
            <w:tcW w:w="0" w:type="auto"/>
            <w:gridSpan w:val="3"/>
            <w:shd w:val="clear" w:color="auto" w:fill="auto"/>
            <w:vAlign w:val="bottom"/>
          </w:tcPr>
          <w:p w14:paraId="642970BC" w14:textId="77777777" w:rsidR="007B6C97" w:rsidRDefault="007B6C97">
            <w:pPr>
              <w:rPr>
                <w:rFonts w:ascii="宋体"/>
                <w:vanish/>
              </w:rPr>
            </w:pPr>
          </w:p>
        </w:tc>
        <w:tc>
          <w:tcPr>
            <w:tcW w:w="0" w:type="auto"/>
            <w:gridSpan w:val="3"/>
            <w:shd w:val="clear" w:color="auto" w:fill="auto"/>
            <w:vAlign w:val="bottom"/>
          </w:tcPr>
          <w:p w14:paraId="642970BD" w14:textId="77777777" w:rsidR="007B6C97" w:rsidRDefault="007B6C97">
            <w:pPr>
              <w:rPr>
                <w:rFonts w:ascii="宋体"/>
                <w:vanish/>
              </w:rPr>
            </w:pPr>
          </w:p>
        </w:tc>
        <w:tc>
          <w:tcPr>
            <w:tcW w:w="0" w:type="auto"/>
            <w:gridSpan w:val="3"/>
            <w:shd w:val="clear" w:color="auto" w:fill="auto"/>
            <w:vAlign w:val="bottom"/>
          </w:tcPr>
          <w:p w14:paraId="642970BE" w14:textId="77777777" w:rsidR="007B6C97" w:rsidRDefault="007B6C97">
            <w:pPr>
              <w:rPr>
                <w:rFonts w:ascii="宋体"/>
                <w:vanish/>
              </w:rPr>
            </w:pPr>
          </w:p>
        </w:tc>
      </w:tr>
      <w:tr w:rsidR="00E426D1" w14:paraId="642970DE" w14:textId="77777777">
        <w:trPr>
          <w:jc w:val="center"/>
        </w:trPr>
        <w:tc>
          <w:tcPr>
            <w:tcW w:w="0" w:type="auto"/>
            <w:gridSpan w:val="3"/>
            <w:shd w:val="clear" w:color="auto" w:fill="D7E4BC"/>
            <w:tcMar>
              <w:top w:w="40" w:type="dxa"/>
              <w:left w:w="20" w:type="dxa"/>
              <w:bottom w:w="40" w:type="dxa"/>
              <w:right w:w="20" w:type="dxa"/>
            </w:tcMar>
            <w:vAlign w:val="bottom"/>
          </w:tcPr>
          <w:p w14:paraId="642970C0"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June 27, 2021</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642970C1" w14:textId="77777777" w:rsidR="007B6C97" w:rsidRDefault="00E426D1">
            <w:pPr>
              <w:jc w:val="right"/>
              <w:textAlignment w:val="bottom"/>
            </w:pPr>
            <w:r>
              <w:rPr>
                <w:rFonts w:ascii="Times New Roman" w:eastAsia="宋体" w:hAnsi="Times New Roman"/>
                <w:color w:val="000000"/>
                <w:sz w:val="20"/>
                <w:szCs w:val="20"/>
              </w:rPr>
              <w:t>1,179.0</w:t>
            </w:r>
          </w:p>
        </w:tc>
        <w:tc>
          <w:tcPr>
            <w:tcW w:w="0" w:type="auto"/>
            <w:gridSpan w:val="3"/>
            <w:shd w:val="clear" w:color="auto" w:fill="D7E4BC"/>
            <w:tcMar>
              <w:top w:w="0" w:type="dxa"/>
              <w:left w:w="20" w:type="dxa"/>
              <w:bottom w:w="0" w:type="dxa"/>
              <w:right w:w="20" w:type="dxa"/>
            </w:tcMar>
            <w:vAlign w:val="bottom"/>
          </w:tcPr>
          <w:p w14:paraId="642970C2"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C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C4" w14:textId="77777777" w:rsidR="007B6C97" w:rsidRDefault="00E426D1">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C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C6"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C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C8" w14:textId="77777777" w:rsidR="007B6C97" w:rsidRDefault="00E426D1">
            <w:pPr>
              <w:jc w:val="right"/>
              <w:textAlignment w:val="bottom"/>
            </w:pPr>
            <w:r>
              <w:rPr>
                <w:rFonts w:ascii="Times New Roman" w:eastAsia="宋体" w:hAnsi="Times New Roman"/>
                <w:color w:val="000000"/>
                <w:sz w:val="20"/>
                <w:szCs w:val="20"/>
              </w:rPr>
              <w:t>729.3 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C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CA"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C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CC" w14:textId="77777777" w:rsidR="007B6C97" w:rsidRDefault="00E426D1">
            <w:pPr>
              <w:jc w:val="right"/>
              <w:textAlignment w:val="bottom"/>
            </w:pPr>
            <w:r>
              <w:rPr>
                <w:rFonts w:ascii="Times New Roman" w:eastAsia="宋体" w:hAnsi="Times New Roman"/>
                <w:color w:val="000000"/>
                <w:sz w:val="20"/>
                <w:szCs w:val="20"/>
              </w:rPr>
              <w:t>(7,501.6)</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C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CE"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C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D0" w14:textId="77777777" w:rsidR="007B6C97" w:rsidRDefault="00E426D1">
            <w:pPr>
              <w:jc w:val="right"/>
              <w:textAlignment w:val="bottom"/>
            </w:pPr>
            <w:r>
              <w:rPr>
                <w:rFonts w:ascii="Times New Roman" w:eastAsia="宋体" w:hAnsi="Times New Roman"/>
                <w:color w:val="000000"/>
                <w:sz w:val="20"/>
                <w:szCs w:val="20"/>
              </w:rPr>
              <w:t>(29.7)</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D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D2"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D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D4" w14:textId="77777777" w:rsidR="007B6C97" w:rsidRDefault="00E426D1">
            <w:pPr>
              <w:jc w:val="right"/>
              <w:textAlignment w:val="bottom"/>
            </w:pPr>
            <w:r>
              <w:rPr>
                <w:rFonts w:ascii="Times New Roman" w:eastAsia="宋体" w:hAnsi="Times New Roman"/>
                <w:color w:val="000000"/>
                <w:sz w:val="20"/>
                <w:szCs w:val="20"/>
              </w:rPr>
              <w:t>(6,800.8)</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D6"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D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D8" w14:textId="77777777" w:rsidR="007B6C97" w:rsidRDefault="00E426D1">
            <w:pPr>
              <w:jc w:val="right"/>
              <w:textAlignment w:val="bottom"/>
            </w:pPr>
            <w:r>
              <w:rPr>
                <w:rFonts w:ascii="Times New Roman" w:eastAsia="宋体" w:hAnsi="Times New Roman"/>
                <w:color w:val="000000"/>
                <w:sz w:val="20"/>
                <w:szCs w:val="20"/>
              </w:rPr>
              <w:t>6.5 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D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0DA" w14:textId="77777777" w:rsidR="007B6C97" w:rsidRDefault="007B6C97">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42970D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42970DC" w14:textId="77777777" w:rsidR="007B6C97" w:rsidRDefault="00E426D1">
            <w:pPr>
              <w:jc w:val="right"/>
              <w:textAlignment w:val="bottom"/>
            </w:pPr>
            <w:r>
              <w:rPr>
                <w:rFonts w:ascii="Times New Roman" w:eastAsia="宋体" w:hAnsi="Times New Roman"/>
                <w:color w:val="000000"/>
                <w:sz w:val="20"/>
                <w:szCs w:val="20"/>
              </w:rPr>
              <w:t>(6,794.3)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42970DD" w14:textId="77777777" w:rsidR="007B6C97" w:rsidRDefault="007B6C97">
            <w:pPr>
              <w:jc w:val="right"/>
              <w:rPr>
                <w:rFonts w:ascii="宋体"/>
              </w:rPr>
            </w:pPr>
          </w:p>
        </w:tc>
      </w:tr>
    </w:tbl>
    <w:p w14:paraId="642970DF" w14:textId="77777777" w:rsidR="007B6C97" w:rsidRDefault="007B6C97">
      <w:pPr>
        <w:jc w:val="center"/>
      </w:pPr>
    </w:p>
    <w:p w14:paraId="642970E0" w14:textId="77777777" w:rsidR="007B6C97" w:rsidRDefault="00E426D1">
      <w:pPr>
        <w:jc w:val="center"/>
      </w:pPr>
      <w:r>
        <w:rPr>
          <w:rFonts w:ascii="Times New Roman" w:eastAsia="宋体" w:hAnsi="Times New Roman"/>
          <w:i/>
          <w:iCs/>
          <w:color w:val="000000"/>
          <w:sz w:val="20"/>
          <w:szCs w:val="20"/>
        </w:rPr>
        <w:t>See Notes to Consolidated Financial Statements.</w:t>
      </w:r>
    </w:p>
    <w:p w14:paraId="642970E1" w14:textId="77777777" w:rsidR="007B6C97" w:rsidRDefault="007B6C97">
      <w:pPr>
        <w:jc w:val="center"/>
      </w:pPr>
    </w:p>
    <w:p w14:paraId="642970E2" w14:textId="77777777" w:rsidR="007B6C97" w:rsidRDefault="007B6C97">
      <w:pPr>
        <w:jc w:val="center"/>
      </w:pPr>
    </w:p>
    <w:p w14:paraId="642970E3" w14:textId="77777777" w:rsidR="007B6C97" w:rsidRDefault="007B6C97">
      <w:pPr>
        <w:jc w:val="center"/>
      </w:pPr>
    </w:p>
    <w:p w14:paraId="642970E4" w14:textId="77777777" w:rsidR="007B6C97" w:rsidRDefault="007B6C97">
      <w:pPr>
        <w:jc w:val="center"/>
      </w:pPr>
    </w:p>
    <w:p w14:paraId="642970E5" w14:textId="77777777" w:rsidR="007B6C97" w:rsidRDefault="007B6C97">
      <w:pPr>
        <w:jc w:val="center"/>
      </w:pPr>
    </w:p>
    <w:p w14:paraId="642970E6" w14:textId="77777777" w:rsidR="007B6C97" w:rsidRDefault="00E426D1">
      <w:pPr>
        <w:jc w:val="center"/>
      </w:pPr>
      <w:r>
        <w:rPr>
          <w:rFonts w:ascii="Times New Roman" w:eastAsia="宋体" w:hAnsi="Times New Roman"/>
          <w:color w:val="000000"/>
          <w:sz w:val="20"/>
          <w:szCs w:val="20"/>
        </w:rPr>
        <w:t>7</w:t>
      </w:r>
    </w:p>
    <w:p w14:paraId="642970E7" w14:textId="77777777" w:rsidR="007B6C97" w:rsidRDefault="00E426D1">
      <w:r>
        <w:pict w14:anchorId="642999E1">
          <v:rect id="_x0000_i1031" style="width:415.3pt;height:1.5pt" o:hralign="center" o:hrstd="t" o:hr="t" fillcolor="#a0a0a0" stroked="f"/>
        </w:pict>
      </w:r>
    </w:p>
    <w:p w14:paraId="642970E8" w14:textId="77777777" w:rsidR="007B6C97" w:rsidRDefault="00E426D1">
      <w:hyperlink r:id="rId57" w:anchor="ie38a2b375c9840e583a36769999bbee6_7" w:history="1">
        <w:r>
          <w:rPr>
            <w:rStyle w:val="a5"/>
            <w:rFonts w:ascii="Times New Roman" w:eastAsia="宋体" w:hAnsi="Times New Roman"/>
            <w:sz w:val="20"/>
            <w:szCs w:val="20"/>
          </w:rPr>
          <w:t>Table</w:t>
        </w:r>
      </w:hyperlink>
      <w:hyperlink r:id="rId58" w:anchor="ie38a2b375c9840e583a36769999bbee6_7" w:history="1">
        <w:r>
          <w:rPr>
            <w:rStyle w:val="a5"/>
            <w:rFonts w:ascii="Times New Roman" w:eastAsia="宋体" w:hAnsi="Times New Roman"/>
            <w:sz w:val="20"/>
            <w:szCs w:val="20"/>
          </w:rPr>
          <w:t xml:space="preserve"> of Contents</w:t>
        </w:r>
      </w:hyperlink>
    </w:p>
    <w:p w14:paraId="642970E9" w14:textId="77777777" w:rsidR="007B6C97" w:rsidRDefault="00E426D1">
      <w:pPr>
        <w:jc w:val="center"/>
      </w:pPr>
      <w:r>
        <w:rPr>
          <w:rFonts w:ascii="Times New Roman" w:eastAsia="宋体" w:hAnsi="Times New Roman"/>
          <w:b/>
          <w:bCs/>
          <w:color w:val="000000"/>
          <w:sz w:val="20"/>
          <w:szCs w:val="20"/>
        </w:rPr>
        <w:t>STARBUCKS CORPORATION</w:t>
      </w:r>
    </w:p>
    <w:p w14:paraId="642970EA" w14:textId="77777777" w:rsidR="007B6C97" w:rsidRDefault="00E426D1">
      <w:pPr>
        <w:jc w:val="center"/>
      </w:pPr>
      <w:r>
        <w:rPr>
          <w:rFonts w:ascii="Times New Roman" w:eastAsia="宋体" w:hAnsi="Times New Roman"/>
          <w:b/>
          <w:bCs/>
          <w:color w:val="000000"/>
          <w:sz w:val="20"/>
          <w:szCs w:val="20"/>
        </w:rPr>
        <w:t>CONSOLIDATED STATEMENTS OF EQUITY</w:t>
      </w:r>
    </w:p>
    <w:p w14:paraId="642970EB" w14:textId="77777777" w:rsidR="007B6C97" w:rsidRDefault="00E426D1">
      <w:pPr>
        <w:jc w:val="center"/>
      </w:pPr>
      <w:r>
        <w:rPr>
          <w:rFonts w:ascii="Times New Roman" w:eastAsia="宋体" w:hAnsi="Times New Roman"/>
          <w:i/>
          <w:iCs/>
          <w:color w:val="000000"/>
          <w:sz w:val="20"/>
          <w:szCs w:val="20"/>
        </w:rPr>
        <w:t>For the Three Quarters Ended July 3, 2022 and June 27, 2021</w:t>
      </w:r>
    </w:p>
    <w:p w14:paraId="642970EC" w14:textId="77777777" w:rsidR="007B6C97" w:rsidRDefault="00E426D1">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7B6C97" w14:paraId="6429711D" w14:textId="77777777">
        <w:trPr>
          <w:jc w:val="center"/>
        </w:trPr>
        <w:tc>
          <w:tcPr>
            <w:tcW w:w="50" w:type="pct"/>
            <w:shd w:val="clear" w:color="auto" w:fill="auto"/>
            <w:vAlign w:val="bottom"/>
          </w:tcPr>
          <w:p w14:paraId="642970ED" w14:textId="77777777" w:rsidR="007B6C97" w:rsidRDefault="007B6C97">
            <w:pPr>
              <w:rPr>
                <w:rFonts w:ascii="宋体"/>
              </w:rPr>
            </w:pPr>
          </w:p>
        </w:tc>
        <w:tc>
          <w:tcPr>
            <w:tcW w:w="1330" w:type="pct"/>
            <w:shd w:val="clear" w:color="auto" w:fill="auto"/>
            <w:vAlign w:val="bottom"/>
          </w:tcPr>
          <w:p w14:paraId="642970EE" w14:textId="77777777" w:rsidR="007B6C97" w:rsidRDefault="007B6C97">
            <w:pPr>
              <w:rPr>
                <w:rFonts w:ascii="宋体"/>
              </w:rPr>
            </w:pPr>
          </w:p>
        </w:tc>
        <w:tc>
          <w:tcPr>
            <w:tcW w:w="5" w:type="pct"/>
            <w:shd w:val="clear" w:color="auto" w:fill="auto"/>
            <w:vAlign w:val="bottom"/>
          </w:tcPr>
          <w:p w14:paraId="642970EF" w14:textId="77777777" w:rsidR="007B6C97" w:rsidRDefault="007B6C97">
            <w:pPr>
              <w:rPr>
                <w:rFonts w:ascii="宋体"/>
              </w:rPr>
            </w:pPr>
          </w:p>
        </w:tc>
        <w:tc>
          <w:tcPr>
            <w:tcW w:w="50" w:type="pct"/>
            <w:shd w:val="clear" w:color="auto" w:fill="auto"/>
            <w:vAlign w:val="bottom"/>
          </w:tcPr>
          <w:p w14:paraId="642970F0" w14:textId="77777777" w:rsidR="007B6C97" w:rsidRDefault="007B6C97">
            <w:pPr>
              <w:rPr>
                <w:rFonts w:ascii="宋体"/>
              </w:rPr>
            </w:pPr>
          </w:p>
        </w:tc>
        <w:tc>
          <w:tcPr>
            <w:tcW w:w="377" w:type="pct"/>
            <w:shd w:val="clear" w:color="auto" w:fill="auto"/>
            <w:vAlign w:val="bottom"/>
          </w:tcPr>
          <w:p w14:paraId="642970F1" w14:textId="77777777" w:rsidR="007B6C97" w:rsidRDefault="007B6C97">
            <w:pPr>
              <w:rPr>
                <w:rFonts w:ascii="宋体"/>
              </w:rPr>
            </w:pPr>
          </w:p>
        </w:tc>
        <w:tc>
          <w:tcPr>
            <w:tcW w:w="5" w:type="pct"/>
            <w:shd w:val="clear" w:color="auto" w:fill="auto"/>
            <w:vAlign w:val="bottom"/>
          </w:tcPr>
          <w:p w14:paraId="642970F2" w14:textId="77777777" w:rsidR="007B6C97" w:rsidRDefault="007B6C97">
            <w:pPr>
              <w:rPr>
                <w:rFonts w:ascii="宋体"/>
              </w:rPr>
            </w:pPr>
          </w:p>
        </w:tc>
        <w:tc>
          <w:tcPr>
            <w:tcW w:w="5" w:type="pct"/>
            <w:shd w:val="clear" w:color="auto" w:fill="auto"/>
            <w:vAlign w:val="bottom"/>
          </w:tcPr>
          <w:p w14:paraId="642970F3" w14:textId="77777777" w:rsidR="007B6C97" w:rsidRDefault="007B6C97">
            <w:pPr>
              <w:rPr>
                <w:rFonts w:ascii="宋体"/>
              </w:rPr>
            </w:pPr>
          </w:p>
        </w:tc>
        <w:tc>
          <w:tcPr>
            <w:tcW w:w="11" w:type="pct"/>
            <w:shd w:val="clear" w:color="auto" w:fill="auto"/>
            <w:vAlign w:val="bottom"/>
          </w:tcPr>
          <w:p w14:paraId="642970F4" w14:textId="77777777" w:rsidR="007B6C97" w:rsidRDefault="007B6C97">
            <w:pPr>
              <w:rPr>
                <w:rFonts w:ascii="宋体"/>
              </w:rPr>
            </w:pPr>
          </w:p>
        </w:tc>
        <w:tc>
          <w:tcPr>
            <w:tcW w:w="5" w:type="pct"/>
            <w:shd w:val="clear" w:color="auto" w:fill="auto"/>
            <w:vAlign w:val="bottom"/>
          </w:tcPr>
          <w:p w14:paraId="642970F5" w14:textId="77777777" w:rsidR="007B6C97" w:rsidRDefault="007B6C97">
            <w:pPr>
              <w:rPr>
                <w:rFonts w:ascii="宋体"/>
              </w:rPr>
            </w:pPr>
          </w:p>
        </w:tc>
        <w:tc>
          <w:tcPr>
            <w:tcW w:w="50" w:type="pct"/>
            <w:shd w:val="clear" w:color="auto" w:fill="auto"/>
            <w:vAlign w:val="bottom"/>
          </w:tcPr>
          <w:p w14:paraId="642970F6" w14:textId="77777777" w:rsidR="007B6C97" w:rsidRDefault="007B6C97">
            <w:pPr>
              <w:rPr>
                <w:rFonts w:ascii="宋体"/>
              </w:rPr>
            </w:pPr>
          </w:p>
        </w:tc>
        <w:tc>
          <w:tcPr>
            <w:tcW w:w="377" w:type="pct"/>
            <w:shd w:val="clear" w:color="auto" w:fill="auto"/>
            <w:vAlign w:val="bottom"/>
          </w:tcPr>
          <w:p w14:paraId="642970F7" w14:textId="77777777" w:rsidR="007B6C97" w:rsidRDefault="007B6C97">
            <w:pPr>
              <w:rPr>
                <w:rFonts w:ascii="宋体"/>
              </w:rPr>
            </w:pPr>
          </w:p>
        </w:tc>
        <w:tc>
          <w:tcPr>
            <w:tcW w:w="5" w:type="pct"/>
            <w:shd w:val="clear" w:color="auto" w:fill="auto"/>
            <w:vAlign w:val="bottom"/>
          </w:tcPr>
          <w:p w14:paraId="642970F8" w14:textId="77777777" w:rsidR="007B6C97" w:rsidRDefault="007B6C97">
            <w:pPr>
              <w:rPr>
                <w:rFonts w:ascii="宋体"/>
              </w:rPr>
            </w:pPr>
          </w:p>
        </w:tc>
        <w:tc>
          <w:tcPr>
            <w:tcW w:w="5" w:type="pct"/>
            <w:shd w:val="clear" w:color="auto" w:fill="auto"/>
            <w:vAlign w:val="bottom"/>
          </w:tcPr>
          <w:p w14:paraId="642970F9" w14:textId="77777777" w:rsidR="007B6C97" w:rsidRDefault="007B6C97">
            <w:pPr>
              <w:rPr>
                <w:rFonts w:ascii="宋体"/>
              </w:rPr>
            </w:pPr>
          </w:p>
        </w:tc>
        <w:tc>
          <w:tcPr>
            <w:tcW w:w="11" w:type="pct"/>
            <w:shd w:val="clear" w:color="auto" w:fill="auto"/>
            <w:vAlign w:val="bottom"/>
          </w:tcPr>
          <w:p w14:paraId="642970FA" w14:textId="77777777" w:rsidR="007B6C97" w:rsidRDefault="007B6C97">
            <w:pPr>
              <w:rPr>
                <w:rFonts w:ascii="宋体"/>
              </w:rPr>
            </w:pPr>
          </w:p>
        </w:tc>
        <w:tc>
          <w:tcPr>
            <w:tcW w:w="5" w:type="pct"/>
            <w:shd w:val="clear" w:color="auto" w:fill="auto"/>
            <w:vAlign w:val="bottom"/>
          </w:tcPr>
          <w:p w14:paraId="642970FB" w14:textId="77777777" w:rsidR="007B6C97" w:rsidRDefault="007B6C97">
            <w:pPr>
              <w:rPr>
                <w:rFonts w:ascii="宋体"/>
              </w:rPr>
            </w:pPr>
          </w:p>
        </w:tc>
        <w:tc>
          <w:tcPr>
            <w:tcW w:w="50" w:type="pct"/>
            <w:shd w:val="clear" w:color="auto" w:fill="auto"/>
            <w:vAlign w:val="bottom"/>
          </w:tcPr>
          <w:p w14:paraId="642970FC" w14:textId="77777777" w:rsidR="007B6C97" w:rsidRDefault="007B6C97">
            <w:pPr>
              <w:rPr>
                <w:rFonts w:ascii="宋体"/>
              </w:rPr>
            </w:pPr>
          </w:p>
        </w:tc>
        <w:tc>
          <w:tcPr>
            <w:tcW w:w="377" w:type="pct"/>
            <w:shd w:val="clear" w:color="auto" w:fill="auto"/>
            <w:vAlign w:val="bottom"/>
          </w:tcPr>
          <w:p w14:paraId="642970FD" w14:textId="77777777" w:rsidR="007B6C97" w:rsidRDefault="007B6C97">
            <w:pPr>
              <w:rPr>
                <w:rFonts w:ascii="宋体"/>
              </w:rPr>
            </w:pPr>
          </w:p>
        </w:tc>
        <w:tc>
          <w:tcPr>
            <w:tcW w:w="5" w:type="pct"/>
            <w:shd w:val="clear" w:color="auto" w:fill="auto"/>
            <w:vAlign w:val="bottom"/>
          </w:tcPr>
          <w:p w14:paraId="642970FE" w14:textId="77777777" w:rsidR="007B6C97" w:rsidRDefault="007B6C97">
            <w:pPr>
              <w:rPr>
                <w:rFonts w:ascii="宋体"/>
              </w:rPr>
            </w:pPr>
          </w:p>
        </w:tc>
        <w:tc>
          <w:tcPr>
            <w:tcW w:w="5" w:type="pct"/>
            <w:shd w:val="clear" w:color="auto" w:fill="auto"/>
            <w:vAlign w:val="bottom"/>
          </w:tcPr>
          <w:p w14:paraId="642970FF" w14:textId="77777777" w:rsidR="007B6C97" w:rsidRDefault="007B6C97">
            <w:pPr>
              <w:rPr>
                <w:rFonts w:ascii="宋体"/>
              </w:rPr>
            </w:pPr>
          </w:p>
        </w:tc>
        <w:tc>
          <w:tcPr>
            <w:tcW w:w="11" w:type="pct"/>
            <w:shd w:val="clear" w:color="auto" w:fill="auto"/>
            <w:vAlign w:val="bottom"/>
          </w:tcPr>
          <w:p w14:paraId="64297100" w14:textId="77777777" w:rsidR="007B6C97" w:rsidRDefault="007B6C97">
            <w:pPr>
              <w:rPr>
                <w:rFonts w:ascii="宋体"/>
              </w:rPr>
            </w:pPr>
          </w:p>
        </w:tc>
        <w:tc>
          <w:tcPr>
            <w:tcW w:w="5" w:type="pct"/>
            <w:shd w:val="clear" w:color="auto" w:fill="auto"/>
            <w:vAlign w:val="bottom"/>
          </w:tcPr>
          <w:p w14:paraId="64297101" w14:textId="77777777" w:rsidR="007B6C97" w:rsidRDefault="007B6C97">
            <w:pPr>
              <w:rPr>
                <w:rFonts w:ascii="宋体"/>
              </w:rPr>
            </w:pPr>
          </w:p>
        </w:tc>
        <w:tc>
          <w:tcPr>
            <w:tcW w:w="50" w:type="pct"/>
            <w:shd w:val="clear" w:color="auto" w:fill="auto"/>
            <w:vAlign w:val="bottom"/>
          </w:tcPr>
          <w:p w14:paraId="64297102" w14:textId="77777777" w:rsidR="007B6C97" w:rsidRDefault="007B6C97">
            <w:pPr>
              <w:rPr>
                <w:rFonts w:ascii="宋体"/>
              </w:rPr>
            </w:pPr>
          </w:p>
        </w:tc>
        <w:tc>
          <w:tcPr>
            <w:tcW w:w="377" w:type="pct"/>
            <w:shd w:val="clear" w:color="auto" w:fill="auto"/>
            <w:vAlign w:val="bottom"/>
          </w:tcPr>
          <w:p w14:paraId="64297103" w14:textId="77777777" w:rsidR="007B6C97" w:rsidRDefault="007B6C97">
            <w:pPr>
              <w:rPr>
                <w:rFonts w:ascii="宋体"/>
              </w:rPr>
            </w:pPr>
          </w:p>
        </w:tc>
        <w:tc>
          <w:tcPr>
            <w:tcW w:w="5" w:type="pct"/>
            <w:shd w:val="clear" w:color="auto" w:fill="auto"/>
            <w:vAlign w:val="bottom"/>
          </w:tcPr>
          <w:p w14:paraId="64297104" w14:textId="77777777" w:rsidR="007B6C97" w:rsidRDefault="007B6C97">
            <w:pPr>
              <w:rPr>
                <w:rFonts w:ascii="宋体"/>
              </w:rPr>
            </w:pPr>
          </w:p>
        </w:tc>
        <w:tc>
          <w:tcPr>
            <w:tcW w:w="5" w:type="pct"/>
            <w:shd w:val="clear" w:color="auto" w:fill="auto"/>
            <w:vAlign w:val="bottom"/>
          </w:tcPr>
          <w:p w14:paraId="64297105" w14:textId="77777777" w:rsidR="007B6C97" w:rsidRDefault="007B6C97">
            <w:pPr>
              <w:rPr>
                <w:rFonts w:ascii="宋体"/>
              </w:rPr>
            </w:pPr>
          </w:p>
        </w:tc>
        <w:tc>
          <w:tcPr>
            <w:tcW w:w="11" w:type="pct"/>
            <w:shd w:val="clear" w:color="auto" w:fill="auto"/>
            <w:vAlign w:val="bottom"/>
          </w:tcPr>
          <w:p w14:paraId="64297106" w14:textId="77777777" w:rsidR="007B6C97" w:rsidRDefault="007B6C97">
            <w:pPr>
              <w:rPr>
                <w:rFonts w:ascii="宋体"/>
              </w:rPr>
            </w:pPr>
          </w:p>
        </w:tc>
        <w:tc>
          <w:tcPr>
            <w:tcW w:w="5" w:type="pct"/>
            <w:shd w:val="clear" w:color="auto" w:fill="auto"/>
            <w:vAlign w:val="bottom"/>
          </w:tcPr>
          <w:p w14:paraId="64297107" w14:textId="77777777" w:rsidR="007B6C97" w:rsidRDefault="007B6C97">
            <w:pPr>
              <w:rPr>
                <w:rFonts w:ascii="宋体"/>
              </w:rPr>
            </w:pPr>
          </w:p>
        </w:tc>
        <w:tc>
          <w:tcPr>
            <w:tcW w:w="50" w:type="pct"/>
            <w:shd w:val="clear" w:color="auto" w:fill="auto"/>
            <w:vAlign w:val="bottom"/>
          </w:tcPr>
          <w:p w14:paraId="64297108" w14:textId="77777777" w:rsidR="007B6C97" w:rsidRDefault="007B6C97">
            <w:pPr>
              <w:rPr>
                <w:rFonts w:ascii="宋体"/>
              </w:rPr>
            </w:pPr>
          </w:p>
        </w:tc>
        <w:tc>
          <w:tcPr>
            <w:tcW w:w="377" w:type="pct"/>
            <w:shd w:val="clear" w:color="auto" w:fill="auto"/>
            <w:vAlign w:val="bottom"/>
          </w:tcPr>
          <w:p w14:paraId="64297109" w14:textId="77777777" w:rsidR="007B6C97" w:rsidRDefault="007B6C97">
            <w:pPr>
              <w:rPr>
                <w:rFonts w:ascii="宋体"/>
              </w:rPr>
            </w:pPr>
          </w:p>
        </w:tc>
        <w:tc>
          <w:tcPr>
            <w:tcW w:w="5" w:type="pct"/>
            <w:shd w:val="clear" w:color="auto" w:fill="auto"/>
            <w:vAlign w:val="bottom"/>
          </w:tcPr>
          <w:p w14:paraId="6429710A" w14:textId="77777777" w:rsidR="007B6C97" w:rsidRDefault="007B6C97">
            <w:pPr>
              <w:rPr>
                <w:rFonts w:ascii="宋体"/>
              </w:rPr>
            </w:pPr>
          </w:p>
        </w:tc>
        <w:tc>
          <w:tcPr>
            <w:tcW w:w="5" w:type="pct"/>
            <w:shd w:val="clear" w:color="auto" w:fill="auto"/>
            <w:vAlign w:val="bottom"/>
          </w:tcPr>
          <w:p w14:paraId="6429710B" w14:textId="77777777" w:rsidR="007B6C97" w:rsidRDefault="007B6C97">
            <w:pPr>
              <w:rPr>
                <w:rFonts w:ascii="宋体"/>
              </w:rPr>
            </w:pPr>
          </w:p>
        </w:tc>
        <w:tc>
          <w:tcPr>
            <w:tcW w:w="11" w:type="pct"/>
            <w:shd w:val="clear" w:color="auto" w:fill="auto"/>
            <w:vAlign w:val="bottom"/>
          </w:tcPr>
          <w:p w14:paraId="6429710C" w14:textId="77777777" w:rsidR="007B6C97" w:rsidRDefault="007B6C97">
            <w:pPr>
              <w:rPr>
                <w:rFonts w:ascii="宋体"/>
              </w:rPr>
            </w:pPr>
          </w:p>
        </w:tc>
        <w:tc>
          <w:tcPr>
            <w:tcW w:w="5" w:type="pct"/>
            <w:shd w:val="clear" w:color="auto" w:fill="auto"/>
            <w:vAlign w:val="bottom"/>
          </w:tcPr>
          <w:p w14:paraId="6429710D" w14:textId="77777777" w:rsidR="007B6C97" w:rsidRDefault="007B6C97">
            <w:pPr>
              <w:rPr>
                <w:rFonts w:ascii="宋体"/>
              </w:rPr>
            </w:pPr>
          </w:p>
        </w:tc>
        <w:tc>
          <w:tcPr>
            <w:tcW w:w="50" w:type="pct"/>
            <w:shd w:val="clear" w:color="auto" w:fill="auto"/>
            <w:vAlign w:val="bottom"/>
          </w:tcPr>
          <w:p w14:paraId="6429710E" w14:textId="77777777" w:rsidR="007B6C97" w:rsidRDefault="007B6C97">
            <w:pPr>
              <w:rPr>
                <w:rFonts w:ascii="宋体"/>
              </w:rPr>
            </w:pPr>
          </w:p>
        </w:tc>
        <w:tc>
          <w:tcPr>
            <w:tcW w:w="377" w:type="pct"/>
            <w:shd w:val="clear" w:color="auto" w:fill="auto"/>
            <w:vAlign w:val="bottom"/>
          </w:tcPr>
          <w:p w14:paraId="6429710F" w14:textId="77777777" w:rsidR="007B6C97" w:rsidRDefault="007B6C97">
            <w:pPr>
              <w:rPr>
                <w:rFonts w:ascii="宋体"/>
              </w:rPr>
            </w:pPr>
          </w:p>
        </w:tc>
        <w:tc>
          <w:tcPr>
            <w:tcW w:w="5" w:type="pct"/>
            <w:shd w:val="clear" w:color="auto" w:fill="auto"/>
            <w:vAlign w:val="bottom"/>
          </w:tcPr>
          <w:p w14:paraId="64297110" w14:textId="77777777" w:rsidR="007B6C97" w:rsidRDefault="007B6C97">
            <w:pPr>
              <w:rPr>
                <w:rFonts w:ascii="宋体"/>
              </w:rPr>
            </w:pPr>
          </w:p>
        </w:tc>
        <w:tc>
          <w:tcPr>
            <w:tcW w:w="5" w:type="pct"/>
            <w:shd w:val="clear" w:color="auto" w:fill="auto"/>
            <w:vAlign w:val="bottom"/>
          </w:tcPr>
          <w:p w14:paraId="64297111" w14:textId="77777777" w:rsidR="007B6C97" w:rsidRDefault="007B6C97">
            <w:pPr>
              <w:rPr>
                <w:rFonts w:ascii="宋体"/>
              </w:rPr>
            </w:pPr>
          </w:p>
        </w:tc>
        <w:tc>
          <w:tcPr>
            <w:tcW w:w="11" w:type="pct"/>
            <w:shd w:val="clear" w:color="auto" w:fill="auto"/>
            <w:vAlign w:val="bottom"/>
          </w:tcPr>
          <w:p w14:paraId="64297112" w14:textId="77777777" w:rsidR="007B6C97" w:rsidRDefault="007B6C97">
            <w:pPr>
              <w:rPr>
                <w:rFonts w:ascii="宋体"/>
              </w:rPr>
            </w:pPr>
          </w:p>
        </w:tc>
        <w:tc>
          <w:tcPr>
            <w:tcW w:w="5" w:type="pct"/>
            <w:shd w:val="clear" w:color="auto" w:fill="auto"/>
            <w:vAlign w:val="bottom"/>
          </w:tcPr>
          <w:p w14:paraId="64297113" w14:textId="77777777" w:rsidR="007B6C97" w:rsidRDefault="007B6C97">
            <w:pPr>
              <w:rPr>
                <w:rFonts w:ascii="宋体"/>
              </w:rPr>
            </w:pPr>
          </w:p>
        </w:tc>
        <w:tc>
          <w:tcPr>
            <w:tcW w:w="50" w:type="pct"/>
            <w:shd w:val="clear" w:color="auto" w:fill="auto"/>
            <w:vAlign w:val="bottom"/>
          </w:tcPr>
          <w:p w14:paraId="64297114" w14:textId="77777777" w:rsidR="007B6C97" w:rsidRDefault="007B6C97">
            <w:pPr>
              <w:rPr>
                <w:rFonts w:ascii="宋体"/>
              </w:rPr>
            </w:pPr>
          </w:p>
        </w:tc>
        <w:tc>
          <w:tcPr>
            <w:tcW w:w="377" w:type="pct"/>
            <w:shd w:val="clear" w:color="auto" w:fill="auto"/>
            <w:vAlign w:val="bottom"/>
          </w:tcPr>
          <w:p w14:paraId="64297115" w14:textId="77777777" w:rsidR="007B6C97" w:rsidRDefault="007B6C97">
            <w:pPr>
              <w:rPr>
                <w:rFonts w:ascii="宋体"/>
              </w:rPr>
            </w:pPr>
          </w:p>
        </w:tc>
        <w:tc>
          <w:tcPr>
            <w:tcW w:w="5" w:type="pct"/>
            <w:shd w:val="clear" w:color="auto" w:fill="auto"/>
            <w:vAlign w:val="bottom"/>
          </w:tcPr>
          <w:p w14:paraId="64297116" w14:textId="77777777" w:rsidR="007B6C97" w:rsidRDefault="007B6C97">
            <w:pPr>
              <w:rPr>
                <w:rFonts w:ascii="宋体"/>
              </w:rPr>
            </w:pPr>
          </w:p>
        </w:tc>
        <w:tc>
          <w:tcPr>
            <w:tcW w:w="5" w:type="pct"/>
            <w:shd w:val="clear" w:color="auto" w:fill="auto"/>
            <w:vAlign w:val="bottom"/>
          </w:tcPr>
          <w:p w14:paraId="64297117" w14:textId="77777777" w:rsidR="007B6C97" w:rsidRDefault="007B6C97">
            <w:pPr>
              <w:rPr>
                <w:rFonts w:ascii="宋体"/>
              </w:rPr>
            </w:pPr>
          </w:p>
        </w:tc>
        <w:tc>
          <w:tcPr>
            <w:tcW w:w="11" w:type="pct"/>
            <w:shd w:val="clear" w:color="auto" w:fill="auto"/>
            <w:vAlign w:val="bottom"/>
          </w:tcPr>
          <w:p w14:paraId="64297118" w14:textId="77777777" w:rsidR="007B6C97" w:rsidRDefault="007B6C97">
            <w:pPr>
              <w:rPr>
                <w:rFonts w:ascii="宋体"/>
              </w:rPr>
            </w:pPr>
          </w:p>
        </w:tc>
        <w:tc>
          <w:tcPr>
            <w:tcW w:w="5" w:type="pct"/>
            <w:shd w:val="clear" w:color="auto" w:fill="auto"/>
            <w:vAlign w:val="bottom"/>
          </w:tcPr>
          <w:p w14:paraId="64297119" w14:textId="77777777" w:rsidR="007B6C97" w:rsidRDefault="007B6C97">
            <w:pPr>
              <w:rPr>
                <w:rFonts w:ascii="宋体"/>
              </w:rPr>
            </w:pPr>
          </w:p>
        </w:tc>
        <w:tc>
          <w:tcPr>
            <w:tcW w:w="50" w:type="pct"/>
            <w:shd w:val="clear" w:color="auto" w:fill="auto"/>
            <w:vAlign w:val="bottom"/>
          </w:tcPr>
          <w:p w14:paraId="6429711A" w14:textId="77777777" w:rsidR="007B6C97" w:rsidRDefault="007B6C97">
            <w:pPr>
              <w:rPr>
                <w:rFonts w:ascii="宋体"/>
              </w:rPr>
            </w:pPr>
          </w:p>
        </w:tc>
        <w:tc>
          <w:tcPr>
            <w:tcW w:w="378" w:type="pct"/>
            <w:shd w:val="clear" w:color="auto" w:fill="auto"/>
            <w:vAlign w:val="bottom"/>
          </w:tcPr>
          <w:p w14:paraId="6429711B" w14:textId="77777777" w:rsidR="007B6C97" w:rsidRDefault="007B6C97">
            <w:pPr>
              <w:rPr>
                <w:rFonts w:ascii="宋体"/>
              </w:rPr>
            </w:pPr>
          </w:p>
        </w:tc>
        <w:tc>
          <w:tcPr>
            <w:tcW w:w="5" w:type="pct"/>
            <w:shd w:val="clear" w:color="auto" w:fill="auto"/>
            <w:vAlign w:val="bottom"/>
          </w:tcPr>
          <w:p w14:paraId="6429711C" w14:textId="77777777" w:rsidR="007B6C97" w:rsidRDefault="007B6C97">
            <w:pPr>
              <w:rPr>
                <w:rFonts w:ascii="宋体"/>
              </w:rPr>
            </w:pPr>
          </w:p>
        </w:tc>
      </w:tr>
      <w:tr w:rsidR="007B6C97" w14:paraId="6429712C" w14:textId="77777777">
        <w:trPr>
          <w:trHeight w:val="400"/>
          <w:jc w:val="center"/>
        </w:trPr>
        <w:tc>
          <w:tcPr>
            <w:tcW w:w="0" w:type="auto"/>
            <w:gridSpan w:val="3"/>
            <w:shd w:val="clear" w:color="auto" w:fill="auto"/>
            <w:tcMar>
              <w:top w:w="0" w:type="dxa"/>
              <w:left w:w="20" w:type="dxa"/>
              <w:bottom w:w="0" w:type="dxa"/>
              <w:right w:w="20" w:type="dxa"/>
            </w:tcMar>
            <w:vAlign w:val="bottom"/>
          </w:tcPr>
          <w:p w14:paraId="6429711E"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11F" w14:textId="77777777" w:rsidR="007B6C97" w:rsidRDefault="00E426D1">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64297120"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1" w14:textId="77777777" w:rsidR="007B6C97" w:rsidRDefault="00E426D1">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64297122"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3" w14:textId="77777777" w:rsidR="007B6C97" w:rsidRDefault="00E426D1">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64297124"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5" w14:textId="77777777" w:rsidR="007B6C97" w:rsidRDefault="00E426D1">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64297126"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7" w14:textId="77777777" w:rsidR="007B6C97" w:rsidRDefault="00E426D1">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64297128"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9" w14:textId="77777777" w:rsidR="007B6C97" w:rsidRDefault="00E426D1">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6429712A"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12B"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713D" w14:textId="77777777">
        <w:trPr>
          <w:trHeight w:val="400"/>
          <w:jc w:val="center"/>
        </w:trPr>
        <w:tc>
          <w:tcPr>
            <w:tcW w:w="0" w:type="auto"/>
            <w:gridSpan w:val="3"/>
            <w:shd w:val="clear" w:color="auto" w:fill="auto"/>
            <w:tcMar>
              <w:top w:w="40" w:type="dxa"/>
              <w:left w:w="20" w:type="dxa"/>
              <w:bottom w:w="40" w:type="dxa"/>
              <w:right w:w="20" w:type="dxa"/>
            </w:tcMar>
            <w:vAlign w:val="bottom"/>
          </w:tcPr>
          <w:p w14:paraId="6429712D"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712E" w14:textId="77777777" w:rsidR="007B6C97" w:rsidRDefault="00E426D1">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6429712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130" w14:textId="77777777" w:rsidR="007B6C97" w:rsidRDefault="00E426D1">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4297131"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2"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133"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4"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135"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6"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137"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8"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139"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A"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13B"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13C" w14:textId="77777777" w:rsidR="007B6C97" w:rsidRDefault="007B6C97">
            <w:pPr>
              <w:jc w:val="center"/>
              <w:rPr>
                <w:rFonts w:ascii="宋体"/>
              </w:rPr>
            </w:pPr>
          </w:p>
        </w:tc>
      </w:tr>
      <w:tr w:rsidR="00E426D1" w14:paraId="6429715C" w14:textId="77777777">
        <w:trPr>
          <w:jc w:val="center"/>
        </w:trPr>
        <w:tc>
          <w:tcPr>
            <w:tcW w:w="0" w:type="auto"/>
            <w:gridSpan w:val="3"/>
            <w:shd w:val="clear" w:color="auto" w:fill="D7E4BC"/>
            <w:tcMar>
              <w:top w:w="40" w:type="dxa"/>
              <w:left w:w="20" w:type="dxa"/>
              <w:bottom w:w="40" w:type="dxa"/>
              <w:right w:w="20" w:type="dxa"/>
            </w:tcMar>
          </w:tcPr>
          <w:p w14:paraId="6429713E"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b/>
                <w:bCs/>
                <w:color w:val="000000"/>
                <w:sz w:val="20"/>
                <w:szCs w:val="20"/>
              </w:rPr>
              <w:t>Balance, October 3, 2021</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429713F" w14:textId="77777777" w:rsidR="007B6C97" w:rsidRDefault="00E426D1">
            <w:pPr>
              <w:jc w:val="right"/>
              <w:textAlignment w:val="bottom"/>
            </w:pPr>
            <w:r>
              <w:rPr>
                <w:rFonts w:ascii="Times New Roman" w:eastAsia="宋体" w:hAnsi="Times New Roman"/>
                <w:color w:val="000000"/>
                <w:sz w:val="20"/>
                <w:szCs w:val="20"/>
              </w:rPr>
              <w:t>1,180.0</w:t>
            </w:r>
          </w:p>
        </w:tc>
        <w:tc>
          <w:tcPr>
            <w:tcW w:w="0" w:type="auto"/>
            <w:gridSpan w:val="3"/>
            <w:shd w:val="clear" w:color="auto" w:fill="D7E4BC"/>
            <w:tcMar>
              <w:top w:w="0" w:type="dxa"/>
              <w:left w:w="20" w:type="dxa"/>
              <w:bottom w:w="0" w:type="dxa"/>
              <w:right w:w="20" w:type="dxa"/>
            </w:tcMar>
            <w:vAlign w:val="bottom"/>
          </w:tcPr>
          <w:p w14:paraId="64297140"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4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42" w14:textId="77777777" w:rsidR="007B6C97" w:rsidRDefault="00E426D1">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4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4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4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46" w14:textId="77777777" w:rsidR="007B6C97" w:rsidRDefault="00E426D1">
            <w:pPr>
              <w:jc w:val="right"/>
              <w:textAlignment w:val="bottom"/>
            </w:pPr>
            <w:r>
              <w:rPr>
                <w:rFonts w:ascii="Times New Roman" w:eastAsia="宋体" w:hAnsi="Times New Roman"/>
                <w:color w:val="000000"/>
                <w:sz w:val="20"/>
                <w:szCs w:val="20"/>
              </w:rPr>
              <w:t>846.1 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4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4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4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4A" w14:textId="77777777" w:rsidR="007B6C97" w:rsidRDefault="00E426D1">
            <w:pPr>
              <w:jc w:val="right"/>
              <w:textAlignment w:val="bottom"/>
            </w:pPr>
            <w:r>
              <w:rPr>
                <w:rFonts w:ascii="Times New Roman" w:eastAsia="宋体" w:hAnsi="Times New Roman"/>
                <w:color w:val="000000"/>
                <w:sz w:val="20"/>
                <w:szCs w:val="20"/>
              </w:rPr>
              <w:t>(6,315.7)</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4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4C"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4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4E" w14:textId="77777777" w:rsidR="007B6C97" w:rsidRDefault="00E426D1">
            <w:pPr>
              <w:jc w:val="right"/>
              <w:textAlignment w:val="bottom"/>
            </w:pPr>
            <w:r>
              <w:rPr>
                <w:rFonts w:ascii="Times New Roman" w:eastAsia="宋体" w:hAnsi="Times New Roman"/>
                <w:color w:val="000000"/>
                <w:sz w:val="20"/>
                <w:szCs w:val="20"/>
              </w:rPr>
              <w:t>147.2 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4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50"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5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52" w14:textId="77777777" w:rsidR="007B6C97" w:rsidRDefault="00E426D1">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5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5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5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56" w14:textId="77777777" w:rsidR="007B6C97" w:rsidRDefault="00E426D1">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5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5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15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15A" w14:textId="77777777" w:rsidR="007B6C97" w:rsidRDefault="00E426D1">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15B" w14:textId="77777777" w:rsidR="007B6C97" w:rsidRDefault="007B6C97">
            <w:pPr>
              <w:jc w:val="right"/>
              <w:rPr>
                <w:rFonts w:ascii="宋体"/>
              </w:rPr>
            </w:pPr>
          </w:p>
        </w:tc>
      </w:tr>
      <w:tr w:rsidR="007B6C97" w14:paraId="6429716D" w14:textId="77777777">
        <w:trPr>
          <w:jc w:val="center"/>
          <w:hidden/>
        </w:trPr>
        <w:tc>
          <w:tcPr>
            <w:tcW w:w="0" w:type="auto"/>
            <w:gridSpan w:val="3"/>
            <w:shd w:val="clear" w:color="auto" w:fill="auto"/>
            <w:vAlign w:val="bottom"/>
          </w:tcPr>
          <w:p w14:paraId="6429715D" w14:textId="77777777" w:rsidR="007B6C97" w:rsidRDefault="007B6C97">
            <w:pPr>
              <w:rPr>
                <w:rFonts w:ascii="宋体"/>
                <w:vanish/>
              </w:rPr>
            </w:pPr>
          </w:p>
        </w:tc>
        <w:tc>
          <w:tcPr>
            <w:tcW w:w="0" w:type="auto"/>
            <w:gridSpan w:val="3"/>
            <w:shd w:val="clear" w:color="auto" w:fill="auto"/>
            <w:vAlign w:val="bottom"/>
          </w:tcPr>
          <w:p w14:paraId="6429715E" w14:textId="77777777" w:rsidR="007B6C97" w:rsidRDefault="007B6C97">
            <w:pPr>
              <w:rPr>
                <w:rFonts w:ascii="宋体"/>
                <w:vanish/>
              </w:rPr>
            </w:pPr>
          </w:p>
        </w:tc>
        <w:tc>
          <w:tcPr>
            <w:tcW w:w="0" w:type="auto"/>
            <w:gridSpan w:val="3"/>
            <w:shd w:val="clear" w:color="auto" w:fill="auto"/>
            <w:vAlign w:val="bottom"/>
          </w:tcPr>
          <w:p w14:paraId="6429715F" w14:textId="77777777" w:rsidR="007B6C97" w:rsidRDefault="007B6C97">
            <w:pPr>
              <w:rPr>
                <w:rFonts w:ascii="宋体"/>
                <w:vanish/>
              </w:rPr>
            </w:pPr>
          </w:p>
        </w:tc>
        <w:tc>
          <w:tcPr>
            <w:tcW w:w="0" w:type="auto"/>
            <w:gridSpan w:val="3"/>
            <w:shd w:val="clear" w:color="auto" w:fill="auto"/>
            <w:vAlign w:val="bottom"/>
          </w:tcPr>
          <w:p w14:paraId="64297160" w14:textId="77777777" w:rsidR="007B6C97" w:rsidRDefault="007B6C97">
            <w:pPr>
              <w:rPr>
                <w:rFonts w:ascii="宋体"/>
                <w:vanish/>
              </w:rPr>
            </w:pPr>
          </w:p>
        </w:tc>
        <w:tc>
          <w:tcPr>
            <w:tcW w:w="0" w:type="auto"/>
            <w:gridSpan w:val="3"/>
            <w:shd w:val="clear" w:color="auto" w:fill="auto"/>
            <w:vAlign w:val="bottom"/>
          </w:tcPr>
          <w:p w14:paraId="64297161" w14:textId="77777777" w:rsidR="007B6C97" w:rsidRDefault="007B6C97">
            <w:pPr>
              <w:rPr>
                <w:rFonts w:ascii="宋体"/>
                <w:vanish/>
              </w:rPr>
            </w:pPr>
          </w:p>
        </w:tc>
        <w:tc>
          <w:tcPr>
            <w:tcW w:w="0" w:type="auto"/>
            <w:gridSpan w:val="3"/>
            <w:shd w:val="clear" w:color="auto" w:fill="auto"/>
            <w:vAlign w:val="bottom"/>
          </w:tcPr>
          <w:p w14:paraId="64297162" w14:textId="77777777" w:rsidR="007B6C97" w:rsidRDefault="007B6C97">
            <w:pPr>
              <w:rPr>
                <w:rFonts w:ascii="宋体"/>
                <w:vanish/>
              </w:rPr>
            </w:pPr>
          </w:p>
        </w:tc>
        <w:tc>
          <w:tcPr>
            <w:tcW w:w="0" w:type="auto"/>
            <w:gridSpan w:val="3"/>
            <w:shd w:val="clear" w:color="auto" w:fill="auto"/>
            <w:vAlign w:val="bottom"/>
          </w:tcPr>
          <w:p w14:paraId="64297163" w14:textId="77777777" w:rsidR="007B6C97" w:rsidRDefault="007B6C97">
            <w:pPr>
              <w:rPr>
                <w:rFonts w:ascii="宋体"/>
                <w:vanish/>
              </w:rPr>
            </w:pPr>
          </w:p>
        </w:tc>
        <w:tc>
          <w:tcPr>
            <w:tcW w:w="0" w:type="auto"/>
            <w:gridSpan w:val="3"/>
            <w:shd w:val="clear" w:color="auto" w:fill="auto"/>
            <w:vAlign w:val="bottom"/>
          </w:tcPr>
          <w:p w14:paraId="64297164" w14:textId="77777777" w:rsidR="007B6C97" w:rsidRDefault="007B6C97">
            <w:pPr>
              <w:rPr>
                <w:rFonts w:ascii="宋体"/>
                <w:vanish/>
              </w:rPr>
            </w:pPr>
          </w:p>
        </w:tc>
        <w:tc>
          <w:tcPr>
            <w:tcW w:w="0" w:type="auto"/>
            <w:gridSpan w:val="3"/>
            <w:shd w:val="clear" w:color="auto" w:fill="auto"/>
            <w:vAlign w:val="bottom"/>
          </w:tcPr>
          <w:p w14:paraId="64297165" w14:textId="77777777" w:rsidR="007B6C97" w:rsidRDefault="007B6C97">
            <w:pPr>
              <w:rPr>
                <w:rFonts w:ascii="宋体"/>
                <w:vanish/>
              </w:rPr>
            </w:pPr>
          </w:p>
        </w:tc>
        <w:tc>
          <w:tcPr>
            <w:tcW w:w="0" w:type="auto"/>
            <w:gridSpan w:val="3"/>
            <w:shd w:val="clear" w:color="auto" w:fill="auto"/>
            <w:vAlign w:val="bottom"/>
          </w:tcPr>
          <w:p w14:paraId="64297166" w14:textId="77777777" w:rsidR="007B6C97" w:rsidRDefault="007B6C97">
            <w:pPr>
              <w:rPr>
                <w:rFonts w:ascii="宋体"/>
                <w:vanish/>
              </w:rPr>
            </w:pPr>
          </w:p>
        </w:tc>
        <w:tc>
          <w:tcPr>
            <w:tcW w:w="0" w:type="auto"/>
            <w:gridSpan w:val="3"/>
            <w:shd w:val="clear" w:color="auto" w:fill="auto"/>
            <w:vAlign w:val="bottom"/>
          </w:tcPr>
          <w:p w14:paraId="64297167" w14:textId="77777777" w:rsidR="007B6C97" w:rsidRDefault="007B6C97">
            <w:pPr>
              <w:rPr>
                <w:rFonts w:ascii="宋体"/>
                <w:vanish/>
              </w:rPr>
            </w:pPr>
          </w:p>
        </w:tc>
        <w:tc>
          <w:tcPr>
            <w:tcW w:w="0" w:type="auto"/>
            <w:gridSpan w:val="3"/>
            <w:shd w:val="clear" w:color="auto" w:fill="auto"/>
            <w:vAlign w:val="bottom"/>
          </w:tcPr>
          <w:p w14:paraId="64297168" w14:textId="77777777" w:rsidR="007B6C97" w:rsidRDefault="007B6C97">
            <w:pPr>
              <w:rPr>
                <w:rFonts w:ascii="宋体"/>
                <w:vanish/>
              </w:rPr>
            </w:pPr>
          </w:p>
        </w:tc>
        <w:tc>
          <w:tcPr>
            <w:tcW w:w="0" w:type="auto"/>
            <w:gridSpan w:val="3"/>
            <w:shd w:val="clear" w:color="auto" w:fill="auto"/>
            <w:vAlign w:val="bottom"/>
          </w:tcPr>
          <w:p w14:paraId="64297169" w14:textId="77777777" w:rsidR="007B6C97" w:rsidRDefault="007B6C97">
            <w:pPr>
              <w:rPr>
                <w:rFonts w:ascii="宋体"/>
                <w:vanish/>
              </w:rPr>
            </w:pPr>
          </w:p>
        </w:tc>
        <w:tc>
          <w:tcPr>
            <w:tcW w:w="0" w:type="auto"/>
            <w:gridSpan w:val="3"/>
            <w:shd w:val="clear" w:color="auto" w:fill="auto"/>
            <w:vAlign w:val="bottom"/>
          </w:tcPr>
          <w:p w14:paraId="6429716A" w14:textId="77777777" w:rsidR="007B6C97" w:rsidRDefault="007B6C97">
            <w:pPr>
              <w:rPr>
                <w:rFonts w:ascii="宋体"/>
                <w:vanish/>
              </w:rPr>
            </w:pPr>
          </w:p>
        </w:tc>
        <w:tc>
          <w:tcPr>
            <w:tcW w:w="0" w:type="auto"/>
            <w:gridSpan w:val="3"/>
            <w:shd w:val="clear" w:color="auto" w:fill="auto"/>
            <w:vAlign w:val="bottom"/>
          </w:tcPr>
          <w:p w14:paraId="6429716B" w14:textId="77777777" w:rsidR="007B6C97" w:rsidRDefault="007B6C97">
            <w:pPr>
              <w:rPr>
                <w:rFonts w:ascii="宋体"/>
                <w:vanish/>
              </w:rPr>
            </w:pPr>
          </w:p>
        </w:tc>
        <w:tc>
          <w:tcPr>
            <w:tcW w:w="0" w:type="auto"/>
            <w:gridSpan w:val="3"/>
            <w:shd w:val="clear" w:color="auto" w:fill="auto"/>
            <w:vAlign w:val="bottom"/>
          </w:tcPr>
          <w:p w14:paraId="6429716C" w14:textId="77777777" w:rsidR="007B6C97" w:rsidRDefault="007B6C97">
            <w:pPr>
              <w:rPr>
                <w:rFonts w:ascii="宋体"/>
                <w:vanish/>
              </w:rPr>
            </w:pPr>
          </w:p>
        </w:tc>
      </w:tr>
      <w:tr w:rsidR="007B6C97" w14:paraId="64297185" w14:textId="77777777">
        <w:trPr>
          <w:jc w:val="center"/>
        </w:trPr>
        <w:tc>
          <w:tcPr>
            <w:tcW w:w="0" w:type="auto"/>
            <w:gridSpan w:val="3"/>
            <w:shd w:val="clear" w:color="auto" w:fill="FFFFFF"/>
            <w:tcMar>
              <w:top w:w="40" w:type="dxa"/>
              <w:left w:w="20" w:type="dxa"/>
              <w:bottom w:w="40" w:type="dxa"/>
              <w:right w:w="20" w:type="dxa"/>
            </w:tcMar>
          </w:tcPr>
          <w:p w14:paraId="6429716E" w14:textId="77777777" w:rsidR="007B6C97" w:rsidRDefault="00E426D1">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429716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17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7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7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7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7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7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7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77" w14:textId="77777777" w:rsidR="007B6C97" w:rsidRDefault="00E426D1">
            <w:pPr>
              <w:jc w:val="right"/>
              <w:textAlignment w:val="bottom"/>
            </w:pPr>
            <w:r>
              <w:rPr>
                <w:rFonts w:ascii="Times New Roman" w:eastAsia="宋体" w:hAnsi="Times New Roman"/>
                <w:color w:val="000000"/>
                <w:sz w:val="20"/>
                <w:szCs w:val="20"/>
              </w:rPr>
              <w:t>2,403.3 </w:t>
            </w:r>
          </w:p>
        </w:tc>
        <w:tc>
          <w:tcPr>
            <w:tcW w:w="0" w:type="auto"/>
            <w:shd w:val="clear" w:color="auto" w:fill="FFFFFF"/>
            <w:tcMar>
              <w:top w:w="40" w:type="dxa"/>
              <w:left w:w="0" w:type="dxa"/>
              <w:bottom w:w="40" w:type="dxa"/>
              <w:right w:w="20" w:type="dxa"/>
            </w:tcMar>
            <w:vAlign w:val="bottom"/>
          </w:tcPr>
          <w:p w14:paraId="6429717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7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7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7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7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7D" w14:textId="77777777" w:rsidR="007B6C97" w:rsidRDefault="00E426D1">
            <w:pPr>
              <w:jc w:val="right"/>
              <w:textAlignment w:val="bottom"/>
            </w:pPr>
            <w:r>
              <w:rPr>
                <w:rFonts w:ascii="Times New Roman" w:eastAsia="宋体" w:hAnsi="Times New Roman"/>
                <w:color w:val="000000"/>
                <w:sz w:val="20"/>
                <w:szCs w:val="20"/>
              </w:rPr>
              <w:t>2,403.3 </w:t>
            </w:r>
          </w:p>
        </w:tc>
        <w:tc>
          <w:tcPr>
            <w:tcW w:w="0" w:type="auto"/>
            <w:shd w:val="clear" w:color="auto" w:fill="FFFFFF"/>
            <w:tcMar>
              <w:top w:w="40" w:type="dxa"/>
              <w:left w:w="0" w:type="dxa"/>
              <w:bottom w:w="40" w:type="dxa"/>
              <w:right w:w="20" w:type="dxa"/>
            </w:tcMar>
            <w:vAlign w:val="bottom"/>
          </w:tcPr>
          <w:p w14:paraId="6429717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7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80"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429718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8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83" w14:textId="77777777" w:rsidR="007B6C97" w:rsidRDefault="00E426D1">
            <w:pPr>
              <w:jc w:val="right"/>
              <w:textAlignment w:val="bottom"/>
            </w:pPr>
            <w:r>
              <w:rPr>
                <w:rFonts w:ascii="Times New Roman" w:eastAsia="宋体" w:hAnsi="Times New Roman"/>
                <w:color w:val="000000"/>
                <w:sz w:val="20"/>
                <w:szCs w:val="20"/>
              </w:rPr>
              <w:t>2,404.8 </w:t>
            </w:r>
          </w:p>
        </w:tc>
        <w:tc>
          <w:tcPr>
            <w:tcW w:w="0" w:type="auto"/>
            <w:shd w:val="clear" w:color="auto" w:fill="FFFFFF"/>
            <w:tcMar>
              <w:top w:w="40" w:type="dxa"/>
              <w:left w:w="0" w:type="dxa"/>
              <w:bottom w:w="40" w:type="dxa"/>
              <w:right w:w="20" w:type="dxa"/>
            </w:tcMar>
            <w:vAlign w:val="bottom"/>
          </w:tcPr>
          <w:p w14:paraId="64297184" w14:textId="77777777" w:rsidR="007B6C97" w:rsidRDefault="007B6C97">
            <w:pPr>
              <w:jc w:val="right"/>
              <w:rPr>
                <w:rFonts w:ascii="宋体"/>
              </w:rPr>
            </w:pPr>
          </w:p>
        </w:tc>
      </w:tr>
      <w:tr w:rsidR="007B6C97" w14:paraId="6429719D" w14:textId="77777777">
        <w:trPr>
          <w:jc w:val="center"/>
        </w:trPr>
        <w:tc>
          <w:tcPr>
            <w:tcW w:w="0" w:type="auto"/>
            <w:gridSpan w:val="3"/>
            <w:shd w:val="clear" w:color="auto" w:fill="D7E4BC"/>
            <w:tcMar>
              <w:top w:w="40" w:type="dxa"/>
              <w:left w:w="20" w:type="dxa"/>
              <w:bottom w:w="40" w:type="dxa"/>
              <w:right w:w="20" w:type="dxa"/>
            </w:tcMar>
          </w:tcPr>
          <w:p w14:paraId="64297186" w14:textId="77777777" w:rsidR="007B6C97" w:rsidRDefault="00E426D1">
            <w:pPr>
              <w:textAlignment w:val="top"/>
            </w:pPr>
            <w:r>
              <w:rPr>
                <w:rFonts w:ascii="Times New Roman" w:eastAsia="宋体" w:hAnsi="Times New Roman"/>
                <w:color w:val="000000"/>
                <w:sz w:val="20"/>
                <w:szCs w:val="20"/>
              </w:rPr>
              <w:t>Other comprehensive loss</w:t>
            </w:r>
          </w:p>
        </w:tc>
        <w:tc>
          <w:tcPr>
            <w:tcW w:w="0" w:type="auto"/>
            <w:gridSpan w:val="3"/>
            <w:shd w:val="clear" w:color="auto" w:fill="D7E4BC"/>
            <w:tcMar>
              <w:top w:w="40" w:type="dxa"/>
              <w:left w:w="20" w:type="dxa"/>
              <w:bottom w:w="40" w:type="dxa"/>
              <w:right w:w="20" w:type="dxa"/>
            </w:tcMar>
            <w:vAlign w:val="bottom"/>
          </w:tcPr>
          <w:p w14:paraId="6429718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18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8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8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8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8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8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8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8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92" w14:textId="77777777" w:rsidR="007B6C97" w:rsidRDefault="00E426D1">
            <w:pPr>
              <w:jc w:val="right"/>
              <w:textAlignment w:val="bottom"/>
            </w:pPr>
            <w:r>
              <w:rPr>
                <w:rFonts w:ascii="Times New Roman" w:eastAsia="宋体" w:hAnsi="Times New Roman"/>
                <w:color w:val="000000"/>
                <w:sz w:val="20"/>
                <w:szCs w:val="20"/>
              </w:rPr>
              <w:t>(212.2)</w:t>
            </w:r>
          </w:p>
        </w:tc>
        <w:tc>
          <w:tcPr>
            <w:tcW w:w="0" w:type="auto"/>
            <w:shd w:val="clear" w:color="auto" w:fill="D7E4BC"/>
            <w:tcMar>
              <w:top w:w="40" w:type="dxa"/>
              <w:left w:w="0" w:type="dxa"/>
              <w:bottom w:w="40" w:type="dxa"/>
              <w:right w:w="20" w:type="dxa"/>
            </w:tcMar>
            <w:vAlign w:val="bottom"/>
          </w:tcPr>
          <w:p w14:paraId="6429719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9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95" w14:textId="77777777" w:rsidR="007B6C97" w:rsidRDefault="00E426D1">
            <w:pPr>
              <w:jc w:val="right"/>
              <w:textAlignment w:val="bottom"/>
            </w:pPr>
            <w:r>
              <w:rPr>
                <w:rFonts w:ascii="Times New Roman" w:eastAsia="宋体" w:hAnsi="Times New Roman"/>
                <w:color w:val="000000"/>
                <w:sz w:val="20"/>
                <w:szCs w:val="20"/>
              </w:rPr>
              <w:t>(212.2)</w:t>
            </w:r>
          </w:p>
        </w:tc>
        <w:tc>
          <w:tcPr>
            <w:tcW w:w="0" w:type="auto"/>
            <w:shd w:val="clear" w:color="auto" w:fill="D7E4BC"/>
            <w:tcMar>
              <w:top w:w="40" w:type="dxa"/>
              <w:left w:w="0" w:type="dxa"/>
              <w:bottom w:w="40" w:type="dxa"/>
              <w:right w:w="20" w:type="dxa"/>
            </w:tcMar>
            <w:vAlign w:val="bottom"/>
          </w:tcPr>
          <w:p w14:paraId="6429719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9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9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9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9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9B" w14:textId="77777777" w:rsidR="007B6C97" w:rsidRDefault="00E426D1">
            <w:pPr>
              <w:jc w:val="right"/>
              <w:textAlignment w:val="bottom"/>
            </w:pPr>
            <w:r>
              <w:rPr>
                <w:rFonts w:ascii="Times New Roman" w:eastAsia="宋体" w:hAnsi="Times New Roman"/>
                <w:color w:val="000000"/>
                <w:sz w:val="20"/>
                <w:szCs w:val="20"/>
              </w:rPr>
              <w:t>(212.2)</w:t>
            </w:r>
          </w:p>
        </w:tc>
        <w:tc>
          <w:tcPr>
            <w:tcW w:w="0" w:type="auto"/>
            <w:shd w:val="clear" w:color="auto" w:fill="D7E4BC"/>
            <w:tcMar>
              <w:top w:w="40" w:type="dxa"/>
              <w:left w:w="0" w:type="dxa"/>
              <w:bottom w:w="40" w:type="dxa"/>
              <w:right w:w="20" w:type="dxa"/>
            </w:tcMar>
            <w:vAlign w:val="bottom"/>
          </w:tcPr>
          <w:p w14:paraId="6429719C" w14:textId="77777777" w:rsidR="007B6C97" w:rsidRDefault="007B6C97">
            <w:pPr>
              <w:jc w:val="right"/>
              <w:rPr>
                <w:rFonts w:ascii="宋体"/>
              </w:rPr>
            </w:pPr>
          </w:p>
        </w:tc>
      </w:tr>
      <w:tr w:rsidR="007B6C97" w14:paraId="642971B5" w14:textId="77777777">
        <w:trPr>
          <w:jc w:val="center"/>
        </w:trPr>
        <w:tc>
          <w:tcPr>
            <w:tcW w:w="0" w:type="auto"/>
            <w:gridSpan w:val="3"/>
            <w:shd w:val="clear" w:color="auto" w:fill="FFFFFF"/>
            <w:tcMar>
              <w:top w:w="40" w:type="dxa"/>
              <w:left w:w="20" w:type="dxa"/>
              <w:bottom w:w="40" w:type="dxa"/>
              <w:right w:w="20" w:type="dxa"/>
            </w:tcMar>
          </w:tcPr>
          <w:p w14:paraId="6429719E" w14:textId="77777777" w:rsidR="007B6C97" w:rsidRDefault="00E426D1">
            <w:pPr>
              <w:textAlignment w:val="top"/>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3"/>
            <w:shd w:val="clear" w:color="auto" w:fill="FFFFFF"/>
            <w:tcMar>
              <w:top w:w="40" w:type="dxa"/>
              <w:left w:w="20" w:type="dxa"/>
              <w:bottom w:w="40" w:type="dxa"/>
              <w:right w:w="20" w:type="dxa"/>
            </w:tcMar>
            <w:vAlign w:val="bottom"/>
          </w:tcPr>
          <w:p w14:paraId="6429719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1A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A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A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A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A4" w14:textId="77777777" w:rsidR="007B6C97" w:rsidRDefault="00E426D1">
            <w:pPr>
              <w:jc w:val="right"/>
              <w:textAlignment w:val="bottom"/>
            </w:pPr>
            <w:r>
              <w:rPr>
                <w:rFonts w:ascii="Times New Roman" w:eastAsia="宋体" w:hAnsi="Times New Roman"/>
                <w:color w:val="000000"/>
                <w:sz w:val="20"/>
                <w:szCs w:val="20"/>
              </w:rPr>
              <w:t>209.7 </w:t>
            </w:r>
          </w:p>
        </w:tc>
        <w:tc>
          <w:tcPr>
            <w:tcW w:w="0" w:type="auto"/>
            <w:shd w:val="clear" w:color="auto" w:fill="FFFFFF"/>
            <w:tcMar>
              <w:top w:w="40" w:type="dxa"/>
              <w:left w:w="0" w:type="dxa"/>
              <w:bottom w:w="40" w:type="dxa"/>
              <w:right w:w="20" w:type="dxa"/>
            </w:tcMar>
            <w:vAlign w:val="bottom"/>
          </w:tcPr>
          <w:p w14:paraId="642971A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A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A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A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A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A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A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AD" w14:textId="77777777" w:rsidR="007B6C97" w:rsidRDefault="00E426D1">
            <w:pPr>
              <w:jc w:val="right"/>
              <w:textAlignment w:val="bottom"/>
            </w:pPr>
            <w:r>
              <w:rPr>
                <w:rFonts w:ascii="Times New Roman" w:eastAsia="宋体" w:hAnsi="Times New Roman"/>
                <w:color w:val="000000"/>
                <w:sz w:val="20"/>
                <w:szCs w:val="20"/>
              </w:rPr>
              <w:t>209.7 </w:t>
            </w:r>
          </w:p>
        </w:tc>
        <w:tc>
          <w:tcPr>
            <w:tcW w:w="0" w:type="auto"/>
            <w:shd w:val="clear" w:color="auto" w:fill="FFFFFF"/>
            <w:tcMar>
              <w:top w:w="40" w:type="dxa"/>
              <w:left w:w="0" w:type="dxa"/>
              <w:bottom w:w="40" w:type="dxa"/>
              <w:right w:w="20" w:type="dxa"/>
            </w:tcMar>
            <w:vAlign w:val="bottom"/>
          </w:tcPr>
          <w:p w14:paraId="642971A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A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B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B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B3" w14:textId="77777777" w:rsidR="007B6C97" w:rsidRDefault="00E426D1">
            <w:pPr>
              <w:jc w:val="right"/>
              <w:textAlignment w:val="bottom"/>
            </w:pPr>
            <w:r>
              <w:rPr>
                <w:rFonts w:ascii="Times New Roman" w:eastAsia="宋体" w:hAnsi="Times New Roman"/>
                <w:color w:val="000000"/>
                <w:sz w:val="20"/>
                <w:szCs w:val="20"/>
              </w:rPr>
              <w:t>209.7 </w:t>
            </w:r>
          </w:p>
        </w:tc>
        <w:tc>
          <w:tcPr>
            <w:tcW w:w="0" w:type="auto"/>
            <w:shd w:val="clear" w:color="auto" w:fill="FFFFFF"/>
            <w:tcMar>
              <w:top w:w="40" w:type="dxa"/>
              <w:left w:w="0" w:type="dxa"/>
              <w:bottom w:w="40" w:type="dxa"/>
              <w:right w:w="20" w:type="dxa"/>
            </w:tcMar>
            <w:vAlign w:val="bottom"/>
          </w:tcPr>
          <w:p w14:paraId="642971B4" w14:textId="77777777" w:rsidR="007B6C97" w:rsidRDefault="007B6C97">
            <w:pPr>
              <w:jc w:val="right"/>
              <w:rPr>
                <w:rFonts w:ascii="宋体"/>
              </w:rPr>
            </w:pPr>
          </w:p>
        </w:tc>
      </w:tr>
      <w:tr w:rsidR="007B6C97" w14:paraId="642971CD" w14:textId="77777777">
        <w:trPr>
          <w:jc w:val="center"/>
        </w:trPr>
        <w:tc>
          <w:tcPr>
            <w:tcW w:w="0" w:type="auto"/>
            <w:gridSpan w:val="3"/>
            <w:shd w:val="clear" w:color="auto" w:fill="D7E4BC"/>
            <w:tcMar>
              <w:top w:w="40" w:type="dxa"/>
              <w:left w:w="20" w:type="dxa"/>
              <w:bottom w:w="40" w:type="dxa"/>
              <w:right w:w="20" w:type="dxa"/>
            </w:tcMar>
          </w:tcPr>
          <w:p w14:paraId="642971B6" w14:textId="77777777" w:rsidR="007B6C97" w:rsidRDefault="00E426D1">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D7E4BC"/>
            <w:tcMar>
              <w:top w:w="40" w:type="dxa"/>
              <w:left w:w="20" w:type="dxa"/>
              <w:bottom w:w="40" w:type="dxa"/>
              <w:right w:w="20" w:type="dxa"/>
            </w:tcMar>
            <w:vAlign w:val="bottom"/>
          </w:tcPr>
          <w:p w14:paraId="642971B7" w14:textId="77777777" w:rsidR="007B6C97" w:rsidRDefault="00E426D1">
            <w:pPr>
              <w:jc w:val="right"/>
              <w:textAlignment w:val="bottom"/>
            </w:pPr>
            <w:r>
              <w:rPr>
                <w:rFonts w:ascii="Times New Roman" w:eastAsia="宋体" w:hAnsi="Times New Roman"/>
                <w:color w:val="000000"/>
                <w:sz w:val="20"/>
                <w:szCs w:val="20"/>
              </w:rPr>
              <w:t>3.2</w:t>
            </w:r>
          </w:p>
        </w:tc>
        <w:tc>
          <w:tcPr>
            <w:tcW w:w="0" w:type="auto"/>
            <w:gridSpan w:val="3"/>
            <w:shd w:val="clear" w:color="auto" w:fill="D7E4BC"/>
            <w:tcMar>
              <w:top w:w="0" w:type="dxa"/>
              <w:left w:w="20" w:type="dxa"/>
              <w:bottom w:w="0" w:type="dxa"/>
              <w:right w:w="20" w:type="dxa"/>
            </w:tcMar>
            <w:vAlign w:val="bottom"/>
          </w:tcPr>
          <w:p w14:paraId="642971B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B9" w14:textId="77777777" w:rsidR="007B6C97" w:rsidRDefault="00E426D1">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642971B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B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BC" w14:textId="77777777" w:rsidR="007B6C97" w:rsidRDefault="00E426D1">
            <w:pPr>
              <w:jc w:val="right"/>
              <w:textAlignment w:val="bottom"/>
            </w:pPr>
            <w:r>
              <w:rPr>
                <w:rFonts w:ascii="Times New Roman" w:eastAsia="宋体" w:hAnsi="Times New Roman"/>
                <w:color w:val="000000"/>
                <w:sz w:val="20"/>
                <w:szCs w:val="20"/>
              </w:rPr>
              <w:t>(82.7)</w:t>
            </w:r>
          </w:p>
        </w:tc>
        <w:tc>
          <w:tcPr>
            <w:tcW w:w="0" w:type="auto"/>
            <w:shd w:val="clear" w:color="auto" w:fill="D7E4BC"/>
            <w:tcMar>
              <w:top w:w="40" w:type="dxa"/>
              <w:left w:w="0" w:type="dxa"/>
              <w:bottom w:w="40" w:type="dxa"/>
              <w:right w:w="20" w:type="dxa"/>
            </w:tcMar>
            <w:vAlign w:val="bottom"/>
          </w:tcPr>
          <w:p w14:paraId="642971B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B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B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C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C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C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C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C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C5" w14:textId="77777777" w:rsidR="007B6C97" w:rsidRDefault="00E426D1">
            <w:pPr>
              <w:jc w:val="right"/>
              <w:textAlignment w:val="bottom"/>
            </w:pPr>
            <w:r>
              <w:rPr>
                <w:rFonts w:ascii="Times New Roman" w:eastAsia="宋体" w:hAnsi="Times New Roman"/>
                <w:color w:val="000000"/>
                <w:sz w:val="20"/>
                <w:szCs w:val="20"/>
              </w:rPr>
              <w:t>(82.8)</w:t>
            </w:r>
          </w:p>
        </w:tc>
        <w:tc>
          <w:tcPr>
            <w:tcW w:w="0" w:type="auto"/>
            <w:shd w:val="clear" w:color="auto" w:fill="D7E4BC"/>
            <w:tcMar>
              <w:top w:w="40" w:type="dxa"/>
              <w:left w:w="0" w:type="dxa"/>
              <w:bottom w:w="40" w:type="dxa"/>
              <w:right w:w="20" w:type="dxa"/>
            </w:tcMar>
            <w:vAlign w:val="bottom"/>
          </w:tcPr>
          <w:p w14:paraId="642971C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C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C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C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C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CB" w14:textId="77777777" w:rsidR="007B6C97" w:rsidRDefault="00E426D1">
            <w:pPr>
              <w:jc w:val="right"/>
              <w:textAlignment w:val="bottom"/>
            </w:pPr>
            <w:r>
              <w:rPr>
                <w:rFonts w:ascii="Times New Roman" w:eastAsia="宋体" w:hAnsi="Times New Roman"/>
                <w:color w:val="000000"/>
                <w:sz w:val="20"/>
                <w:szCs w:val="20"/>
              </w:rPr>
              <w:t>(82.8)</w:t>
            </w:r>
          </w:p>
        </w:tc>
        <w:tc>
          <w:tcPr>
            <w:tcW w:w="0" w:type="auto"/>
            <w:shd w:val="clear" w:color="auto" w:fill="D7E4BC"/>
            <w:tcMar>
              <w:top w:w="40" w:type="dxa"/>
              <w:left w:w="0" w:type="dxa"/>
              <w:bottom w:w="40" w:type="dxa"/>
              <w:right w:w="20" w:type="dxa"/>
            </w:tcMar>
            <w:vAlign w:val="bottom"/>
          </w:tcPr>
          <w:p w14:paraId="642971CC" w14:textId="77777777" w:rsidR="007B6C97" w:rsidRDefault="007B6C97">
            <w:pPr>
              <w:jc w:val="right"/>
              <w:rPr>
                <w:rFonts w:ascii="宋体"/>
              </w:rPr>
            </w:pPr>
          </w:p>
        </w:tc>
      </w:tr>
      <w:tr w:rsidR="007B6C97" w14:paraId="642971E5" w14:textId="77777777">
        <w:trPr>
          <w:jc w:val="center"/>
        </w:trPr>
        <w:tc>
          <w:tcPr>
            <w:tcW w:w="0" w:type="auto"/>
            <w:gridSpan w:val="3"/>
            <w:shd w:val="clear" w:color="auto" w:fill="FFFFFF"/>
            <w:tcMar>
              <w:top w:w="40" w:type="dxa"/>
              <w:left w:w="20" w:type="dxa"/>
              <w:bottom w:w="40" w:type="dxa"/>
              <w:right w:w="20" w:type="dxa"/>
            </w:tcMar>
          </w:tcPr>
          <w:p w14:paraId="642971CE" w14:textId="77777777" w:rsidR="007B6C97" w:rsidRDefault="00E426D1">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42971CF" w14:textId="77777777" w:rsidR="007B6C97" w:rsidRDefault="00E426D1">
            <w:pPr>
              <w:jc w:val="right"/>
              <w:textAlignment w:val="bottom"/>
            </w:pPr>
            <w:r>
              <w:rPr>
                <w:rFonts w:ascii="Times New Roman" w:eastAsia="宋体" w:hAnsi="Times New Roman"/>
                <w:color w:val="000000"/>
                <w:sz w:val="20"/>
                <w:szCs w:val="20"/>
              </w:rPr>
              <w:t>0.4</w:t>
            </w:r>
          </w:p>
        </w:tc>
        <w:tc>
          <w:tcPr>
            <w:tcW w:w="0" w:type="auto"/>
            <w:gridSpan w:val="3"/>
            <w:shd w:val="clear" w:color="auto" w:fill="FFFFFF"/>
            <w:tcMar>
              <w:top w:w="0" w:type="dxa"/>
              <w:left w:w="20" w:type="dxa"/>
              <w:bottom w:w="0" w:type="dxa"/>
              <w:right w:w="20" w:type="dxa"/>
            </w:tcMar>
            <w:vAlign w:val="bottom"/>
          </w:tcPr>
          <w:p w14:paraId="642971D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D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D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D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D4" w14:textId="77777777" w:rsidR="007B6C97" w:rsidRDefault="00E426D1">
            <w:pPr>
              <w:jc w:val="right"/>
              <w:textAlignment w:val="bottom"/>
            </w:pPr>
            <w:r>
              <w:rPr>
                <w:rFonts w:ascii="Times New Roman" w:eastAsia="宋体" w:hAnsi="Times New Roman"/>
                <w:color w:val="000000"/>
                <w:sz w:val="20"/>
                <w:szCs w:val="20"/>
              </w:rPr>
              <w:t>34.8 </w:t>
            </w:r>
          </w:p>
        </w:tc>
        <w:tc>
          <w:tcPr>
            <w:tcW w:w="0" w:type="auto"/>
            <w:shd w:val="clear" w:color="auto" w:fill="FFFFFF"/>
            <w:tcMar>
              <w:top w:w="40" w:type="dxa"/>
              <w:left w:w="0" w:type="dxa"/>
              <w:bottom w:w="40" w:type="dxa"/>
              <w:right w:w="20" w:type="dxa"/>
            </w:tcMar>
            <w:vAlign w:val="bottom"/>
          </w:tcPr>
          <w:p w14:paraId="642971D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D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D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D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D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D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D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D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DD" w14:textId="77777777" w:rsidR="007B6C97" w:rsidRDefault="00E426D1">
            <w:pPr>
              <w:jc w:val="right"/>
              <w:textAlignment w:val="bottom"/>
            </w:pPr>
            <w:r>
              <w:rPr>
                <w:rFonts w:ascii="Times New Roman" w:eastAsia="宋体" w:hAnsi="Times New Roman"/>
                <w:color w:val="000000"/>
                <w:sz w:val="20"/>
                <w:szCs w:val="20"/>
              </w:rPr>
              <w:t>34.8 </w:t>
            </w:r>
          </w:p>
        </w:tc>
        <w:tc>
          <w:tcPr>
            <w:tcW w:w="0" w:type="auto"/>
            <w:shd w:val="clear" w:color="auto" w:fill="FFFFFF"/>
            <w:tcMar>
              <w:top w:w="40" w:type="dxa"/>
              <w:left w:w="0" w:type="dxa"/>
              <w:bottom w:w="40" w:type="dxa"/>
              <w:right w:w="20" w:type="dxa"/>
            </w:tcMar>
            <w:vAlign w:val="bottom"/>
          </w:tcPr>
          <w:p w14:paraId="642971D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D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E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1E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1E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1E3" w14:textId="77777777" w:rsidR="007B6C97" w:rsidRDefault="00E426D1">
            <w:pPr>
              <w:jc w:val="right"/>
              <w:textAlignment w:val="bottom"/>
            </w:pPr>
            <w:r>
              <w:rPr>
                <w:rFonts w:ascii="Times New Roman" w:eastAsia="宋体" w:hAnsi="Times New Roman"/>
                <w:color w:val="000000"/>
                <w:sz w:val="20"/>
                <w:szCs w:val="20"/>
              </w:rPr>
              <w:t>34.8 </w:t>
            </w:r>
          </w:p>
        </w:tc>
        <w:tc>
          <w:tcPr>
            <w:tcW w:w="0" w:type="auto"/>
            <w:shd w:val="clear" w:color="auto" w:fill="FFFFFF"/>
            <w:tcMar>
              <w:top w:w="40" w:type="dxa"/>
              <w:left w:w="0" w:type="dxa"/>
              <w:bottom w:w="40" w:type="dxa"/>
              <w:right w:w="20" w:type="dxa"/>
            </w:tcMar>
            <w:vAlign w:val="bottom"/>
          </w:tcPr>
          <w:p w14:paraId="642971E4" w14:textId="77777777" w:rsidR="007B6C97" w:rsidRDefault="007B6C97">
            <w:pPr>
              <w:jc w:val="right"/>
              <w:rPr>
                <w:rFonts w:ascii="宋体"/>
              </w:rPr>
            </w:pPr>
          </w:p>
        </w:tc>
      </w:tr>
      <w:tr w:rsidR="007B6C97" w14:paraId="642971FD" w14:textId="77777777">
        <w:trPr>
          <w:jc w:val="center"/>
        </w:trPr>
        <w:tc>
          <w:tcPr>
            <w:tcW w:w="0" w:type="auto"/>
            <w:gridSpan w:val="3"/>
            <w:shd w:val="clear" w:color="auto" w:fill="D7E4BC"/>
            <w:tcMar>
              <w:top w:w="40" w:type="dxa"/>
              <w:left w:w="20" w:type="dxa"/>
              <w:bottom w:w="40" w:type="dxa"/>
              <w:right w:w="20" w:type="dxa"/>
            </w:tcMar>
          </w:tcPr>
          <w:p w14:paraId="642971E6" w14:textId="77777777" w:rsidR="007B6C97" w:rsidRDefault="00E426D1">
            <w:pPr>
              <w:textAlignment w:val="top"/>
            </w:pPr>
            <w:r>
              <w:rPr>
                <w:rFonts w:ascii="Times New Roman" w:eastAsia="宋体" w:hAnsi="Times New Roman"/>
                <w:color w:val="000000"/>
                <w:sz w:val="20"/>
                <w:szCs w:val="20"/>
              </w:rPr>
              <w:t>Repurchase of common stock</w:t>
            </w:r>
          </w:p>
        </w:tc>
        <w:tc>
          <w:tcPr>
            <w:tcW w:w="0" w:type="auto"/>
            <w:gridSpan w:val="3"/>
            <w:shd w:val="clear" w:color="auto" w:fill="D7E4BC"/>
            <w:tcMar>
              <w:top w:w="40" w:type="dxa"/>
              <w:left w:w="20" w:type="dxa"/>
              <w:bottom w:w="40" w:type="dxa"/>
              <w:right w:w="20" w:type="dxa"/>
            </w:tcMar>
            <w:vAlign w:val="bottom"/>
          </w:tcPr>
          <w:p w14:paraId="642971E7" w14:textId="77777777" w:rsidR="007B6C97" w:rsidRDefault="00E426D1">
            <w:pPr>
              <w:jc w:val="right"/>
              <w:textAlignment w:val="bottom"/>
            </w:pPr>
            <w:r>
              <w:rPr>
                <w:rFonts w:ascii="Times New Roman" w:eastAsia="宋体" w:hAnsi="Times New Roman"/>
                <w:color w:val="000000"/>
                <w:sz w:val="20"/>
                <w:szCs w:val="20"/>
              </w:rPr>
              <w:t>(36.3)</w:t>
            </w:r>
          </w:p>
        </w:tc>
        <w:tc>
          <w:tcPr>
            <w:tcW w:w="0" w:type="auto"/>
            <w:gridSpan w:val="3"/>
            <w:shd w:val="clear" w:color="auto" w:fill="D7E4BC"/>
            <w:tcMar>
              <w:top w:w="0" w:type="dxa"/>
              <w:left w:w="20" w:type="dxa"/>
              <w:bottom w:w="0" w:type="dxa"/>
              <w:right w:w="20" w:type="dxa"/>
            </w:tcMar>
            <w:vAlign w:val="bottom"/>
          </w:tcPr>
          <w:p w14:paraId="642971E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E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E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E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EC" w14:textId="77777777" w:rsidR="007B6C97" w:rsidRDefault="00E426D1">
            <w:pPr>
              <w:jc w:val="right"/>
              <w:textAlignment w:val="bottom"/>
            </w:pPr>
            <w:r>
              <w:rPr>
                <w:rFonts w:ascii="Times New Roman" w:eastAsia="宋体" w:hAnsi="Times New Roman"/>
                <w:color w:val="000000"/>
                <w:sz w:val="20"/>
                <w:szCs w:val="20"/>
              </w:rPr>
              <w:t>(890.8)</w:t>
            </w:r>
          </w:p>
        </w:tc>
        <w:tc>
          <w:tcPr>
            <w:tcW w:w="0" w:type="auto"/>
            <w:shd w:val="clear" w:color="auto" w:fill="D7E4BC"/>
            <w:tcMar>
              <w:top w:w="40" w:type="dxa"/>
              <w:left w:w="0" w:type="dxa"/>
              <w:bottom w:w="40" w:type="dxa"/>
              <w:right w:w="20" w:type="dxa"/>
            </w:tcMar>
            <w:vAlign w:val="bottom"/>
          </w:tcPr>
          <w:p w14:paraId="642971E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E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EF" w14:textId="77777777" w:rsidR="007B6C97" w:rsidRDefault="00E426D1">
            <w:pPr>
              <w:jc w:val="right"/>
              <w:textAlignment w:val="bottom"/>
            </w:pPr>
            <w:r>
              <w:rPr>
                <w:rFonts w:ascii="Times New Roman" w:eastAsia="宋体" w:hAnsi="Times New Roman"/>
                <w:color w:val="000000"/>
                <w:sz w:val="20"/>
                <w:szCs w:val="20"/>
              </w:rPr>
              <w:t>(3,122.2)</w:t>
            </w:r>
          </w:p>
        </w:tc>
        <w:tc>
          <w:tcPr>
            <w:tcW w:w="0" w:type="auto"/>
            <w:shd w:val="clear" w:color="auto" w:fill="D7E4BC"/>
            <w:tcMar>
              <w:top w:w="40" w:type="dxa"/>
              <w:left w:w="0" w:type="dxa"/>
              <w:bottom w:w="40" w:type="dxa"/>
              <w:right w:w="20" w:type="dxa"/>
            </w:tcMar>
            <w:vAlign w:val="bottom"/>
          </w:tcPr>
          <w:p w14:paraId="642971F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F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F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F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F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F5" w14:textId="77777777" w:rsidR="007B6C97" w:rsidRDefault="00E426D1">
            <w:pPr>
              <w:jc w:val="right"/>
              <w:textAlignment w:val="bottom"/>
            </w:pPr>
            <w:r>
              <w:rPr>
                <w:rFonts w:ascii="Times New Roman" w:eastAsia="宋体" w:hAnsi="Times New Roman"/>
                <w:color w:val="000000"/>
                <w:sz w:val="20"/>
                <w:szCs w:val="20"/>
              </w:rPr>
              <w:t>(4,013.0)</w:t>
            </w:r>
          </w:p>
        </w:tc>
        <w:tc>
          <w:tcPr>
            <w:tcW w:w="0" w:type="auto"/>
            <w:shd w:val="clear" w:color="auto" w:fill="D7E4BC"/>
            <w:tcMar>
              <w:top w:w="40" w:type="dxa"/>
              <w:left w:w="0" w:type="dxa"/>
              <w:bottom w:w="40" w:type="dxa"/>
              <w:right w:w="20" w:type="dxa"/>
            </w:tcMar>
            <w:vAlign w:val="bottom"/>
          </w:tcPr>
          <w:p w14:paraId="642971F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F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F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1F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1F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1FB" w14:textId="77777777" w:rsidR="007B6C97" w:rsidRDefault="00E426D1">
            <w:pPr>
              <w:jc w:val="right"/>
              <w:textAlignment w:val="bottom"/>
            </w:pPr>
            <w:r>
              <w:rPr>
                <w:rFonts w:ascii="Times New Roman" w:eastAsia="宋体" w:hAnsi="Times New Roman"/>
                <w:color w:val="000000"/>
                <w:sz w:val="20"/>
                <w:szCs w:val="20"/>
              </w:rPr>
              <w:t>(4,013.0)</w:t>
            </w:r>
          </w:p>
        </w:tc>
        <w:tc>
          <w:tcPr>
            <w:tcW w:w="0" w:type="auto"/>
            <w:shd w:val="clear" w:color="auto" w:fill="D7E4BC"/>
            <w:tcMar>
              <w:top w:w="40" w:type="dxa"/>
              <w:left w:w="0" w:type="dxa"/>
              <w:bottom w:w="40" w:type="dxa"/>
              <w:right w:w="20" w:type="dxa"/>
            </w:tcMar>
            <w:vAlign w:val="bottom"/>
          </w:tcPr>
          <w:p w14:paraId="642971FC" w14:textId="77777777" w:rsidR="007B6C97" w:rsidRDefault="007B6C97">
            <w:pPr>
              <w:jc w:val="right"/>
              <w:rPr>
                <w:rFonts w:ascii="宋体"/>
              </w:rPr>
            </w:pPr>
          </w:p>
        </w:tc>
      </w:tr>
      <w:tr w:rsidR="007B6C97" w14:paraId="64297215" w14:textId="77777777">
        <w:trPr>
          <w:jc w:val="center"/>
        </w:trPr>
        <w:tc>
          <w:tcPr>
            <w:tcW w:w="0" w:type="auto"/>
            <w:gridSpan w:val="3"/>
            <w:shd w:val="clear" w:color="auto" w:fill="FFFFFF"/>
            <w:tcMar>
              <w:top w:w="40" w:type="dxa"/>
              <w:left w:w="20" w:type="dxa"/>
              <w:bottom w:w="40" w:type="dxa"/>
              <w:right w:w="20" w:type="dxa"/>
            </w:tcMar>
          </w:tcPr>
          <w:p w14:paraId="642971FE"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Cash dividends declared, $</w:t>
            </w:r>
            <w:r>
              <w:rPr>
                <w:rFonts w:ascii="Times New Roman" w:eastAsia="宋体" w:hAnsi="Times New Roman"/>
                <w:color w:val="000000"/>
                <w:sz w:val="20"/>
                <w:szCs w:val="20"/>
              </w:rPr>
              <w:t>1.47 per share</w:t>
            </w:r>
          </w:p>
        </w:tc>
        <w:tc>
          <w:tcPr>
            <w:tcW w:w="0" w:type="auto"/>
            <w:gridSpan w:val="3"/>
            <w:shd w:val="clear" w:color="auto" w:fill="FFFFFF"/>
            <w:tcMar>
              <w:top w:w="40" w:type="dxa"/>
              <w:left w:w="20" w:type="dxa"/>
              <w:bottom w:w="40" w:type="dxa"/>
              <w:right w:w="20" w:type="dxa"/>
            </w:tcMar>
            <w:vAlign w:val="bottom"/>
          </w:tcPr>
          <w:p w14:paraId="642971F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20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0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0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0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0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0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0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07" w14:textId="77777777" w:rsidR="007B6C97" w:rsidRDefault="00E426D1">
            <w:pPr>
              <w:jc w:val="right"/>
              <w:textAlignment w:val="bottom"/>
            </w:pPr>
            <w:r>
              <w:rPr>
                <w:rFonts w:ascii="Times New Roman" w:eastAsia="宋体" w:hAnsi="Times New Roman"/>
                <w:color w:val="000000"/>
                <w:sz w:val="20"/>
                <w:szCs w:val="20"/>
              </w:rPr>
              <w:t>(1,685.1)</w:t>
            </w:r>
          </w:p>
        </w:tc>
        <w:tc>
          <w:tcPr>
            <w:tcW w:w="0" w:type="auto"/>
            <w:shd w:val="clear" w:color="auto" w:fill="FFFFFF"/>
            <w:tcMar>
              <w:top w:w="40" w:type="dxa"/>
              <w:left w:w="0" w:type="dxa"/>
              <w:bottom w:w="40" w:type="dxa"/>
              <w:right w:w="20" w:type="dxa"/>
            </w:tcMar>
            <w:vAlign w:val="bottom"/>
          </w:tcPr>
          <w:p w14:paraId="6429720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0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0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0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0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0D" w14:textId="77777777" w:rsidR="007B6C97" w:rsidRDefault="00E426D1">
            <w:pPr>
              <w:jc w:val="right"/>
              <w:textAlignment w:val="bottom"/>
            </w:pPr>
            <w:r>
              <w:rPr>
                <w:rFonts w:ascii="Times New Roman" w:eastAsia="宋体" w:hAnsi="Times New Roman"/>
                <w:color w:val="000000"/>
                <w:sz w:val="20"/>
                <w:szCs w:val="20"/>
              </w:rPr>
              <w:t>(1,685.1)</w:t>
            </w:r>
          </w:p>
        </w:tc>
        <w:tc>
          <w:tcPr>
            <w:tcW w:w="0" w:type="auto"/>
            <w:shd w:val="clear" w:color="auto" w:fill="FFFFFF"/>
            <w:tcMar>
              <w:top w:w="40" w:type="dxa"/>
              <w:left w:w="0" w:type="dxa"/>
              <w:bottom w:w="40" w:type="dxa"/>
              <w:right w:w="20" w:type="dxa"/>
            </w:tcMar>
            <w:vAlign w:val="bottom"/>
          </w:tcPr>
          <w:p w14:paraId="6429720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0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1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1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1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13" w14:textId="77777777" w:rsidR="007B6C97" w:rsidRDefault="00E426D1">
            <w:pPr>
              <w:jc w:val="right"/>
              <w:textAlignment w:val="bottom"/>
            </w:pPr>
            <w:r>
              <w:rPr>
                <w:rFonts w:ascii="Times New Roman" w:eastAsia="宋体" w:hAnsi="Times New Roman"/>
                <w:color w:val="000000"/>
                <w:sz w:val="20"/>
                <w:szCs w:val="20"/>
              </w:rPr>
              <w:t>(1,685.1)</w:t>
            </w:r>
          </w:p>
        </w:tc>
        <w:tc>
          <w:tcPr>
            <w:tcW w:w="0" w:type="auto"/>
            <w:shd w:val="clear" w:color="auto" w:fill="FFFFFF"/>
            <w:tcMar>
              <w:top w:w="40" w:type="dxa"/>
              <w:left w:w="0" w:type="dxa"/>
              <w:bottom w:w="40" w:type="dxa"/>
              <w:right w:w="20" w:type="dxa"/>
            </w:tcMar>
            <w:vAlign w:val="bottom"/>
          </w:tcPr>
          <w:p w14:paraId="64297214" w14:textId="77777777" w:rsidR="007B6C97" w:rsidRDefault="007B6C97">
            <w:pPr>
              <w:jc w:val="right"/>
              <w:rPr>
                <w:rFonts w:ascii="宋体"/>
              </w:rPr>
            </w:pPr>
          </w:p>
        </w:tc>
      </w:tr>
      <w:tr w:rsidR="007B6C97" w14:paraId="6429722D" w14:textId="77777777">
        <w:trPr>
          <w:jc w:val="center"/>
        </w:trPr>
        <w:tc>
          <w:tcPr>
            <w:tcW w:w="0" w:type="auto"/>
            <w:gridSpan w:val="3"/>
            <w:shd w:val="clear" w:color="auto" w:fill="D7E4BC"/>
            <w:tcMar>
              <w:top w:w="40" w:type="dxa"/>
              <w:left w:w="20" w:type="dxa"/>
              <w:bottom w:w="40" w:type="dxa"/>
              <w:right w:w="20" w:type="dxa"/>
            </w:tcMar>
          </w:tcPr>
          <w:p w14:paraId="64297216" w14:textId="77777777" w:rsidR="007B6C97" w:rsidRDefault="00E426D1">
            <w:pPr>
              <w:textAlignment w:val="top"/>
            </w:pPr>
            <w:r>
              <w:rPr>
                <w:rFonts w:ascii="Times New Roman" w:eastAsia="宋体" w:hAnsi="Times New Roman"/>
                <w:color w:val="000000"/>
                <w:sz w:val="20"/>
                <w:szCs w:val="20"/>
              </w:rPr>
              <w:t>Net distributions to nonco</w:t>
            </w:r>
            <w:r>
              <w:rPr>
                <w:rFonts w:ascii="Times New Roman" w:eastAsia="宋体" w:hAnsi="Times New Roman"/>
                <w:color w:val="000000"/>
                <w:sz w:val="20"/>
                <w:szCs w:val="20"/>
              </w:rPr>
              <w:t>ntrolling interests</w:t>
            </w:r>
          </w:p>
        </w:tc>
        <w:tc>
          <w:tcPr>
            <w:tcW w:w="0" w:type="auto"/>
            <w:gridSpan w:val="3"/>
            <w:shd w:val="clear" w:color="auto" w:fill="D7E4BC"/>
            <w:tcMar>
              <w:top w:w="40" w:type="dxa"/>
              <w:left w:w="20" w:type="dxa"/>
              <w:bottom w:w="40" w:type="dxa"/>
              <w:right w:w="20" w:type="dxa"/>
            </w:tcMar>
            <w:vAlign w:val="bottom"/>
          </w:tcPr>
          <w:p w14:paraId="6429721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21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1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1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1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1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1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2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2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2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2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2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2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28"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429722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2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2B"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429722C" w14:textId="77777777" w:rsidR="007B6C97" w:rsidRDefault="007B6C97">
            <w:pPr>
              <w:jc w:val="right"/>
              <w:rPr>
                <w:rFonts w:ascii="宋体"/>
              </w:rPr>
            </w:pPr>
          </w:p>
        </w:tc>
      </w:tr>
      <w:tr w:rsidR="00E426D1" w14:paraId="6429724C" w14:textId="77777777">
        <w:trPr>
          <w:jc w:val="center"/>
        </w:trPr>
        <w:tc>
          <w:tcPr>
            <w:tcW w:w="0" w:type="auto"/>
            <w:gridSpan w:val="3"/>
            <w:shd w:val="clear" w:color="auto" w:fill="FFFFFF"/>
            <w:tcMar>
              <w:top w:w="40" w:type="dxa"/>
              <w:left w:w="20" w:type="dxa"/>
              <w:bottom w:w="40" w:type="dxa"/>
              <w:right w:w="20" w:type="dxa"/>
            </w:tcMar>
            <w:vAlign w:val="bottom"/>
          </w:tcPr>
          <w:p w14:paraId="6429722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July 3, 2022</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29722F" w14:textId="77777777" w:rsidR="007B6C97" w:rsidRDefault="00E426D1">
            <w:pPr>
              <w:jc w:val="right"/>
              <w:textAlignment w:val="bottom"/>
            </w:pPr>
            <w:r>
              <w:rPr>
                <w:rFonts w:ascii="Times New Roman" w:eastAsia="宋体" w:hAnsi="Times New Roman"/>
                <w:color w:val="000000"/>
                <w:sz w:val="20"/>
                <w:szCs w:val="20"/>
              </w:rPr>
              <w:t>1,14</w:t>
            </w:r>
            <w:r>
              <w:rPr>
                <w:rFonts w:ascii="Times New Roman" w:eastAsia="宋体" w:hAnsi="Times New Roman"/>
                <w:color w:val="000000"/>
                <w:sz w:val="20"/>
                <w:szCs w:val="20"/>
              </w:rPr>
              <w:t>7.3</w:t>
            </w:r>
          </w:p>
        </w:tc>
        <w:tc>
          <w:tcPr>
            <w:tcW w:w="0" w:type="auto"/>
            <w:gridSpan w:val="3"/>
            <w:shd w:val="clear" w:color="auto" w:fill="FFFFFF"/>
            <w:tcMar>
              <w:top w:w="0" w:type="dxa"/>
              <w:left w:w="20" w:type="dxa"/>
              <w:bottom w:w="0" w:type="dxa"/>
              <w:right w:w="20" w:type="dxa"/>
            </w:tcMar>
            <w:vAlign w:val="bottom"/>
          </w:tcPr>
          <w:p w14:paraId="6429723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3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32" w14:textId="77777777" w:rsidR="007B6C97" w:rsidRDefault="00E426D1">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34"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3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36" w14:textId="77777777" w:rsidR="007B6C97" w:rsidRDefault="00E426D1">
            <w:pPr>
              <w:jc w:val="right"/>
              <w:textAlignment w:val="bottom"/>
            </w:pPr>
            <w:r>
              <w:rPr>
                <w:rFonts w:ascii="Times New Roman" w:eastAsia="宋体" w:hAnsi="Times New Roman"/>
                <w:color w:val="000000"/>
                <w:sz w:val="20"/>
                <w:szCs w:val="20"/>
              </w:rPr>
              <w:t>117.1 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3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38"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3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3A" w14:textId="77777777" w:rsidR="007B6C97" w:rsidRDefault="00E426D1">
            <w:pPr>
              <w:jc w:val="right"/>
              <w:textAlignment w:val="bottom"/>
            </w:pPr>
            <w:r>
              <w:rPr>
                <w:rFonts w:ascii="Times New Roman" w:eastAsia="宋体" w:hAnsi="Times New Roman"/>
                <w:color w:val="000000"/>
                <w:sz w:val="20"/>
                <w:szCs w:val="20"/>
              </w:rPr>
              <w:t>(8,719.7)</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3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3C"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3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3E" w14:textId="77777777" w:rsidR="007B6C97" w:rsidRDefault="00E426D1">
            <w:pPr>
              <w:jc w:val="right"/>
              <w:textAlignment w:val="bottom"/>
            </w:pPr>
            <w:r>
              <w:rPr>
                <w:rFonts w:ascii="Times New Roman" w:eastAsia="宋体" w:hAnsi="Times New Roman"/>
                <w:color w:val="000000"/>
                <w:sz w:val="20"/>
                <w:szCs w:val="20"/>
              </w:rPr>
              <w:t>(65.0)</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3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4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4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42" w14:textId="77777777" w:rsidR="007B6C97" w:rsidRDefault="00E426D1">
            <w:pPr>
              <w:jc w:val="right"/>
              <w:textAlignment w:val="bottom"/>
            </w:pPr>
            <w:r>
              <w:rPr>
                <w:rFonts w:ascii="Times New Roman" w:eastAsia="宋体" w:hAnsi="Times New Roman"/>
                <w:color w:val="000000"/>
                <w:sz w:val="20"/>
                <w:szCs w:val="20"/>
              </w:rPr>
              <w:t>(8,666.5)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4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44"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4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46" w14:textId="77777777" w:rsidR="007B6C97" w:rsidRDefault="00E426D1">
            <w:pPr>
              <w:jc w:val="right"/>
              <w:textAlignment w:val="bottom"/>
            </w:pPr>
            <w:r>
              <w:rPr>
                <w:rFonts w:ascii="Times New Roman" w:eastAsia="宋体" w:hAnsi="Times New Roman"/>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4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48"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24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24A" w14:textId="77777777" w:rsidR="007B6C97" w:rsidRDefault="00E426D1">
            <w:pPr>
              <w:jc w:val="right"/>
              <w:textAlignment w:val="bottom"/>
            </w:pPr>
            <w:r>
              <w:rPr>
                <w:rFonts w:ascii="Times New Roman" w:eastAsia="宋体" w:hAnsi="Times New Roman"/>
                <w:color w:val="000000"/>
                <w:sz w:val="20"/>
                <w:szCs w:val="20"/>
              </w:rPr>
              <w:t>(8,658.9)</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24B" w14:textId="77777777" w:rsidR="007B6C97" w:rsidRDefault="007B6C97">
            <w:pPr>
              <w:jc w:val="right"/>
              <w:rPr>
                <w:rFonts w:ascii="宋体"/>
              </w:rPr>
            </w:pPr>
          </w:p>
        </w:tc>
      </w:tr>
      <w:tr w:rsidR="007B6C97" w14:paraId="6429725D" w14:textId="77777777">
        <w:trPr>
          <w:trHeight w:val="300"/>
          <w:jc w:val="center"/>
        </w:trPr>
        <w:tc>
          <w:tcPr>
            <w:tcW w:w="0" w:type="auto"/>
            <w:gridSpan w:val="3"/>
            <w:shd w:val="clear" w:color="auto" w:fill="D7E4BC"/>
            <w:tcMar>
              <w:top w:w="0" w:type="dxa"/>
              <w:left w:w="20" w:type="dxa"/>
              <w:bottom w:w="0" w:type="dxa"/>
              <w:right w:w="20" w:type="dxa"/>
            </w:tcMar>
            <w:vAlign w:val="bottom"/>
          </w:tcPr>
          <w:p w14:paraId="6429724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4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4F"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3"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25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25C" w14:textId="77777777" w:rsidR="007B6C97" w:rsidRDefault="007B6C97">
            <w:pPr>
              <w:rPr>
                <w:rFonts w:ascii="宋体"/>
              </w:rPr>
            </w:pPr>
          </w:p>
        </w:tc>
      </w:tr>
      <w:tr w:rsidR="00E426D1" w14:paraId="6429727C" w14:textId="77777777">
        <w:trPr>
          <w:jc w:val="center"/>
        </w:trPr>
        <w:tc>
          <w:tcPr>
            <w:tcW w:w="0" w:type="auto"/>
            <w:gridSpan w:val="3"/>
            <w:shd w:val="clear" w:color="auto" w:fill="FFFFFF"/>
            <w:tcMar>
              <w:top w:w="40" w:type="dxa"/>
              <w:left w:w="20" w:type="dxa"/>
              <w:bottom w:w="40" w:type="dxa"/>
              <w:right w:w="20" w:type="dxa"/>
            </w:tcMar>
          </w:tcPr>
          <w:p w14:paraId="6429725E"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b/>
                <w:bCs/>
                <w:color w:val="000000"/>
                <w:sz w:val="20"/>
                <w:szCs w:val="20"/>
              </w:rPr>
              <w:t>Balance, September 27, 2020</w:t>
            </w:r>
          </w:p>
        </w:tc>
        <w:tc>
          <w:tcPr>
            <w:tcW w:w="0" w:type="auto"/>
            <w:gridSpan w:val="3"/>
            <w:shd w:val="clear" w:color="auto" w:fill="FFFFFF"/>
            <w:tcMar>
              <w:top w:w="40" w:type="dxa"/>
              <w:left w:w="20" w:type="dxa"/>
              <w:bottom w:w="40" w:type="dxa"/>
              <w:right w:w="20" w:type="dxa"/>
            </w:tcMar>
            <w:vAlign w:val="bottom"/>
          </w:tcPr>
          <w:p w14:paraId="6429725F" w14:textId="77777777" w:rsidR="007B6C97" w:rsidRDefault="00E426D1">
            <w:pPr>
              <w:jc w:val="right"/>
              <w:textAlignment w:val="bottom"/>
            </w:pPr>
            <w:r>
              <w:rPr>
                <w:rFonts w:ascii="Times New Roman" w:eastAsia="宋体" w:hAnsi="Times New Roman"/>
                <w:color w:val="000000"/>
                <w:sz w:val="20"/>
                <w:szCs w:val="20"/>
              </w:rPr>
              <w:t>1,173.3</w:t>
            </w:r>
          </w:p>
        </w:tc>
        <w:tc>
          <w:tcPr>
            <w:tcW w:w="0" w:type="auto"/>
            <w:gridSpan w:val="3"/>
            <w:shd w:val="clear" w:color="auto" w:fill="FFFFFF"/>
            <w:tcMar>
              <w:top w:w="0" w:type="dxa"/>
              <w:left w:w="20" w:type="dxa"/>
              <w:bottom w:w="0" w:type="dxa"/>
              <w:right w:w="20" w:type="dxa"/>
            </w:tcMar>
            <w:vAlign w:val="bottom"/>
          </w:tcPr>
          <w:p w14:paraId="6429726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6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62"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42972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6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6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66" w14:textId="77777777" w:rsidR="007B6C97" w:rsidRDefault="00E426D1">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6429726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6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6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6A" w14:textId="77777777" w:rsidR="007B6C97" w:rsidRDefault="00E426D1">
            <w:pPr>
              <w:jc w:val="right"/>
              <w:textAlignment w:val="bottom"/>
            </w:pPr>
            <w:r>
              <w:rPr>
                <w:rFonts w:ascii="Times New Roman" w:eastAsia="宋体" w:hAnsi="Times New Roman"/>
                <w:color w:val="000000"/>
                <w:sz w:val="20"/>
                <w:szCs w:val="20"/>
              </w:rPr>
              <w:t>(7,815.6)</w:t>
            </w:r>
          </w:p>
        </w:tc>
        <w:tc>
          <w:tcPr>
            <w:tcW w:w="0" w:type="auto"/>
            <w:shd w:val="clear" w:color="auto" w:fill="FFFFFF"/>
            <w:tcMar>
              <w:top w:w="40" w:type="dxa"/>
              <w:left w:w="0" w:type="dxa"/>
              <w:bottom w:w="40" w:type="dxa"/>
              <w:right w:w="20" w:type="dxa"/>
            </w:tcMar>
            <w:vAlign w:val="bottom"/>
          </w:tcPr>
          <w:p w14:paraId="6429726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6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6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6E" w14:textId="77777777" w:rsidR="007B6C97" w:rsidRDefault="00E426D1">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6429726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7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7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72" w14:textId="77777777" w:rsidR="007B6C97" w:rsidRDefault="00E426D1">
            <w:pPr>
              <w:jc w:val="right"/>
              <w:textAlignment w:val="bottom"/>
            </w:pPr>
            <w:r>
              <w:rPr>
                <w:rFonts w:ascii="Times New Roman" w:eastAsia="宋体" w:hAnsi="Times New Roman"/>
                <w:color w:val="000000"/>
                <w:sz w:val="20"/>
                <w:szCs w:val="20"/>
              </w:rPr>
              <w:t>(7,805.1)</w:t>
            </w:r>
          </w:p>
        </w:tc>
        <w:tc>
          <w:tcPr>
            <w:tcW w:w="0" w:type="auto"/>
            <w:shd w:val="clear" w:color="auto" w:fill="FFFFFF"/>
            <w:tcMar>
              <w:top w:w="40" w:type="dxa"/>
              <w:left w:w="0" w:type="dxa"/>
              <w:bottom w:w="40" w:type="dxa"/>
              <w:right w:w="20" w:type="dxa"/>
            </w:tcMar>
            <w:vAlign w:val="bottom"/>
          </w:tcPr>
          <w:p w14:paraId="6429727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7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7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76" w14:textId="77777777" w:rsidR="007B6C97" w:rsidRDefault="00E426D1">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429727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7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27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27A" w14:textId="77777777" w:rsidR="007B6C97" w:rsidRDefault="00E426D1">
            <w:pPr>
              <w:jc w:val="right"/>
              <w:textAlignment w:val="bottom"/>
            </w:pPr>
            <w:r>
              <w:rPr>
                <w:rFonts w:ascii="Times New Roman" w:eastAsia="宋体" w:hAnsi="Times New Roman"/>
                <w:color w:val="000000"/>
                <w:sz w:val="20"/>
                <w:szCs w:val="20"/>
              </w:rPr>
              <w:t>(7,799.4)</w:t>
            </w:r>
          </w:p>
        </w:tc>
        <w:tc>
          <w:tcPr>
            <w:tcW w:w="0" w:type="auto"/>
            <w:shd w:val="clear" w:color="auto" w:fill="FFFFFF"/>
            <w:tcMar>
              <w:top w:w="40" w:type="dxa"/>
              <w:left w:w="0" w:type="dxa"/>
              <w:bottom w:w="40" w:type="dxa"/>
              <w:right w:w="20" w:type="dxa"/>
            </w:tcMar>
            <w:vAlign w:val="bottom"/>
          </w:tcPr>
          <w:p w14:paraId="6429727B" w14:textId="77777777" w:rsidR="007B6C97" w:rsidRDefault="007B6C97">
            <w:pPr>
              <w:jc w:val="right"/>
              <w:rPr>
                <w:rFonts w:ascii="宋体"/>
              </w:rPr>
            </w:pPr>
          </w:p>
        </w:tc>
      </w:tr>
      <w:tr w:rsidR="007B6C97" w14:paraId="64297294" w14:textId="77777777">
        <w:trPr>
          <w:jc w:val="center"/>
        </w:trPr>
        <w:tc>
          <w:tcPr>
            <w:tcW w:w="0" w:type="auto"/>
            <w:gridSpan w:val="3"/>
            <w:shd w:val="clear" w:color="auto" w:fill="D7E4BC"/>
            <w:tcMar>
              <w:top w:w="40" w:type="dxa"/>
              <w:left w:w="20" w:type="dxa"/>
              <w:bottom w:w="40" w:type="dxa"/>
              <w:right w:w="20" w:type="dxa"/>
            </w:tcMar>
          </w:tcPr>
          <w:p w14:paraId="6429727D" w14:textId="77777777" w:rsidR="007B6C97" w:rsidRDefault="00E426D1">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D7E4BC"/>
            <w:tcMar>
              <w:top w:w="40" w:type="dxa"/>
              <w:left w:w="20" w:type="dxa"/>
              <w:bottom w:w="40" w:type="dxa"/>
              <w:right w:w="20" w:type="dxa"/>
            </w:tcMar>
            <w:vAlign w:val="bottom"/>
          </w:tcPr>
          <w:p w14:paraId="6429727E"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27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8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8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8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8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6" w14:textId="77777777" w:rsidR="007B6C97" w:rsidRDefault="00E426D1">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429728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8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8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8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C" w14:textId="77777777" w:rsidR="007B6C97" w:rsidRDefault="00E426D1">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429728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8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8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92" w14:textId="77777777" w:rsidR="007B6C97" w:rsidRDefault="00E426D1">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4297293" w14:textId="77777777" w:rsidR="007B6C97" w:rsidRDefault="007B6C97">
            <w:pPr>
              <w:jc w:val="right"/>
              <w:rPr>
                <w:rFonts w:ascii="宋体"/>
              </w:rPr>
            </w:pPr>
          </w:p>
        </w:tc>
      </w:tr>
      <w:tr w:rsidR="007B6C97" w14:paraId="642972AC" w14:textId="77777777">
        <w:trPr>
          <w:jc w:val="center"/>
        </w:trPr>
        <w:tc>
          <w:tcPr>
            <w:tcW w:w="0" w:type="auto"/>
            <w:gridSpan w:val="3"/>
            <w:shd w:val="clear" w:color="auto" w:fill="FFFFFF"/>
            <w:tcMar>
              <w:top w:w="40" w:type="dxa"/>
              <w:left w:w="20" w:type="dxa"/>
              <w:bottom w:w="40" w:type="dxa"/>
              <w:right w:w="20" w:type="dxa"/>
            </w:tcMar>
          </w:tcPr>
          <w:p w14:paraId="64297295" w14:textId="77777777" w:rsidR="007B6C97" w:rsidRDefault="00E426D1">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4297296"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29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9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9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9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9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9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9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9E" w14:textId="77777777" w:rsidR="007B6C97" w:rsidRDefault="00E426D1">
            <w:pPr>
              <w:jc w:val="right"/>
              <w:textAlignment w:val="bottom"/>
            </w:pPr>
            <w:r>
              <w:rPr>
                <w:rFonts w:ascii="Times New Roman" w:eastAsia="宋体" w:hAnsi="Times New Roman"/>
                <w:color w:val="000000"/>
                <w:sz w:val="20"/>
                <w:szCs w:val="20"/>
              </w:rPr>
              <w:t>2,434.9 </w:t>
            </w:r>
          </w:p>
        </w:tc>
        <w:tc>
          <w:tcPr>
            <w:tcW w:w="0" w:type="auto"/>
            <w:shd w:val="clear" w:color="auto" w:fill="FFFFFF"/>
            <w:tcMar>
              <w:top w:w="40" w:type="dxa"/>
              <w:left w:w="0" w:type="dxa"/>
              <w:bottom w:w="40" w:type="dxa"/>
              <w:right w:w="20" w:type="dxa"/>
            </w:tcMar>
            <w:vAlign w:val="bottom"/>
          </w:tcPr>
          <w:p w14:paraId="6429729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A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A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A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A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A4" w14:textId="77777777" w:rsidR="007B6C97" w:rsidRDefault="00E426D1">
            <w:pPr>
              <w:jc w:val="right"/>
              <w:textAlignment w:val="bottom"/>
            </w:pPr>
            <w:r>
              <w:rPr>
                <w:rFonts w:ascii="Times New Roman" w:eastAsia="宋体" w:hAnsi="Times New Roman"/>
                <w:color w:val="000000"/>
                <w:sz w:val="20"/>
                <w:szCs w:val="20"/>
              </w:rPr>
              <w:t>2,434.9 </w:t>
            </w:r>
          </w:p>
        </w:tc>
        <w:tc>
          <w:tcPr>
            <w:tcW w:w="0" w:type="auto"/>
            <w:shd w:val="clear" w:color="auto" w:fill="FFFFFF"/>
            <w:tcMar>
              <w:top w:w="40" w:type="dxa"/>
              <w:left w:w="0" w:type="dxa"/>
              <w:bottom w:w="40" w:type="dxa"/>
              <w:right w:w="20" w:type="dxa"/>
            </w:tcMar>
            <w:vAlign w:val="bottom"/>
          </w:tcPr>
          <w:p w14:paraId="642972A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A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A7"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72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A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AA" w14:textId="77777777" w:rsidR="007B6C97" w:rsidRDefault="00E426D1">
            <w:pPr>
              <w:jc w:val="right"/>
              <w:textAlignment w:val="bottom"/>
            </w:pPr>
            <w:r>
              <w:rPr>
                <w:rFonts w:ascii="Times New Roman" w:eastAsia="宋体" w:hAnsi="Times New Roman"/>
                <w:color w:val="000000"/>
                <w:sz w:val="20"/>
                <w:szCs w:val="20"/>
              </w:rPr>
              <w:t>2,435.7 </w:t>
            </w:r>
          </w:p>
        </w:tc>
        <w:tc>
          <w:tcPr>
            <w:tcW w:w="0" w:type="auto"/>
            <w:shd w:val="clear" w:color="auto" w:fill="FFFFFF"/>
            <w:tcMar>
              <w:top w:w="40" w:type="dxa"/>
              <w:left w:w="0" w:type="dxa"/>
              <w:bottom w:w="40" w:type="dxa"/>
              <w:right w:w="20" w:type="dxa"/>
            </w:tcMar>
            <w:vAlign w:val="bottom"/>
          </w:tcPr>
          <w:p w14:paraId="642972AB" w14:textId="77777777" w:rsidR="007B6C97" w:rsidRDefault="007B6C97">
            <w:pPr>
              <w:jc w:val="right"/>
              <w:rPr>
                <w:rFonts w:ascii="宋体"/>
              </w:rPr>
            </w:pPr>
          </w:p>
        </w:tc>
      </w:tr>
      <w:tr w:rsidR="007B6C97" w14:paraId="642972C3" w14:textId="77777777">
        <w:trPr>
          <w:jc w:val="center"/>
        </w:trPr>
        <w:tc>
          <w:tcPr>
            <w:tcW w:w="0" w:type="auto"/>
            <w:gridSpan w:val="3"/>
            <w:shd w:val="clear" w:color="auto" w:fill="D7E4BC"/>
            <w:tcMar>
              <w:top w:w="40" w:type="dxa"/>
              <w:left w:w="20" w:type="dxa"/>
              <w:bottom w:w="40" w:type="dxa"/>
              <w:right w:w="20" w:type="dxa"/>
            </w:tcMar>
          </w:tcPr>
          <w:p w14:paraId="642972AD" w14:textId="77777777" w:rsidR="007B6C97" w:rsidRDefault="00E426D1">
            <w:pPr>
              <w:textAlignment w:val="top"/>
            </w:pPr>
            <w:r>
              <w:rPr>
                <w:rFonts w:ascii="Times New Roman" w:eastAsia="宋体" w:hAnsi="Times New Roman"/>
                <w:color w:val="000000"/>
                <w:sz w:val="20"/>
                <w:szCs w:val="20"/>
              </w:rPr>
              <w:t>Other comprehensive income</w:t>
            </w:r>
          </w:p>
        </w:tc>
        <w:tc>
          <w:tcPr>
            <w:tcW w:w="0" w:type="auto"/>
            <w:gridSpan w:val="3"/>
            <w:shd w:val="clear" w:color="auto" w:fill="D7E4BC"/>
            <w:tcMar>
              <w:top w:w="40" w:type="dxa"/>
              <w:left w:w="20" w:type="dxa"/>
              <w:bottom w:w="40" w:type="dxa"/>
              <w:right w:w="20" w:type="dxa"/>
            </w:tcMar>
            <w:vAlign w:val="bottom"/>
          </w:tcPr>
          <w:p w14:paraId="642972AE"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2AF"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2B0"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2B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B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B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B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B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B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B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B8" w14:textId="77777777" w:rsidR="007B6C97" w:rsidRDefault="00E426D1">
            <w:pPr>
              <w:jc w:val="right"/>
              <w:textAlignment w:val="bottom"/>
            </w:pPr>
            <w:r>
              <w:rPr>
                <w:rFonts w:ascii="Times New Roman" w:eastAsia="宋体" w:hAnsi="Times New Roman"/>
                <w:color w:val="000000"/>
                <w:sz w:val="20"/>
                <w:szCs w:val="20"/>
              </w:rPr>
              <w:t>334.9 </w:t>
            </w:r>
          </w:p>
        </w:tc>
        <w:tc>
          <w:tcPr>
            <w:tcW w:w="0" w:type="auto"/>
            <w:shd w:val="clear" w:color="auto" w:fill="D7E4BC"/>
            <w:tcMar>
              <w:top w:w="40" w:type="dxa"/>
              <w:left w:w="0" w:type="dxa"/>
              <w:bottom w:w="40" w:type="dxa"/>
              <w:right w:w="20" w:type="dxa"/>
            </w:tcMar>
            <w:vAlign w:val="bottom"/>
          </w:tcPr>
          <w:p w14:paraId="642972B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B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BB" w14:textId="77777777" w:rsidR="007B6C97" w:rsidRDefault="00E426D1">
            <w:pPr>
              <w:jc w:val="right"/>
              <w:textAlignment w:val="bottom"/>
            </w:pPr>
            <w:r>
              <w:rPr>
                <w:rFonts w:ascii="Times New Roman" w:eastAsia="宋体" w:hAnsi="Times New Roman"/>
                <w:color w:val="000000"/>
                <w:sz w:val="20"/>
                <w:szCs w:val="20"/>
              </w:rPr>
              <w:t>334.9 </w:t>
            </w:r>
          </w:p>
        </w:tc>
        <w:tc>
          <w:tcPr>
            <w:tcW w:w="0" w:type="auto"/>
            <w:shd w:val="clear" w:color="auto" w:fill="D7E4BC"/>
            <w:tcMar>
              <w:top w:w="40" w:type="dxa"/>
              <w:left w:w="0" w:type="dxa"/>
              <w:bottom w:w="40" w:type="dxa"/>
              <w:right w:w="20" w:type="dxa"/>
            </w:tcMar>
            <w:vAlign w:val="bottom"/>
          </w:tcPr>
          <w:p w14:paraId="642972B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B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B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B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C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C1" w14:textId="77777777" w:rsidR="007B6C97" w:rsidRDefault="00E426D1">
            <w:pPr>
              <w:jc w:val="right"/>
              <w:textAlignment w:val="bottom"/>
            </w:pPr>
            <w:r>
              <w:rPr>
                <w:rFonts w:ascii="Times New Roman" w:eastAsia="宋体" w:hAnsi="Times New Roman"/>
                <w:color w:val="000000"/>
                <w:sz w:val="20"/>
                <w:szCs w:val="20"/>
              </w:rPr>
              <w:t>334.9 </w:t>
            </w:r>
          </w:p>
        </w:tc>
        <w:tc>
          <w:tcPr>
            <w:tcW w:w="0" w:type="auto"/>
            <w:shd w:val="clear" w:color="auto" w:fill="D7E4BC"/>
            <w:tcMar>
              <w:top w:w="40" w:type="dxa"/>
              <w:left w:w="0" w:type="dxa"/>
              <w:bottom w:w="40" w:type="dxa"/>
              <w:right w:w="20" w:type="dxa"/>
            </w:tcMar>
            <w:vAlign w:val="bottom"/>
          </w:tcPr>
          <w:p w14:paraId="642972C2" w14:textId="77777777" w:rsidR="007B6C97" w:rsidRDefault="007B6C97">
            <w:pPr>
              <w:jc w:val="right"/>
              <w:rPr>
                <w:rFonts w:ascii="宋体"/>
              </w:rPr>
            </w:pPr>
          </w:p>
        </w:tc>
      </w:tr>
      <w:tr w:rsidR="007B6C97" w14:paraId="642972DB" w14:textId="77777777">
        <w:trPr>
          <w:jc w:val="center"/>
        </w:trPr>
        <w:tc>
          <w:tcPr>
            <w:tcW w:w="0" w:type="auto"/>
            <w:gridSpan w:val="3"/>
            <w:shd w:val="clear" w:color="auto" w:fill="FFFFFF"/>
            <w:tcMar>
              <w:top w:w="40" w:type="dxa"/>
              <w:left w:w="20" w:type="dxa"/>
              <w:bottom w:w="40" w:type="dxa"/>
              <w:right w:w="20" w:type="dxa"/>
            </w:tcMar>
          </w:tcPr>
          <w:p w14:paraId="642972C4" w14:textId="77777777" w:rsidR="007B6C97" w:rsidRDefault="00E426D1">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642972C5"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72C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C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C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C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CA" w14:textId="77777777" w:rsidR="007B6C97" w:rsidRDefault="00E426D1">
            <w:pPr>
              <w:jc w:val="right"/>
              <w:textAlignment w:val="bottom"/>
            </w:pPr>
            <w:r>
              <w:rPr>
                <w:rFonts w:ascii="Times New Roman" w:eastAsia="宋体" w:hAnsi="Times New Roman"/>
                <w:color w:val="000000"/>
                <w:sz w:val="20"/>
                <w:szCs w:val="20"/>
              </w:rPr>
              <w:t>258.1 </w:t>
            </w:r>
          </w:p>
        </w:tc>
        <w:tc>
          <w:tcPr>
            <w:tcW w:w="0" w:type="auto"/>
            <w:shd w:val="clear" w:color="auto" w:fill="FFFFFF"/>
            <w:tcMar>
              <w:top w:w="40" w:type="dxa"/>
              <w:left w:w="0" w:type="dxa"/>
              <w:bottom w:w="40" w:type="dxa"/>
              <w:right w:w="20" w:type="dxa"/>
            </w:tcMar>
            <w:vAlign w:val="bottom"/>
          </w:tcPr>
          <w:p w14:paraId="642972C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C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C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C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C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D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D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D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D3" w14:textId="77777777" w:rsidR="007B6C97" w:rsidRDefault="00E426D1">
            <w:pPr>
              <w:jc w:val="right"/>
              <w:textAlignment w:val="bottom"/>
            </w:pPr>
            <w:r>
              <w:rPr>
                <w:rFonts w:ascii="Times New Roman" w:eastAsia="宋体" w:hAnsi="Times New Roman"/>
                <w:color w:val="000000"/>
                <w:sz w:val="20"/>
                <w:szCs w:val="20"/>
              </w:rPr>
              <w:t>258.1 </w:t>
            </w:r>
          </w:p>
        </w:tc>
        <w:tc>
          <w:tcPr>
            <w:tcW w:w="0" w:type="auto"/>
            <w:shd w:val="clear" w:color="auto" w:fill="FFFFFF"/>
            <w:tcMar>
              <w:top w:w="40" w:type="dxa"/>
              <w:left w:w="0" w:type="dxa"/>
              <w:bottom w:w="40" w:type="dxa"/>
              <w:right w:w="20" w:type="dxa"/>
            </w:tcMar>
            <w:vAlign w:val="bottom"/>
          </w:tcPr>
          <w:p w14:paraId="642972D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D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D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D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D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D9" w14:textId="77777777" w:rsidR="007B6C97" w:rsidRDefault="00E426D1">
            <w:pPr>
              <w:jc w:val="right"/>
              <w:textAlignment w:val="bottom"/>
            </w:pPr>
            <w:r>
              <w:rPr>
                <w:rFonts w:ascii="Times New Roman" w:eastAsia="宋体" w:hAnsi="Times New Roman"/>
                <w:color w:val="000000"/>
                <w:sz w:val="20"/>
                <w:szCs w:val="20"/>
              </w:rPr>
              <w:t>258.1 </w:t>
            </w:r>
          </w:p>
        </w:tc>
        <w:tc>
          <w:tcPr>
            <w:tcW w:w="0" w:type="auto"/>
            <w:shd w:val="clear" w:color="auto" w:fill="FFFFFF"/>
            <w:tcMar>
              <w:top w:w="40" w:type="dxa"/>
              <w:left w:w="0" w:type="dxa"/>
              <w:bottom w:w="40" w:type="dxa"/>
              <w:right w:w="20" w:type="dxa"/>
            </w:tcMar>
            <w:vAlign w:val="bottom"/>
          </w:tcPr>
          <w:p w14:paraId="642972DA" w14:textId="77777777" w:rsidR="007B6C97" w:rsidRDefault="007B6C97">
            <w:pPr>
              <w:jc w:val="right"/>
              <w:rPr>
                <w:rFonts w:ascii="宋体"/>
              </w:rPr>
            </w:pPr>
          </w:p>
        </w:tc>
      </w:tr>
      <w:tr w:rsidR="007B6C97" w14:paraId="642972F3" w14:textId="77777777">
        <w:trPr>
          <w:jc w:val="center"/>
        </w:trPr>
        <w:tc>
          <w:tcPr>
            <w:tcW w:w="0" w:type="auto"/>
            <w:gridSpan w:val="3"/>
            <w:shd w:val="clear" w:color="auto" w:fill="D7E4BC"/>
            <w:tcMar>
              <w:top w:w="40" w:type="dxa"/>
              <w:left w:w="20" w:type="dxa"/>
              <w:bottom w:w="40" w:type="dxa"/>
              <w:right w:w="20" w:type="dxa"/>
            </w:tcMar>
          </w:tcPr>
          <w:p w14:paraId="642972DC" w14:textId="77777777" w:rsidR="007B6C97" w:rsidRDefault="00E426D1">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D7E4BC"/>
            <w:tcMar>
              <w:top w:w="40" w:type="dxa"/>
              <w:left w:w="20" w:type="dxa"/>
              <w:bottom w:w="40" w:type="dxa"/>
              <w:right w:w="20" w:type="dxa"/>
            </w:tcMar>
            <w:vAlign w:val="bottom"/>
          </w:tcPr>
          <w:p w14:paraId="642972DD" w14:textId="77777777" w:rsidR="007B6C97" w:rsidRDefault="00E426D1">
            <w:pPr>
              <w:jc w:val="right"/>
              <w:textAlignment w:val="bottom"/>
            </w:pPr>
            <w:r>
              <w:rPr>
                <w:rFonts w:ascii="Times New Roman" w:eastAsia="宋体" w:hAnsi="Times New Roman"/>
                <w:color w:val="000000"/>
                <w:sz w:val="20"/>
                <w:szCs w:val="20"/>
              </w:rPr>
              <w:t>5.4</w:t>
            </w:r>
          </w:p>
        </w:tc>
        <w:tc>
          <w:tcPr>
            <w:tcW w:w="0" w:type="auto"/>
            <w:gridSpan w:val="3"/>
            <w:shd w:val="clear" w:color="auto" w:fill="D7E4BC"/>
            <w:tcMar>
              <w:top w:w="0" w:type="dxa"/>
              <w:left w:w="20" w:type="dxa"/>
              <w:bottom w:w="0" w:type="dxa"/>
              <w:right w:w="20" w:type="dxa"/>
            </w:tcMar>
            <w:vAlign w:val="bottom"/>
          </w:tcPr>
          <w:p w14:paraId="642972D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D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E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E2" w14:textId="77777777" w:rsidR="007B6C97" w:rsidRDefault="00E426D1">
            <w:pPr>
              <w:jc w:val="right"/>
              <w:textAlignment w:val="bottom"/>
            </w:pPr>
            <w:r>
              <w:rPr>
                <w:rFonts w:ascii="Times New Roman" w:eastAsia="宋体" w:hAnsi="Times New Roman"/>
                <w:color w:val="000000"/>
                <w:sz w:val="20"/>
                <w:szCs w:val="20"/>
              </w:rPr>
              <w:t>65.7 </w:t>
            </w:r>
          </w:p>
        </w:tc>
        <w:tc>
          <w:tcPr>
            <w:tcW w:w="0" w:type="auto"/>
            <w:shd w:val="clear" w:color="auto" w:fill="D7E4BC"/>
            <w:tcMar>
              <w:top w:w="40" w:type="dxa"/>
              <w:left w:w="0" w:type="dxa"/>
              <w:bottom w:w="40" w:type="dxa"/>
              <w:right w:w="20" w:type="dxa"/>
            </w:tcMar>
            <w:vAlign w:val="bottom"/>
          </w:tcPr>
          <w:p w14:paraId="642972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E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E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E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E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E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E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E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EB" w14:textId="77777777" w:rsidR="007B6C97" w:rsidRDefault="00E426D1">
            <w:pPr>
              <w:jc w:val="right"/>
              <w:textAlignment w:val="bottom"/>
            </w:pPr>
            <w:r>
              <w:rPr>
                <w:rFonts w:ascii="Times New Roman" w:eastAsia="宋体" w:hAnsi="Times New Roman"/>
                <w:color w:val="000000"/>
                <w:sz w:val="20"/>
                <w:szCs w:val="20"/>
              </w:rPr>
              <w:t>65.7 </w:t>
            </w:r>
          </w:p>
        </w:tc>
        <w:tc>
          <w:tcPr>
            <w:tcW w:w="0" w:type="auto"/>
            <w:shd w:val="clear" w:color="auto" w:fill="D7E4BC"/>
            <w:tcMar>
              <w:top w:w="40" w:type="dxa"/>
              <w:left w:w="0" w:type="dxa"/>
              <w:bottom w:w="40" w:type="dxa"/>
              <w:right w:w="20" w:type="dxa"/>
            </w:tcMar>
            <w:vAlign w:val="bottom"/>
          </w:tcPr>
          <w:p w14:paraId="642972E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E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E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2E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2F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2F1" w14:textId="77777777" w:rsidR="007B6C97" w:rsidRDefault="00E426D1">
            <w:pPr>
              <w:jc w:val="right"/>
              <w:textAlignment w:val="bottom"/>
            </w:pPr>
            <w:r>
              <w:rPr>
                <w:rFonts w:ascii="Times New Roman" w:eastAsia="宋体" w:hAnsi="Times New Roman"/>
                <w:color w:val="000000"/>
                <w:sz w:val="20"/>
                <w:szCs w:val="20"/>
              </w:rPr>
              <w:t>65.7 </w:t>
            </w:r>
          </w:p>
        </w:tc>
        <w:tc>
          <w:tcPr>
            <w:tcW w:w="0" w:type="auto"/>
            <w:shd w:val="clear" w:color="auto" w:fill="D7E4BC"/>
            <w:tcMar>
              <w:top w:w="40" w:type="dxa"/>
              <w:left w:w="0" w:type="dxa"/>
              <w:bottom w:w="40" w:type="dxa"/>
              <w:right w:w="20" w:type="dxa"/>
            </w:tcMar>
            <w:vAlign w:val="bottom"/>
          </w:tcPr>
          <w:p w14:paraId="642972F2" w14:textId="77777777" w:rsidR="007B6C97" w:rsidRDefault="007B6C97">
            <w:pPr>
              <w:jc w:val="right"/>
              <w:rPr>
                <w:rFonts w:ascii="宋体"/>
              </w:rPr>
            </w:pPr>
          </w:p>
        </w:tc>
      </w:tr>
      <w:tr w:rsidR="007B6C97" w14:paraId="6429730B" w14:textId="77777777">
        <w:trPr>
          <w:jc w:val="center"/>
        </w:trPr>
        <w:tc>
          <w:tcPr>
            <w:tcW w:w="0" w:type="auto"/>
            <w:gridSpan w:val="3"/>
            <w:shd w:val="clear" w:color="auto" w:fill="FFFFFF"/>
            <w:tcMar>
              <w:top w:w="40" w:type="dxa"/>
              <w:left w:w="20" w:type="dxa"/>
              <w:bottom w:w="40" w:type="dxa"/>
              <w:right w:w="20" w:type="dxa"/>
            </w:tcMar>
          </w:tcPr>
          <w:p w14:paraId="642972F4" w14:textId="77777777" w:rsidR="007B6C97" w:rsidRDefault="00E426D1">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42972F5" w14:textId="77777777" w:rsidR="007B6C97" w:rsidRDefault="00E426D1">
            <w:pPr>
              <w:jc w:val="right"/>
              <w:textAlignment w:val="bottom"/>
            </w:pPr>
            <w:r>
              <w:rPr>
                <w:rFonts w:ascii="Times New Roman" w:eastAsia="宋体" w:hAnsi="Times New Roman"/>
                <w:color w:val="000000"/>
                <w:sz w:val="20"/>
                <w:szCs w:val="20"/>
              </w:rPr>
              <w:t>0.3</w:t>
            </w:r>
          </w:p>
        </w:tc>
        <w:tc>
          <w:tcPr>
            <w:tcW w:w="0" w:type="auto"/>
            <w:gridSpan w:val="3"/>
            <w:shd w:val="clear" w:color="auto" w:fill="FFFFFF"/>
            <w:tcMar>
              <w:top w:w="0" w:type="dxa"/>
              <w:left w:w="20" w:type="dxa"/>
              <w:bottom w:w="0" w:type="dxa"/>
              <w:right w:w="20" w:type="dxa"/>
            </w:tcMar>
            <w:vAlign w:val="bottom"/>
          </w:tcPr>
          <w:p w14:paraId="642972F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F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F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F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FA" w14:textId="77777777" w:rsidR="007B6C97" w:rsidRDefault="00E426D1">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642972F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F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2F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2F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2F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30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30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0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303" w14:textId="77777777" w:rsidR="007B6C97" w:rsidRDefault="00E426D1">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6429730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0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30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30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0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309" w14:textId="77777777" w:rsidR="007B6C97" w:rsidRDefault="00E426D1">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6429730A" w14:textId="77777777" w:rsidR="007B6C97" w:rsidRDefault="007B6C97">
            <w:pPr>
              <w:jc w:val="right"/>
              <w:rPr>
                <w:rFonts w:ascii="宋体"/>
              </w:rPr>
            </w:pPr>
          </w:p>
        </w:tc>
      </w:tr>
      <w:tr w:rsidR="007B6C97" w14:paraId="6429731C" w14:textId="77777777">
        <w:trPr>
          <w:jc w:val="center"/>
          <w:hidden/>
        </w:trPr>
        <w:tc>
          <w:tcPr>
            <w:tcW w:w="0" w:type="auto"/>
            <w:gridSpan w:val="3"/>
            <w:shd w:val="clear" w:color="auto" w:fill="auto"/>
            <w:vAlign w:val="bottom"/>
          </w:tcPr>
          <w:p w14:paraId="6429730C" w14:textId="77777777" w:rsidR="007B6C97" w:rsidRDefault="007B6C97">
            <w:pPr>
              <w:rPr>
                <w:rFonts w:ascii="宋体"/>
                <w:vanish/>
              </w:rPr>
            </w:pPr>
          </w:p>
        </w:tc>
        <w:tc>
          <w:tcPr>
            <w:tcW w:w="0" w:type="auto"/>
            <w:gridSpan w:val="3"/>
            <w:shd w:val="clear" w:color="auto" w:fill="auto"/>
            <w:vAlign w:val="bottom"/>
          </w:tcPr>
          <w:p w14:paraId="6429730D" w14:textId="77777777" w:rsidR="007B6C97" w:rsidRDefault="007B6C97">
            <w:pPr>
              <w:rPr>
                <w:rFonts w:ascii="宋体"/>
                <w:vanish/>
              </w:rPr>
            </w:pPr>
          </w:p>
        </w:tc>
        <w:tc>
          <w:tcPr>
            <w:tcW w:w="0" w:type="auto"/>
            <w:gridSpan w:val="3"/>
            <w:shd w:val="clear" w:color="auto" w:fill="auto"/>
            <w:vAlign w:val="bottom"/>
          </w:tcPr>
          <w:p w14:paraId="6429730E" w14:textId="77777777" w:rsidR="007B6C97" w:rsidRDefault="007B6C97">
            <w:pPr>
              <w:rPr>
                <w:rFonts w:ascii="宋体"/>
                <w:vanish/>
              </w:rPr>
            </w:pPr>
          </w:p>
        </w:tc>
        <w:tc>
          <w:tcPr>
            <w:tcW w:w="0" w:type="auto"/>
            <w:gridSpan w:val="3"/>
            <w:shd w:val="clear" w:color="auto" w:fill="auto"/>
            <w:vAlign w:val="bottom"/>
          </w:tcPr>
          <w:p w14:paraId="6429730F" w14:textId="77777777" w:rsidR="007B6C97" w:rsidRDefault="007B6C97">
            <w:pPr>
              <w:rPr>
                <w:rFonts w:ascii="宋体"/>
                <w:vanish/>
              </w:rPr>
            </w:pPr>
          </w:p>
        </w:tc>
        <w:tc>
          <w:tcPr>
            <w:tcW w:w="0" w:type="auto"/>
            <w:gridSpan w:val="3"/>
            <w:shd w:val="clear" w:color="auto" w:fill="auto"/>
            <w:vAlign w:val="bottom"/>
          </w:tcPr>
          <w:p w14:paraId="64297310" w14:textId="77777777" w:rsidR="007B6C97" w:rsidRDefault="007B6C97">
            <w:pPr>
              <w:rPr>
                <w:rFonts w:ascii="宋体"/>
                <w:vanish/>
              </w:rPr>
            </w:pPr>
          </w:p>
        </w:tc>
        <w:tc>
          <w:tcPr>
            <w:tcW w:w="0" w:type="auto"/>
            <w:gridSpan w:val="3"/>
            <w:shd w:val="clear" w:color="auto" w:fill="auto"/>
            <w:vAlign w:val="bottom"/>
          </w:tcPr>
          <w:p w14:paraId="64297311" w14:textId="77777777" w:rsidR="007B6C97" w:rsidRDefault="007B6C97">
            <w:pPr>
              <w:rPr>
                <w:rFonts w:ascii="宋体"/>
                <w:vanish/>
              </w:rPr>
            </w:pPr>
          </w:p>
        </w:tc>
        <w:tc>
          <w:tcPr>
            <w:tcW w:w="0" w:type="auto"/>
            <w:gridSpan w:val="3"/>
            <w:shd w:val="clear" w:color="auto" w:fill="auto"/>
            <w:vAlign w:val="bottom"/>
          </w:tcPr>
          <w:p w14:paraId="64297312" w14:textId="77777777" w:rsidR="007B6C97" w:rsidRDefault="007B6C97">
            <w:pPr>
              <w:rPr>
                <w:rFonts w:ascii="宋体"/>
                <w:vanish/>
              </w:rPr>
            </w:pPr>
          </w:p>
        </w:tc>
        <w:tc>
          <w:tcPr>
            <w:tcW w:w="0" w:type="auto"/>
            <w:gridSpan w:val="3"/>
            <w:shd w:val="clear" w:color="auto" w:fill="auto"/>
            <w:vAlign w:val="bottom"/>
          </w:tcPr>
          <w:p w14:paraId="64297313" w14:textId="77777777" w:rsidR="007B6C97" w:rsidRDefault="007B6C97">
            <w:pPr>
              <w:rPr>
                <w:rFonts w:ascii="宋体"/>
                <w:vanish/>
              </w:rPr>
            </w:pPr>
          </w:p>
        </w:tc>
        <w:tc>
          <w:tcPr>
            <w:tcW w:w="0" w:type="auto"/>
            <w:gridSpan w:val="3"/>
            <w:shd w:val="clear" w:color="auto" w:fill="auto"/>
            <w:vAlign w:val="bottom"/>
          </w:tcPr>
          <w:p w14:paraId="64297314" w14:textId="77777777" w:rsidR="007B6C97" w:rsidRDefault="007B6C97">
            <w:pPr>
              <w:rPr>
                <w:rFonts w:ascii="宋体"/>
                <w:vanish/>
              </w:rPr>
            </w:pPr>
          </w:p>
        </w:tc>
        <w:tc>
          <w:tcPr>
            <w:tcW w:w="0" w:type="auto"/>
            <w:gridSpan w:val="3"/>
            <w:shd w:val="clear" w:color="auto" w:fill="auto"/>
            <w:vAlign w:val="bottom"/>
          </w:tcPr>
          <w:p w14:paraId="64297315" w14:textId="77777777" w:rsidR="007B6C97" w:rsidRDefault="007B6C97">
            <w:pPr>
              <w:rPr>
                <w:rFonts w:ascii="宋体"/>
                <w:vanish/>
              </w:rPr>
            </w:pPr>
          </w:p>
        </w:tc>
        <w:tc>
          <w:tcPr>
            <w:tcW w:w="0" w:type="auto"/>
            <w:gridSpan w:val="3"/>
            <w:shd w:val="clear" w:color="auto" w:fill="auto"/>
            <w:vAlign w:val="bottom"/>
          </w:tcPr>
          <w:p w14:paraId="64297316" w14:textId="77777777" w:rsidR="007B6C97" w:rsidRDefault="007B6C97">
            <w:pPr>
              <w:rPr>
                <w:rFonts w:ascii="宋体"/>
                <w:vanish/>
              </w:rPr>
            </w:pPr>
          </w:p>
        </w:tc>
        <w:tc>
          <w:tcPr>
            <w:tcW w:w="0" w:type="auto"/>
            <w:gridSpan w:val="3"/>
            <w:shd w:val="clear" w:color="auto" w:fill="auto"/>
            <w:vAlign w:val="bottom"/>
          </w:tcPr>
          <w:p w14:paraId="64297317" w14:textId="77777777" w:rsidR="007B6C97" w:rsidRDefault="007B6C97">
            <w:pPr>
              <w:rPr>
                <w:rFonts w:ascii="宋体"/>
                <w:vanish/>
              </w:rPr>
            </w:pPr>
          </w:p>
        </w:tc>
        <w:tc>
          <w:tcPr>
            <w:tcW w:w="0" w:type="auto"/>
            <w:gridSpan w:val="3"/>
            <w:shd w:val="clear" w:color="auto" w:fill="auto"/>
            <w:vAlign w:val="bottom"/>
          </w:tcPr>
          <w:p w14:paraId="64297318" w14:textId="77777777" w:rsidR="007B6C97" w:rsidRDefault="007B6C97">
            <w:pPr>
              <w:rPr>
                <w:rFonts w:ascii="宋体"/>
                <w:vanish/>
              </w:rPr>
            </w:pPr>
          </w:p>
        </w:tc>
        <w:tc>
          <w:tcPr>
            <w:tcW w:w="0" w:type="auto"/>
            <w:gridSpan w:val="3"/>
            <w:shd w:val="clear" w:color="auto" w:fill="auto"/>
            <w:vAlign w:val="bottom"/>
          </w:tcPr>
          <w:p w14:paraId="64297319" w14:textId="77777777" w:rsidR="007B6C97" w:rsidRDefault="007B6C97">
            <w:pPr>
              <w:rPr>
                <w:rFonts w:ascii="宋体"/>
                <w:vanish/>
              </w:rPr>
            </w:pPr>
          </w:p>
        </w:tc>
        <w:tc>
          <w:tcPr>
            <w:tcW w:w="0" w:type="auto"/>
            <w:gridSpan w:val="3"/>
            <w:shd w:val="clear" w:color="auto" w:fill="auto"/>
            <w:vAlign w:val="bottom"/>
          </w:tcPr>
          <w:p w14:paraId="6429731A" w14:textId="77777777" w:rsidR="007B6C97" w:rsidRDefault="007B6C97">
            <w:pPr>
              <w:rPr>
                <w:rFonts w:ascii="宋体"/>
                <w:vanish/>
              </w:rPr>
            </w:pPr>
          </w:p>
        </w:tc>
        <w:tc>
          <w:tcPr>
            <w:tcW w:w="0" w:type="auto"/>
            <w:gridSpan w:val="3"/>
            <w:shd w:val="clear" w:color="auto" w:fill="auto"/>
            <w:vAlign w:val="bottom"/>
          </w:tcPr>
          <w:p w14:paraId="6429731B" w14:textId="77777777" w:rsidR="007B6C97" w:rsidRDefault="007B6C97">
            <w:pPr>
              <w:rPr>
                <w:rFonts w:ascii="宋体"/>
                <w:vanish/>
              </w:rPr>
            </w:pPr>
          </w:p>
        </w:tc>
      </w:tr>
      <w:tr w:rsidR="007B6C97" w14:paraId="64297334" w14:textId="77777777">
        <w:trPr>
          <w:jc w:val="center"/>
        </w:trPr>
        <w:tc>
          <w:tcPr>
            <w:tcW w:w="0" w:type="auto"/>
            <w:gridSpan w:val="3"/>
            <w:shd w:val="clear" w:color="auto" w:fill="D7E4BC"/>
            <w:tcMar>
              <w:top w:w="40" w:type="dxa"/>
              <w:left w:w="20" w:type="dxa"/>
              <w:bottom w:w="40" w:type="dxa"/>
              <w:right w:w="20" w:type="dxa"/>
            </w:tcMar>
          </w:tcPr>
          <w:p w14:paraId="6429731D"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$1.80 per share</w:t>
            </w:r>
          </w:p>
        </w:tc>
        <w:tc>
          <w:tcPr>
            <w:tcW w:w="0" w:type="auto"/>
            <w:gridSpan w:val="3"/>
            <w:shd w:val="clear" w:color="auto" w:fill="D7E4BC"/>
            <w:tcMar>
              <w:top w:w="40" w:type="dxa"/>
              <w:left w:w="20" w:type="dxa"/>
              <w:bottom w:w="40" w:type="dxa"/>
              <w:right w:w="20" w:type="dxa"/>
            </w:tcMar>
            <w:vAlign w:val="bottom"/>
          </w:tcPr>
          <w:p w14:paraId="6429731E"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73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3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3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2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6" w14:textId="77777777" w:rsidR="007B6C97" w:rsidRDefault="00E426D1">
            <w:pPr>
              <w:jc w:val="right"/>
              <w:textAlignment w:val="bottom"/>
            </w:pPr>
            <w:r>
              <w:rPr>
                <w:rFonts w:ascii="Times New Roman" w:eastAsia="宋体" w:hAnsi="Times New Roman"/>
                <w:color w:val="000000"/>
                <w:sz w:val="20"/>
                <w:szCs w:val="20"/>
              </w:rPr>
              <w:t>(2,118.7)</w:t>
            </w:r>
          </w:p>
        </w:tc>
        <w:tc>
          <w:tcPr>
            <w:tcW w:w="0" w:type="auto"/>
            <w:shd w:val="clear" w:color="auto" w:fill="D7E4BC"/>
            <w:tcMar>
              <w:top w:w="40" w:type="dxa"/>
              <w:left w:w="0" w:type="dxa"/>
              <w:bottom w:w="40" w:type="dxa"/>
              <w:right w:w="20" w:type="dxa"/>
            </w:tcMar>
            <w:vAlign w:val="bottom"/>
          </w:tcPr>
          <w:p w14:paraId="6429732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2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32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2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C" w14:textId="77777777" w:rsidR="007B6C97" w:rsidRDefault="00E426D1">
            <w:pPr>
              <w:jc w:val="right"/>
              <w:textAlignment w:val="bottom"/>
            </w:pPr>
            <w:r>
              <w:rPr>
                <w:rFonts w:ascii="Times New Roman" w:eastAsia="宋体" w:hAnsi="Times New Roman"/>
                <w:color w:val="000000"/>
                <w:sz w:val="20"/>
                <w:szCs w:val="20"/>
              </w:rPr>
              <w:t>(2,118.7)</w:t>
            </w:r>
          </w:p>
        </w:tc>
        <w:tc>
          <w:tcPr>
            <w:tcW w:w="0" w:type="auto"/>
            <w:shd w:val="clear" w:color="auto" w:fill="D7E4BC"/>
            <w:tcMar>
              <w:top w:w="40" w:type="dxa"/>
              <w:left w:w="0" w:type="dxa"/>
              <w:bottom w:w="40" w:type="dxa"/>
              <w:right w:w="20" w:type="dxa"/>
            </w:tcMar>
            <w:vAlign w:val="bottom"/>
          </w:tcPr>
          <w:p w14:paraId="6429732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2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2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33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33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332" w14:textId="77777777" w:rsidR="007B6C97" w:rsidRDefault="00E426D1">
            <w:pPr>
              <w:jc w:val="right"/>
              <w:textAlignment w:val="bottom"/>
            </w:pPr>
            <w:r>
              <w:rPr>
                <w:rFonts w:ascii="Times New Roman" w:eastAsia="宋体" w:hAnsi="Times New Roman"/>
                <w:color w:val="000000"/>
                <w:sz w:val="20"/>
                <w:szCs w:val="20"/>
              </w:rPr>
              <w:t>(2,118.7)</w:t>
            </w:r>
          </w:p>
        </w:tc>
        <w:tc>
          <w:tcPr>
            <w:tcW w:w="0" w:type="auto"/>
            <w:shd w:val="clear" w:color="auto" w:fill="D7E4BC"/>
            <w:tcMar>
              <w:top w:w="40" w:type="dxa"/>
              <w:left w:w="0" w:type="dxa"/>
              <w:bottom w:w="40" w:type="dxa"/>
              <w:right w:w="20" w:type="dxa"/>
            </w:tcMar>
            <w:vAlign w:val="bottom"/>
          </w:tcPr>
          <w:p w14:paraId="64297333" w14:textId="77777777" w:rsidR="007B6C97" w:rsidRDefault="007B6C97">
            <w:pPr>
              <w:jc w:val="right"/>
              <w:rPr>
                <w:rFonts w:ascii="宋体"/>
              </w:rPr>
            </w:pPr>
          </w:p>
        </w:tc>
      </w:tr>
      <w:tr w:rsidR="007B6C97" w14:paraId="64297345" w14:textId="77777777">
        <w:trPr>
          <w:jc w:val="center"/>
          <w:hidden/>
        </w:trPr>
        <w:tc>
          <w:tcPr>
            <w:tcW w:w="0" w:type="auto"/>
            <w:gridSpan w:val="3"/>
            <w:shd w:val="clear" w:color="auto" w:fill="auto"/>
            <w:vAlign w:val="bottom"/>
          </w:tcPr>
          <w:p w14:paraId="64297335" w14:textId="77777777" w:rsidR="007B6C97" w:rsidRDefault="007B6C97">
            <w:pPr>
              <w:rPr>
                <w:rFonts w:ascii="宋体"/>
                <w:vanish/>
              </w:rPr>
            </w:pPr>
          </w:p>
        </w:tc>
        <w:tc>
          <w:tcPr>
            <w:tcW w:w="0" w:type="auto"/>
            <w:gridSpan w:val="3"/>
            <w:shd w:val="clear" w:color="auto" w:fill="auto"/>
            <w:vAlign w:val="bottom"/>
          </w:tcPr>
          <w:p w14:paraId="64297336" w14:textId="77777777" w:rsidR="007B6C97" w:rsidRDefault="007B6C97">
            <w:pPr>
              <w:rPr>
                <w:rFonts w:ascii="宋体"/>
                <w:vanish/>
              </w:rPr>
            </w:pPr>
          </w:p>
        </w:tc>
        <w:tc>
          <w:tcPr>
            <w:tcW w:w="0" w:type="auto"/>
            <w:gridSpan w:val="3"/>
            <w:shd w:val="clear" w:color="auto" w:fill="auto"/>
            <w:vAlign w:val="bottom"/>
          </w:tcPr>
          <w:p w14:paraId="64297337" w14:textId="77777777" w:rsidR="007B6C97" w:rsidRDefault="007B6C97">
            <w:pPr>
              <w:rPr>
                <w:rFonts w:ascii="宋体"/>
                <w:vanish/>
              </w:rPr>
            </w:pPr>
          </w:p>
        </w:tc>
        <w:tc>
          <w:tcPr>
            <w:tcW w:w="0" w:type="auto"/>
            <w:gridSpan w:val="3"/>
            <w:shd w:val="clear" w:color="auto" w:fill="auto"/>
            <w:vAlign w:val="bottom"/>
          </w:tcPr>
          <w:p w14:paraId="64297338" w14:textId="77777777" w:rsidR="007B6C97" w:rsidRDefault="007B6C97">
            <w:pPr>
              <w:rPr>
                <w:rFonts w:ascii="宋体"/>
                <w:vanish/>
              </w:rPr>
            </w:pPr>
          </w:p>
        </w:tc>
        <w:tc>
          <w:tcPr>
            <w:tcW w:w="0" w:type="auto"/>
            <w:gridSpan w:val="3"/>
            <w:shd w:val="clear" w:color="auto" w:fill="auto"/>
            <w:vAlign w:val="bottom"/>
          </w:tcPr>
          <w:p w14:paraId="64297339" w14:textId="77777777" w:rsidR="007B6C97" w:rsidRDefault="007B6C97">
            <w:pPr>
              <w:rPr>
                <w:rFonts w:ascii="宋体"/>
                <w:vanish/>
              </w:rPr>
            </w:pPr>
          </w:p>
        </w:tc>
        <w:tc>
          <w:tcPr>
            <w:tcW w:w="0" w:type="auto"/>
            <w:gridSpan w:val="3"/>
            <w:shd w:val="clear" w:color="auto" w:fill="auto"/>
            <w:vAlign w:val="bottom"/>
          </w:tcPr>
          <w:p w14:paraId="6429733A" w14:textId="77777777" w:rsidR="007B6C97" w:rsidRDefault="007B6C97">
            <w:pPr>
              <w:rPr>
                <w:rFonts w:ascii="宋体"/>
                <w:vanish/>
              </w:rPr>
            </w:pPr>
          </w:p>
        </w:tc>
        <w:tc>
          <w:tcPr>
            <w:tcW w:w="0" w:type="auto"/>
            <w:gridSpan w:val="3"/>
            <w:shd w:val="clear" w:color="auto" w:fill="auto"/>
            <w:vAlign w:val="bottom"/>
          </w:tcPr>
          <w:p w14:paraId="6429733B" w14:textId="77777777" w:rsidR="007B6C97" w:rsidRDefault="007B6C97">
            <w:pPr>
              <w:rPr>
                <w:rFonts w:ascii="宋体"/>
                <w:vanish/>
              </w:rPr>
            </w:pPr>
          </w:p>
        </w:tc>
        <w:tc>
          <w:tcPr>
            <w:tcW w:w="0" w:type="auto"/>
            <w:gridSpan w:val="3"/>
            <w:shd w:val="clear" w:color="auto" w:fill="auto"/>
            <w:vAlign w:val="bottom"/>
          </w:tcPr>
          <w:p w14:paraId="6429733C" w14:textId="77777777" w:rsidR="007B6C97" w:rsidRDefault="007B6C97">
            <w:pPr>
              <w:rPr>
                <w:rFonts w:ascii="宋体"/>
                <w:vanish/>
              </w:rPr>
            </w:pPr>
          </w:p>
        </w:tc>
        <w:tc>
          <w:tcPr>
            <w:tcW w:w="0" w:type="auto"/>
            <w:gridSpan w:val="3"/>
            <w:shd w:val="clear" w:color="auto" w:fill="auto"/>
            <w:vAlign w:val="bottom"/>
          </w:tcPr>
          <w:p w14:paraId="6429733D" w14:textId="77777777" w:rsidR="007B6C97" w:rsidRDefault="007B6C97">
            <w:pPr>
              <w:rPr>
                <w:rFonts w:ascii="宋体"/>
                <w:vanish/>
              </w:rPr>
            </w:pPr>
          </w:p>
        </w:tc>
        <w:tc>
          <w:tcPr>
            <w:tcW w:w="0" w:type="auto"/>
            <w:gridSpan w:val="3"/>
            <w:shd w:val="clear" w:color="auto" w:fill="auto"/>
            <w:vAlign w:val="bottom"/>
          </w:tcPr>
          <w:p w14:paraId="6429733E" w14:textId="77777777" w:rsidR="007B6C97" w:rsidRDefault="007B6C97">
            <w:pPr>
              <w:rPr>
                <w:rFonts w:ascii="宋体"/>
                <w:vanish/>
              </w:rPr>
            </w:pPr>
          </w:p>
        </w:tc>
        <w:tc>
          <w:tcPr>
            <w:tcW w:w="0" w:type="auto"/>
            <w:gridSpan w:val="3"/>
            <w:shd w:val="clear" w:color="auto" w:fill="auto"/>
            <w:vAlign w:val="bottom"/>
          </w:tcPr>
          <w:p w14:paraId="6429733F" w14:textId="77777777" w:rsidR="007B6C97" w:rsidRDefault="007B6C97">
            <w:pPr>
              <w:rPr>
                <w:rFonts w:ascii="宋体"/>
                <w:vanish/>
              </w:rPr>
            </w:pPr>
          </w:p>
        </w:tc>
        <w:tc>
          <w:tcPr>
            <w:tcW w:w="0" w:type="auto"/>
            <w:gridSpan w:val="3"/>
            <w:shd w:val="clear" w:color="auto" w:fill="auto"/>
            <w:vAlign w:val="bottom"/>
          </w:tcPr>
          <w:p w14:paraId="64297340" w14:textId="77777777" w:rsidR="007B6C97" w:rsidRDefault="007B6C97">
            <w:pPr>
              <w:rPr>
                <w:rFonts w:ascii="宋体"/>
                <w:vanish/>
              </w:rPr>
            </w:pPr>
          </w:p>
        </w:tc>
        <w:tc>
          <w:tcPr>
            <w:tcW w:w="0" w:type="auto"/>
            <w:gridSpan w:val="3"/>
            <w:shd w:val="clear" w:color="auto" w:fill="auto"/>
            <w:vAlign w:val="bottom"/>
          </w:tcPr>
          <w:p w14:paraId="64297341" w14:textId="77777777" w:rsidR="007B6C97" w:rsidRDefault="007B6C97">
            <w:pPr>
              <w:rPr>
                <w:rFonts w:ascii="宋体"/>
                <w:vanish/>
              </w:rPr>
            </w:pPr>
          </w:p>
        </w:tc>
        <w:tc>
          <w:tcPr>
            <w:tcW w:w="0" w:type="auto"/>
            <w:gridSpan w:val="3"/>
            <w:shd w:val="clear" w:color="auto" w:fill="auto"/>
            <w:vAlign w:val="bottom"/>
          </w:tcPr>
          <w:p w14:paraId="64297342" w14:textId="77777777" w:rsidR="007B6C97" w:rsidRDefault="007B6C97">
            <w:pPr>
              <w:rPr>
                <w:rFonts w:ascii="宋体"/>
                <w:vanish/>
              </w:rPr>
            </w:pPr>
          </w:p>
        </w:tc>
        <w:tc>
          <w:tcPr>
            <w:tcW w:w="0" w:type="auto"/>
            <w:gridSpan w:val="3"/>
            <w:shd w:val="clear" w:color="auto" w:fill="auto"/>
            <w:vAlign w:val="bottom"/>
          </w:tcPr>
          <w:p w14:paraId="64297343" w14:textId="77777777" w:rsidR="007B6C97" w:rsidRDefault="007B6C97">
            <w:pPr>
              <w:rPr>
                <w:rFonts w:ascii="宋体"/>
                <w:vanish/>
              </w:rPr>
            </w:pPr>
          </w:p>
        </w:tc>
        <w:tc>
          <w:tcPr>
            <w:tcW w:w="0" w:type="auto"/>
            <w:gridSpan w:val="3"/>
            <w:shd w:val="clear" w:color="auto" w:fill="auto"/>
            <w:vAlign w:val="bottom"/>
          </w:tcPr>
          <w:p w14:paraId="64297344" w14:textId="77777777" w:rsidR="007B6C97" w:rsidRDefault="007B6C97">
            <w:pPr>
              <w:rPr>
                <w:rFonts w:ascii="宋体"/>
                <w:vanish/>
              </w:rPr>
            </w:pPr>
          </w:p>
        </w:tc>
      </w:tr>
      <w:tr w:rsidR="00E426D1" w14:paraId="64297364" w14:textId="77777777">
        <w:trPr>
          <w:jc w:val="center"/>
        </w:trPr>
        <w:tc>
          <w:tcPr>
            <w:tcW w:w="0" w:type="auto"/>
            <w:gridSpan w:val="3"/>
            <w:shd w:val="clear" w:color="auto" w:fill="FFFFFF"/>
            <w:tcMar>
              <w:top w:w="40" w:type="dxa"/>
              <w:left w:w="20" w:type="dxa"/>
              <w:bottom w:w="40" w:type="dxa"/>
              <w:right w:w="20" w:type="dxa"/>
            </w:tcMar>
            <w:vAlign w:val="bottom"/>
          </w:tcPr>
          <w:p w14:paraId="64297346"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Balance, June 27, 2021</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64297347" w14:textId="77777777" w:rsidR="007B6C97" w:rsidRDefault="00E426D1">
            <w:pPr>
              <w:jc w:val="right"/>
              <w:textAlignment w:val="bottom"/>
            </w:pPr>
            <w:r>
              <w:rPr>
                <w:rFonts w:ascii="Times New Roman" w:eastAsia="宋体" w:hAnsi="Times New Roman"/>
                <w:color w:val="000000"/>
                <w:sz w:val="20"/>
                <w:szCs w:val="20"/>
              </w:rPr>
              <w:t>1,179.0</w:t>
            </w:r>
          </w:p>
        </w:tc>
        <w:tc>
          <w:tcPr>
            <w:tcW w:w="0" w:type="auto"/>
            <w:gridSpan w:val="3"/>
            <w:shd w:val="clear" w:color="auto" w:fill="FFFFFF"/>
            <w:tcMar>
              <w:top w:w="0" w:type="dxa"/>
              <w:left w:w="20" w:type="dxa"/>
              <w:bottom w:w="0" w:type="dxa"/>
              <w:right w:w="20" w:type="dxa"/>
            </w:tcMar>
            <w:vAlign w:val="bottom"/>
          </w:tcPr>
          <w:p w14:paraId="64297348"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4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4A" w14:textId="77777777" w:rsidR="007B6C97" w:rsidRDefault="00E426D1">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4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4C"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4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4E" w14:textId="77777777" w:rsidR="007B6C97" w:rsidRDefault="00E426D1">
            <w:pPr>
              <w:jc w:val="right"/>
              <w:textAlignment w:val="bottom"/>
            </w:pPr>
            <w:r>
              <w:rPr>
                <w:rFonts w:ascii="Times New Roman" w:eastAsia="宋体" w:hAnsi="Times New Roman"/>
                <w:color w:val="000000"/>
                <w:sz w:val="20"/>
                <w:szCs w:val="20"/>
              </w:rPr>
              <w:t>729.3 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4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50"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5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52" w14:textId="77777777" w:rsidR="007B6C97" w:rsidRDefault="00E426D1">
            <w:pPr>
              <w:jc w:val="right"/>
              <w:textAlignment w:val="bottom"/>
            </w:pPr>
            <w:r>
              <w:rPr>
                <w:rFonts w:ascii="Times New Roman" w:eastAsia="宋体" w:hAnsi="Times New Roman"/>
                <w:color w:val="000000"/>
                <w:sz w:val="20"/>
                <w:szCs w:val="20"/>
              </w:rPr>
              <w:t>(7,501.6)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5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54"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5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56" w14:textId="77777777" w:rsidR="007B6C97" w:rsidRDefault="00E426D1">
            <w:pPr>
              <w:jc w:val="right"/>
              <w:textAlignment w:val="bottom"/>
            </w:pPr>
            <w:r>
              <w:rPr>
                <w:rFonts w:ascii="Times New Roman" w:eastAsia="宋体" w:hAnsi="Times New Roman"/>
                <w:color w:val="000000"/>
                <w:sz w:val="20"/>
                <w:szCs w:val="20"/>
              </w:rPr>
              <w:t>(29.7)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5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58"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5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5A" w14:textId="77777777" w:rsidR="007B6C97" w:rsidRDefault="00E426D1">
            <w:pPr>
              <w:jc w:val="right"/>
              <w:textAlignment w:val="bottom"/>
            </w:pPr>
            <w:r>
              <w:rPr>
                <w:rFonts w:ascii="Times New Roman" w:eastAsia="宋体" w:hAnsi="Times New Roman"/>
                <w:color w:val="000000"/>
                <w:sz w:val="20"/>
                <w:szCs w:val="20"/>
              </w:rPr>
              <w:t>(6,800.8)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5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5C"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5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5E" w14:textId="77777777" w:rsidR="007B6C97" w:rsidRDefault="00E426D1">
            <w:pPr>
              <w:jc w:val="right"/>
              <w:textAlignment w:val="bottom"/>
            </w:pPr>
            <w:r>
              <w:rPr>
                <w:rFonts w:ascii="Times New Roman" w:eastAsia="宋体" w:hAnsi="Times New Roman"/>
                <w:color w:val="000000"/>
                <w:sz w:val="20"/>
                <w:szCs w:val="20"/>
              </w:rPr>
              <w:t>6.5 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5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360" w14:textId="77777777" w:rsidR="007B6C97" w:rsidRDefault="007B6C9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429736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4297362" w14:textId="77777777" w:rsidR="007B6C97" w:rsidRDefault="00E426D1">
            <w:pPr>
              <w:jc w:val="right"/>
              <w:textAlignment w:val="bottom"/>
            </w:pPr>
            <w:r>
              <w:rPr>
                <w:rFonts w:ascii="Times New Roman" w:eastAsia="宋体" w:hAnsi="Times New Roman"/>
                <w:color w:val="000000"/>
                <w:sz w:val="20"/>
                <w:szCs w:val="20"/>
              </w:rPr>
              <w:t>(6,794.3)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4297363" w14:textId="77777777" w:rsidR="007B6C97" w:rsidRDefault="007B6C97">
            <w:pPr>
              <w:jc w:val="right"/>
              <w:rPr>
                <w:rFonts w:ascii="宋体"/>
              </w:rPr>
            </w:pPr>
          </w:p>
        </w:tc>
      </w:tr>
    </w:tbl>
    <w:p w14:paraId="64297365" w14:textId="77777777" w:rsidR="007B6C97" w:rsidRDefault="007B6C97">
      <w:pPr>
        <w:jc w:val="center"/>
      </w:pPr>
    </w:p>
    <w:p w14:paraId="64297366" w14:textId="77777777" w:rsidR="007B6C97" w:rsidRDefault="00E426D1">
      <w:pPr>
        <w:jc w:val="center"/>
      </w:pPr>
      <w:r>
        <w:rPr>
          <w:rFonts w:ascii="Times New Roman" w:eastAsia="宋体" w:hAnsi="Times New Roman"/>
          <w:i/>
          <w:iCs/>
          <w:color w:val="000000"/>
          <w:sz w:val="20"/>
          <w:szCs w:val="20"/>
        </w:rPr>
        <w:t>See Notes to Consolidated Financial Statements.</w:t>
      </w:r>
    </w:p>
    <w:p w14:paraId="64297367" w14:textId="77777777" w:rsidR="007B6C97" w:rsidRDefault="007B6C97">
      <w:pPr>
        <w:jc w:val="center"/>
      </w:pPr>
    </w:p>
    <w:p w14:paraId="64297368" w14:textId="77777777" w:rsidR="007B6C97" w:rsidRDefault="007B6C97">
      <w:pPr>
        <w:jc w:val="center"/>
      </w:pPr>
    </w:p>
    <w:p w14:paraId="64297369" w14:textId="77777777" w:rsidR="007B6C97" w:rsidRDefault="00E426D1">
      <w:pPr>
        <w:jc w:val="center"/>
      </w:pPr>
      <w:r>
        <w:rPr>
          <w:rFonts w:ascii="Times New Roman" w:eastAsia="宋体" w:hAnsi="Times New Roman"/>
          <w:color w:val="000000"/>
          <w:sz w:val="20"/>
          <w:szCs w:val="20"/>
        </w:rPr>
        <w:t>8</w:t>
      </w:r>
    </w:p>
    <w:p w14:paraId="6429736A" w14:textId="77777777" w:rsidR="007B6C97" w:rsidRDefault="00E426D1">
      <w:r>
        <w:pict w14:anchorId="642999E2">
          <v:rect id="_x0000_i1032" style="width:415.3pt;height:1.5pt" o:hralign="center" o:hrstd="t" o:hr="t" fillcolor="#a0a0a0" stroked="f"/>
        </w:pict>
      </w:r>
    </w:p>
    <w:p w14:paraId="6429736B" w14:textId="77777777" w:rsidR="007B6C97" w:rsidRDefault="00E426D1">
      <w:hyperlink r:id="rId59" w:anchor="ie38a2b375c9840e583a36769999bbee6_7" w:history="1">
        <w:r>
          <w:rPr>
            <w:rStyle w:val="a5"/>
            <w:rFonts w:ascii="Times New Roman" w:eastAsia="宋体" w:hAnsi="Times New Roman"/>
            <w:sz w:val="20"/>
            <w:szCs w:val="20"/>
          </w:rPr>
          <w:t>Table</w:t>
        </w:r>
      </w:hyperlink>
      <w:hyperlink r:id="rId60" w:anchor="ie38a2b375c9840e583a36769999bbee6_7" w:history="1">
        <w:r>
          <w:rPr>
            <w:rStyle w:val="a5"/>
            <w:rFonts w:ascii="Times New Roman" w:eastAsia="宋体" w:hAnsi="Times New Roman"/>
            <w:sz w:val="20"/>
            <w:szCs w:val="20"/>
          </w:rPr>
          <w:t xml:space="preserve"> of Conte</w:t>
        </w:r>
        <w:r>
          <w:rPr>
            <w:rStyle w:val="a5"/>
            <w:rFonts w:ascii="Times New Roman" w:eastAsia="宋体" w:hAnsi="Times New Roman"/>
            <w:sz w:val="20"/>
            <w:szCs w:val="20"/>
          </w:rPr>
          <w:t>nts</w:t>
        </w:r>
      </w:hyperlink>
    </w:p>
    <w:p w14:paraId="6429736C" w14:textId="77777777" w:rsidR="007B6C97" w:rsidRDefault="00E426D1">
      <w:pPr>
        <w:spacing w:before="280"/>
        <w:jc w:val="center"/>
      </w:pPr>
      <w:r>
        <w:rPr>
          <w:rFonts w:ascii="Times New Roman" w:eastAsia="宋体" w:hAnsi="Times New Roman"/>
          <w:b/>
          <w:bCs/>
          <w:color w:val="000000"/>
          <w:sz w:val="20"/>
          <w:szCs w:val="20"/>
        </w:rPr>
        <w:t>STARBUCKS CORPORATION</w:t>
      </w:r>
    </w:p>
    <w:p w14:paraId="6429736D" w14:textId="77777777" w:rsidR="007B6C97" w:rsidRDefault="00E426D1">
      <w:pPr>
        <w:jc w:val="center"/>
      </w:pPr>
      <w:r>
        <w:rPr>
          <w:rFonts w:ascii="Times New Roman" w:eastAsia="宋体" w:hAnsi="Times New Roman"/>
          <w:b/>
          <w:bCs/>
          <w:color w:val="000000"/>
          <w:sz w:val="20"/>
          <w:szCs w:val="20"/>
        </w:rPr>
        <w:t>INDEX FOR NOTES TO CONSOLIDATED FINANCIAL STATEMENTS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86"/>
        <w:gridCol w:w="36"/>
        <w:gridCol w:w="69"/>
        <w:gridCol w:w="6879"/>
        <w:gridCol w:w="37"/>
        <w:gridCol w:w="69"/>
        <w:gridCol w:w="430"/>
        <w:gridCol w:w="36"/>
      </w:tblGrid>
      <w:tr w:rsidR="007B6C97" w14:paraId="64297377" w14:textId="77777777">
        <w:trPr>
          <w:jc w:val="center"/>
        </w:trPr>
        <w:tc>
          <w:tcPr>
            <w:tcW w:w="50" w:type="pct"/>
            <w:shd w:val="clear" w:color="auto" w:fill="auto"/>
            <w:vAlign w:val="bottom"/>
          </w:tcPr>
          <w:p w14:paraId="6429736E" w14:textId="77777777" w:rsidR="007B6C97" w:rsidRDefault="007B6C97">
            <w:pPr>
              <w:rPr>
                <w:rFonts w:ascii="宋体"/>
              </w:rPr>
            </w:pPr>
          </w:p>
        </w:tc>
        <w:tc>
          <w:tcPr>
            <w:tcW w:w="421" w:type="pct"/>
            <w:shd w:val="clear" w:color="auto" w:fill="auto"/>
            <w:vAlign w:val="bottom"/>
          </w:tcPr>
          <w:p w14:paraId="6429736F" w14:textId="77777777" w:rsidR="007B6C97" w:rsidRDefault="007B6C97">
            <w:pPr>
              <w:rPr>
                <w:rFonts w:ascii="宋体"/>
              </w:rPr>
            </w:pPr>
          </w:p>
        </w:tc>
        <w:tc>
          <w:tcPr>
            <w:tcW w:w="5" w:type="pct"/>
            <w:shd w:val="clear" w:color="auto" w:fill="auto"/>
            <w:vAlign w:val="bottom"/>
          </w:tcPr>
          <w:p w14:paraId="64297370" w14:textId="77777777" w:rsidR="007B6C97" w:rsidRDefault="007B6C97">
            <w:pPr>
              <w:rPr>
                <w:rFonts w:ascii="宋体"/>
              </w:rPr>
            </w:pPr>
          </w:p>
        </w:tc>
        <w:tc>
          <w:tcPr>
            <w:tcW w:w="50" w:type="pct"/>
            <w:shd w:val="clear" w:color="auto" w:fill="auto"/>
            <w:vAlign w:val="bottom"/>
          </w:tcPr>
          <w:p w14:paraId="64297371" w14:textId="77777777" w:rsidR="007B6C97" w:rsidRDefault="007B6C97">
            <w:pPr>
              <w:rPr>
                <w:rFonts w:ascii="宋体"/>
              </w:rPr>
            </w:pPr>
          </w:p>
        </w:tc>
        <w:tc>
          <w:tcPr>
            <w:tcW w:w="4145" w:type="pct"/>
            <w:shd w:val="clear" w:color="auto" w:fill="auto"/>
            <w:vAlign w:val="bottom"/>
          </w:tcPr>
          <w:p w14:paraId="64297372" w14:textId="77777777" w:rsidR="007B6C97" w:rsidRDefault="007B6C97">
            <w:pPr>
              <w:rPr>
                <w:rFonts w:ascii="宋体"/>
              </w:rPr>
            </w:pPr>
          </w:p>
        </w:tc>
        <w:tc>
          <w:tcPr>
            <w:tcW w:w="5" w:type="pct"/>
            <w:shd w:val="clear" w:color="auto" w:fill="auto"/>
            <w:vAlign w:val="bottom"/>
          </w:tcPr>
          <w:p w14:paraId="64297373" w14:textId="77777777" w:rsidR="007B6C97" w:rsidRDefault="007B6C97">
            <w:pPr>
              <w:rPr>
                <w:rFonts w:ascii="宋体"/>
              </w:rPr>
            </w:pPr>
          </w:p>
        </w:tc>
        <w:tc>
          <w:tcPr>
            <w:tcW w:w="50" w:type="pct"/>
            <w:shd w:val="clear" w:color="auto" w:fill="auto"/>
            <w:vAlign w:val="bottom"/>
          </w:tcPr>
          <w:p w14:paraId="64297374" w14:textId="77777777" w:rsidR="007B6C97" w:rsidRDefault="007B6C97">
            <w:pPr>
              <w:rPr>
                <w:rFonts w:ascii="宋体"/>
              </w:rPr>
            </w:pPr>
          </w:p>
        </w:tc>
        <w:tc>
          <w:tcPr>
            <w:tcW w:w="267" w:type="pct"/>
            <w:shd w:val="clear" w:color="auto" w:fill="auto"/>
            <w:vAlign w:val="bottom"/>
          </w:tcPr>
          <w:p w14:paraId="64297375" w14:textId="77777777" w:rsidR="007B6C97" w:rsidRDefault="007B6C97">
            <w:pPr>
              <w:rPr>
                <w:rFonts w:ascii="宋体"/>
              </w:rPr>
            </w:pPr>
          </w:p>
        </w:tc>
        <w:tc>
          <w:tcPr>
            <w:tcW w:w="5" w:type="pct"/>
            <w:shd w:val="clear" w:color="auto" w:fill="auto"/>
            <w:vAlign w:val="bottom"/>
          </w:tcPr>
          <w:p w14:paraId="64297376" w14:textId="77777777" w:rsidR="007B6C97" w:rsidRDefault="007B6C97">
            <w:pPr>
              <w:rPr>
                <w:rFonts w:ascii="宋体"/>
              </w:rPr>
            </w:pPr>
          </w:p>
        </w:tc>
      </w:tr>
      <w:tr w:rsidR="007B6C97" w14:paraId="6429737B" w14:textId="77777777">
        <w:trPr>
          <w:jc w:val="center"/>
        </w:trPr>
        <w:tc>
          <w:tcPr>
            <w:tcW w:w="0" w:type="auto"/>
            <w:gridSpan w:val="3"/>
            <w:shd w:val="clear" w:color="auto" w:fill="auto"/>
            <w:tcMar>
              <w:top w:w="40" w:type="dxa"/>
              <w:left w:w="20" w:type="dxa"/>
              <w:bottom w:w="40" w:type="dxa"/>
              <w:right w:w="20" w:type="dxa"/>
            </w:tcMar>
            <w:vAlign w:val="bottom"/>
          </w:tcPr>
          <w:p w14:paraId="64297378" w14:textId="77777777" w:rsidR="007B6C97" w:rsidRDefault="00E426D1">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64297379" w14:textId="77777777" w:rsidR="007B6C97" w:rsidRDefault="00E426D1">
            <w:pPr>
              <w:pBdr>
                <w:top w:val="none" w:sz="0" w:space="0" w:color="auto"/>
                <w:left w:val="none" w:sz="0" w:space="0" w:color="auto"/>
                <w:bottom w:val="none" w:sz="0" w:space="0" w:color="auto"/>
                <w:right w:val="none" w:sz="0" w:space="0" w:color="auto"/>
              </w:pBdr>
              <w:textAlignment w:val="bottom"/>
            </w:pPr>
            <w:hyperlink r:id="rId61" w:anchor="ie38a2b375c9840e583a36769999bbee6_40" w:history="1">
              <w:r>
                <w:rPr>
                  <w:rStyle w:val="a5"/>
                  <w:rFonts w:ascii="Times New Roman" w:eastAsia="宋体" w:hAnsi="Times New Roman"/>
                  <w:sz w:val="20"/>
                  <w:szCs w:val="20"/>
                </w:rPr>
                <w:t>Summary of Significant Accounting Policies and Estimates</w:t>
              </w:r>
            </w:hyperlink>
          </w:p>
        </w:tc>
        <w:tc>
          <w:tcPr>
            <w:tcW w:w="0" w:type="auto"/>
            <w:gridSpan w:val="3"/>
            <w:shd w:val="clear" w:color="auto" w:fill="auto"/>
            <w:tcMar>
              <w:top w:w="40" w:type="dxa"/>
              <w:left w:w="20" w:type="dxa"/>
              <w:bottom w:w="40" w:type="dxa"/>
              <w:right w:w="20" w:type="dxa"/>
            </w:tcMar>
            <w:vAlign w:val="bottom"/>
          </w:tcPr>
          <w:p w14:paraId="6429737A"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62" w:anchor="ie38a2b375c9840e583a36769999bbee6_40" w:history="1">
              <w:r>
                <w:rPr>
                  <w:rStyle w:val="a5"/>
                  <w:rFonts w:ascii="Times New Roman" w:eastAsia="宋体" w:hAnsi="Times New Roman"/>
                  <w:sz w:val="20"/>
                  <w:szCs w:val="20"/>
                </w:rPr>
                <w:t>10</w:t>
              </w:r>
            </w:hyperlink>
          </w:p>
        </w:tc>
      </w:tr>
      <w:tr w:rsidR="007B6C97" w14:paraId="6429737F" w14:textId="77777777">
        <w:trPr>
          <w:jc w:val="center"/>
          <w:hidden/>
        </w:trPr>
        <w:tc>
          <w:tcPr>
            <w:tcW w:w="0" w:type="auto"/>
            <w:gridSpan w:val="3"/>
            <w:shd w:val="clear" w:color="auto" w:fill="auto"/>
            <w:vAlign w:val="bottom"/>
          </w:tcPr>
          <w:p w14:paraId="6429737C" w14:textId="77777777" w:rsidR="007B6C97" w:rsidRDefault="007B6C97">
            <w:pPr>
              <w:rPr>
                <w:rFonts w:ascii="宋体"/>
                <w:vanish/>
              </w:rPr>
            </w:pPr>
          </w:p>
        </w:tc>
        <w:tc>
          <w:tcPr>
            <w:tcW w:w="0" w:type="auto"/>
            <w:gridSpan w:val="3"/>
            <w:shd w:val="clear" w:color="auto" w:fill="auto"/>
            <w:vAlign w:val="bottom"/>
          </w:tcPr>
          <w:p w14:paraId="6429737D" w14:textId="77777777" w:rsidR="007B6C97" w:rsidRDefault="007B6C97">
            <w:pPr>
              <w:rPr>
                <w:rFonts w:ascii="宋体"/>
                <w:vanish/>
              </w:rPr>
            </w:pPr>
          </w:p>
        </w:tc>
        <w:tc>
          <w:tcPr>
            <w:tcW w:w="0" w:type="auto"/>
            <w:gridSpan w:val="3"/>
            <w:shd w:val="clear" w:color="auto" w:fill="auto"/>
            <w:vAlign w:val="bottom"/>
          </w:tcPr>
          <w:p w14:paraId="6429737E" w14:textId="77777777" w:rsidR="007B6C97" w:rsidRDefault="007B6C97">
            <w:pPr>
              <w:rPr>
                <w:rFonts w:ascii="宋体"/>
                <w:vanish/>
              </w:rPr>
            </w:pPr>
          </w:p>
        </w:tc>
      </w:tr>
      <w:tr w:rsidR="007B6C97" w14:paraId="64297383" w14:textId="77777777">
        <w:trPr>
          <w:jc w:val="center"/>
        </w:trPr>
        <w:tc>
          <w:tcPr>
            <w:tcW w:w="0" w:type="auto"/>
            <w:gridSpan w:val="3"/>
            <w:shd w:val="clear" w:color="auto" w:fill="auto"/>
            <w:tcMar>
              <w:top w:w="40" w:type="dxa"/>
              <w:left w:w="20" w:type="dxa"/>
              <w:bottom w:w="40" w:type="dxa"/>
              <w:right w:w="20" w:type="dxa"/>
            </w:tcMar>
            <w:vAlign w:val="bottom"/>
          </w:tcPr>
          <w:p w14:paraId="64297380" w14:textId="77777777" w:rsidR="007B6C97" w:rsidRDefault="00E426D1">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64297381" w14:textId="77777777" w:rsidR="007B6C97" w:rsidRDefault="00E426D1">
            <w:pPr>
              <w:pBdr>
                <w:top w:val="none" w:sz="0" w:space="0" w:color="auto"/>
                <w:left w:val="none" w:sz="0" w:space="0" w:color="auto"/>
                <w:bottom w:val="none" w:sz="0" w:space="0" w:color="auto"/>
                <w:right w:val="none" w:sz="0" w:space="0" w:color="auto"/>
              </w:pBdr>
              <w:textAlignment w:val="bottom"/>
            </w:pPr>
            <w:hyperlink r:id="rId63" w:anchor="ie38a2b375c9840e583a36769999bbee6_4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64297382"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64" w:anchor="ie38a2b375c9840e583a36769999bbee6_46" w:history="1">
              <w:r>
                <w:rPr>
                  <w:rStyle w:val="a5"/>
                  <w:rFonts w:ascii="Times New Roman" w:eastAsia="宋体" w:hAnsi="Times New Roman"/>
                  <w:sz w:val="20"/>
                  <w:szCs w:val="20"/>
                </w:rPr>
                <w:t>12</w:t>
              </w:r>
            </w:hyperlink>
          </w:p>
        </w:tc>
      </w:tr>
      <w:tr w:rsidR="007B6C97" w14:paraId="64297387" w14:textId="77777777">
        <w:trPr>
          <w:jc w:val="center"/>
        </w:trPr>
        <w:tc>
          <w:tcPr>
            <w:tcW w:w="0" w:type="auto"/>
            <w:gridSpan w:val="3"/>
            <w:shd w:val="clear" w:color="auto" w:fill="auto"/>
            <w:tcMar>
              <w:top w:w="40" w:type="dxa"/>
              <w:left w:w="20" w:type="dxa"/>
              <w:bottom w:w="40" w:type="dxa"/>
              <w:right w:w="20" w:type="dxa"/>
            </w:tcMar>
            <w:vAlign w:val="bottom"/>
          </w:tcPr>
          <w:p w14:paraId="64297384" w14:textId="77777777" w:rsidR="007B6C97" w:rsidRDefault="00E426D1">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64297385" w14:textId="77777777" w:rsidR="007B6C97" w:rsidRDefault="00E426D1">
            <w:pPr>
              <w:pBdr>
                <w:top w:val="none" w:sz="0" w:space="0" w:color="auto"/>
                <w:left w:val="none" w:sz="0" w:space="0" w:color="auto"/>
                <w:bottom w:val="none" w:sz="0" w:space="0" w:color="auto"/>
                <w:right w:val="none" w:sz="0" w:space="0" w:color="auto"/>
              </w:pBdr>
              <w:textAlignment w:val="bottom"/>
            </w:pPr>
            <w:hyperlink r:id="rId65" w:anchor="ie38a2b375c9840e583a36769999bbee6_49" w:history="1">
              <w:r>
                <w:rPr>
                  <w:rStyle w:val="a5"/>
                  <w:rFonts w:ascii="Times New Roman" w:eastAsia="宋体" w:hAnsi="Times New Roman"/>
                  <w:sz w:val="20"/>
                  <w:szCs w:val="20"/>
                </w:rPr>
                <w:t>Fair Value Measurements</w:t>
              </w:r>
            </w:hyperlink>
          </w:p>
        </w:tc>
        <w:tc>
          <w:tcPr>
            <w:tcW w:w="0" w:type="auto"/>
            <w:gridSpan w:val="3"/>
            <w:shd w:val="clear" w:color="auto" w:fill="auto"/>
            <w:tcMar>
              <w:top w:w="40" w:type="dxa"/>
              <w:left w:w="20" w:type="dxa"/>
              <w:bottom w:w="40" w:type="dxa"/>
              <w:right w:w="20" w:type="dxa"/>
            </w:tcMar>
            <w:vAlign w:val="bottom"/>
          </w:tcPr>
          <w:p w14:paraId="64297386"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66" w:anchor="ie38a2b375c9840e583a36769999bbee6_49" w:history="1">
              <w:r>
                <w:rPr>
                  <w:rStyle w:val="a5"/>
                  <w:rFonts w:ascii="Times New Roman" w:eastAsia="宋体" w:hAnsi="Times New Roman"/>
                  <w:sz w:val="20"/>
                  <w:szCs w:val="20"/>
                </w:rPr>
                <w:t>16</w:t>
              </w:r>
            </w:hyperlink>
          </w:p>
        </w:tc>
      </w:tr>
      <w:tr w:rsidR="007B6C97" w14:paraId="6429738B" w14:textId="77777777">
        <w:trPr>
          <w:jc w:val="center"/>
        </w:trPr>
        <w:tc>
          <w:tcPr>
            <w:tcW w:w="0" w:type="auto"/>
            <w:gridSpan w:val="3"/>
            <w:shd w:val="clear" w:color="auto" w:fill="auto"/>
            <w:tcMar>
              <w:top w:w="40" w:type="dxa"/>
              <w:left w:w="20" w:type="dxa"/>
              <w:bottom w:w="40" w:type="dxa"/>
              <w:right w:w="20" w:type="dxa"/>
            </w:tcMar>
            <w:vAlign w:val="bottom"/>
          </w:tcPr>
          <w:p w14:paraId="64297388" w14:textId="77777777" w:rsidR="007B6C97" w:rsidRDefault="00E426D1">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64297389" w14:textId="77777777" w:rsidR="007B6C97" w:rsidRDefault="00E426D1">
            <w:pPr>
              <w:pBdr>
                <w:top w:val="none" w:sz="0" w:space="0" w:color="auto"/>
                <w:left w:val="none" w:sz="0" w:space="0" w:color="auto"/>
                <w:bottom w:val="none" w:sz="0" w:space="0" w:color="auto"/>
                <w:right w:val="none" w:sz="0" w:space="0" w:color="auto"/>
              </w:pBdr>
              <w:textAlignment w:val="bottom"/>
            </w:pPr>
            <w:hyperlink r:id="rId67" w:anchor="ie38a2b375c9840e583a36769999bbee6_5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6429738A"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68" w:anchor="ie38a2b375c9840e583a36769999bbee6_52" w:history="1">
              <w:r>
                <w:rPr>
                  <w:rStyle w:val="a5"/>
                  <w:rFonts w:ascii="Times New Roman" w:eastAsia="宋体" w:hAnsi="Times New Roman"/>
                  <w:sz w:val="20"/>
                  <w:szCs w:val="20"/>
                </w:rPr>
                <w:t>18</w:t>
              </w:r>
            </w:hyperlink>
          </w:p>
        </w:tc>
      </w:tr>
      <w:tr w:rsidR="007B6C97" w14:paraId="6429738F" w14:textId="77777777">
        <w:trPr>
          <w:jc w:val="center"/>
        </w:trPr>
        <w:tc>
          <w:tcPr>
            <w:tcW w:w="0" w:type="auto"/>
            <w:gridSpan w:val="3"/>
            <w:shd w:val="clear" w:color="auto" w:fill="auto"/>
            <w:tcMar>
              <w:top w:w="40" w:type="dxa"/>
              <w:left w:w="20" w:type="dxa"/>
              <w:bottom w:w="40" w:type="dxa"/>
              <w:right w:w="20" w:type="dxa"/>
            </w:tcMar>
            <w:vAlign w:val="bottom"/>
          </w:tcPr>
          <w:p w14:paraId="6429738C" w14:textId="77777777" w:rsidR="007B6C97" w:rsidRDefault="00E426D1">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6429738D" w14:textId="77777777" w:rsidR="007B6C97" w:rsidRDefault="00E426D1">
            <w:pPr>
              <w:pBdr>
                <w:top w:val="none" w:sz="0" w:space="0" w:color="auto"/>
                <w:left w:val="none" w:sz="0" w:space="0" w:color="auto"/>
                <w:bottom w:val="none" w:sz="0" w:space="0" w:color="auto"/>
                <w:right w:val="none" w:sz="0" w:space="0" w:color="auto"/>
              </w:pBdr>
              <w:textAlignment w:val="bottom"/>
            </w:pPr>
            <w:hyperlink r:id="rId69" w:anchor="ie38a2b375c9840e583a36769999bbee6_55" w:history="1">
              <w:r>
                <w:rPr>
                  <w:rStyle w:val="a5"/>
                  <w:rFonts w:ascii="Times New Roman" w:eastAsia="宋体" w:hAnsi="Times New Roman"/>
                  <w:sz w:val="20"/>
                  <w:szCs w:val="20"/>
                </w:rPr>
                <w:t>Supplemental Balance Sheet and Statement of Earnings Information</w:t>
              </w:r>
            </w:hyperlink>
          </w:p>
        </w:tc>
        <w:tc>
          <w:tcPr>
            <w:tcW w:w="0" w:type="auto"/>
            <w:gridSpan w:val="3"/>
            <w:shd w:val="clear" w:color="auto" w:fill="auto"/>
            <w:tcMar>
              <w:top w:w="40" w:type="dxa"/>
              <w:left w:w="20" w:type="dxa"/>
              <w:bottom w:w="40" w:type="dxa"/>
              <w:right w:w="20" w:type="dxa"/>
            </w:tcMar>
            <w:vAlign w:val="bottom"/>
          </w:tcPr>
          <w:p w14:paraId="6429738E"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70" w:anchor="ie38a2b375c9840e583a36769999bbee6_55" w:history="1">
              <w:r>
                <w:rPr>
                  <w:rStyle w:val="a5"/>
                  <w:rFonts w:ascii="Times New Roman" w:eastAsia="宋体" w:hAnsi="Times New Roman"/>
                  <w:sz w:val="20"/>
                  <w:szCs w:val="20"/>
                </w:rPr>
                <w:t>18</w:t>
              </w:r>
            </w:hyperlink>
          </w:p>
        </w:tc>
      </w:tr>
      <w:tr w:rsidR="007B6C97" w14:paraId="64297393" w14:textId="77777777">
        <w:trPr>
          <w:jc w:val="center"/>
        </w:trPr>
        <w:tc>
          <w:tcPr>
            <w:tcW w:w="0" w:type="auto"/>
            <w:gridSpan w:val="3"/>
            <w:shd w:val="clear" w:color="auto" w:fill="auto"/>
            <w:tcMar>
              <w:top w:w="40" w:type="dxa"/>
              <w:left w:w="20" w:type="dxa"/>
              <w:bottom w:w="40" w:type="dxa"/>
              <w:right w:w="20" w:type="dxa"/>
            </w:tcMar>
            <w:vAlign w:val="bottom"/>
          </w:tcPr>
          <w:p w14:paraId="64297390" w14:textId="77777777" w:rsidR="007B6C97" w:rsidRDefault="00E426D1">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64297391" w14:textId="77777777" w:rsidR="007B6C97" w:rsidRDefault="00E426D1">
            <w:pPr>
              <w:pBdr>
                <w:top w:val="none" w:sz="0" w:space="0" w:color="auto"/>
                <w:left w:val="none" w:sz="0" w:space="0" w:color="auto"/>
                <w:bottom w:val="none" w:sz="0" w:space="0" w:color="auto"/>
                <w:right w:val="none" w:sz="0" w:space="0" w:color="auto"/>
              </w:pBdr>
              <w:textAlignment w:val="bottom"/>
            </w:pPr>
            <w:hyperlink r:id="rId71" w:anchor="ie38a2b375c9840e583a36769999bbee6_58"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64297392"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72" w:anchor="ie38a2b375c9840e583a36769999bbee6_58" w:history="1">
              <w:r>
                <w:rPr>
                  <w:rStyle w:val="a5"/>
                  <w:rFonts w:ascii="Times New Roman" w:eastAsia="宋体" w:hAnsi="Times New Roman"/>
                  <w:sz w:val="20"/>
                  <w:szCs w:val="20"/>
                </w:rPr>
                <w:t>19</w:t>
              </w:r>
            </w:hyperlink>
          </w:p>
        </w:tc>
      </w:tr>
      <w:tr w:rsidR="007B6C97" w14:paraId="64297397" w14:textId="77777777">
        <w:trPr>
          <w:jc w:val="center"/>
        </w:trPr>
        <w:tc>
          <w:tcPr>
            <w:tcW w:w="0" w:type="auto"/>
            <w:gridSpan w:val="3"/>
            <w:shd w:val="clear" w:color="auto" w:fill="auto"/>
            <w:tcMar>
              <w:top w:w="40" w:type="dxa"/>
              <w:left w:w="20" w:type="dxa"/>
              <w:bottom w:w="40" w:type="dxa"/>
              <w:right w:w="20" w:type="dxa"/>
            </w:tcMar>
            <w:vAlign w:val="bottom"/>
          </w:tcPr>
          <w:p w14:paraId="64297394" w14:textId="77777777" w:rsidR="007B6C97" w:rsidRDefault="00E426D1">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64297395" w14:textId="77777777" w:rsidR="007B6C97" w:rsidRDefault="00E426D1">
            <w:pPr>
              <w:pBdr>
                <w:top w:val="none" w:sz="0" w:space="0" w:color="auto"/>
                <w:left w:val="none" w:sz="0" w:space="0" w:color="auto"/>
                <w:bottom w:val="none" w:sz="0" w:space="0" w:color="auto"/>
                <w:right w:val="none" w:sz="0" w:space="0" w:color="auto"/>
              </w:pBdr>
              <w:textAlignment w:val="bottom"/>
            </w:pPr>
            <w:hyperlink r:id="rId73" w:anchor="ie38a2b375c9840e583a36769999bbee6_61"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64297396"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74" w:anchor="ie38a2b375c9840e583a36769999bbee6_61" w:history="1">
              <w:r>
                <w:rPr>
                  <w:rStyle w:val="a5"/>
                  <w:rFonts w:ascii="Times New Roman" w:eastAsia="宋体" w:hAnsi="Times New Roman"/>
                  <w:sz w:val="20"/>
                  <w:szCs w:val="20"/>
                </w:rPr>
                <w:t>21</w:t>
              </w:r>
            </w:hyperlink>
          </w:p>
        </w:tc>
      </w:tr>
      <w:tr w:rsidR="007B6C97" w14:paraId="6429739B" w14:textId="77777777">
        <w:trPr>
          <w:jc w:val="center"/>
        </w:trPr>
        <w:tc>
          <w:tcPr>
            <w:tcW w:w="0" w:type="auto"/>
            <w:gridSpan w:val="3"/>
            <w:shd w:val="clear" w:color="auto" w:fill="auto"/>
            <w:tcMar>
              <w:top w:w="40" w:type="dxa"/>
              <w:left w:w="20" w:type="dxa"/>
              <w:bottom w:w="40" w:type="dxa"/>
              <w:right w:w="20" w:type="dxa"/>
            </w:tcMar>
            <w:vAlign w:val="bottom"/>
          </w:tcPr>
          <w:p w14:paraId="64297398" w14:textId="77777777" w:rsidR="007B6C97" w:rsidRDefault="00E426D1">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64297399" w14:textId="77777777" w:rsidR="007B6C97" w:rsidRDefault="00E426D1">
            <w:pPr>
              <w:pBdr>
                <w:top w:val="none" w:sz="0" w:space="0" w:color="auto"/>
                <w:left w:val="none" w:sz="0" w:space="0" w:color="auto"/>
                <w:bottom w:val="none" w:sz="0" w:space="0" w:color="auto"/>
                <w:right w:val="none" w:sz="0" w:space="0" w:color="auto"/>
              </w:pBdr>
              <w:textAlignment w:val="bottom"/>
            </w:pPr>
            <w:hyperlink r:id="rId75" w:anchor="ie38a2b375c9840e583a36769999bbee6_64"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6429739A"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76" w:anchor="ie38a2b375c9840e583a36769999bbee6_64" w:history="1">
              <w:r>
                <w:rPr>
                  <w:rStyle w:val="a5"/>
                  <w:rFonts w:ascii="Times New Roman" w:eastAsia="宋体" w:hAnsi="Times New Roman"/>
                  <w:sz w:val="20"/>
                  <w:szCs w:val="20"/>
                </w:rPr>
                <w:t>23</w:t>
              </w:r>
            </w:hyperlink>
          </w:p>
        </w:tc>
      </w:tr>
      <w:tr w:rsidR="007B6C97" w14:paraId="6429739F" w14:textId="77777777">
        <w:trPr>
          <w:jc w:val="center"/>
        </w:trPr>
        <w:tc>
          <w:tcPr>
            <w:tcW w:w="0" w:type="auto"/>
            <w:gridSpan w:val="3"/>
            <w:shd w:val="clear" w:color="auto" w:fill="auto"/>
            <w:tcMar>
              <w:top w:w="40" w:type="dxa"/>
              <w:left w:w="20" w:type="dxa"/>
              <w:bottom w:w="40" w:type="dxa"/>
              <w:right w:w="20" w:type="dxa"/>
            </w:tcMar>
            <w:vAlign w:val="bottom"/>
          </w:tcPr>
          <w:p w14:paraId="6429739C" w14:textId="77777777" w:rsidR="007B6C97" w:rsidRDefault="00E426D1">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6429739D" w14:textId="77777777" w:rsidR="007B6C97" w:rsidRDefault="00E426D1">
            <w:pPr>
              <w:pBdr>
                <w:top w:val="none" w:sz="0" w:space="0" w:color="auto"/>
                <w:left w:val="none" w:sz="0" w:space="0" w:color="auto"/>
                <w:bottom w:val="none" w:sz="0" w:space="0" w:color="auto"/>
                <w:right w:val="none" w:sz="0" w:space="0" w:color="auto"/>
              </w:pBdr>
              <w:textAlignment w:val="bottom"/>
            </w:pPr>
            <w:hyperlink r:id="rId77" w:anchor="ie38a2b375c9840e583a36769999bbee6_67"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6429739E"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78" w:anchor="ie38a2b375c9840e583a36769999bbee6_67" w:history="1">
              <w:r>
                <w:rPr>
                  <w:rStyle w:val="a5"/>
                  <w:rFonts w:ascii="Times New Roman" w:eastAsia="宋体" w:hAnsi="Times New Roman"/>
                  <w:sz w:val="20"/>
                  <w:szCs w:val="20"/>
                </w:rPr>
                <w:t>24</w:t>
              </w:r>
            </w:hyperlink>
          </w:p>
        </w:tc>
      </w:tr>
      <w:tr w:rsidR="007B6C97" w14:paraId="642973A3" w14:textId="77777777">
        <w:trPr>
          <w:jc w:val="center"/>
        </w:trPr>
        <w:tc>
          <w:tcPr>
            <w:tcW w:w="0" w:type="auto"/>
            <w:gridSpan w:val="3"/>
            <w:shd w:val="clear" w:color="auto" w:fill="auto"/>
            <w:tcMar>
              <w:top w:w="40" w:type="dxa"/>
              <w:left w:w="20" w:type="dxa"/>
              <w:bottom w:w="40" w:type="dxa"/>
              <w:right w:w="20" w:type="dxa"/>
            </w:tcMar>
            <w:vAlign w:val="bottom"/>
          </w:tcPr>
          <w:p w14:paraId="642973A0" w14:textId="77777777" w:rsidR="007B6C97" w:rsidRDefault="00E426D1">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642973A1" w14:textId="77777777" w:rsidR="007B6C97" w:rsidRDefault="00E426D1">
            <w:pPr>
              <w:pBdr>
                <w:top w:val="none" w:sz="0" w:space="0" w:color="auto"/>
                <w:left w:val="none" w:sz="0" w:space="0" w:color="auto"/>
                <w:bottom w:val="none" w:sz="0" w:space="0" w:color="auto"/>
                <w:right w:val="none" w:sz="0" w:space="0" w:color="auto"/>
              </w:pBdr>
              <w:textAlignment w:val="bottom"/>
            </w:pPr>
            <w:hyperlink r:id="rId79" w:anchor="ie38a2b375c9840e583a36769999bbee6_70"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642973A2"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80" w:anchor="ie38a2b375c9840e583a36769999bbee6_70" w:history="1">
              <w:r>
                <w:rPr>
                  <w:rStyle w:val="a5"/>
                  <w:rFonts w:ascii="Times New Roman" w:eastAsia="宋体" w:hAnsi="Times New Roman"/>
                  <w:sz w:val="20"/>
                  <w:szCs w:val="20"/>
                </w:rPr>
                <w:t>25</w:t>
              </w:r>
            </w:hyperlink>
          </w:p>
        </w:tc>
      </w:tr>
      <w:tr w:rsidR="007B6C97" w14:paraId="642973A7" w14:textId="77777777">
        <w:trPr>
          <w:jc w:val="center"/>
        </w:trPr>
        <w:tc>
          <w:tcPr>
            <w:tcW w:w="0" w:type="auto"/>
            <w:gridSpan w:val="3"/>
            <w:shd w:val="clear" w:color="auto" w:fill="auto"/>
            <w:tcMar>
              <w:top w:w="40" w:type="dxa"/>
              <w:left w:w="20" w:type="dxa"/>
              <w:bottom w:w="40" w:type="dxa"/>
              <w:right w:w="20" w:type="dxa"/>
            </w:tcMar>
            <w:vAlign w:val="bottom"/>
          </w:tcPr>
          <w:p w14:paraId="642973A4" w14:textId="77777777" w:rsidR="007B6C97" w:rsidRDefault="00E426D1">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642973A5" w14:textId="77777777" w:rsidR="007B6C97" w:rsidRDefault="00E426D1">
            <w:pPr>
              <w:pBdr>
                <w:top w:val="none" w:sz="0" w:space="0" w:color="auto"/>
                <w:left w:val="none" w:sz="0" w:space="0" w:color="auto"/>
                <w:bottom w:val="none" w:sz="0" w:space="0" w:color="auto"/>
                <w:right w:val="none" w:sz="0" w:space="0" w:color="auto"/>
              </w:pBdr>
              <w:textAlignment w:val="bottom"/>
            </w:pPr>
            <w:hyperlink r:id="rId81" w:anchor="ie38a2b375c9840e583a36769999bbee6_73"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642973A6"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82" w:anchor="ie38a2b375c9840e583a36769999bbee6_73" w:history="1">
              <w:r>
                <w:rPr>
                  <w:rStyle w:val="a5"/>
                  <w:rFonts w:ascii="Times New Roman" w:eastAsia="宋体" w:hAnsi="Times New Roman"/>
                  <w:sz w:val="20"/>
                  <w:szCs w:val="20"/>
                </w:rPr>
                <w:t>26</w:t>
              </w:r>
            </w:hyperlink>
          </w:p>
        </w:tc>
      </w:tr>
      <w:tr w:rsidR="007B6C97" w14:paraId="642973AB" w14:textId="77777777">
        <w:trPr>
          <w:jc w:val="center"/>
        </w:trPr>
        <w:tc>
          <w:tcPr>
            <w:tcW w:w="0" w:type="auto"/>
            <w:gridSpan w:val="3"/>
            <w:shd w:val="clear" w:color="auto" w:fill="auto"/>
            <w:tcMar>
              <w:top w:w="40" w:type="dxa"/>
              <w:left w:w="20" w:type="dxa"/>
              <w:bottom w:w="40" w:type="dxa"/>
              <w:right w:w="20" w:type="dxa"/>
            </w:tcMar>
            <w:vAlign w:val="bottom"/>
          </w:tcPr>
          <w:p w14:paraId="642973A8" w14:textId="77777777" w:rsidR="007B6C97" w:rsidRDefault="00E426D1">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642973A9" w14:textId="77777777" w:rsidR="007B6C97" w:rsidRDefault="00E426D1">
            <w:pPr>
              <w:pBdr>
                <w:top w:val="none" w:sz="0" w:space="0" w:color="auto"/>
                <w:left w:val="none" w:sz="0" w:space="0" w:color="auto"/>
                <w:bottom w:val="none" w:sz="0" w:space="0" w:color="auto"/>
                <w:right w:val="none" w:sz="0" w:space="0" w:color="auto"/>
              </w:pBdr>
              <w:textAlignment w:val="bottom"/>
            </w:pPr>
            <w:hyperlink r:id="rId83" w:anchor="ie38a2b375c9840e583a36769999bbee6_76"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642973AA"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84" w:anchor="ie38a2b375c9840e583a36769999bbee6_76" w:history="1">
              <w:r>
                <w:rPr>
                  <w:rStyle w:val="a5"/>
                  <w:rFonts w:ascii="Times New Roman" w:eastAsia="宋体" w:hAnsi="Times New Roman"/>
                  <w:sz w:val="20"/>
                  <w:szCs w:val="20"/>
                </w:rPr>
                <w:t>27</w:t>
              </w:r>
            </w:hyperlink>
          </w:p>
        </w:tc>
      </w:tr>
      <w:tr w:rsidR="007B6C97" w14:paraId="642973AF" w14:textId="77777777">
        <w:trPr>
          <w:jc w:val="center"/>
        </w:trPr>
        <w:tc>
          <w:tcPr>
            <w:tcW w:w="0" w:type="auto"/>
            <w:gridSpan w:val="3"/>
            <w:shd w:val="clear" w:color="auto" w:fill="auto"/>
            <w:tcMar>
              <w:top w:w="40" w:type="dxa"/>
              <w:left w:w="20" w:type="dxa"/>
              <w:bottom w:w="40" w:type="dxa"/>
              <w:right w:w="20" w:type="dxa"/>
            </w:tcMar>
            <w:vAlign w:val="bottom"/>
          </w:tcPr>
          <w:p w14:paraId="642973AC" w14:textId="77777777" w:rsidR="007B6C97" w:rsidRDefault="00E426D1">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642973AD" w14:textId="77777777" w:rsidR="007B6C97" w:rsidRDefault="00E426D1">
            <w:pPr>
              <w:pBdr>
                <w:top w:val="none" w:sz="0" w:space="0" w:color="auto"/>
                <w:left w:val="none" w:sz="0" w:space="0" w:color="auto"/>
                <w:bottom w:val="none" w:sz="0" w:space="0" w:color="auto"/>
                <w:right w:val="none" w:sz="0" w:space="0" w:color="auto"/>
              </w:pBdr>
              <w:textAlignment w:val="bottom"/>
            </w:pPr>
            <w:hyperlink r:id="rId85" w:anchor="ie38a2b375c9840e583a36769999bbee6_79"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642973AE"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86" w:anchor="ie38a2b375c9840e583a36769999bbee6_79" w:history="1">
              <w:r>
                <w:rPr>
                  <w:rStyle w:val="a5"/>
                  <w:rFonts w:ascii="Times New Roman" w:eastAsia="宋体" w:hAnsi="Times New Roman"/>
                  <w:sz w:val="20"/>
                  <w:szCs w:val="20"/>
                </w:rPr>
                <w:t>27</w:t>
              </w:r>
            </w:hyperlink>
          </w:p>
        </w:tc>
      </w:tr>
      <w:tr w:rsidR="007B6C97" w14:paraId="642973B3" w14:textId="77777777">
        <w:trPr>
          <w:jc w:val="center"/>
        </w:trPr>
        <w:tc>
          <w:tcPr>
            <w:tcW w:w="0" w:type="auto"/>
            <w:gridSpan w:val="3"/>
            <w:shd w:val="clear" w:color="auto" w:fill="auto"/>
            <w:tcMar>
              <w:top w:w="40" w:type="dxa"/>
              <w:left w:w="20" w:type="dxa"/>
              <w:bottom w:w="40" w:type="dxa"/>
              <w:right w:w="20" w:type="dxa"/>
            </w:tcMar>
            <w:vAlign w:val="bottom"/>
          </w:tcPr>
          <w:p w14:paraId="642973B0" w14:textId="77777777" w:rsidR="007B6C97" w:rsidRDefault="00E426D1">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642973B1" w14:textId="77777777" w:rsidR="007B6C97" w:rsidRDefault="00E426D1">
            <w:pPr>
              <w:pBdr>
                <w:top w:val="none" w:sz="0" w:space="0" w:color="auto"/>
                <w:left w:val="none" w:sz="0" w:space="0" w:color="auto"/>
                <w:bottom w:val="none" w:sz="0" w:space="0" w:color="auto"/>
                <w:right w:val="none" w:sz="0" w:space="0" w:color="auto"/>
              </w:pBdr>
              <w:textAlignment w:val="bottom"/>
            </w:pPr>
            <w:hyperlink r:id="rId87" w:anchor="ie38a2b375c9840e583a36769999bbee6_82" w:history="1">
              <w:r>
                <w:rPr>
                  <w:rStyle w:val="a5"/>
                  <w:rFonts w:ascii="Times New Roman" w:eastAsia="宋体" w:hAnsi="Times New Roman"/>
                  <w:sz w:val="20"/>
                  <w:szCs w:val="20"/>
                </w:rPr>
                <w:t>Commitments and Contin</w:t>
              </w:r>
              <w:r>
                <w:rPr>
                  <w:rStyle w:val="a5"/>
                  <w:rFonts w:ascii="Times New Roman" w:eastAsia="宋体" w:hAnsi="Times New Roman"/>
                  <w:sz w:val="20"/>
                  <w:szCs w:val="20"/>
                </w:rPr>
                <w:t>gencies</w:t>
              </w:r>
            </w:hyperlink>
          </w:p>
        </w:tc>
        <w:tc>
          <w:tcPr>
            <w:tcW w:w="0" w:type="auto"/>
            <w:gridSpan w:val="3"/>
            <w:shd w:val="clear" w:color="auto" w:fill="auto"/>
            <w:tcMar>
              <w:top w:w="40" w:type="dxa"/>
              <w:left w:w="20" w:type="dxa"/>
              <w:bottom w:w="40" w:type="dxa"/>
              <w:right w:w="20" w:type="dxa"/>
            </w:tcMar>
            <w:vAlign w:val="bottom"/>
          </w:tcPr>
          <w:p w14:paraId="642973B2"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88" w:anchor="ie38a2b375c9840e583a36769999bbee6_82" w:history="1">
              <w:r>
                <w:rPr>
                  <w:rStyle w:val="a5"/>
                  <w:rFonts w:ascii="Times New Roman" w:eastAsia="宋体" w:hAnsi="Times New Roman"/>
                  <w:sz w:val="20"/>
                  <w:szCs w:val="20"/>
                </w:rPr>
                <w:t>27</w:t>
              </w:r>
            </w:hyperlink>
          </w:p>
        </w:tc>
      </w:tr>
      <w:tr w:rsidR="007B6C97" w14:paraId="642973B7" w14:textId="77777777">
        <w:trPr>
          <w:jc w:val="center"/>
        </w:trPr>
        <w:tc>
          <w:tcPr>
            <w:tcW w:w="0" w:type="auto"/>
            <w:gridSpan w:val="3"/>
            <w:shd w:val="clear" w:color="auto" w:fill="auto"/>
            <w:tcMar>
              <w:top w:w="40" w:type="dxa"/>
              <w:left w:w="20" w:type="dxa"/>
              <w:bottom w:w="40" w:type="dxa"/>
              <w:right w:w="20" w:type="dxa"/>
            </w:tcMar>
            <w:vAlign w:val="bottom"/>
          </w:tcPr>
          <w:p w14:paraId="642973B4" w14:textId="77777777" w:rsidR="007B6C97" w:rsidRDefault="00E426D1">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642973B5" w14:textId="77777777" w:rsidR="007B6C97" w:rsidRDefault="00E426D1">
            <w:pPr>
              <w:pBdr>
                <w:top w:val="none" w:sz="0" w:space="0" w:color="auto"/>
                <w:left w:val="none" w:sz="0" w:space="0" w:color="auto"/>
                <w:bottom w:val="none" w:sz="0" w:space="0" w:color="auto"/>
                <w:right w:val="none" w:sz="0" w:space="0" w:color="auto"/>
              </w:pBdr>
              <w:textAlignment w:val="bottom"/>
            </w:pPr>
            <w:hyperlink r:id="rId89" w:anchor="ie38a2b375c9840e583a36769999bbee6_85"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642973B6" w14:textId="77777777" w:rsidR="007B6C97" w:rsidRDefault="00E426D1">
            <w:pPr>
              <w:pBdr>
                <w:top w:val="none" w:sz="0" w:space="0" w:color="auto"/>
                <w:left w:val="none" w:sz="0" w:space="0" w:color="auto"/>
                <w:bottom w:val="none" w:sz="0" w:space="0" w:color="auto"/>
                <w:right w:val="none" w:sz="0" w:space="0" w:color="auto"/>
              </w:pBdr>
              <w:jc w:val="right"/>
              <w:textAlignment w:val="bottom"/>
            </w:pPr>
            <w:hyperlink r:id="rId90" w:anchor="ie38a2b375c9840e583a36769999bbee6_85" w:history="1">
              <w:r>
                <w:rPr>
                  <w:rStyle w:val="a5"/>
                  <w:rFonts w:ascii="Times New Roman" w:eastAsia="宋体" w:hAnsi="Times New Roman"/>
                  <w:sz w:val="20"/>
                  <w:szCs w:val="20"/>
                </w:rPr>
                <w:t>28</w:t>
              </w:r>
            </w:hyperlink>
          </w:p>
        </w:tc>
      </w:tr>
      <w:tr w:rsidR="007B6C97" w14:paraId="642973BB" w14:textId="77777777">
        <w:trPr>
          <w:jc w:val="center"/>
          <w:hidden/>
        </w:trPr>
        <w:tc>
          <w:tcPr>
            <w:tcW w:w="0" w:type="auto"/>
            <w:gridSpan w:val="3"/>
            <w:shd w:val="clear" w:color="auto" w:fill="auto"/>
            <w:vAlign w:val="bottom"/>
          </w:tcPr>
          <w:p w14:paraId="642973B8" w14:textId="77777777" w:rsidR="007B6C97" w:rsidRDefault="007B6C97">
            <w:pPr>
              <w:rPr>
                <w:rFonts w:ascii="宋体"/>
                <w:vanish/>
              </w:rPr>
            </w:pPr>
          </w:p>
        </w:tc>
        <w:tc>
          <w:tcPr>
            <w:tcW w:w="0" w:type="auto"/>
            <w:gridSpan w:val="3"/>
            <w:shd w:val="clear" w:color="auto" w:fill="auto"/>
            <w:vAlign w:val="bottom"/>
          </w:tcPr>
          <w:p w14:paraId="642973B9" w14:textId="77777777" w:rsidR="007B6C97" w:rsidRDefault="007B6C97">
            <w:pPr>
              <w:rPr>
                <w:rFonts w:ascii="宋体"/>
                <w:vanish/>
              </w:rPr>
            </w:pPr>
          </w:p>
        </w:tc>
        <w:tc>
          <w:tcPr>
            <w:tcW w:w="0" w:type="auto"/>
            <w:gridSpan w:val="3"/>
            <w:shd w:val="clear" w:color="auto" w:fill="auto"/>
            <w:vAlign w:val="bottom"/>
          </w:tcPr>
          <w:p w14:paraId="642973BA" w14:textId="77777777" w:rsidR="007B6C97" w:rsidRDefault="007B6C97">
            <w:pPr>
              <w:rPr>
                <w:rFonts w:ascii="宋体"/>
                <w:vanish/>
              </w:rPr>
            </w:pPr>
          </w:p>
        </w:tc>
      </w:tr>
      <w:tr w:rsidR="007B6C97" w14:paraId="642973BF" w14:textId="77777777">
        <w:trPr>
          <w:jc w:val="center"/>
          <w:hidden/>
        </w:trPr>
        <w:tc>
          <w:tcPr>
            <w:tcW w:w="0" w:type="auto"/>
            <w:gridSpan w:val="3"/>
            <w:shd w:val="clear" w:color="auto" w:fill="auto"/>
            <w:vAlign w:val="bottom"/>
          </w:tcPr>
          <w:p w14:paraId="642973BC" w14:textId="77777777" w:rsidR="007B6C97" w:rsidRDefault="007B6C97">
            <w:pPr>
              <w:rPr>
                <w:rFonts w:ascii="宋体"/>
                <w:vanish/>
              </w:rPr>
            </w:pPr>
          </w:p>
        </w:tc>
        <w:tc>
          <w:tcPr>
            <w:tcW w:w="0" w:type="auto"/>
            <w:gridSpan w:val="3"/>
            <w:shd w:val="clear" w:color="auto" w:fill="auto"/>
            <w:vAlign w:val="bottom"/>
          </w:tcPr>
          <w:p w14:paraId="642973BD" w14:textId="77777777" w:rsidR="007B6C97" w:rsidRDefault="007B6C97">
            <w:pPr>
              <w:rPr>
                <w:rFonts w:ascii="宋体"/>
                <w:vanish/>
              </w:rPr>
            </w:pPr>
          </w:p>
        </w:tc>
        <w:tc>
          <w:tcPr>
            <w:tcW w:w="0" w:type="auto"/>
            <w:gridSpan w:val="3"/>
            <w:shd w:val="clear" w:color="auto" w:fill="auto"/>
            <w:vAlign w:val="bottom"/>
          </w:tcPr>
          <w:p w14:paraId="642973BE" w14:textId="77777777" w:rsidR="007B6C97" w:rsidRDefault="007B6C97">
            <w:pPr>
              <w:rPr>
                <w:rFonts w:ascii="宋体"/>
                <w:vanish/>
              </w:rPr>
            </w:pPr>
          </w:p>
        </w:tc>
      </w:tr>
    </w:tbl>
    <w:p w14:paraId="642973C0" w14:textId="77777777" w:rsidR="007B6C97" w:rsidRDefault="007B6C97"/>
    <w:p w14:paraId="642973C1" w14:textId="77777777" w:rsidR="007B6C97" w:rsidRDefault="00E426D1">
      <w:pPr>
        <w:jc w:val="center"/>
      </w:pPr>
      <w:r>
        <w:rPr>
          <w:rFonts w:ascii="Times New Roman" w:eastAsia="宋体" w:hAnsi="Times New Roman"/>
          <w:color w:val="000000"/>
          <w:sz w:val="20"/>
          <w:szCs w:val="20"/>
        </w:rPr>
        <w:t>9</w:t>
      </w:r>
    </w:p>
    <w:p w14:paraId="642973C2" w14:textId="77777777" w:rsidR="007B6C97" w:rsidRDefault="00E426D1">
      <w:r>
        <w:pict w14:anchorId="642999E3">
          <v:rect id="_x0000_i1033" style="width:415.3pt;height:1.5pt" o:hralign="center" o:hrstd="t" o:hr="t" fillcolor="#a0a0a0" stroked="f"/>
        </w:pict>
      </w:r>
    </w:p>
    <w:p w14:paraId="642973C3" w14:textId="77777777" w:rsidR="007B6C97" w:rsidRDefault="00E426D1">
      <w:hyperlink r:id="rId91" w:anchor="ie38a2b375c9840e583a36769999bbee6_7" w:history="1">
        <w:r>
          <w:rPr>
            <w:rStyle w:val="a5"/>
            <w:rFonts w:ascii="Times New Roman" w:eastAsia="宋体" w:hAnsi="Times New Roman"/>
            <w:sz w:val="20"/>
            <w:szCs w:val="20"/>
          </w:rPr>
          <w:t>Table</w:t>
        </w:r>
      </w:hyperlink>
      <w:hyperlink r:id="rId92" w:anchor="ie38a2b375c9840e583a36769999bbee6_7" w:history="1">
        <w:r>
          <w:rPr>
            <w:rStyle w:val="a5"/>
            <w:rFonts w:ascii="Times New Roman" w:eastAsia="宋体" w:hAnsi="Times New Roman"/>
            <w:sz w:val="20"/>
            <w:szCs w:val="20"/>
          </w:rPr>
          <w:t xml:space="preserve"> of Contents</w:t>
        </w:r>
      </w:hyperlink>
    </w:p>
    <w:p w14:paraId="642973C4" w14:textId="77777777" w:rsidR="007B6C97" w:rsidRDefault="00E426D1">
      <w:pPr>
        <w:jc w:val="center"/>
      </w:pPr>
      <w:r>
        <w:rPr>
          <w:rFonts w:ascii="Times New Roman" w:eastAsia="宋体" w:hAnsi="Times New Roman"/>
          <w:b/>
          <w:bCs/>
          <w:color w:val="000000"/>
          <w:sz w:val="20"/>
          <w:szCs w:val="20"/>
        </w:rPr>
        <w:t>STARBUCKS CORPORATION</w:t>
      </w:r>
    </w:p>
    <w:p w14:paraId="642973C5" w14:textId="77777777" w:rsidR="007B6C97" w:rsidRDefault="00E426D1">
      <w:pPr>
        <w:jc w:val="center"/>
      </w:pPr>
      <w:r>
        <w:rPr>
          <w:rFonts w:ascii="Times New Roman" w:eastAsia="宋体" w:hAnsi="Times New Roman"/>
          <w:b/>
          <w:bCs/>
          <w:color w:val="000000"/>
          <w:sz w:val="20"/>
          <w:szCs w:val="20"/>
        </w:rPr>
        <w:t>NOTES TO CONSOLIDATED FINANCIAL STATEMENTS</w:t>
      </w:r>
    </w:p>
    <w:p w14:paraId="642973C6" w14:textId="77777777" w:rsidR="007B6C97" w:rsidRDefault="00E426D1">
      <w:pPr>
        <w:jc w:val="center"/>
      </w:pPr>
      <w:r>
        <w:rPr>
          <w:rFonts w:ascii="Times New Roman" w:eastAsia="宋体" w:hAnsi="Times New Roman"/>
          <w:b/>
          <w:bCs/>
          <w:i/>
          <w:iCs/>
          <w:color w:val="000000"/>
          <w:sz w:val="20"/>
          <w:szCs w:val="20"/>
        </w:rPr>
        <w:t>(unaudited)</w:t>
      </w:r>
    </w:p>
    <w:p w14:paraId="642973C7" w14:textId="77777777" w:rsidR="007B6C97" w:rsidRDefault="00E426D1">
      <w:pPr>
        <w:spacing w:before="120"/>
      </w:pPr>
      <w:r>
        <w:rPr>
          <w:rFonts w:ascii="Times New Roman" w:eastAsia="宋体" w:hAnsi="Times New Roman"/>
          <w:b/>
          <w:bCs/>
          <w:color w:val="000000"/>
          <w:sz w:val="20"/>
          <w:szCs w:val="20"/>
        </w:rPr>
        <w:t>Note 1: Summa</w:t>
      </w:r>
      <w:r>
        <w:rPr>
          <w:rFonts w:ascii="Times New Roman" w:eastAsia="宋体" w:hAnsi="Times New Roman"/>
          <w:b/>
          <w:bCs/>
          <w:color w:val="000000"/>
          <w:sz w:val="20"/>
          <w:szCs w:val="20"/>
        </w:rPr>
        <w:t>ry of Significant Accounting Policies and Estimates</w:t>
      </w:r>
    </w:p>
    <w:p w14:paraId="642973C8" w14:textId="77777777" w:rsidR="007B6C97" w:rsidRDefault="00E426D1">
      <w:pPr>
        <w:spacing w:before="120"/>
      </w:pPr>
      <w:r>
        <w:rPr>
          <w:rFonts w:ascii="Times New Roman" w:eastAsia="宋体" w:hAnsi="Times New Roman"/>
          <w:i/>
          <w:iCs/>
          <w:color w:val="000000"/>
          <w:sz w:val="20"/>
          <w:szCs w:val="20"/>
        </w:rPr>
        <w:t xml:space="preserve">Financial Statement Preparation </w:t>
      </w:r>
    </w:p>
    <w:p w14:paraId="642973C9" w14:textId="77777777" w:rsidR="007B6C97" w:rsidRDefault="00E426D1">
      <w:pPr>
        <w:spacing w:before="120"/>
      </w:pPr>
      <w:r>
        <w:rPr>
          <w:rFonts w:ascii="Times New Roman" w:eastAsia="宋体" w:hAnsi="Times New Roman"/>
          <w:color w:val="000000"/>
          <w:sz w:val="20"/>
          <w:szCs w:val="20"/>
        </w:rPr>
        <w:t>The unaudited consolidated financial statements as of July 3, 2022, and for the quarter and three quarters ended July 3, 2022 and June 27, 2021, have been prepared by Star</w:t>
      </w:r>
      <w:r>
        <w:rPr>
          <w:rFonts w:ascii="Times New Roman" w:eastAsia="宋体" w:hAnsi="Times New Roman"/>
          <w:color w:val="000000"/>
          <w:sz w:val="20"/>
          <w:szCs w:val="20"/>
        </w:rPr>
        <w:t>bucks Corporation under the rules and regulations of the Securities and Exchange Commission (“SEC”). In the opinion of management, the financial information for the quarter and three quarters ended July 3, 2022 and June 27, 2021 reflects all adjustments an</w:t>
      </w:r>
      <w:r>
        <w:rPr>
          <w:rFonts w:ascii="Times New Roman" w:eastAsia="宋体" w:hAnsi="Times New Roman"/>
          <w:color w:val="000000"/>
          <w:sz w:val="20"/>
          <w:szCs w:val="20"/>
        </w:rPr>
        <w:t>d accruals, which are of a normal recurring nature, necessary for a fair presentation of the financial position, results of operations and cash flows for the interim periods. In this Quarterly Report on Form 10-Q (“10-Q”), Starbucks Corporation is referred</w:t>
      </w:r>
      <w:r>
        <w:rPr>
          <w:rFonts w:ascii="Times New Roman" w:eastAsia="宋体" w:hAnsi="Times New Roman"/>
          <w:color w:val="000000"/>
          <w:sz w:val="20"/>
          <w:szCs w:val="20"/>
        </w:rPr>
        <w:t xml:space="preserve"> to as “Starbucks,” the “Company,” “we,” “us” or “our.”</w:t>
      </w:r>
    </w:p>
    <w:p w14:paraId="642973CA" w14:textId="77777777" w:rsidR="007B6C97" w:rsidRDefault="00E426D1">
      <w:pPr>
        <w:spacing w:before="120"/>
      </w:pPr>
      <w:r>
        <w:rPr>
          <w:rFonts w:ascii="Times New Roman" w:eastAsia="宋体" w:hAnsi="Times New Roman"/>
          <w:color w:val="000000"/>
          <w:sz w:val="20"/>
          <w:szCs w:val="20"/>
        </w:rPr>
        <w:t>Segment information is prepared on the same basis that our management reviews financial information for operational decision-making purposes. In the fourth quarter of fiscal 2021, certain changes were</w:t>
      </w:r>
      <w:r>
        <w:rPr>
          <w:rFonts w:ascii="Times New Roman" w:eastAsia="宋体" w:hAnsi="Times New Roman"/>
          <w:color w:val="000000"/>
          <w:sz w:val="20"/>
          <w:szCs w:val="20"/>
        </w:rPr>
        <w:t xml:space="preserve"> made to our management team, and our operating segment reporting structure was realigned as a result. We realigned our fully licensed Latin America and Caribbean markets from our Americas operating segment to our International operating segment. We rename</w:t>
      </w:r>
      <w:r>
        <w:rPr>
          <w:rFonts w:ascii="Times New Roman" w:eastAsia="宋体" w:hAnsi="Times New Roman"/>
          <w:color w:val="000000"/>
          <w:sz w:val="20"/>
          <w:szCs w:val="20"/>
        </w:rPr>
        <w:t>d the Americas operating segment to the North America operating segment, since it is comprised of our company-operated and licensed stores in the U.S. and Canada. We also made certain other immaterial changes between our International operating segment and</w:t>
      </w:r>
      <w:r>
        <w:rPr>
          <w:rFonts w:ascii="Times New Roman" w:eastAsia="宋体" w:hAnsi="Times New Roman"/>
          <w:color w:val="000000"/>
          <w:sz w:val="20"/>
          <w:szCs w:val="20"/>
        </w:rPr>
        <w:t xml:space="preserve"> Corporate and Other. Certain prior period information for our North America and International operating segments and our Corporate and Other reportable segment has been reclassified to conform to the current year presentation. There was no impact on conso</w:t>
      </w:r>
      <w:r>
        <w:rPr>
          <w:rFonts w:ascii="Times New Roman" w:eastAsia="宋体" w:hAnsi="Times New Roman"/>
          <w:color w:val="000000"/>
          <w:sz w:val="20"/>
          <w:szCs w:val="20"/>
        </w:rPr>
        <w:t>lidated net revenues, total operating expenses, operating income or net earnings per share as a result of these changes.</w:t>
      </w:r>
    </w:p>
    <w:p w14:paraId="642973CB" w14:textId="77777777" w:rsidR="007B6C97" w:rsidRDefault="00E426D1">
      <w:pPr>
        <w:spacing w:before="120"/>
      </w:pPr>
      <w:r>
        <w:rPr>
          <w:rFonts w:ascii="Times New Roman" w:eastAsia="宋体" w:hAnsi="Times New Roman"/>
          <w:color w:val="000000"/>
          <w:sz w:val="20"/>
          <w:szCs w:val="20"/>
        </w:rPr>
        <w:t>Certain prior period information on the consolidated balance sheets and consolidated statements of cash flows have been reclassified to</w:t>
      </w:r>
      <w:r>
        <w:rPr>
          <w:rFonts w:ascii="Times New Roman" w:eastAsia="宋体" w:hAnsi="Times New Roman"/>
          <w:color w:val="000000"/>
          <w:sz w:val="20"/>
          <w:szCs w:val="20"/>
        </w:rPr>
        <w:t xml:space="preserve"> conform to the current presentation.</w:t>
      </w:r>
    </w:p>
    <w:p w14:paraId="642973CC" w14:textId="77777777" w:rsidR="007B6C97" w:rsidRDefault="00E426D1">
      <w:pPr>
        <w:spacing w:before="120"/>
      </w:pPr>
      <w:r>
        <w:rPr>
          <w:rFonts w:ascii="Times New Roman" w:eastAsia="宋体" w:hAnsi="Times New Roman"/>
          <w:color w:val="000000"/>
          <w:sz w:val="20"/>
          <w:szCs w:val="20"/>
        </w:rPr>
        <w:t>The financial information as of October 3, 2021 is derived from our audited consolidated financial statements and notes for the fiscal year ended October 3, 2021 (“fiscal 2021”) included in Item 8 in the Fiscal 2021 An</w:t>
      </w:r>
      <w:r>
        <w:rPr>
          <w:rFonts w:ascii="Times New Roman" w:eastAsia="宋体" w:hAnsi="Times New Roman"/>
          <w:color w:val="000000"/>
          <w:sz w:val="20"/>
          <w:szCs w:val="20"/>
        </w:rPr>
        <w:t>nual Report on Form 10-K (“10-K”). The information included in this 10-Q should be read in conjunction with the footnotes and management’s discussion and analysis of the consolidated financial statements in the 10-K.</w:t>
      </w:r>
    </w:p>
    <w:p w14:paraId="642973CD" w14:textId="77777777" w:rsidR="007B6C97" w:rsidRDefault="00E426D1">
      <w:pPr>
        <w:spacing w:before="120"/>
      </w:pPr>
      <w:r>
        <w:rPr>
          <w:rFonts w:ascii="Times New Roman" w:eastAsia="宋体" w:hAnsi="Times New Roman"/>
          <w:color w:val="000000"/>
          <w:sz w:val="20"/>
          <w:szCs w:val="20"/>
        </w:rPr>
        <w:t xml:space="preserve">The results of operations for the </w:t>
      </w:r>
      <w:r>
        <w:rPr>
          <w:rFonts w:ascii="Times New Roman" w:eastAsia="宋体" w:hAnsi="Times New Roman"/>
          <w:color w:val="000000"/>
          <w:sz w:val="20"/>
          <w:szCs w:val="20"/>
        </w:rPr>
        <w:t>quarter and three quarters ended July 3, 2022 are not necessarily indicative of the results of operations that may be achieved for the entire fiscal year ending October 2, 2022 (“fiscal 2022”). Our fiscal year ends on the Sunday closest to September 30. Ou</w:t>
      </w:r>
      <w:r>
        <w:rPr>
          <w:rFonts w:ascii="Times New Roman" w:eastAsia="宋体" w:hAnsi="Times New Roman"/>
          <w:color w:val="000000"/>
          <w:sz w:val="20"/>
          <w:szCs w:val="20"/>
        </w:rPr>
        <w:t>r fiscal 2022 year includes 52 weeks while our fiscal 2021 year included 53 weeks, with the 53rd week falling in the fourth quarter of fiscal 2021.</w:t>
      </w:r>
    </w:p>
    <w:p w14:paraId="642973CE" w14:textId="77777777" w:rsidR="007B6C97" w:rsidRDefault="00E426D1">
      <w:pPr>
        <w:spacing w:before="120"/>
      </w:pPr>
      <w:r>
        <w:rPr>
          <w:rFonts w:ascii="Times New Roman" w:eastAsia="宋体" w:hAnsi="Times New Roman"/>
          <w:color w:val="000000"/>
          <w:sz w:val="20"/>
          <w:szCs w:val="20"/>
        </w:rPr>
        <w:t>The novel coronavirus, known as the global COVID-19 pandemic, was first identified in December 2019 before s</w:t>
      </w:r>
      <w:r>
        <w:rPr>
          <w:rFonts w:ascii="Times New Roman" w:eastAsia="宋体" w:hAnsi="Times New Roman"/>
          <w:color w:val="000000"/>
          <w:sz w:val="20"/>
          <w:szCs w:val="20"/>
        </w:rPr>
        <w:t>preading to markets where we have company-operated or licensed stores. We have since established the necessary protocols to operate safely, and our businesses demonstrated powerful momentum beyond recovery from the COVID-19 pandemic. Certain markets, prima</w:t>
      </w:r>
      <w:r>
        <w:rPr>
          <w:rFonts w:ascii="Times New Roman" w:eastAsia="宋体" w:hAnsi="Times New Roman"/>
          <w:color w:val="000000"/>
          <w:sz w:val="20"/>
          <w:szCs w:val="20"/>
        </w:rPr>
        <w:t>rily China, continue to experience pandemic-related restrictions impacting sales as they battle COVID-19 resurgences and navigate through prolonged lockdowns. We continue to monitor the COVID-19 pandemic and its effect on our business and results of operat</w:t>
      </w:r>
      <w:r>
        <w:rPr>
          <w:rFonts w:ascii="Times New Roman" w:eastAsia="宋体" w:hAnsi="Times New Roman"/>
          <w:color w:val="000000"/>
          <w:sz w:val="20"/>
          <w:szCs w:val="20"/>
        </w:rPr>
        <w:t>ions; however, we cannot predict the duration, scope or severity of the COVID-19 pandemic or its future impact on our business, results of operations, cash flows and financial condition.</w:t>
      </w:r>
    </w:p>
    <w:p w14:paraId="642973CF" w14:textId="77777777" w:rsidR="007B6C97" w:rsidRDefault="00E426D1">
      <w:pPr>
        <w:spacing w:before="120"/>
      </w:pPr>
      <w:r>
        <w:rPr>
          <w:rFonts w:ascii="Times New Roman" w:eastAsia="宋体" w:hAnsi="Times New Roman"/>
          <w:i/>
          <w:iCs/>
          <w:color w:val="000000"/>
          <w:sz w:val="20"/>
          <w:szCs w:val="20"/>
        </w:rPr>
        <w:t>Government Subsidies</w:t>
      </w:r>
    </w:p>
    <w:p w14:paraId="642973D0" w14:textId="77777777" w:rsidR="007B6C97" w:rsidRDefault="00E426D1">
      <w:pPr>
        <w:spacing w:before="120"/>
      </w:pPr>
      <w:r>
        <w:rPr>
          <w:rFonts w:ascii="Times New Roman" w:eastAsia="宋体" w:hAnsi="Times New Roman"/>
          <w:color w:val="000000"/>
          <w:sz w:val="20"/>
          <w:szCs w:val="20"/>
        </w:rPr>
        <w:t>In response to the COVID-19 pandemic, certain go</w:t>
      </w:r>
      <w:r>
        <w:rPr>
          <w:rFonts w:ascii="Times New Roman" w:eastAsia="宋体" w:hAnsi="Times New Roman"/>
          <w:color w:val="000000"/>
          <w:sz w:val="20"/>
          <w:szCs w:val="20"/>
        </w:rPr>
        <w:t>vernments have provided subsidies and assistance to companies. The most substantial of these were the U.S. Coronavirus Aid, Relief, and Economic Security Act (“CARES Act”) and the Canada Emergency Wage Subsidy (“CEWS”), which were no longer applicable in l</w:t>
      </w:r>
      <w:r>
        <w:rPr>
          <w:rFonts w:ascii="Times New Roman" w:eastAsia="宋体" w:hAnsi="Times New Roman"/>
          <w:color w:val="000000"/>
          <w:sz w:val="20"/>
          <w:szCs w:val="20"/>
        </w:rPr>
        <w:t>ate fiscal 2021. During the quarter and three quarters ended June 27, 2021, qualified payroll and other credits reduced our store operating expenses by $56.4 million and $173.7 million, respectively, on our consolidated statements of earnings. After nettin</w:t>
      </w:r>
      <w:r>
        <w:rPr>
          <w:rFonts w:ascii="Times New Roman" w:eastAsia="宋体" w:hAnsi="Times New Roman"/>
          <w:color w:val="000000"/>
          <w:sz w:val="20"/>
          <w:szCs w:val="20"/>
        </w:rPr>
        <w:t xml:space="preserve">g the qualified credits against our payable, a receivable of $81.2 million and $172.4 million was included in prepaid expenses and other current assets as of July 3, 2022 and October 3, 2021, respectively. As of July 3, 2022, deferred payroll tax payments </w:t>
      </w:r>
      <w:r>
        <w:rPr>
          <w:rFonts w:ascii="Times New Roman" w:eastAsia="宋体" w:hAnsi="Times New Roman"/>
          <w:color w:val="000000"/>
          <w:sz w:val="20"/>
          <w:szCs w:val="20"/>
        </w:rPr>
        <w:t xml:space="preserve">of $116.4 million were included in accrued liabilities on our consolidated balance sheets. As of October 3, 2021, deferred payroll tax payments of $116.4 million were included in both accrued liabilities and other long-term liabilities on our consolidated </w:t>
      </w:r>
      <w:r>
        <w:rPr>
          <w:rFonts w:ascii="Times New Roman" w:eastAsia="宋体" w:hAnsi="Times New Roman"/>
          <w:color w:val="000000"/>
          <w:sz w:val="20"/>
          <w:szCs w:val="20"/>
        </w:rPr>
        <w:t>balance sheets.</w:t>
      </w:r>
    </w:p>
    <w:p w14:paraId="642973D1" w14:textId="77777777" w:rsidR="007B6C97" w:rsidRDefault="00E426D1">
      <w:pPr>
        <w:spacing w:before="120"/>
      </w:pPr>
      <w:r>
        <w:rPr>
          <w:rFonts w:ascii="Times New Roman" w:eastAsia="宋体" w:hAnsi="Times New Roman"/>
          <w:i/>
          <w:iCs/>
          <w:color w:val="000000"/>
          <w:sz w:val="20"/>
          <w:szCs w:val="20"/>
        </w:rPr>
        <w:t>Restructuring</w:t>
      </w:r>
    </w:p>
    <w:p w14:paraId="642973D2" w14:textId="77777777" w:rsidR="007B6C97" w:rsidRDefault="00E426D1">
      <w:pPr>
        <w:spacing w:before="120"/>
      </w:pPr>
      <w:r>
        <w:rPr>
          <w:rFonts w:ascii="Times New Roman" w:eastAsia="宋体" w:hAnsi="Times New Roman"/>
          <w:color w:val="000000"/>
          <w:sz w:val="20"/>
          <w:szCs w:val="20"/>
        </w:rPr>
        <w:t>In the third quarter of fiscal 2022, we announced a plan to reinvent Starbucks to increase efficiency, enabling us to seamlessly handle increasing demand in our U.S. stores, and to elevate the partner and customer experiences.</w:t>
      </w:r>
      <w:r>
        <w:rPr>
          <w:rFonts w:ascii="Times New Roman" w:eastAsia="宋体" w:hAnsi="Times New Roman"/>
          <w:color w:val="000000"/>
          <w:sz w:val="20"/>
          <w:szCs w:val="20"/>
        </w:rPr>
        <w:t xml:space="preserve"> As of July 3, 2022, we identified an immaterial amount of stores for closure due to safety concerns under our U.S. reinvention restructuring plan; the resulting restructuring and impairments costs are immaterial to our consolidated statement of earnings. </w:t>
      </w:r>
      <w:r>
        <w:rPr>
          <w:rFonts w:ascii="Times New Roman" w:eastAsia="宋体" w:hAnsi="Times New Roman"/>
          <w:color w:val="000000"/>
          <w:sz w:val="20"/>
          <w:szCs w:val="20"/>
        </w:rPr>
        <w:t xml:space="preserve">We estimate future </w:t>
      </w:r>
    </w:p>
    <w:p w14:paraId="642973D3" w14:textId="77777777" w:rsidR="007B6C97" w:rsidRDefault="00E426D1">
      <w:pPr>
        <w:jc w:val="center"/>
      </w:pPr>
      <w:r>
        <w:rPr>
          <w:rFonts w:ascii="Times New Roman" w:eastAsia="宋体" w:hAnsi="Times New Roman"/>
          <w:color w:val="000000"/>
          <w:sz w:val="20"/>
          <w:szCs w:val="20"/>
        </w:rPr>
        <w:t>10</w:t>
      </w:r>
    </w:p>
    <w:p w14:paraId="642973D4" w14:textId="77777777" w:rsidR="007B6C97" w:rsidRDefault="00E426D1">
      <w:r>
        <w:pict w14:anchorId="642999E4">
          <v:rect id="_x0000_i1034" style="width:415.3pt;height:1.5pt" o:hralign="center" o:hrstd="t" o:hr="t" fillcolor="#a0a0a0" stroked="f"/>
        </w:pict>
      </w:r>
    </w:p>
    <w:p w14:paraId="642973D5" w14:textId="77777777" w:rsidR="007B6C97" w:rsidRDefault="00E426D1">
      <w:hyperlink r:id="rId93" w:anchor="ie38a2b375c9840e583a36769999bbee6_7" w:history="1">
        <w:r>
          <w:rPr>
            <w:rStyle w:val="a5"/>
            <w:rFonts w:ascii="Times New Roman" w:eastAsia="宋体" w:hAnsi="Times New Roman"/>
            <w:sz w:val="20"/>
            <w:szCs w:val="20"/>
          </w:rPr>
          <w:t>Table</w:t>
        </w:r>
      </w:hyperlink>
      <w:hyperlink r:id="rId94" w:anchor="ie38a2b375c9840e583a36769999bbee6_7" w:history="1">
        <w:r>
          <w:rPr>
            <w:rStyle w:val="a5"/>
            <w:rFonts w:ascii="Times New Roman" w:eastAsia="宋体" w:hAnsi="Times New Roman"/>
            <w:sz w:val="20"/>
            <w:szCs w:val="20"/>
          </w:rPr>
          <w:t xml:space="preserve"> of Contents</w:t>
        </w:r>
      </w:hyperlink>
    </w:p>
    <w:p w14:paraId="642973D6" w14:textId="77777777" w:rsidR="007B6C97" w:rsidRDefault="00E426D1">
      <w:pPr>
        <w:spacing w:before="120"/>
      </w:pPr>
      <w:r>
        <w:rPr>
          <w:rFonts w:ascii="Times New Roman" w:eastAsia="宋体" w:hAnsi="Times New Roman"/>
          <w:color w:val="000000"/>
          <w:sz w:val="20"/>
          <w:szCs w:val="20"/>
        </w:rPr>
        <w:t xml:space="preserve">restructuring costs attributable to our reinvention plan to range from approximately $15 million to $20 million. Future restructuring costs are expected to be incurred over the next three </w:t>
      </w:r>
      <w:r>
        <w:rPr>
          <w:rFonts w:ascii="Times New Roman" w:eastAsia="宋体" w:hAnsi="Times New Roman"/>
          <w:color w:val="000000"/>
          <w:sz w:val="20"/>
          <w:szCs w:val="20"/>
        </w:rPr>
        <w:t>to nine months.</w:t>
      </w:r>
    </w:p>
    <w:p w14:paraId="642973D7" w14:textId="77777777" w:rsidR="007B6C97" w:rsidRDefault="00E426D1">
      <w:pPr>
        <w:spacing w:before="120"/>
      </w:pPr>
      <w:r>
        <w:rPr>
          <w:rFonts w:ascii="Times New Roman" w:eastAsia="宋体" w:hAnsi="Times New Roman"/>
          <w:color w:val="000000"/>
          <w:sz w:val="20"/>
          <w:szCs w:val="20"/>
        </w:rPr>
        <w:t>In fiscal 2021, we substantially completed our plan to reposition our North America store portfolio, primarily in dense metropolitan markets by pursuing strategic store closures and focusing on new store formats that better cater to changin</w:t>
      </w:r>
      <w:r>
        <w:rPr>
          <w:rFonts w:ascii="Times New Roman" w:eastAsia="宋体" w:hAnsi="Times New Roman"/>
          <w:color w:val="000000"/>
          <w:sz w:val="20"/>
          <w:szCs w:val="20"/>
        </w:rPr>
        <w:t>g customer tastes and preferences. As a result, we recorded approximately $19.8 million and $115.0 million to restructuring and impairments on our consolidated statements of earnings during the quarter ended and three quarters ended June 27, 2021. Of these</w:t>
      </w:r>
      <w:r>
        <w:rPr>
          <w:rFonts w:ascii="Times New Roman" w:eastAsia="宋体" w:hAnsi="Times New Roman"/>
          <w:color w:val="000000"/>
          <w:sz w:val="20"/>
          <w:szCs w:val="20"/>
        </w:rPr>
        <w:t xml:space="preserve"> totals, $7.8 million and $59.0 million related to the impairment of store assets for which either a triggering event occurred and the assets were determined not to be recoverable or the store was permanently closed, respectively. During the quarter and th</w:t>
      </w:r>
      <w:r>
        <w:rPr>
          <w:rFonts w:ascii="Times New Roman" w:eastAsia="宋体" w:hAnsi="Times New Roman"/>
          <w:color w:val="000000"/>
          <w:sz w:val="20"/>
          <w:szCs w:val="20"/>
        </w:rPr>
        <w:t>ree quarters ended June 27, 2021, an additional $12.2 million and $56.2 million, respectively, was associated with accelerated amortization of right-of-use (“ROU”) lease assets and other lease costs due to planned store closures prior to the end of contrac</w:t>
      </w:r>
      <w:r>
        <w:rPr>
          <w:rFonts w:ascii="Times New Roman" w:eastAsia="宋体" w:hAnsi="Times New Roman"/>
          <w:color w:val="000000"/>
          <w:sz w:val="20"/>
          <w:szCs w:val="20"/>
        </w:rPr>
        <w:t xml:space="preserve">tual lease terms. As this restructuring plan was substantially completed in fiscal 2021, we did not recognize any material restructuring and impairment amounts related to this plan during the quarter and three quarters ended July 3, 2022. </w:t>
      </w:r>
    </w:p>
    <w:p w14:paraId="642973D8" w14:textId="77777777" w:rsidR="007B6C97" w:rsidRDefault="00E426D1">
      <w:pPr>
        <w:spacing w:before="120"/>
      </w:pPr>
      <w:r>
        <w:rPr>
          <w:rFonts w:ascii="Times New Roman" w:eastAsia="宋体" w:hAnsi="Times New Roman"/>
          <w:color w:val="000000"/>
          <w:sz w:val="20"/>
          <w:szCs w:val="20"/>
        </w:rPr>
        <w:t>As of July 3, 20</w:t>
      </w:r>
      <w:r>
        <w:rPr>
          <w:rFonts w:ascii="Times New Roman" w:eastAsia="宋体" w:hAnsi="Times New Roman"/>
          <w:color w:val="000000"/>
          <w:sz w:val="20"/>
          <w:szCs w:val="20"/>
        </w:rPr>
        <w:t>22 and October 3, 2021, there were no material restructuring-related accrued liabilities on our consolidated balance sheets.</w:t>
      </w:r>
    </w:p>
    <w:p w14:paraId="642973D9" w14:textId="77777777" w:rsidR="007B6C97" w:rsidRDefault="00E426D1">
      <w:pPr>
        <w:spacing w:before="120"/>
      </w:pPr>
      <w:r>
        <w:rPr>
          <w:rFonts w:ascii="Times New Roman" w:eastAsia="宋体" w:hAnsi="Times New Roman"/>
          <w:i/>
          <w:iCs/>
          <w:color w:val="000000"/>
          <w:sz w:val="20"/>
          <w:szCs w:val="20"/>
        </w:rPr>
        <w:t>Recently Adopted Accounting Pronouncements</w:t>
      </w:r>
    </w:p>
    <w:p w14:paraId="642973DA" w14:textId="77777777" w:rsidR="007B6C97" w:rsidRDefault="00E426D1">
      <w:pPr>
        <w:spacing w:before="120"/>
      </w:pPr>
      <w:r>
        <w:rPr>
          <w:rFonts w:ascii="Times New Roman" w:eastAsia="宋体" w:hAnsi="Times New Roman"/>
          <w:color w:val="000000"/>
          <w:sz w:val="20"/>
          <w:szCs w:val="20"/>
        </w:rPr>
        <w:t>In the first quarter of fiscal 2022, we adopted the Financial Accounting Standards Board</w:t>
      </w:r>
      <w:r>
        <w:rPr>
          <w:rFonts w:ascii="Times New Roman" w:eastAsia="宋体" w:hAnsi="Times New Roman"/>
          <w:color w:val="000000"/>
          <w:sz w:val="20"/>
          <w:szCs w:val="20"/>
        </w:rPr>
        <w:t xml:space="preserve"> (“FASB”) issued guidance related to reference rate reform. The pronouncement provides temporary optional expedients and exceptions to the current guidance on contract modifications and hedge accounting to ease the financial reporting burden related to the</w:t>
      </w:r>
      <w:r>
        <w:rPr>
          <w:rFonts w:ascii="Times New Roman" w:eastAsia="宋体" w:hAnsi="Times New Roman"/>
          <w:color w:val="000000"/>
          <w:sz w:val="20"/>
          <w:szCs w:val="20"/>
        </w:rPr>
        <w:t xml:space="preserve"> expected market transition from the London Interbank Offered Rate (“LIBOR”) and other interbank offered rates to alternative reference rates. The guidance was effective upon issuance and generally can be applied to applicable contract modifications throug</w:t>
      </w:r>
      <w:r>
        <w:rPr>
          <w:rFonts w:ascii="Times New Roman" w:eastAsia="宋体" w:hAnsi="Times New Roman"/>
          <w:color w:val="000000"/>
          <w:sz w:val="20"/>
          <w:szCs w:val="20"/>
        </w:rPr>
        <w:t>h December 31, 2022. The adoption of the new guidance did not have a material impact to our financial statements.</w:t>
      </w:r>
    </w:p>
    <w:p w14:paraId="642973DB" w14:textId="77777777" w:rsidR="007B6C97" w:rsidRDefault="00E426D1">
      <w:pPr>
        <w:spacing w:before="120"/>
      </w:pPr>
      <w:r>
        <w:rPr>
          <w:rFonts w:ascii="Times New Roman" w:eastAsia="宋体" w:hAnsi="Times New Roman"/>
          <w:color w:val="000000"/>
          <w:sz w:val="20"/>
          <w:szCs w:val="20"/>
        </w:rPr>
        <w:t>In June 2016, the FASB issued guidance replacing the incurred loss impairment methodology with a new methodology that reflects current expecte</w:t>
      </w:r>
      <w:r>
        <w:rPr>
          <w:rFonts w:ascii="Times New Roman" w:eastAsia="宋体" w:hAnsi="Times New Roman"/>
          <w:color w:val="000000"/>
          <w:sz w:val="20"/>
          <w:szCs w:val="20"/>
        </w:rPr>
        <w:t>d credit losses on financial assets, including receivables and available-for-sale securities. The new methodology requires entities to estimate and recognize expected credit losses each reporting period. The guidance was adopted during the first quarter of</w:t>
      </w:r>
      <w:r>
        <w:rPr>
          <w:rFonts w:ascii="Times New Roman" w:eastAsia="宋体" w:hAnsi="Times New Roman"/>
          <w:color w:val="000000"/>
          <w:sz w:val="20"/>
          <w:szCs w:val="20"/>
        </w:rPr>
        <w:t xml:space="preserve"> fiscal 2021 under the modified retrospective approach and resulted in a $2.2 million transition adjustment to opening shareholders' retained deficit on our consolidated statements of equity.</w:t>
      </w:r>
    </w:p>
    <w:p w14:paraId="642973DC" w14:textId="77777777" w:rsidR="007B6C97" w:rsidRDefault="007B6C97">
      <w:pPr>
        <w:spacing w:before="120"/>
      </w:pPr>
    </w:p>
    <w:p w14:paraId="642973DD" w14:textId="77777777" w:rsidR="007B6C97" w:rsidRDefault="00E426D1">
      <w:pPr>
        <w:jc w:val="center"/>
      </w:pPr>
      <w:r>
        <w:rPr>
          <w:rFonts w:ascii="Times New Roman" w:eastAsia="宋体" w:hAnsi="Times New Roman"/>
          <w:color w:val="000000"/>
          <w:sz w:val="20"/>
          <w:szCs w:val="20"/>
        </w:rPr>
        <w:t>11</w:t>
      </w:r>
    </w:p>
    <w:p w14:paraId="642973DE" w14:textId="77777777" w:rsidR="007B6C97" w:rsidRDefault="00E426D1">
      <w:r>
        <w:pict w14:anchorId="642999E5">
          <v:rect id="_x0000_i1035" style="width:415.3pt;height:1.5pt" o:hralign="center" o:hrstd="t" o:hr="t" fillcolor="#a0a0a0" stroked="f"/>
        </w:pict>
      </w:r>
    </w:p>
    <w:p w14:paraId="642973DF" w14:textId="77777777" w:rsidR="007B6C97" w:rsidRDefault="00E426D1">
      <w:hyperlink r:id="rId95" w:anchor="ie38a2b375c9840e583a36769999bbee6_7" w:history="1">
        <w:r>
          <w:rPr>
            <w:rStyle w:val="a5"/>
            <w:rFonts w:ascii="Times New Roman" w:eastAsia="宋体" w:hAnsi="Times New Roman"/>
            <w:sz w:val="20"/>
            <w:szCs w:val="20"/>
          </w:rPr>
          <w:t>Table</w:t>
        </w:r>
      </w:hyperlink>
      <w:hyperlink r:id="rId96" w:anchor="ie38a2b375c9840e583a36769999bbee6_7" w:history="1">
        <w:r>
          <w:rPr>
            <w:rStyle w:val="a5"/>
            <w:rFonts w:ascii="Times New Roman" w:eastAsia="宋体" w:hAnsi="Times New Roman"/>
            <w:sz w:val="20"/>
            <w:szCs w:val="20"/>
          </w:rPr>
          <w:t xml:space="preserve"> of Co</w:t>
        </w:r>
        <w:r>
          <w:rPr>
            <w:rStyle w:val="a5"/>
            <w:rFonts w:ascii="Times New Roman" w:eastAsia="宋体" w:hAnsi="Times New Roman"/>
            <w:sz w:val="20"/>
            <w:szCs w:val="20"/>
          </w:rPr>
          <w:t>ntents</w:t>
        </w:r>
      </w:hyperlink>
    </w:p>
    <w:p w14:paraId="642973E0" w14:textId="77777777" w:rsidR="007B6C97" w:rsidRDefault="00E426D1">
      <w:pPr>
        <w:spacing w:before="120"/>
      </w:pPr>
      <w:r>
        <w:rPr>
          <w:rFonts w:ascii="Times New Roman" w:eastAsia="宋体" w:hAnsi="Times New Roman"/>
          <w:b/>
          <w:bCs/>
          <w:color w:val="000000"/>
          <w:sz w:val="20"/>
          <w:szCs w:val="20"/>
        </w:rPr>
        <w:t>Note 2: Derivative Financial Instruments</w:t>
      </w:r>
    </w:p>
    <w:p w14:paraId="642973E1" w14:textId="77777777" w:rsidR="007B6C97" w:rsidRDefault="00E426D1">
      <w:pPr>
        <w:spacing w:before="120"/>
      </w:pPr>
      <w:r>
        <w:rPr>
          <w:rFonts w:ascii="Times New Roman" w:eastAsia="宋体" w:hAnsi="Times New Roman"/>
          <w:b/>
          <w:bCs/>
          <w:i/>
          <w:iCs/>
          <w:color w:val="000000"/>
          <w:sz w:val="20"/>
          <w:szCs w:val="20"/>
        </w:rPr>
        <w:t xml:space="preserve">Interest Rates </w:t>
      </w:r>
    </w:p>
    <w:p w14:paraId="642973E2" w14:textId="77777777" w:rsidR="007B6C97" w:rsidRDefault="00E426D1">
      <w:pPr>
        <w:spacing w:before="120"/>
      </w:pPr>
      <w:r>
        <w:rPr>
          <w:rFonts w:ascii="Times New Roman" w:eastAsia="宋体" w:hAnsi="Times New Roman"/>
          <w:color w:val="000000"/>
          <w:sz w:val="20"/>
          <w:szCs w:val="20"/>
        </w:rPr>
        <w:t xml:space="preserve">From time to time, we enter into designated cash flow hedges to manage the variability in cash flows due to changes in benchmark interest rates. We enter into interest rate swap </w:t>
      </w:r>
      <w:r>
        <w:rPr>
          <w:rFonts w:ascii="Times New Roman" w:eastAsia="宋体" w:hAnsi="Times New Roman"/>
          <w:color w:val="000000"/>
          <w:sz w:val="20"/>
          <w:szCs w:val="20"/>
        </w:rPr>
        <w:t>agreements and treasury locks, which are synthetic forward sales of U.S. Treasury securities settled in cash based upon the difference between an agreed-upon treasury rate and the prevailing treasury rate at settlement. These agreements are cash settled at</w:t>
      </w:r>
      <w:r>
        <w:rPr>
          <w:rFonts w:ascii="Times New Roman" w:eastAsia="宋体" w:hAnsi="Times New Roman"/>
          <w:color w:val="000000"/>
          <w:sz w:val="20"/>
          <w:szCs w:val="20"/>
        </w:rPr>
        <w:t xml:space="preserve"> the time of the pricing of the related debt. Each derivative agreement's gain or loss is recorded in accumulated other comprehensive income (“AOCI”) and is subsequently reclassified to interest expense over the life of the related debt.</w:t>
      </w:r>
    </w:p>
    <w:p w14:paraId="642973E3" w14:textId="77777777" w:rsidR="007B6C97" w:rsidRDefault="00E426D1">
      <w:pPr>
        <w:spacing w:before="120"/>
      </w:pPr>
      <w:r>
        <w:rPr>
          <w:rFonts w:ascii="Times New Roman" w:eastAsia="宋体" w:hAnsi="Times New Roman"/>
          <w:color w:val="000000"/>
          <w:sz w:val="20"/>
          <w:szCs w:val="20"/>
        </w:rPr>
        <w:t>To hedge the expos</w:t>
      </w:r>
      <w:r>
        <w:rPr>
          <w:rFonts w:ascii="Times New Roman" w:eastAsia="宋体" w:hAnsi="Times New Roman"/>
          <w:color w:val="000000"/>
          <w:sz w:val="20"/>
          <w:szCs w:val="20"/>
        </w:rPr>
        <w:t>ure to changes in the fair value of our fixed-rate debt, we enter into interest rate swap agreements, which are designated as fair value hedges. The changes in fair values of these derivative instruments and the offsetting changes in fair values of the und</w:t>
      </w:r>
      <w:r>
        <w:rPr>
          <w:rFonts w:ascii="Times New Roman" w:eastAsia="宋体" w:hAnsi="Times New Roman"/>
          <w:color w:val="000000"/>
          <w:sz w:val="20"/>
          <w:szCs w:val="20"/>
        </w:rPr>
        <w:t>erlying hedged debt due to changes in the relevant benchmark interest rates are recorded in interest expense. Refer to </w:t>
      </w:r>
      <w:hyperlink r:id="rId97" w:anchor="ie38a2b375c9840e583a36769999bbee6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for additional information on our long-term debt.</w:t>
      </w:r>
    </w:p>
    <w:p w14:paraId="642973E4" w14:textId="77777777" w:rsidR="007B6C97" w:rsidRDefault="00E426D1">
      <w:pPr>
        <w:spacing w:before="120"/>
      </w:pPr>
      <w:r>
        <w:rPr>
          <w:rFonts w:ascii="Times New Roman" w:eastAsia="宋体" w:hAnsi="Times New Roman"/>
          <w:b/>
          <w:bCs/>
          <w:i/>
          <w:iCs/>
          <w:color w:val="000000"/>
          <w:sz w:val="20"/>
          <w:szCs w:val="20"/>
        </w:rPr>
        <w:t xml:space="preserve">Foreign Currency </w:t>
      </w:r>
    </w:p>
    <w:p w14:paraId="642973E5" w14:textId="77777777" w:rsidR="007B6C97" w:rsidRDefault="00E426D1">
      <w:pPr>
        <w:spacing w:before="120"/>
      </w:pPr>
      <w:r>
        <w:rPr>
          <w:rFonts w:ascii="Times New Roman" w:eastAsia="宋体" w:hAnsi="Times New Roman"/>
          <w:color w:val="000000"/>
          <w:sz w:val="20"/>
          <w:szCs w:val="20"/>
        </w:rPr>
        <w:t>To reduce cash flow volatility from foreign currency fluctuations, we enter into forward and swap contracts to hedge portions of cash flows of anticipated in</w:t>
      </w:r>
      <w:r>
        <w:rPr>
          <w:rFonts w:ascii="Times New Roman" w:eastAsia="宋体" w:hAnsi="Times New Roman"/>
          <w:color w:val="000000"/>
          <w:sz w:val="20"/>
          <w:szCs w:val="20"/>
        </w:rPr>
        <w:t>tercompany royalty payments, inventory purchases, and intercompany borrowing and lending activities. The resulting gains and losses from these derivatives are recorded in AOCI and subsequently reclassified to revenue, product and distribution costs, or int</w:t>
      </w:r>
      <w:r>
        <w:rPr>
          <w:rFonts w:ascii="Times New Roman" w:eastAsia="宋体" w:hAnsi="Times New Roman"/>
          <w:color w:val="000000"/>
          <w:sz w:val="20"/>
          <w:szCs w:val="20"/>
        </w:rPr>
        <w:t>erest income and other, net, respectively, when the hedged exposures affect net earnings.</w:t>
      </w:r>
    </w:p>
    <w:p w14:paraId="642973E6" w14:textId="77777777" w:rsidR="007B6C97" w:rsidRDefault="00E426D1">
      <w:pPr>
        <w:spacing w:before="120"/>
      </w:pPr>
      <w:r>
        <w:rPr>
          <w:rFonts w:ascii="Times New Roman" w:eastAsia="宋体" w:hAnsi="Times New Roman"/>
          <w:color w:val="000000"/>
          <w:sz w:val="20"/>
          <w:szCs w:val="20"/>
        </w:rPr>
        <w:t>From time to time, we may enter into financial instruments, including, but not limited to, forward and swap contracts or foreign currency-denominated debt, to hedge t</w:t>
      </w:r>
      <w:r>
        <w:rPr>
          <w:rFonts w:ascii="Times New Roman" w:eastAsia="宋体" w:hAnsi="Times New Roman"/>
          <w:color w:val="000000"/>
          <w:sz w:val="20"/>
          <w:szCs w:val="20"/>
        </w:rPr>
        <w:t>he currency exposure of our net investments in certain international operations. The resulting gains and losses from these derivatives are recorded in AOCI and are subsequently reclassified to net earnings when the hedged net investment is either sold or s</w:t>
      </w:r>
      <w:r>
        <w:rPr>
          <w:rFonts w:ascii="Times New Roman" w:eastAsia="宋体" w:hAnsi="Times New Roman"/>
          <w:color w:val="000000"/>
          <w:sz w:val="20"/>
          <w:szCs w:val="20"/>
        </w:rPr>
        <w:t>ubstantially liquidated.</w:t>
      </w:r>
    </w:p>
    <w:p w14:paraId="642973E7" w14:textId="77777777" w:rsidR="007B6C97" w:rsidRDefault="00E426D1">
      <w:pPr>
        <w:spacing w:before="120"/>
      </w:pPr>
      <w:r>
        <w:rPr>
          <w:rFonts w:ascii="Times New Roman" w:eastAsia="宋体" w:hAnsi="Times New Roman"/>
          <w:color w:val="000000"/>
          <w:sz w:val="20"/>
          <w:szCs w:val="20"/>
        </w:rPr>
        <w:t>Foreign currency forward and swap contracts not designated as hedging instruments are used to mitigate the foreign exchange risk of certain other balance sheet items. Gains and losses from these derivatives are largely offset by th</w:t>
      </w:r>
      <w:r>
        <w:rPr>
          <w:rFonts w:ascii="Times New Roman" w:eastAsia="宋体" w:hAnsi="Times New Roman"/>
          <w:color w:val="000000"/>
          <w:sz w:val="20"/>
          <w:szCs w:val="20"/>
        </w:rPr>
        <w:t>e financial impact of translating foreign currency-denominated payables and receivables, and these gains and losses are recorded in interest income and other, net.</w:t>
      </w:r>
    </w:p>
    <w:p w14:paraId="642973E8" w14:textId="77777777" w:rsidR="007B6C97" w:rsidRDefault="00E426D1">
      <w:pPr>
        <w:spacing w:before="120"/>
      </w:pPr>
      <w:r>
        <w:rPr>
          <w:rFonts w:ascii="Times New Roman" w:eastAsia="宋体" w:hAnsi="Times New Roman"/>
          <w:b/>
          <w:bCs/>
          <w:i/>
          <w:iCs/>
          <w:color w:val="000000"/>
          <w:sz w:val="20"/>
          <w:szCs w:val="20"/>
        </w:rPr>
        <w:t>Commodities</w:t>
      </w:r>
    </w:p>
    <w:p w14:paraId="642973E9" w14:textId="77777777" w:rsidR="007B6C97" w:rsidRDefault="00E426D1">
      <w:pPr>
        <w:spacing w:before="120"/>
      </w:pPr>
      <w:r>
        <w:rPr>
          <w:rFonts w:ascii="Times New Roman" w:eastAsia="宋体" w:hAnsi="Times New Roman"/>
          <w:color w:val="000000"/>
          <w:sz w:val="20"/>
          <w:szCs w:val="20"/>
        </w:rPr>
        <w:t xml:space="preserve">Depending on market conditions, we may enter into coffee forward contracts, futures contracts and collars to hedge anticipated cash flows under our price-to-be-fixed green coffee contracts, which are described further in </w:t>
      </w:r>
      <w:hyperlink r:id="rId98" w:anchor="ie38a2b375c9840e583a36769999bbee6_52"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 ye</w:t>
      </w:r>
      <w:r>
        <w:rPr>
          <w:rFonts w:ascii="Times New Roman" w:eastAsia="宋体" w:hAnsi="Times New Roman"/>
          <w:color w:val="000000"/>
          <w:sz w:val="20"/>
          <w:szCs w:val="20"/>
        </w:rPr>
        <w:t>t available. The resulting gains and losses are recorded in AOCI and are subsequently reclassified to product and distribution costs when the hedged exposure affects net earnings.</w:t>
      </w:r>
    </w:p>
    <w:p w14:paraId="642973EA" w14:textId="77777777" w:rsidR="007B6C97" w:rsidRDefault="00E426D1">
      <w:pPr>
        <w:spacing w:before="120"/>
      </w:pPr>
      <w:r>
        <w:rPr>
          <w:rFonts w:ascii="Times New Roman" w:eastAsia="宋体" w:hAnsi="Times New Roman"/>
          <w:color w:val="000000"/>
          <w:sz w:val="20"/>
          <w:szCs w:val="20"/>
        </w:rPr>
        <w:t>Depending on market conditions, we may also enter into dairy forward contrac</w:t>
      </w:r>
      <w:r>
        <w:rPr>
          <w:rFonts w:ascii="Times New Roman" w:eastAsia="宋体" w:hAnsi="Times New Roman"/>
          <w:color w:val="000000"/>
          <w:sz w:val="20"/>
          <w:szCs w:val="20"/>
        </w:rPr>
        <w:t>ts and futures contracts to hedge a portion of anticipated cash flows under our dairy purchase contracts and our forecasted dairy demand. The resulting gains or losses are recorded in AOCI and are subsequently reclassified to product and distribution costs</w:t>
      </w:r>
      <w:r>
        <w:rPr>
          <w:rFonts w:ascii="Times New Roman" w:eastAsia="宋体" w:hAnsi="Times New Roman"/>
          <w:color w:val="000000"/>
          <w:sz w:val="20"/>
          <w:szCs w:val="20"/>
        </w:rPr>
        <w:t xml:space="preserve"> when the hedged exposure affects net earnings.</w:t>
      </w:r>
    </w:p>
    <w:p w14:paraId="642973EB" w14:textId="77777777" w:rsidR="007B6C97" w:rsidRDefault="00E426D1">
      <w:pPr>
        <w:spacing w:before="120"/>
      </w:pPr>
      <w:r>
        <w:rPr>
          <w:rFonts w:ascii="Times New Roman" w:eastAsia="宋体" w:hAnsi="Times New Roman"/>
          <w:color w:val="000000"/>
          <w:sz w:val="20"/>
          <w:szCs w:val="20"/>
        </w:rPr>
        <w:t xml:space="preserve">Cash flow hedges related to anticipated transactions are designated and documented at the inception of each hedge. Cash flows from hedging transactions are classified in the same categories as the cash flows </w:t>
      </w:r>
      <w:r>
        <w:rPr>
          <w:rFonts w:ascii="Times New Roman" w:eastAsia="宋体" w:hAnsi="Times New Roman"/>
          <w:color w:val="000000"/>
          <w:sz w:val="20"/>
          <w:szCs w:val="20"/>
        </w:rPr>
        <w:t>from the respective hedged items. For de-designated cash flow hedges in which the underlying transactions are no longer probable of occurring, the related accumulated derivative gains or losses are recognized in interest income and other, net on our consol</w:t>
      </w:r>
      <w:r>
        <w:rPr>
          <w:rFonts w:ascii="Times New Roman" w:eastAsia="宋体" w:hAnsi="Times New Roman"/>
          <w:color w:val="000000"/>
          <w:sz w:val="20"/>
          <w:szCs w:val="20"/>
        </w:rPr>
        <w:t xml:space="preserve">idated statements of earnings. Due to ongoing global supply chain disruptions, certain coffee cash flow hedges have been de-designated early which resulted in insignificant amounts recognized in earnings during the quarter and three quarters ended July 3, </w:t>
      </w:r>
      <w:r>
        <w:rPr>
          <w:rFonts w:ascii="Times New Roman" w:eastAsia="宋体" w:hAnsi="Times New Roman"/>
          <w:color w:val="000000"/>
          <w:sz w:val="20"/>
          <w:szCs w:val="20"/>
        </w:rPr>
        <w:t>2022. These derivatives may be accounted for prospectively as non-designated derivatives until maturity, re-designated to new hedging relationships or terminated early. We continue to believe transactions related to our other designated cash flow hedges ar</w:t>
      </w:r>
      <w:r>
        <w:rPr>
          <w:rFonts w:ascii="Times New Roman" w:eastAsia="宋体" w:hAnsi="Times New Roman"/>
          <w:color w:val="000000"/>
          <w:sz w:val="20"/>
          <w:szCs w:val="20"/>
        </w:rPr>
        <w:t>e probable to occur.</w:t>
      </w:r>
    </w:p>
    <w:p w14:paraId="642973EC" w14:textId="77777777" w:rsidR="007B6C97" w:rsidRDefault="00E426D1">
      <w:pPr>
        <w:spacing w:before="120"/>
      </w:pPr>
      <w:r>
        <w:rPr>
          <w:rFonts w:ascii="Times New Roman" w:eastAsia="宋体" w:hAnsi="Times New Roman"/>
          <w:color w:val="000000"/>
          <w:sz w:val="20"/>
          <w:szCs w:val="20"/>
        </w:rPr>
        <w:t xml:space="preserve">To mitigate the price uncertainty of a portion of our future purchases, including diesel fuel and other commodities, we enter into swap contracts, futures and collars that are not designated as hedging instruments. The resulting gains </w:t>
      </w:r>
      <w:r>
        <w:rPr>
          <w:rFonts w:ascii="Times New Roman" w:eastAsia="宋体" w:hAnsi="Times New Roman"/>
          <w:color w:val="000000"/>
          <w:sz w:val="20"/>
          <w:szCs w:val="20"/>
        </w:rPr>
        <w:t>and losses are recorded in interest income and other, net to help offset price fluctuations on our beverage, food, packaging and transportation costs, which are included in product and distribution costs on our consolidated statements of earnings.</w:t>
      </w:r>
    </w:p>
    <w:p w14:paraId="642973ED" w14:textId="77777777" w:rsidR="007B6C97" w:rsidRDefault="00E426D1">
      <w:pPr>
        <w:jc w:val="center"/>
      </w:pPr>
      <w:r>
        <w:rPr>
          <w:rFonts w:ascii="Times New Roman" w:eastAsia="宋体" w:hAnsi="Times New Roman"/>
          <w:color w:val="000000"/>
          <w:sz w:val="20"/>
          <w:szCs w:val="20"/>
        </w:rPr>
        <w:t>12</w:t>
      </w:r>
    </w:p>
    <w:p w14:paraId="642973EE" w14:textId="77777777" w:rsidR="007B6C97" w:rsidRDefault="00E426D1">
      <w:r>
        <w:pict w14:anchorId="642999E6">
          <v:rect id="_x0000_i1036" style="width:415.3pt;height:1.5pt" o:hralign="center" o:hrstd="t" o:hr="t" fillcolor="#a0a0a0" stroked="f"/>
        </w:pict>
      </w:r>
    </w:p>
    <w:p w14:paraId="642973EF" w14:textId="77777777" w:rsidR="007B6C97" w:rsidRDefault="00E426D1">
      <w:hyperlink r:id="rId99" w:anchor="ie38a2b375c9840e583a36769999bbee6_7" w:history="1">
        <w:r>
          <w:rPr>
            <w:rStyle w:val="a5"/>
            <w:rFonts w:ascii="Times New Roman" w:eastAsia="宋体" w:hAnsi="Times New Roman"/>
            <w:sz w:val="20"/>
            <w:szCs w:val="20"/>
          </w:rPr>
          <w:t>Table</w:t>
        </w:r>
      </w:hyperlink>
      <w:hyperlink r:id="rId100" w:anchor="ie38a2b375c9840e583a36769999bbee6_7" w:history="1">
        <w:r>
          <w:rPr>
            <w:rStyle w:val="a5"/>
            <w:rFonts w:ascii="Times New Roman" w:eastAsia="宋体" w:hAnsi="Times New Roman"/>
            <w:sz w:val="20"/>
            <w:szCs w:val="20"/>
          </w:rPr>
          <w:t xml:space="preserve"> of Contents</w:t>
        </w:r>
      </w:hyperlink>
    </w:p>
    <w:p w14:paraId="642973F0" w14:textId="77777777" w:rsidR="007B6C97" w:rsidRDefault="00E426D1">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 to be reclassified into earnings within 12 month</w:t>
      </w:r>
      <w:r>
        <w:rPr>
          <w:rFonts w:ascii="Times New Roman" w:eastAsia="宋体" w:hAnsi="Times New Roman"/>
          <w:color w:val="000000"/>
          <w:sz w:val="20"/>
          <w:szCs w:val="20"/>
        </w:rPr>
        <w:t>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3"/>
        <w:gridCol w:w="2591"/>
        <w:gridCol w:w="37"/>
        <w:gridCol w:w="120"/>
        <w:gridCol w:w="1200"/>
        <w:gridCol w:w="36"/>
        <w:gridCol w:w="36"/>
        <w:gridCol w:w="36"/>
        <w:gridCol w:w="36"/>
        <w:gridCol w:w="120"/>
        <w:gridCol w:w="1200"/>
        <w:gridCol w:w="36"/>
        <w:gridCol w:w="36"/>
        <w:gridCol w:w="36"/>
        <w:gridCol w:w="36"/>
        <w:gridCol w:w="121"/>
        <w:gridCol w:w="1201"/>
        <w:gridCol w:w="36"/>
        <w:gridCol w:w="36"/>
        <w:gridCol w:w="36"/>
        <w:gridCol w:w="36"/>
        <w:gridCol w:w="64"/>
        <w:gridCol w:w="1159"/>
        <w:gridCol w:w="36"/>
      </w:tblGrid>
      <w:tr w:rsidR="007B6C97" w14:paraId="64297409" w14:textId="77777777">
        <w:tc>
          <w:tcPr>
            <w:tcW w:w="50" w:type="pct"/>
            <w:shd w:val="clear" w:color="auto" w:fill="auto"/>
            <w:vAlign w:val="bottom"/>
          </w:tcPr>
          <w:p w14:paraId="642973F1" w14:textId="77777777" w:rsidR="007B6C97" w:rsidRDefault="007B6C97">
            <w:pPr>
              <w:rPr>
                <w:rFonts w:ascii="宋体"/>
              </w:rPr>
            </w:pPr>
          </w:p>
        </w:tc>
        <w:tc>
          <w:tcPr>
            <w:tcW w:w="1606" w:type="pct"/>
            <w:shd w:val="clear" w:color="auto" w:fill="auto"/>
            <w:vAlign w:val="bottom"/>
          </w:tcPr>
          <w:p w14:paraId="642973F2" w14:textId="77777777" w:rsidR="007B6C97" w:rsidRDefault="007B6C97">
            <w:pPr>
              <w:rPr>
                <w:rFonts w:ascii="宋体"/>
              </w:rPr>
            </w:pPr>
          </w:p>
        </w:tc>
        <w:tc>
          <w:tcPr>
            <w:tcW w:w="5" w:type="pct"/>
            <w:shd w:val="clear" w:color="auto" w:fill="auto"/>
            <w:vAlign w:val="bottom"/>
          </w:tcPr>
          <w:p w14:paraId="642973F3" w14:textId="77777777" w:rsidR="007B6C97" w:rsidRDefault="007B6C97">
            <w:pPr>
              <w:rPr>
                <w:rFonts w:ascii="宋体"/>
              </w:rPr>
            </w:pPr>
          </w:p>
        </w:tc>
        <w:tc>
          <w:tcPr>
            <w:tcW w:w="50" w:type="pct"/>
            <w:shd w:val="clear" w:color="auto" w:fill="auto"/>
            <w:vAlign w:val="bottom"/>
          </w:tcPr>
          <w:p w14:paraId="642973F4" w14:textId="77777777" w:rsidR="007B6C97" w:rsidRDefault="007B6C97">
            <w:pPr>
              <w:rPr>
                <w:rFonts w:ascii="宋体"/>
              </w:rPr>
            </w:pPr>
          </w:p>
        </w:tc>
        <w:tc>
          <w:tcPr>
            <w:tcW w:w="757" w:type="pct"/>
            <w:shd w:val="clear" w:color="auto" w:fill="auto"/>
            <w:vAlign w:val="bottom"/>
          </w:tcPr>
          <w:p w14:paraId="642973F5" w14:textId="77777777" w:rsidR="007B6C97" w:rsidRDefault="007B6C97">
            <w:pPr>
              <w:rPr>
                <w:rFonts w:ascii="宋体"/>
              </w:rPr>
            </w:pPr>
          </w:p>
        </w:tc>
        <w:tc>
          <w:tcPr>
            <w:tcW w:w="5" w:type="pct"/>
            <w:shd w:val="clear" w:color="auto" w:fill="auto"/>
            <w:vAlign w:val="bottom"/>
          </w:tcPr>
          <w:p w14:paraId="642973F6" w14:textId="77777777" w:rsidR="007B6C97" w:rsidRDefault="007B6C97">
            <w:pPr>
              <w:rPr>
                <w:rFonts w:ascii="宋体"/>
              </w:rPr>
            </w:pPr>
          </w:p>
        </w:tc>
        <w:tc>
          <w:tcPr>
            <w:tcW w:w="5" w:type="pct"/>
            <w:shd w:val="clear" w:color="auto" w:fill="auto"/>
            <w:vAlign w:val="bottom"/>
          </w:tcPr>
          <w:p w14:paraId="642973F7" w14:textId="77777777" w:rsidR="007B6C97" w:rsidRDefault="007B6C97">
            <w:pPr>
              <w:rPr>
                <w:rFonts w:ascii="宋体"/>
              </w:rPr>
            </w:pPr>
          </w:p>
        </w:tc>
        <w:tc>
          <w:tcPr>
            <w:tcW w:w="19" w:type="pct"/>
            <w:shd w:val="clear" w:color="auto" w:fill="auto"/>
            <w:vAlign w:val="bottom"/>
          </w:tcPr>
          <w:p w14:paraId="642973F8" w14:textId="77777777" w:rsidR="007B6C97" w:rsidRDefault="007B6C97">
            <w:pPr>
              <w:rPr>
                <w:rFonts w:ascii="宋体"/>
              </w:rPr>
            </w:pPr>
          </w:p>
        </w:tc>
        <w:tc>
          <w:tcPr>
            <w:tcW w:w="5" w:type="pct"/>
            <w:shd w:val="clear" w:color="auto" w:fill="auto"/>
            <w:vAlign w:val="bottom"/>
          </w:tcPr>
          <w:p w14:paraId="642973F9" w14:textId="77777777" w:rsidR="007B6C97" w:rsidRDefault="007B6C97">
            <w:pPr>
              <w:rPr>
                <w:rFonts w:ascii="宋体"/>
              </w:rPr>
            </w:pPr>
          </w:p>
        </w:tc>
        <w:tc>
          <w:tcPr>
            <w:tcW w:w="50" w:type="pct"/>
            <w:shd w:val="clear" w:color="auto" w:fill="auto"/>
            <w:vAlign w:val="bottom"/>
          </w:tcPr>
          <w:p w14:paraId="642973FA" w14:textId="77777777" w:rsidR="007B6C97" w:rsidRDefault="007B6C97">
            <w:pPr>
              <w:rPr>
                <w:rFonts w:ascii="宋体"/>
              </w:rPr>
            </w:pPr>
          </w:p>
        </w:tc>
        <w:tc>
          <w:tcPr>
            <w:tcW w:w="757" w:type="pct"/>
            <w:shd w:val="clear" w:color="auto" w:fill="auto"/>
            <w:vAlign w:val="bottom"/>
          </w:tcPr>
          <w:p w14:paraId="642973FB" w14:textId="77777777" w:rsidR="007B6C97" w:rsidRDefault="007B6C97">
            <w:pPr>
              <w:rPr>
                <w:rFonts w:ascii="宋体"/>
              </w:rPr>
            </w:pPr>
          </w:p>
        </w:tc>
        <w:tc>
          <w:tcPr>
            <w:tcW w:w="5" w:type="pct"/>
            <w:shd w:val="clear" w:color="auto" w:fill="auto"/>
            <w:vAlign w:val="bottom"/>
          </w:tcPr>
          <w:p w14:paraId="642973FC" w14:textId="77777777" w:rsidR="007B6C97" w:rsidRDefault="007B6C97">
            <w:pPr>
              <w:rPr>
                <w:rFonts w:ascii="宋体"/>
              </w:rPr>
            </w:pPr>
          </w:p>
        </w:tc>
        <w:tc>
          <w:tcPr>
            <w:tcW w:w="5" w:type="pct"/>
            <w:shd w:val="clear" w:color="auto" w:fill="auto"/>
            <w:vAlign w:val="bottom"/>
          </w:tcPr>
          <w:p w14:paraId="642973FD" w14:textId="77777777" w:rsidR="007B6C97" w:rsidRDefault="007B6C97">
            <w:pPr>
              <w:rPr>
                <w:rFonts w:ascii="宋体"/>
              </w:rPr>
            </w:pPr>
          </w:p>
        </w:tc>
        <w:tc>
          <w:tcPr>
            <w:tcW w:w="19" w:type="pct"/>
            <w:shd w:val="clear" w:color="auto" w:fill="auto"/>
            <w:vAlign w:val="bottom"/>
          </w:tcPr>
          <w:p w14:paraId="642973FE" w14:textId="77777777" w:rsidR="007B6C97" w:rsidRDefault="007B6C97">
            <w:pPr>
              <w:rPr>
                <w:rFonts w:ascii="宋体"/>
              </w:rPr>
            </w:pPr>
          </w:p>
        </w:tc>
        <w:tc>
          <w:tcPr>
            <w:tcW w:w="5" w:type="pct"/>
            <w:shd w:val="clear" w:color="auto" w:fill="auto"/>
            <w:vAlign w:val="bottom"/>
          </w:tcPr>
          <w:p w14:paraId="642973FF" w14:textId="77777777" w:rsidR="007B6C97" w:rsidRDefault="007B6C97">
            <w:pPr>
              <w:rPr>
                <w:rFonts w:ascii="宋体"/>
              </w:rPr>
            </w:pPr>
          </w:p>
        </w:tc>
        <w:tc>
          <w:tcPr>
            <w:tcW w:w="50" w:type="pct"/>
            <w:shd w:val="clear" w:color="auto" w:fill="auto"/>
            <w:vAlign w:val="bottom"/>
          </w:tcPr>
          <w:p w14:paraId="64297400" w14:textId="77777777" w:rsidR="007B6C97" w:rsidRDefault="007B6C97">
            <w:pPr>
              <w:rPr>
                <w:rFonts w:ascii="宋体"/>
              </w:rPr>
            </w:pPr>
          </w:p>
        </w:tc>
        <w:tc>
          <w:tcPr>
            <w:tcW w:w="757" w:type="pct"/>
            <w:shd w:val="clear" w:color="auto" w:fill="auto"/>
            <w:vAlign w:val="bottom"/>
          </w:tcPr>
          <w:p w14:paraId="64297401" w14:textId="77777777" w:rsidR="007B6C97" w:rsidRDefault="007B6C97">
            <w:pPr>
              <w:rPr>
                <w:rFonts w:ascii="宋体"/>
              </w:rPr>
            </w:pPr>
          </w:p>
        </w:tc>
        <w:tc>
          <w:tcPr>
            <w:tcW w:w="5" w:type="pct"/>
            <w:shd w:val="clear" w:color="auto" w:fill="auto"/>
            <w:vAlign w:val="bottom"/>
          </w:tcPr>
          <w:p w14:paraId="64297402" w14:textId="77777777" w:rsidR="007B6C97" w:rsidRDefault="007B6C97">
            <w:pPr>
              <w:rPr>
                <w:rFonts w:ascii="宋体"/>
              </w:rPr>
            </w:pPr>
          </w:p>
        </w:tc>
        <w:tc>
          <w:tcPr>
            <w:tcW w:w="5" w:type="pct"/>
            <w:shd w:val="clear" w:color="auto" w:fill="auto"/>
            <w:vAlign w:val="bottom"/>
          </w:tcPr>
          <w:p w14:paraId="64297403" w14:textId="77777777" w:rsidR="007B6C97" w:rsidRDefault="007B6C97">
            <w:pPr>
              <w:rPr>
                <w:rFonts w:ascii="宋体"/>
              </w:rPr>
            </w:pPr>
          </w:p>
        </w:tc>
        <w:tc>
          <w:tcPr>
            <w:tcW w:w="19" w:type="pct"/>
            <w:shd w:val="clear" w:color="auto" w:fill="auto"/>
            <w:vAlign w:val="bottom"/>
          </w:tcPr>
          <w:p w14:paraId="64297404" w14:textId="77777777" w:rsidR="007B6C97" w:rsidRDefault="007B6C97">
            <w:pPr>
              <w:rPr>
                <w:rFonts w:ascii="宋体"/>
              </w:rPr>
            </w:pPr>
          </w:p>
        </w:tc>
        <w:tc>
          <w:tcPr>
            <w:tcW w:w="5" w:type="pct"/>
            <w:shd w:val="clear" w:color="auto" w:fill="auto"/>
            <w:vAlign w:val="bottom"/>
          </w:tcPr>
          <w:p w14:paraId="64297405" w14:textId="77777777" w:rsidR="007B6C97" w:rsidRDefault="007B6C97">
            <w:pPr>
              <w:rPr>
                <w:rFonts w:ascii="宋体"/>
              </w:rPr>
            </w:pPr>
          </w:p>
        </w:tc>
        <w:tc>
          <w:tcPr>
            <w:tcW w:w="50" w:type="pct"/>
            <w:shd w:val="clear" w:color="auto" w:fill="auto"/>
            <w:vAlign w:val="bottom"/>
          </w:tcPr>
          <w:p w14:paraId="64297406" w14:textId="77777777" w:rsidR="007B6C97" w:rsidRDefault="007B6C97">
            <w:pPr>
              <w:rPr>
                <w:rFonts w:ascii="宋体"/>
              </w:rPr>
            </w:pPr>
          </w:p>
        </w:tc>
        <w:tc>
          <w:tcPr>
            <w:tcW w:w="757" w:type="pct"/>
            <w:shd w:val="clear" w:color="auto" w:fill="auto"/>
            <w:vAlign w:val="bottom"/>
          </w:tcPr>
          <w:p w14:paraId="64297407" w14:textId="77777777" w:rsidR="007B6C97" w:rsidRDefault="007B6C97">
            <w:pPr>
              <w:rPr>
                <w:rFonts w:ascii="宋体"/>
              </w:rPr>
            </w:pPr>
          </w:p>
        </w:tc>
        <w:tc>
          <w:tcPr>
            <w:tcW w:w="5" w:type="pct"/>
            <w:shd w:val="clear" w:color="auto" w:fill="auto"/>
            <w:vAlign w:val="bottom"/>
          </w:tcPr>
          <w:p w14:paraId="64297408" w14:textId="77777777" w:rsidR="007B6C97" w:rsidRDefault="007B6C97">
            <w:pPr>
              <w:rPr>
                <w:rFonts w:ascii="宋体"/>
              </w:rPr>
            </w:pPr>
          </w:p>
        </w:tc>
      </w:tr>
      <w:tr w:rsidR="007B6C97" w14:paraId="64297412" w14:textId="77777777">
        <w:trPr>
          <w:trHeight w:val="460"/>
        </w:trPr>
        <w:tc>
          <w:tcPr>
            <w:tcW w:w="0" w:type="auto"/>
            <w:gridSpan w:val="3"/>
            <w:shd w:val="clear" w:color="auto" w:fill="auto"/>
            <w:tcMar>
              <w:top w:w="0" w:type="dxa"/>
              <w:left w:w="20" w:type="dxa"/>
              <w:bottom w:w="0" w:type="dxa"/>
              <w:right w:w="20" w:type="dxa"/>
            </w:tcMar>
            <w:vAlign w:val="bottom"/>
          </w:tcPr>
          <w:p w14:paraId="6429740A"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40B"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Net Gains/(Losses) </w:t>
            </w:r>
          </w:p>
          <w:p w14:paraId="6429740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vAlign w:val="bottom"/>
          </w:tcPr>
          <w:p w14:paraId="6429740D"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40E" w14:textId="77777777" w:rsidR="007B6C97" w:rsidRDefault="00E426D1">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vAlign w:val="bottom"/>
          </w:tcPr>
          <w:p w14:paraId="6429740F"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410"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Outstanding Contract/Debt Remaining Maturity</w:t>
            </w:r>
          </w:p>
          <w:p w14:paraId="64297411"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(Months)</w:t>
            </w:r>
          </w:p>
        </w:tc>
      </w:tr>
      <w:tr w:rsidR="007B6C97" w14:paraId="6429741B" w14:textId="77777777">
        <w:trPr>
          <w:trHeight w:val="460"/>
        </w:trPr>
        <w:tc>
          <w:tcPr>
            <w:tcW w:w="0" w:type="auto"/>
            <w:gridSpan w:val="3"/>
            <w:shd w:val="clear" w:color="auto" w:fill="auto"/>
            <w:tcMar>
              <w:top w:w="0" w:type="dxa"/>
              <w:left w:w="20" w:type="dxa"/>
              <w:bottom w:w="0" w:type="dxa"/>
              <w:right w:w="20" w:type="dxa"/>
            </w:tcMar>
            <w:vAlign w:val="bottom"/>
          </w:tcPr>
          <w:p w14:paraId="6429741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414"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41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416" w14:textId="77777777" w:rsidR="007B6C97" w:rsidRDefault="00E426D1">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4297417"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418"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419"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41A" w14:textId="77777777" w:rsidR="007B6C97" w:rsidRDefault="007B6C97">
            <w:pPr>
              <w:rPr>
                <w:rFonts w:ascii="宋体"/>
              </w:rPr>
            </w:pPr>
          </w:p>
        </w:tc>
      </w:tr>
      <w:tr w:rsidR="007B6C97" w14:paraId="64297424" w14:textId="77777777">
        <w:tc>
          <w:tcPr>
            <w:tcW w:w="0" w:type="auto"/>
            <w:gridSpan w:val="3"/>
            <w:shd w:val="clear" w:color="auto" w:fill="D7E4BC"/>
            <w:tcMar>
              <w:top w:w="40" w:type="dxa"/>
              <w:left w:w="20" w:type="dxa"/>
              <w:bottom w:w="40" w:type="dxa"/>
              <w:right w:w="20" w:type="dxa"/>
            </w:tcMar>
          </w:tcPr>
          <w:p w14:paraId="6429741C" w14:textId="77777777" w:rsidR="007B6C97" w:rsidRDefault="00E426D1">
            <w:pPr>
              <w:textAlignment w:val="top"/>
            </w:pPr>
            <w:r>
              <w:rPr>
                <w:rFonts w:ascii="Times New Roman" w:eastAsia="宋体" w:hAnsi="Times New Roman"/>
                <w:color w:val="000000"/>
                <w:sz w:val="20"/>
                <w:szCs w:val="20"/>
              </w:rPr>
              <w:t xml:space="preserve">Cash Flow </w:t>
            </w:r>
            <w:r>
              <w:rPr>
                <w:rFonts w:ascii="Times New Roman" w:eastAsia="宋体" w:hAnsi="Times New Roman"/>
                <w:color w:val="000000"/>
                <w:sz w:val="20"/>
                <w:szCs w:val="20"/>
              </w:rPr>
              <w:t>Hedges: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1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1E"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1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20"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2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22"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23" w14:textId="77777777" w:rsidR="007B6C97" w:rsidRDefault="007B6C97">
            <w:pPr>
              <w:rPr>
                <w:rFonts w:ascii="宋体"/>
              </w:rPr>
            </w:pPr>
          </w:p>
        </w:tc>
      </w:tr>
      <w:tr w:rsidR="007B6C97" w14:paraId="64297433" w14:textId="77777777">
        <w:tc>
          <w:tcPr>
            <w:tcW w:w="0" w:type="auto"/>
            <w:gridSpan w:val="3"/>
            <w:shd w:val="clear" w:color="auto" w:fill="FFFFFF"/>
            <w:tcMar>
              <w:top w:w="40" w:type="dxa"/>
              <w:left w:w="155" w:type="dxa"/>
              <w:bottom w:w="40" w:type="dxa"/>
              <w:right w:w="20" w:type="dxa"/>
            </w:tcMar>
          </w:tcPr>
          <w:p w14:paraId="64297425" w14:textId="77777777" w:rsidR="007B6C97" w:rsidRDefault="00E426D1">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6429742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427" w14:textId="77777777" w:rsidR="007B6C97" w:rsidRDefault="00E426D1">
            <w:pPr>
              <w:jc w:val="right"/>
              <w:textAlignment w:val="bottom"/>
            </w:pPr>
            <w:r>
              <w:rPr>
                <w:rFonts w:ascii="Times New Roman" w:eastAsia="宋体" w:hAnsi="Times New Roman"/>
                <w:color w:val="000000"/>
                <w:sz w:val="20"/>
                <w:szCs w:val="20"/>
              </w:rPr>
              <w:t>214.6 </w:t>
            </w:r>
          </w:p>
        </w:tc>
        <w:tc>
          <w:tcPr>
            <w:tcW w:w="0" w:type="auto"/>
            <w:shd w:val="clear" w:color="auto" w:fill="FFFFFF"/>
            <w:tcMar>
              <w:top w:w="40" w:type="dxa"/>
              <w:left w:w="0" w:type="dxa"/>
              <w:bottom w:w="40" w:type="dxa"/>
              <w:right w:w="20" w:type="dxa"/>
            </w:tcMar>
            <w:vAlign w:val="bottom"/>
          </w:tcPr>
          <w:p w14:paraId="6429742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2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42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42B" w14:textId="77777777" w:rsidR="007B6C97" w:rsidRDefault="00E426D1">
            <w:pPr>
              <w:jc w:val="right"/>
              <w:textAlignment w:val="bottom"/>
            </w:pPr>
            <w:r>
              <w:rPr>
                <w:rFonts w:ascii="Times New Roman" w:eastAsia="宋体" w:hAnsi="Times New Roman"/>
                <w:color w:val="000000"/>
                <w:sz w:val="20"/>
                <w:szCs w:val="20"/>
              </w:rPr>
              <w:t>197.8 </w:t>
            </w:r>
          </w:p>
        </w:tc>
        <w:tc>
          <w:tcPr>
            <w:tcW w:w="0" w:type="auto"/>
            <w:shd w:val="clear" w:color="auto" w:fill="FFFFFF"/>
            <w:tcMar>
              <w:top w:w="40" w:type="dxa"/>
              <w:left w:w="0" w:type="dxa"/>
              <w:bottom w:w="40" w:type="dxa"/>
              <w:right w:w="20" w:type="dxa"/>
            </w:tcMar>
            <w:vAlign w:val="bottom"/>
          </w:tcPr>
          <w:p w14:paraId="6429742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2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42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42F" w14:textId="77777777" w:rsidR="007B6C97" w:rsidRDefault="00E426D1">
            <w:pPr>
              <w:jc w:val="right"/>
              <w:textAlignment w:val="bottom"/>
            </w:pPr>
            <w:r>
              <w:rPr>
                <w:rFonts w:ascii="Times New Roman" w:eastAsia="宋体" w:hAnsi="Times New Roman"/>
                <w:color w:val="000000"/>
                <w:sz w:val="20"/>
                <w:szCs w:val="20"/>
              </w:rPr>
              <w:t>214.4 </w:t>
            </w:r>
          </w:p>
        </w:tc>
        <w:tc>
          <w:tcPr>
            <w:tcW w:w="0" w:type="auto"/>
            <w:shd w:val="clear" w:color="auto" w:fill="FFFFFF"/>
            <w:tcMar>
              <w:top w:w="40" w:type="dxa"/>
              <w:left w:w="0" w:type="dxa"/>
              <w:bottom w:w="40" w:type="dxa"/>
              <w:right w:w="20" w:type="dxa"/>
            </w:tcMar>
            <w:vAlign w:val="bottom"/>
          </w:tcPr>
          <w:p w14:paraId="642974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3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432" w14:textId="77777777" w:rsidR="007B6C97" w:rsidRDefault="00E426D1">
            <w:pPr>
              <w:jc w:val="center"/>
              <w:textAlignment w:val="bottom"/>
            </w:pPr>
            <w:r>
              <w:rPr>
                <w:rFonts w:ascii="Times New Roman" w:eastAsia="宋体" w:hAnsi="Times New Roman"/>
                <w:color w:val="000000"/>
                <w:sz w:val="20"/>
                <w:szCs w:val="20"/>
              </w:rPr>
              <w:t>6</w:t>
            </w:r>
          </w:p>
        </w:tc>
      </w:tr>
      <w:tr w:rsidR="007B6C97" w14:paraId="6429743F" w14:textId="77777777">
        <w:tc>
          <w:tcPr>
            <w:tcW w:w="0" w:type="auto"/>
            <w:gridSpan w:val="3"/>
            <w:shd w:val="clear" w:color="auto" w:fill="D7E4BC"/>
            <w:tcMar>
              <w:top w:w="40" w:type="dxa"/>
              <w:left w:w="155" w:type="dxa"/>
              <w:bottom w:w="40" w:type="dxa"/>
              <w:right w:w="20" w:type="dxa"/>
            </w:tcMar>
          </w:tcPr>
          <w:p w14:paraId="64297434" w14:textId="77777777" w:rsidR="007B6C97" w:rsidRDefault="00E426D1">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64297435" w14:textId="77777777" w:rsidR="007B6C97" w:rsidRDefault="00E426D1">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6429743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3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438" w14:textId="77777777" w:rsidR="007B6C97" w:rsidRDefault="00E426D1">
            <w:pPr>
              <w:jc w:val="right"/>
              <w:textAlignment w:val="center"/>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center"/>
          </w:tcPr>
          <w:p w14:paraId="6429743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3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43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43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3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43E" w14:textId="77777777" w:rsidR="007B6C97" w:rsidRDefault="00E426D1">
            <w:pPr>
              <w:jc w:val="center"/>
              <w:textAlignment w:val="bottom"/>
            </w:pPr>
            <w:r>
              <w:rPr>
                <w:rFonts w:ascii="Times New Roman" w:eastAsia="宋体" w:hAnsi="Times New Roman"/>
                <w:color w:val="000000"/>
                <w:sz w:val="20"/>
                <w:szCs w:val="20"/>
              </w:rPr>
              <w:t>29</w:t>
            </w:r>
          </w:p>
        </w:tc>
      </w:tr>
      <w:tr w:rsidR="007B6C97" w14:paraId="6429744B" w14:textId="77777777">
        <w:tc>
          <w:tcPr>
            <w:tcW w:w="0" w:type="auto"/>
            <w:gridSpan w:val="3"/>
            <w:shd w:val="clear" w:color="auto" w:fill="FFFFFF"/>
            <w:tcMar>
              <w:top w:w="40" w:type="dxa"/>
              <w:left w:w="140" w:type="dxa"/>
              <w:bottom w:w="40" w:type="dxa"/>
              <w:right w:w="20" w:type="dxa"/>
            </w:tcMar>
          </w:tcPr>
          <w:p w14:paraId="64297440" w14:textId="77777777" w:rsidR="007B6C97" w:rsidRDefault="00E426D1">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64297441"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429744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4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44" w14:textId="77777777" w:rsidR="007B6C97" w:rsidRDefault="00E426D1">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429744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4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47"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429744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49"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44A" w14:textId="77777777" w:rsidR="007B6C97" w:rsidRDefault="00E426D1">
            <w:pPr>
              <w:jc w:val="center"/>
              <w:textAlignment w:val="bottom"/>
            </w:pPr>
            <w:r>
              <w:rPr>
                <w:rFonts w:ascii="Times New Roman" w:eastAsia="宋体" w:hAnsi="Times New Roman"/>
                <w:color w:val="000000"/>
                <w:sz w:val="20"/>
                <w:szCs w:val="20"/>
              </w:rPr>
              <w:t>14</w:t>
            </w:r>
          </w:p>
        </w:tc>
      </w:tr>
      <w:tr w:rsidR="007B6C97" w14:paraId="64297457" w14:textId="77777777">
        <w:tc>
          <w:tcPr>
            <w:tcW w:w="0" w:type="auto"/>
            <w:gridSpan w:val="3"/>
            <w:shd w:val="clear" w:color="auto" w:fill="D7E4BC"/>
            <w:tcMar>
              <w:top w:w="40" w:type="dxa"/>
              <w:left w:w="155" w:type="dxa"/>
              <w:bottom w:w="40" w:type="dxa"/>
              <w:right w:w="20" w:type="dxa"/>
            </w:tcMar>
          </w:tcPr>
          <w:p w14:paraId="6429744C" w14:textId="77777777" w:rsidR="007B6C97" w:rsidRDefault="00E426D1">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6429744D" w14:textId="77777777" w:rsidR="007B6C97" w:rsidRDefault="00E426D1">
            <w:pPr>
              <w:jc w:val="right"/>
              <w:textAlignment w:val="bottom"/>
            </w:pPr>
            <w:r>
              <w:rPr>
                <w:rFonts w:ascii="Times New Roman" w:eastAsia="宋体" w:hAnsi="Times New Roman"/>
                <w:color w:val="000000"/>
                <w:sz w:val="20"/>
                <w:szCs w:val="20"/>
              </w:rPr>
              <w:t>35.9 </w:t>
            </w:r>
          </w:p>
        </w:tc>
        <w:tc>
          <w:tcPr>
            <w:tcW w:w="0" w:type="auto"/>
            <w:shd w:val="clear" w:color="auto" w:fill="D7E4BC"/>
            <w:tcMar>
              <w:top w:w="40" w:type="dxa"/>
              <w:left w:w="0" w:type="dxa"/>
              <w:bottom w:w="40" w:type="dxa"/>
              <w:right w:w="20" w:type="dxa"/>
            </w:tcMar>
            <w:vAlign w:val="bottom"/>
          </w:tcPr>
          <w:p w14:paraId="642974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4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450" w14:textId="77777777" w:rsidR="007B6C97" w:rsidRDefault="00E426D1">
            <w:pPr>
              <w:jc w:val="right"/>
              <w:textAlignment w:val="center"/>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center"/>
          </w:tcPr>
          <w:p w14:paraId="6429745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5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453" w14:textId="77777777" w:rsidR="007B6C97" w:rsidRDefault="00E426D1">
            <w:pPr>
              <w:jc w:val="right"/>
              <w:textAlignment w:val="bottom"/>
            </w:pPr>
            <w:r>
              <w:rPr>
                <w:rFonts w:ascii="Times New Roman" w:eastAsia="宋体" w:hAnsi="Times New Roman"/>
                <w:color w:val="000000"/>
                <w:sz w:val="20"/>
                <w:szCs w:val="20"/>
              </w:rPr>
              <w:t>18.9 </w:t>
            </w:r>
          </w:p>
        </w:tc>
        <w:tc>
          <w:tcPr>
            <w:tcW w:w="0" w:type="auto"/>
            <w:shd w:val="clear" w:color="auto" w:fill="D7E4BC"/>
            <w:tcMar>
              <w:top w:w="40" w:type="dxa"/>
              <w:left w:w="0" w:type="dxa"/>
              <w:bottom w:w="40" w:type="dxa"/>
              <w:right w:w="20" w:type="dxa"/>
            </w:tcMar>
            <w:vAlign w:val="bottom"/>
          </w:tcPr>
          <w:p w14:paraId="642974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5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456" w14:textId="77777777" w:rsidR="007B6C97" w:rsidRDefault="00E426D1">
            <w:pPr>
              <w:jc w:val="center"/>
              <w:textAlignment w:val="bottom"/>
            </w:pPr>
            <w:r>
              <w:rPr>
                <w:rFonts w:ascii="Times New Roman" w:eastAsia="宋体" w:hAnsi="Times New Roman"/>
                <w:color w:val="000000"/>
                <w:sz w:val="20"/>
                <w:szCs w:val="20"/>
              </w:rPr>
              <w:t>33</w:t>
            </w:r>
          </w:p>
        </w:tc>
      </w:tr>
      <w:tr w:rsidR="007B6C97" w14:paraId="64297463" w14:textId="77777777">
        <w:tc>
          <w:tcPr>
            <w:tcW w:w="0" w:type="auto"/>
            <w:gridSpan w:val="3"/>
            <w:shd w:val="clear" w:color="auto" w:fill="FFFFFF"/>
            <w:tcMar>
              <w:top w:w="40" w:type="dxa"/>
              <w:left w:w="155" w:type="dxa"/>
              <w:bottom w:w="40" w:type="dxa"/>
              <w:right w:w="20" w:type="dxa"/>
            </w:tcMar>
          </w:tcPr>
          <w:p w14:paraId="64297458" w14:textId="77777777" w:rsidR="007B6C97" w:rsidRDefault="00E426D1">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64297459" w14:textId="77777777" w:rsidR="007B6C97" w:rsidRDefault="00E426D1">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6429745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5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745C" w14:textId="77777777" w:rsidR="007B6C97" w:rsidRDefault="00E426D1">
            <w:pPr>
              <w:jc w:val="right"/>
              <w:textAlignment w:val="center"/>
            </w:pPr>
            <w:r>
              <w:rPr>
                <w:rFonts w:ascii="Times New Roman" w:eastAsia="宋体" w:hAnsi="Times New Roman"/>
                <w:color w:val="000000"/>
                <w:sz w:val="20"/>
                <w:szCs w:val="20"/>
              </w:rPr>
              <w:t>(44.8)</w:t>
            </w:r>
          </w:p>
        </w:tc>
        <w:tc>
          <w:tcPr>
            <w:tcW w:w="0" w:type="auto"/>
            <w:shd w:val="clear" w:color="auto" w:fill="FFFFFF"/>
            <w:tcMar>
              <w:top w:w="40" w:type="dxa"/>
              <w:left w:w="0" w:type="dxa"/>
              <w:bottom w:w="40" w:type="dxa"/>
              <w:right w:w="20" w:type="dxa"/>
            </w:tcMar>
            <w:vAlign w:val="center"/>
          </w:tcPr>
          <w:p w14:paraId="6429745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5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5F" w14:textId="77777777" w:rsidR="007B6C97" w:rsidRDefault="00E426D1">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42974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6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462" w14:textId="77777777" w:rsidR="007B6C97" w:rsidRDefault="00E426D1">
            <w:pPr>
              <w:jc w:val="center"/>
              <w:textAlignment w:val="bottom"/>
            </w:pPr>
            <w:r>
              <w:rPr>
                <w:rFonts w:ascii="Times New Roman" w:eastAsia="宋体" w:hAnsi="Times New Roman"/>
                <w:color w:val="000000"/>
                <w:sz w:val="20"/>
                <w:szCs w:val="20"/>
              </w:rPr>
              <w:t>124</w:t>
            </w:r>
          </w:p>
        </w:tc>
      </w:tr>
      <w:tr w:rsidR="007B6C97" w14:paraId="6429746C" w14:textId="77777777">
        <w:tc>
          <w:tcPr>
            <w:tcW w:w="0" w:type="auto"/>
            <w:gridSpan w:val="3"/>
            <w:shd w:val="clear" w:color="auto" w:fill="D7E4BC"/>
            <w:tcMar>
              <w:top w:w="40" w:type="dxa"/>
              <w:left w:w="20" w:type="dxa"/>
              <w:bottom w:w="40" w:type="dxa"/>
              <w:right w:w="20" w:type="dxa"/>
            </w:tcMar>
          </w:tcPr>
          <w:p w14:paraId="64297464" w14:textId="77777777" w:rsidR="007B6C97" w:rsidRDefault="00E426D1">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vAlign w:val="bottom"/>
          </w:tcPr>
          <w:p w14:paraId="6429746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6B" w14:textId="77777777" w:rsidR="007B6C97" w:rsidRDefault="007B6C97">
            <w:pPr>
              <w:rPr>
                <w:rFonts w:ascii="宋体"/>
              </w:rPr>
            </w:pPr>
          </w:p>
        </w:tc>
      </w:tr>
      <w:tr w:rsidR="007B6C97" w14:paraId="64297478" w14:textId="77777777">
        <w:tc>
          <w:tcPr>
            <w:tcW w:w="0" w:type="auto"/>
            <w:gridSpan w:val="3"/>
            <w:shd w:val="clear" w:color="auto" w:fill="FFFFFF"/>
            <w:tcMar>
              <w:top w:w="40" w:type="dxa"/>
              <w:left w:w="155" w:type="dxa"/>
              <w:bottom w:w="40" w:type="dxa"/>
              <w:right w:w="20" w:type="dxa"/>
            </w:tcMar>
          </w:tcPr>
          <w:p w14:paraId="6429746D" w14:textId="77777777" w:rsidR="007B6C97" w:rsidRDefault="00E426D1">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6429746E" w14:textId="77777777" w:rsidR="007B6C97" w:rsidRDefault="00E426D1">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left w:w="0" w:type="dxa"/>
              <w:bottom w:w="40" w:type="dxa"/>
              <w:right w:w="20" w:type="dxa"/>
            </w:tcMar>
            <w:vAlign w:val="bottom"/>
          </w:tcPr>
          <w:p w14:paraId="6429746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7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71" w14:textId="77777777" w:rsidR="007B6C97" w:rsidRDefault="00E426D1">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6429747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7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7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47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76"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477" w14:textId="77777777" w:rsidR="007B6C97" w:rsidRDefault="00E426D1">
            <w:pPr>
              <w:jc w:val="center"/>
              <w:textAlignment w:val="bottom"/>
            </w:pPr>
            <w:r>
              <w:rPr>
                <w:rFonts w:ascii="Times New Roman" w:eastAsia="宋体" w:hAnsi="Times New Roman"/>
                <w:color w:val="000000"/>
                <w:sz w:val="20"/>
                <w:szCs w:val="20"/>
              </w:rPr>
              <w:t>87</w:t>
            </w:r>
          </w:p>
        </w:tc>
      </w:tr>
      <w:tr w:rsidR="007B6C97" w14:paraId="64297484" w14:textId="77777777">
        <w:tc>
          <w:tcPr>
            <w:tcW w:w="0" w:type="auto"/>
            <w:gridSpan w:val="3"/>
            <w:shd w:val="clear" w:color="auto" w:fill="D7E4BC"/>
            <w:tcMar>
              <w:top w:w="40" w:type="dxa"/>
              <w:left w:w="155" w:type="dxa"/>
              <w:bottom w:w="40" w:type="dxa"/>
              <w:right w:w="20" w:type="dxa"/>
            </w:tcMar>
          </w:tcPr>
          <w:p w14:paraId="64297479" w14:textId="77777777" w:rsidR="007B6C97" w:rsidRDefault="00E426D1">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6429747A" w14:textId="77777777" w:rsidR="007B6C97" w:rsidRDefault="00E426D1">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6429747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7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47D" w14:textId="77777777" w:rsidR="007B6C97" w:rsidRDefault="00E426D1">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6429747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7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48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48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482"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483" w14:textId="77777777" w:rsidR="007B6C97" w:rsidRDefault="00E426D1">
            <w:pPr>
              <w:jc w:val="center"/>
              <w:textAlignment w:val="bottom"/>
            </w:pPr>
            <w:r>
              <w:rPr>
                <w:rFonts w:ascii="Times New Roman" w:eastAsia="宋体" w:hAnsi="Times New Roman"/>
                <w:color w:val="000000"/>
                <w:sz w:val="20"/>
                <w:szCs w:val="20"/>
              </w:rPr>
              <w:t>0</w:t>
            </w:r>
          </w:p>
        </w:tc>
      </w:tr>
      <w:tr w:rsidR="007B6C97" w14:paraId="64297490" w14:textId="77777777">
        <w:tc>
          <w:tcPr>
            <w:tcW w:w="0" w:type="auto"/>
            <w:gridSpan w:val="3"/>
            <w:shd w:val="clear" w:color="auto" w:fill="FFFFFF"/>
            <w:tcMar>
              <w:top w:w="40" w:type="dxa"/>
              <w:left w:w="155" w:type="dxa"/>
              <w:bottom w:w="40" w:type="dxa"/>
              <w:right w:w="20" w:type="dxa"/>
            </w:tcMar>
          </w:tcPr>
          <w:p w14:paraId="64297485" w14:textId="77777777" w:rsidR="007B6C97" w:rsidRDefault="00E426D1">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64297486" w14:textId="77777777" w:rsidR="007B6C97" w:rsidRDefault="00E426D1">
            <w:pPr>
              <w:jc w:val="right"/>
              <w:textAlignment w:val="bottom"/>
            </w:pPr>
            <w:r>
              <w:rPr>
                <w:rFonts w:ascii="Times New Roman" w:eastAsia="宋体" w:hAnsi="Times New Roman"/>
                <w:color w:val="000000"/>
                <w:sz w:val="20"/>
                <w:szCs w:val="20"/>
              </w:rPr>
              <w:t>97.4 </w:t>
            </w:r>
          </w:p>
        </w:tc>
        <w:tc>
          <w:tcPr>
            <w:tcW w:w="0" w:type="auto"/>
            <w:shd w:val="clear" w:color="auto" w:fill="FFFFFF"/>
            <w:tcMar>
              <w:top w:w="40" w:type="dxa"/>
              <w:left w:w="0" w:type="dxa"/>
              <w:bottom w:w="40" w:type="dxa"/>
              <w:right w:w="20" w:type="dxa"/>
            </w:tcMar>
            <w:vAlign w:val="bottom"/>
          </w:tcPr>
          <w:p w14:paraId="6429748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8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89" w14:textId="77777777" w:rsidR="007B6C97" w:rsidRDefault="00E426D1">
            <w:pPr>
              <w:jc w:val="right"/>
              <w:textAlignment w:val="bottom"/>
            </w:pPr>
            <w:r>
              <w:rPr>
                <w:rFonts w:ascii="Times New Roman" w:eastAsia="宋体" w:hAnsi="Times New Roman"/>
                <w:color w:val="000000"/>
                <w:sz w:val="20"/>
                <w:szCs w:val="20"/>
              </w:rPr>
              <w:t>(5.3)</w:t>
            </w:r>
          </w:p>
        </w:tc>
        <w:tc>
          <w:tcPr>
            <w:tcW w:w="0" w:type="auto"/>
            <w:shd w:val="clear" w:color="auto" w:fill="FFFFFF"/>
            <w:tcMar>
              <w:top w:w="40" w:type="dxa"/>
              <w:left w:w="0" w:type="dxa"/>
              <w:bottom w:w="40" w:type="dxa"/>
              <w:right w:w="20" w:type="dxa"/>
            </w:tcMar>
            <w:vAlign w:val="bottom"/>
          </w:tcPr>
          <w:p w14:paraId="6429748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8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48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48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8E"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48F" w14:textId="77777777" w:rsidR="007B6C97" w:rsidRDefault="00E426D1">
            <w:pPr>
              <w:jc w:val="center"/>
              <w:textAlignment w:val="bottom"/>
            </w:pPr>
            <w:r>
              <w:rPr>
                <w:rFonts w:ascii="Times New Roman" w:eastAsia="宋体" w:hAnsi="Times New Roman"/>
                <w:color w:val="000000"/>
                <w:sz w:val="20"/>
                <w:szCs w:val="20"/>
              </w:rPr>
              <w:t>21</w:t>
            </w:r>
          </w:p>
        </w:tc>
      </w:tr>
    </w:tbl>
    <w:p w14:paraId="64297491" w14:textId="77777777" w:rsidR="007B6C97" w:rsidRDefault="00E426D1">
      <w:pPr>
        <w:jc w:val="center"/>
      </w:pPr>
      <w:r>
        <w:rPr>
          <w:rFonts w:ascii="Times New Roman" w:eastAsia="宋体" w:hAnsi="Times New Roman"/>
          <w:color w:val="000000"/>
          <w:sz w:val="20"/>
          <w:szCs w:val="20"/>
        </w:rPr>
        <w:t>13</w:t>
      </w:r>
    </w:p>
    <w:p w14:paraId="64297492" w14:textId="77777777" w:rsidR="007B6C97" w:rsidRDefault="00E426D1">
      <w:r>
        <w:pict w14:anchorId="642999E7">
          <v:rect id="_x0000_i1037" style="width:415.3pt;height:1.5pt" o:hralign="center" o:hrstd="t" o:hr="t" fillcolor="#a0a0a0" stroked="f"/>
        </w:pict>
      </w:r>
    </w:p>
    <w:p w14:paraId="64297493" w14:textId="77777777" w:rsidR="007B6C97" w:rsidRDefault="00E426D1">
      <w:hyperlink r:id="rId101" w:anchor="ie38a2b375c9840e583a36769999bbee6_7" w:history="1">
        <w:r>
          <w:rPr>
            <w:rStyle w:val="a5"/>
            <w:rFonts w:ascii="Times New Roman" w:eastAsia="宋体" w:hAnsi="Times New Roman"/>
            <w:sz w:val="20"/>
            <w:szCs w:val="20"/>
          </w:rPr>
          <w:t>Table</w:t>
        </w:r>
      </w:hyperlink>
      <w:hyperlink r:id="rId102" w:anchor="ie38a2b375c9840e583a36769999bbee6_7" w:history="1">
        <w:r>
          <w:rPr>
            <w:rStyle w:val="a5"/>
            <w:rFonts w:ascii="Times New Roman" w:eastAsia="宋体" w:hAnsi="Times New Roman"/>
            <w:sz w:val="20"/>
            <w:szCs w:val="20"/>
          </w:rPr>
          <w:t xml:space="preserve"> of Contents</w:t>
        </w:r>
      </w:hyperlink>
    </w:p>
    <w:p w14:paraId="64297494" w14:textId="77777777" w:rsidR="007B6C97" w:rsidRDefault="00E426D1">
      <w:pPr>
        <w:spacing w:before="120"/>
      </w:pPr>
      <w:r>
        <w:rPr>
          <w:rFonts w:ascii="Times New Roman" w:eastAsia="宋体" w:hAnsi="Times New Roman"/>
          <w:color w:val="000000"/>
          <w:sz w:val="20"/>
          <w:szCs w:val="20"/>
        </w:rPr>
        <w:t>Pre-tax gains and losses on derivative contracts and foreign currency-denominated long-ter</w:t>
      </w:r>
      <w:r>
        <w:rPr>
          <w:rFonts w:ascii="Times New Roman" w:eastAsia="宋体" w:hAnsi="Times New Roman"/>
          <w:color w:val="000000"/>
          <w:sz w:val="20"/>
          <w:szCs w:val="20"/>
        </w:rPr>
        <w:t>m debt designated as hedging instruments recognized in other comprehensive income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7"/>
        <w:gridCol w:w="1899"/>
        <w:gridCol w:w="37"/>
        <w:gridCol w:w="36"/>
        <w:gridCol w:w="36"/>
        <w:gridCol w:w="36"/>
        <w:gridCol w:w="175"/>
        <w:gridCol w:w="175"/>
        <w:gridCol w:w="175"/>
        <w:gridCol w:w="175"/>
        <w:gridCol w:w="175"/>
        <w:gridCol w:w="175"/>
        <w:gridCol w:w="120"/>
        <w:gridCol w:w="554"/>
        <w:gridCol w:w="36"/>
        <w:gridCol w:w="36"/>
        <w:gridCol w:w="36"/>
        <w:gridCol w:w="36"/>
        <w:gridCol w:w="120"/>
        <w:gridCol w:w="554"/>
        <w:gridCol w:w="36"/>
        <w:gridCol w:w="36"/>
        <w:gridCol w:w="36"/>
        <w:gridCol w:w="36"/>
        <w:gridCol w:w="120"/>
        <w:gridCol w:w="554"/>
        <w:gridCol w:w="36"/>
        <w:gridCol w:w="36"/>
        <w:gridCol w:w="36"/>
        <w:gridCol w:w="36"/>
        <w:gridCol w:w="121"/>
        <w:gridCol w:w="656"/>
        <w:gridCol w:w="36"/>
        <w:gridCol w:w="63"/>
        <w:gridCol w:w="235"/>
        <w:gridCol w:w="62"/>
        <w:gridCol w:w="38"/>
        <w:gridCol w:w="1494"/>
        <w:gridCol w:w="36"/>
      </w:tblGrid>
      <w:tr w:rsidR="007B6C97" w14:paraId="642974B6" w14:textId="77777777">
        <w:tc>
          <w:tcPr>
            <w:tcW w:w="50" w:type="pct"/>
            <w:shd w:val="clear" w:color="auto" w:fill="auto"/>
            <w:vAlign w:val="bottom"/>
          </w:tcPr>
          <w:p w14:paraId="64297495" w14:textId="77777777" w:rsidR="007B6C97" w:rsidRDefault="007B6C97">
            <w:pPr>
              <w:rPr>
                <w:rFonts w:ascii="宋体"/>
              </w:rPr>
            </w:pPr>
          </w:p>
        </w:tc>
        <w:tc>
          <w:tcPr>
            <w:tcW w:w="1458" w:type="pct"/>
            <w:shd w:val="clear" w:color="auto" w:fill="auto"/>
            <w:vAlign w:val="bottom"/>
          </w:tcPr>
          <w:p w14:paraId="64297496" w14:textId="77777777" w:rsidR="007B6C97" w:rsidRDefault="007B6C97">
            <w:pPr>
              <w:rPr>
                <w:rFonts w:ascii="宋体"/>
              </w:rPr>
            </w:pPr>
          </w:p>
        </w:tc>
        <w:tc>
          <w:tcPr>
            <w:tcW w:w="5" w:type="pct"/>
            <w:shd w:val="clear" w:color="auto" w:fill="auto"/>
            <w:vAlign w:val="bottom"/>
          </w:tcPr>
          <w:p w14:paraId="64297497" w14:textId="77777777" w:rsidR="007B6C97" w:rsidRDefault="007B6C97">
            <w:pPr>
              <w:rPr>
                <w:rFonts w:ascii="宋体"/>
              </w:rPr>
            </w:pPr>
          </w:p>
        </w:tc>
        <w:tc>
          <w:tcPr>
            <w:tcW w:w="0" w:type="auto"/>
            <w:gridSpan w:val="3"/>
            <w:shd w:val="clear" w:color="auto" w:fill="auto"/>
            <w:vAlign w:val="bottom"/>
          </w:tcPr>
          <w:p w14:paraId="64297498" w14:textId="77777777" w:rsidR="007B6C97" w:rsidRDefault="007B6C97">
            <w:pPr>
              <w:rPr>
                <w:rFonts w:ascii="宋体"/>
                <w:vanish/>
              </w:rPr>
            </w:pPr>
          </w:p>
        </w:tc>
        <w:tc>
          <w:tcPr>
            <w:tcW w:w="0" w:type="auto"/>
            <w:gridSpan w:val="3"/>
            <w:shd w:val="clear" w:color="auto" w:fill="auto"/>
            <w:vAlign w:val="bottom"/>
          </w:tcPr>
          <w:p w14:paraId="64297499" w14:textId="77777777" w:rsidR="007B6C97" w:rsidRDefault="007B6C97">
            <w:pPr>
              <w:rPr>
                <w:rFonts w:ascii="宋体"/>
                <w:vanish/>
              </w:rPr>
            </w:pPr>
          </w:p>
        </w:tc>
        <w:tc>
          <w:tcPr>
            <w:tcW w:w="0" w:type="auto"/>
            <w:gridSpan w:val="3"/>
            <w:shd w:val="clear" w:color="auto" w:fill="auto"/>
            <w:vAlign w:val="bottom"/>
          </w:tcPr>
          <w:p w14:paraId="6429749A" w14:textId="77777777" w:rsidR="007B6C97" w:rsidRDefault="007B6C97">
            <w:pPr>
              <w:rPr>
                <w:rFonts w:ascii="宋体"/>
                <w:vanish/>
              </w:rPr>
            </w:pPr>
          </w:p>
        </w:tc>
        <w:tc>
          <w:tcPr>
            <w:tcW w:w="50" w:type="pct"/>
            <w:shd w:val="clear" w:color="auto" w:fill="auto"/>
            <w:vAlign w:val="bottom"/>
          </w:tcPr>
          <w:p w14:paraId="6429749B" w14:textId="77777777" w:rsidR="007B6C97" w:rsidRDefault="007B6C97">
            <w:pPr>
              <w:rPr>
                <w:rFonts w:ascii="宋体"/>
              </w:rPr>
            </w:pPr>
          </w:p>
        </w:tc>
        <w:tc>
          <w:tcPr>
            <w:tcW w:w="463" w:type="pct"/>
            <w:shd w:val="clear" w:color="auto" w:fill="auto"/>
            <w:vAlign w:val="bottom"/>
          </w:tcPr>
          <w:p w14:paraId="6429749C" w14:textId="77777777" w:rsidR="007B6C97" w:rsidRDefault="007B6C97">
            <w:pPr>
              <w:rPr>
                <w:rFonts w:ascii="宋体"/>
              </w:rPr>
            </w:pPr>
          </w:p>
        </w:tc>
        <w:tc>
          <w:tcPr>
            <w:tcW w:w="5" w:type="pct"/>
            <w:shd w:val="clear" w:color="auto" w:fill="auto"/>
            <w:vAlign w:val="bottom"/>
          </w:tcPr>
          <w:p w14:paraId="6429749D" w14:textId="77777777" w:rsidR="007B6C97" w:rsidRDefault="007B6C97">
            <w:pPr>
              <w:rPr>
                <w:rFonts w:ascii="宋体"/>
              </w:rPr>
            </w:pPr>
          </w:p>
        </w:tc>
        <w:tc>
          <w:tcPr>
            <w:tcW w:w="5" w:type="pct"/>
            <w:shd w:val="clear" w:color="auto" w:fill="auto"/>
            <w:vAlign w:val="bottom"/>
          </w:tcPr>
          <w:p w14:paraId="6429749E" w14:textId="77777777" w:rsidR="007B6C97" w:rsidRDefault="007B6C97">
            <w:pPr>
              <w:rPr>
                <w:rFonts w:ascii="宋体"/>
              </w:rPr>
            </w:pPr>
          </w:p>
        </w:tc>
        <w:tc>
          <w:tcPr>
            <w:tcW w:w="19" w:type="pct"/>
            <w:shd w:val="clear" w:color="auto" w:fill="auto"/>
            <w:vAlign w:val="bottom"/>
          </w:tcPr>
          <w:p w14:paraId="6429749F" w14:textId="77777777" w:rsidR="007B6C97" w:rsidRDefault="007B6C97">
            <w:pPr>
              <w:rPr>
                <w:rFonts w:ascii="宋体"/>
              </w:rPr>
            </w:pPr>
          </w:p>
        </w:tc>
        <w:tc>
          <w:tcPr>
            <w:tcW w:w="5" w:type="pct"/>
            <w:shd w:val="clear" w:color="auto" w:fill="auto"/>
            <w:vAlign w:val="bottom"/>
          </w:tcPr>
          <w:p w14:paraId="642974A0" w14:textId="77777777" w:rsidR="007B6C97" w:rsidRDefault="007B6C97">
            <w:pPr>
              <w:rPr>
                <w:rFonts w:ascii="宋体"/>
              </w:rPr>
            </w:pPr>
          </w:p>
        </w:tc>
        <w:tc>
          <w:tcPr>
            <w:tcW w:w="50" w:type="pct"/>
            <w:shd w:val="clear" w:color="auto" w:fill="auto"/>
            <w:vAlign w:val="bottom"/>
          </w:tcPr>
          <w:p w14:paraId="642974A1" w14:textId="77777777" w:rsidR="007B6C97" w:rsidRDefault="007B6C97">
            <w:pPr>
              <w:rPr>
                <w:rFonts w:ascii="宋体"/>
              </w:rPr>
            </w:pPr>
          </w:p>
        </w:tc>
        <w:tc>
          <w:tcPr>
            <w:tcW w:w="463" w:type="pct"/>
            <w:shd w:val="clear" w:color="auto" w:fill="auto"/>
            <w:vAlign w:val="bottom"/>
          </w:tcPr>
          <w:p w14:paraId="642974A2" w14:textId="77777777" w:rsidR="007B6C97" w:rsidRDefault="007B6C97">
            <w:pPr>
              <w:rPr>
                <w:rFonts w:ascii="宋体"/>
              </w:rPr>
            </w:pPr>
          </w:p>
        </w:tc>
        <w:tc>
          <w:tcPr>
            <w:tcW w:w="5" w:type="pct"/>
            <w:shd w:val="clear" w:color="auto" w:fill="auto"/>
            <w:vAlign w:val="bottom"/>
          </w:tcPr>
          <w:p w14:paraId="642974A3" w14:textId="77777777" w:rsidR="007B6C97" w:rsidRDefault="007B6C97">
            <w:pPr>
              <w:rPr>
                <w:rFonts w:ascii="宋体"/>
              </w:rPr>
            </w:pPr>
          </w:p>
        </w:tc>
        <w:tc>
          <w:tcPr>
            <w:tcW w:w="5" w:type="pct"/>
            <w:shd w:val="clear" w:color="auto" w:fill="auto"/>
            <w:vAlign w:val="bottom"/>
          </w:tcPr>
          <w:p w14:paraId="642974A4" w14:textId="77777777" w:rsidR="007B6C97" w:rsidRDefault="007B6C97">
            <w:pPr>
              <w:rPr>
                <w:rFonts w:ascii="宋体"/>
              </w:rPr>
            </w:pPr>
          </w:p>
        </w:tc>
        <w:tc>
          <w:tcPr>
            <w:tcW w:w="19" w:type="pct"/>
            <w:shd w:val="clear" w:color="auto" w:fill="auto"/>
            <w:vAlign w:val="bottom"/>
          </w:tcPr>
          <w:p w14:paraId="642974A5" w14:textId="77777777" w:rsidR="007B6C97" w:rsidRDefault="007B6C97">
            <w:pPr>
              <w:rPr>
                <w:rFonts w:ascii="宋体"/>
              </w:rPr>
            </w:pPr>
          </w:p>
        </w:tc>
        <w:tc>
          <w:tcPr>
            <w:tcW w:w="5" w:type="pct"/>
            <w:shd w:val="clear" w:color="auto" w:fill="auto"/>
            <w:vAlign w:val="bottom"/>
          </w:tcPr>
          <w:p w14:paraId="642974A6" w14:textId="77777777" w:rsidR="007B6C97" w:rsidRDefault="007B6C97">
            <w:pPr>
              <w:rPr>
                <w:rFonts w:ascii="宋体"/>
              </w:rPr>
            </w:pPr>
          </w:p>
        </w:tc>
        <w:tc>
          <w:tcPr>
            <w:tcW w:w="50" w:type="pct"/>
            <w:shd w:val="clear" w:color="auto" w:fill="auto"/>
            <w:vAlign w:val="bottom"/>
          </w:tcPr>
          <w:p w14:paraId="642974A7" w14:textId="77777777" w:rsidR="007B6C97" w:rsidRDefault="007B6C97">
            <w:pPr>
              <w:rPr>
                <w:rFonts w:ascii="宋体"/>
              </w:rPr>
            </w:pPr>
          </w:p>
        </w:tc>
        <w:tc>
          <w:tcPr>
            <w:tcW w:w="463" w:type="pct"/>
            <w:shd w:val="clear" w:color="auto" w:fill="auto"/>
            <w:vAlign w:val="bottom"/>
          </w:tcPr>
          <w:p w14:paraId="642974A8" w14:textId="77777777" w:rsidR="007B6C97" w:rsidRDefault="007B6C97">
            <w:pPr>
              <w:rPr>
                <w:rFonts w:ascii="宋体"/>
              </w:rPr>
            </w:pPr>
          </w:p>
        </w:tc>
        <w:tc>
          <w:tcPr>
            <w:tcW w:w="5" w:type="pct"/>
            <w:shd w:val="clear" w:color="auto" w:fill="auto"/>
            <w:vAlign w:val="bottom"/>
          </w:tcPr>
          <w:p w14:paraId="642974A9" w14:textId="77777777" w:rsidR="007B6C97" w:rsidRDefault="007B6C97">
            <w:pPr>
              <w:rPr>
                <w:rFonts w:ascii="宋体"/>
              </w:rPr>
            </w:pPr>
          </w:p>
        </w:tc>
        <w:tc>
          <w:tcPr>
            <w:tcW w:w="5" w:type="pct"/>
            <w:shd w:val="clear" w:color="auto" w:fill="auto"/>
            <w:vAlign w:val="bottom"/>
          </w:tcPr>
          <w:p w14:paraId="642974AA" w14:textId="77777777" w:rsidR="007B6C97" w:rsidRDefault="007B6C97">
            <w:pPr>
              <w:rPr>
                <w:rFonts w:ascii="宋体"/>
              </w:rPr>
            </w:pPr>
          </w:p>
        </w:tc>
        <w:tc>
          <w:tcPr>
            <w:tcW w:w="19" w:type="pct"/>
            <w:shd w:val="clear" w:color="auto" w:fill="auto"/>
            <w:vAlign w:val="bottom"/>
          </w:tcPr>
          <w:p w14:paraId="642974AB" w14:textId="77777777" w:rsidR="007B6C97" w:rsidRDefault="007B6C97">
            <w:pPr>
              <w:rPr>
                <w:rFonts w:ascii="宋体"/>
              </w:rPr>
            </w:pPr>
          </w:p>
        </w:tc>
        <w:tc>
          <w:tcPr>
            <w:tcW w:w="5" w:type="pct"/>
            <w:shd w:val="clear" w:color="auto" w:fill="auto"/>
            <w:vAlign w:val="bottom"/>
          </w:tcPr>
          <w:p w14:paraId="642974AC" w14:textId="77777777" w:rsidR="007B6C97" w:rsidRDefault="007B6C97">
            <w:pPr>
              <w:rPr>
                <w:rFonts w:ascii="宋体"/>
              </w:rPr>
            </w:pPr>
          </w:p>
        </w:tc>
        <w:tc>
          <w:tcPr>
            <w:tcW w:w="50" w:type="pct"/>
            <w:shd w:val="clear" w:color="auto" w:fill="auto"/>
            <w:vAlign w:val="bottom"/>
          </w:tcPr>
          <w:p w14:paraId="642974AD" w14:textId="77777777" w:rsidR="007B6C97" w:rsidRDefault="007B6C97">
            <w:pPr>
              <w:rPr>
                <w:rFonts w:ascii="宋体"/>
              </w:rPr>
            </w:pPr>
          </w:p>
        </w:tc>
        <w:tc>
          <w:tcPr>
            <w:tcW w:w="463" w:type="pct"/>
            <w:shd w:val="clear" w:color="auto" w:fill="auto"/>
            <w:vAlign w:val="bottom"/>
          </w:tcPr>
          <w:p w14:paraId="642974AE" w14:textId="77777777" w:rsidR="007B6C97" w:rsidRDefault="007B6C97">
            <w:pPr>
              <w:rPr>
                <w:rFonts w:ascii="宋体"/>
              </w:rPr>
            </w:pPr>
          </w:p>
        </w:tc>
        <w:tc>
          <w:tcPr>
            <w:tcW w:w="5" w:type="pct"/>
            <w:shd w:val="clear" w:color="auto" w:fill="auto"/>
            <w:vAlign w:val="bottom"/>
          </w:tcPr>
          <w:p w14:paraId="642974AF" w14:textId="77777777" w:rsidR="007B6C97" w:rsidRDefault="007B6C97">
            <w:pPr>
              <w:rPr>
                <w:rFonts w:ascii="宋体"/>
              </w:rPr>
            </w:pPr>
          </w:p>
        </w:tc>
        <w:tc>
          <w:tcPr>
            <w:tcW w:w="5" w:type="pct"/>
            <w:shd w:val="clear" w:color="auto" w:fill="auto"/>
            <w:vAlign w:val="bottom"/>
          </w:tcPr>
          <w:p w14:paraId="642974B0" w14:textId="77777777" w:rsidR="007B6C97" w:rsidRDefault="007B6C97">
            <w:pPr>
              <w:rPr>
                <w:rFonts w:ascii="宋体"/>
              </w:rPr>
            </w:pPr>
          </w:p>
        </w:tc>
        <w:tc>
          <w:tcPr>
            <w:tcW w:w="19" w:type="pct"/>
            <w:shd w:val="clear" w:color="auto" w:fill="auto"/>
            <w:vAlign w:val="bottom"/>
          </w:tcPr>
          <w:p w14:paraId="642974B1" w14:textId="77777777" w:rsidR="007B6C97" w:rsidRDefault="007B6C97">
            <w:pPr>
              <w:rPr>
                <w:rFonts w:ascii="宋体"/>
              </w:rPr>
            </w:pPr>
          </w:p>
        </w:tc>
        <w:tc>
          <w:tcPr>
            <w:tcW w:w="5" w:type="pct"/>
            <w:shd w:val="clear" w:color="auto" w:fill="auto"/>
            <w:vAlign w:val="bottom"/>
          </w:tcPr>
          <w:p w14:paraId="642974B2" w14:textId="77777777" w:rsidR="007B6C97" w:rsidRDefault="007B6C97">
            <w:pPr>
              <w:rPr>
                <w:rFonts w:ascii="宋体"/>
              </w:rPr>
            </w:pPr>
          </w:p>
        </w:tc>
        <w:tc>
          <w:tcPr>
            <w:tcW w:w="50" w:type="pct"/>
            <w:shd w:val="clear" w:color="auto" w:fill="auto"/>
            <w:vAlign w:val="bottom"/>
          </w:tcPr>
          <w:p w14:paraId="642974B3" w14:textId="77777777" w:rsidR="007B6C97" w:rsidRDefault="007B6C97">
            <w:pPr>
              <w:rPr>
                <w:rFonts w:ascii="宋体"/>
              </w:rPr>
            </w:pPr>
          </w:p>
        </w:tc>
        <w:tc>
          <w:tcPr>
            <w:tcW w:w="1239" w:type="pct"/>
            <w:shd w:val="clear" w:color="auto" w:fill="auto"/>
            <w:vAlign w:val="bottom"/>
          </w:tcPr>
          <w:p w14:paraId="642974B4" w14:textId="77777777" w:rsidR="007B6C97" w:rsidRDefault="007B6C97">
            <w:pPr>
              <w:rPr>
                <w:rFonts w:ascii="宋体"/>
              </w:rPr>
            </w:pPr>
          </w:p>
        </w:tc>
        <w:tc>
          <w:tcPr>
            <w:tcW w:w="5" w:type="pct"/>
            <w:shd w:val="clear" w:color="auto" w:fill="auto"/>
            <w:vAlign w:val="bottom"/>
          </w:tcPr>
          <w:p w14:paraId="642974B5" w14:textId="77777777" w:rsidR="007B6C97" w:rsidRDefault="007B6C97">
            <w:pPr>
              <w:rPr>
                <w:rFonts w:ascii="宋体"/>
              </w:rPr>
            </w:pPr>
          </w:p>
        </w:tc>
      </w:tr>
      <w:tr w:rsidR="007B6C97" w14:paraId="642974C2" w14:textId="77777777">
        <w:tc>
          <w:tcPr>
            <w:tcW w:w="0" w:type="auto"/>
            <w:gridSpan w:val="3"/>
            <w:shd w:val="clear" w:color="auto" w:fill="auto"/>
            <w:tcMar>
              <w:top w:w="0" w:type="dxa"/>
              <w:left w:w="20" w:type="dxa"/>
              <w:bottom w:w="0" w:type="dxa"/>
              <w:right w:w="20" w:type="dxa"/>
            </w:tcMar>
            <w:vAlign w:val="bottom"/>
          </w:tcPr>
          <w:p w14:paraId="642974B7" w14:textId="77777777" w:rsidR="007B6C97" w:rsidRDefault="007B6C97">
            <w:pPr>
              <w:rPr>
                <w:rFonts w:ascii="宋体"/>
              </w:rPr>
            </w:pPr>
          </w:p>
        </w:tc>
        <w:tc>
          <w:tcPr>
            <w:tcW w:w="0" w:type="auto"/>
            <w:gridSpan w:val="3"/>
            <w:shd w:val="clear" w:color="auto" w:fill="auto"/>
            <w:vAlign w:val="bottom"/>
          </w:tcPr>
          <w:p w14:paraId="642974B8" w14:textId="77777777" w:rsidR="007B6C97" w:rsidRDefault="007B6C97">
            <w:pPr>
              <w:rPr>
                <w:rFonts w:ascii="宋体"/>
                <w:vanish/>
              </w:rPr>
            </w:pPr>
          </w:p>
        </w:tc>
        <w:tc>
          <w:tcPr>
            <w:tcW w:w="0" w:type="auto"/>
            <w:gridSpan w:val="21"/>
            <w:shd w:val="clear" w:color="auto" w:fill="00704A"/>
            <w:tcMar>
              <w:top w:w="40" w:type="dxa"/>
              <w:left w:w="20" w:type="dxa"/>
              <w:bottom w:w="40" w:type="dxa"/>
              <w:right w:w="20" w:type="dxa"/>
            </w:tcMar>
            <w:vAlign w:val="bottom"/>
          </w:tcPr>
          <w:p w14:paraId="642974B9"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74B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4BB" w14:textId="77777777" w:rsidR="007B6C97" w:rsidRDefault="007B6C97">
            <w:pPr>
              <w:rPr>
                <w:rFonts w:ascii="宋体"/>
              </w:rPr>
            </w:pPr>
          </w:p>
        </w:tc>
        <w:tc>
          <w:tcPr>
            <w:tcW w:w="0" w:type="auto"/>
            <w:shd w:val="clear" w:color="auto" w:fill="auto"/>
            <w:vAlign w:val="bottom"/>
          </w:tcPr>
          <w:p w14:paraId="642974BC" w14:textId="77777777" w:rsidR="007B6C97" w:rsidRDefault="007B6C97">
            <w:pPr>
              <w:rPr>
                <w:rFonts w:ascii="宋体"/>
              </w:rPr>
            </w:pPr>
          </w:p>
        </w:tc>
        <w:tc>
          <w:tcPr>
            <w:tcW w:w="0" w:type="auto"/>
            <w:shd w:val="clear" w:color="auto" w:fill="auto"/>
            <w:vAlign w:val="bottom"/>
          </w:tcPr>
          <w:p w14:paraId="642974BD" w14:textId="77777777" w:rsidR="007B6C97" w:rsidRDefault="007B6C97">
            <w:pPr>
              <w:rPr>
                <w:rFonts w:ascii="宋体"/>
              </w:rPr>
            </w:pPr>
          </w:p>
        </w:tc>
        <w:tc>
          <w:tcPr>
            <w:tcW w:w="0" w:type="auto"/>
            <w:shd w:val="clear" w:color="auto" w:fill="auto"/>
            <w:vAlign w:val="bottom"/>
          </w:tcPr>
          <w:p w14:paraId="642974BE" w14:textId="77777777" w:rsidR="007B6C97" w:rsidRDefault="007B6C97">
            <w:pPr>
              <w:rPr>
                <w:rFonts w:ascii="宋体"/>
              </w:rPr>
            </w:pPr>
          </w:p>
        </w:tc>
        <w:tc>
          <w:tcPr>
            <w:tcW w:w="0" w:type="auto"/>
            <w:shd w:val="clear" w:color="auto" w:fill="auto"/>
            <w:vAlign w:val="bottom"/>
          </w:tcPr>
          <w:p w14:paraId="642974BF" w14:textId="77777777" w:rsidR="007B6C97" w:rsidRDefault="007B6C97">
            <w:pPr>
              <w:rPr>
                <w:rFonts w:ascii="宋体"/>
              </w:rPr>
            </w:pPr>
          </w:p>
        </w:tc>
        <w:tc>
          <w:tcPr>
            <w:tcW w:w="0" w:type="auto"/>
            <w:shd w:val="clear" w:color="auto" w:fill="auto"/>
            <w:vAlign w:val="bottom"/>
          </w:tcPr>
          <w:p w14:paraId="642974C0" w14:textId="77777777" w:rsidR="007B6C97" w:rsidRDefault="007B6C97">
            <w:pPr>
              <w:rPr>
                <w:rFonts w:ascii="宋体"/>
              </w:rPr>
            </w:pPr>
          </w:p>
        </w:tc>
        <w:tc>
          <w:tcPr>
            <w:tcW w:w="0" w:type="auto"/>
            <w:shd w:val="clear" w:color="auto" w:fill="auto"/>
            <w:vAlign w:val="bottom"/>
          </w:tcPr>
          <w:p w14:paraId="642974C1" w14:textId="77777777" w:rsidR="007B6C97" w:rsidRDefault="007B6C97">
            <w:pPr>
              <w:rPr>
                <w:rFonts w:ascii="宋体"/>
              </w:rPr>
            </w:pPr>
          </w:p>
        </w:tc>
      </w:tr>
      <w:tr w:rsidR="007B6C97" w14:paraId="642974D1" w14:textId="77777777">
        <w:trPr>
          <w:trHeight w:val="580"/>
        </w:trPr>
        <w:tc>
          <w:tcPr>
            <w:tcW w:w="0" w:type="auto"/>
            <w:gridSpan w:val="3"/>
            <w:shd w:val="clear" w:color="auto" w:fill="auto"/>
            <w:tcMar>
              <w:top w:w="0" w:type="dxa"/>
              <w:left w:w="20" w:type="dxa"/>
              <w:bottom w:w="0" w:type="dxa"/>
              <w:right w:w="20" w:type="dxa"/>
            </w:tcMar>
            <w:vAlign w:val="bottom"/>
          </w:tcPr>
          <w:p w14:paraId="642974C3" w14:textId="77777777" w:rsidR="007B6C97" w:rsidRDefault="007B6C97">
            <w:pPr>
              <w:rPr>
                <w:rFonts w:ascii="宋体"/>
              </w:rPr>
            </w:pPr>
          </w:p>
        </w:tc>
        <w:tc>
          <w:tcPr>
            <w:tcW w:w="0" w:type="auto"/>
            <w:gridSpan w:val="3"/>
            <w:shd w:val="clear" w:color="auto" w:fill="auto"/>
            <w:vAlign w:val="bottom"/>
          </w:tcPr>
          <w:p w14:paraId="642974C4" w14:textId="77777777" w:rsidR="007B6C97" w:rsidRDefault="007B6C97">
            <w:pPr>
              <w:rPr>
                <w:rFonts w:ascii="宋体"/>
                <w:vanish/>
              </w:rPr>
            </w:pPr>
          </w:p>
        </w:tc>
        <w:tc>
          <w:tcPr>
            <w:tcW w:w="0" w:type="auto"/>
            <w:gridSpan w:val="9"/>
            <w:shd w:val="clear" w:color="auto" w:fill="00704A"/>
            <w:tcMar>
              <w:top w:w="40" w:type="dxa"/>
              <w:left w:w="20" w:type="dxa"/>
              <w:bottom w:w="40" w:type="dxa"/>
              <w:right w:w="20" w:type="dxa"/>
            </w:tcMar>
            <w:vAlign w:val="bottom"/>
          </w:tcPr>
          <w:p w14:paraId="642974C5" w14:textId="77777777" w:rsidR="007B6C97" w:rsidRDefault="00E426D1">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642974C6"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4C7"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Gains/(Losses) Reclassified from </w:t>
            </w:r>
          </w:p>
          <w:p w14:paraId="642974C8"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FFFFFF"/>
            <w:tcMar>
              <w:top w:w="0" w:type="dxa"/>
              <w:left w:w="20" w:type="dxa"/>
              <w:bottom w:w="0" w:type="dxa"/>
              <w:right w:w="20" w:type="dxa"/>
            </w:tcMar>
            <w:vAlign w:val="bottom"/>
          </w:tcPr>
          <w:p w14:paraId="642974C9"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4CA" w14:textId="77777777" w:rsidR="007B6C97" w:rsidRDefault="00E426D1">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bottom"/>
          </w:tcPr>
          <w:p w14:paraId="642974CB" w14:textId="77777777" w:rsidR="007B6C97" w:rsidRDefault="007B6C97">
            <w:pPr>
              <w:rPr>
                <w:rFonts w:ascii="宋体"/>
              </w:rPr>
            </w:pPr>
          </w:p>
        </w:tc>
        <w:tc>
          <w:tcPr>
            <w:tcW w:w="0" w:type="auto"/>
            <w:shd w:val="clear" w:color="auto" w:fill="auto"/>
            <w:vAlign w:val="bottom"/>
          </w:tcPr>
          <w:p w14:paraId="642974CC" w14:textId="77777777" w:rsidR="007B6C97" w:rsidRDefault="007B6C97">
            <w:pPr>
              <w:rPr>
                <w:rFonts w:ascii="宋体"/>
              </w:rPr>
            </w:pPr>
          </w:p>
        </w:tc>
        <w:tc>
          <w:tcPr>
            <w:tcW w:w="0" w:type="auto"/>
            <w:shd w:val="clear" w:color="auto" w:fill="auto"/>
            <w:vAlign w:val="bottom"/>
          </w:tcPr>
          <w:p w14:paraId="642974CD" w14:textId="77777777" w:rsidR="007B6C97" w:rsidRDefault="007B6C97">
            <w:pPr>
              <w:rPr>
                <w:rFonts w:ascii="宋体"/>
              </w:rPr>
            </w:pPr>
          </w:p>
        </w:tc>
        <w:tc>
          <w:tcPr>
            <w:tcW w:w="0" w:type="auto"/>
            <w:shd w:val="clear" w:color="auto" w:fill="auto"/>
            <w:vAlign w:val="bottom"/>
          </w:tcPr>
          <w:p w14:paraId="642974CE" w14:textId="77777777" w:rsidR="007B6C97" w:rsidRDefault="007B6C97">
            <w:pPr>
              <w:rPr>
                <w:rFonts w:ascii="宋体"/>
              </w:rPr>
            </w:pPr>
          </w:p>
        </w:tc>
        <w:tc>
          <w:tcPr>
            <w:tcW w:w="0" w:type="auto"/>
            <w:shd w:val="clear" w:color="auto" w:fill="auto"/>
            <w:vAlign w:val="bottom"/>
          </w:tcPr>
          <w:p w14:paraId="642974CF" w14:textId="77777777" w:rsidR="007B6C97" w:rsidRDefault="007B6C97">
            <w:pPr>
              <w:rPr>
                <w:rFonts w:ascii="宋体"/>
              </w:rPr>
            </w:pPr>
          </w:p>
        </w:tc>
        <w:tc>
          <w:tcPr>
            <w:tcW w:w="0" w:type="auto"/>
            <w:shd w:val="clear" w:color="auto" w:fill="auto"/>
            <w:vAlign w:val="bottom"/>
          </w:tcPr>
          <w:p w14:paraId="642974D0" w14:textId="77777777" w:rsidR="007B6C97" w:rsidRDefault="007B6C97">
            <w:pPr>
              <w:rPr>
                <w:rFonts w:ascii="宋体"/>
              </w:rPr>
            </w:pPr>
          </w:p>
        </w:tc>
      </w:tr>
      <w:tr w:rsidR="007B6C97" w14:paraId="642974DF" w14:textId="77777777">
        <w:trPr>
          <w:trHeight w:val="240"/>
        </w:trPr>
        <w:tc>
          <w:tcPr>
            <w:tcW w:w="0" w:type="auto"/>
            <w:gridSpan w:val="3"/>
            <w:shd w:val="clear" w:color="auto" w:fill="auto"/>
            <w:tcMar>
              <w:top w:w="0" w:type="dxa"/>
              <w:left w:w="20" w:type="dxa"/>
              <w:bottom w:w="0" w:type="dxa"/>
              <w:right w:w="20" w:type="dxa"/>
            </w:tcMar>
            <w:vAlign w:val="bottom"/>
          </w:tcPr>
          <w:p w14:paraId="642974D2" w14:textId="77777777" w:rsidR="007B6C97" w:rsidRDefault="007B6C97">
            <w:pPr>
              <w:rPr>
                <w:rFonts w:ascii="宋体"/>
              </w:rPr>
            </w:pPr>
          </w:p>
        </w:tc>
        <w:tc>
          <w:tcPr>
            <w:tcW w:w="0" w:type="auto"/>
            <w:gridSpan w:val="3"/>
            <w:shd w:val="clear" w:color="auto" w:fill="auto"/>
            <w:vAlign w:val="bottom"/>
          </w:tcPr>
          <w:p w14:paraId="642974D3" w14:textId="77777777" w:rsidR="007B6C97" w:rsidRDefault="007B6C97">
            <w:pPr>
              <w:rPr>
                <w:rFonts w:ascii="宋体"/>
                <w:vanish/>
              </w:rPr>
            </w:pPr>
          </w:p>
        </w:tc>
        <w:tc>
          <w:tcPr>
            <w:tcW w:w="0" w:type="auto"/>
            <w:gridSpan w:val="3"/>
            <w:shd w:val="clear" w:color="auto" w:fill="auto"/>
            <w:vAlign w:val="bottom"/>
          </w:tcPr>
          <w:p w14:paraId="642974D4" w14:textId="77777777" w:rsidR="007B6C97" w:rsidRDefault="007B6C97">
            <w:pPr>
              <w:rPr>
                <w:rFonts w:ascii="宋体"/>
                <w:vanish/>
              </w:rPr>
            </w:pPr>
          </w:p>
        </w:tc>
        <w:tc>
          <w:tcPr>
            <w:tcW w:w="0" w:type="auto"/>
            <w:gridSpan w:val="3"/>
            <w:shd w:val="clear" w:color="auto" w:fill="auto"/>
            <w:vAlign w:val="bottom"/>
          </w:tcPr>
          <w:p w14:paraId="642974D5" w14:textId="77777777" w:rsidR="007B6C97" w:rsidRDefault="007B6C97">
            <w:pPr>
              <w:rPr>
                <w:rFonts w:ascii="宋体"/>
                <w:vanish/>
              </w:rPr>
            </w:pPr>
          </w:p>
        </w:tc>
        <w:tc>
          <w:tcPr>
            <w:tcW w:w="0" w:type="auto"/>
            <w:gridSpan w:val="3"/>
            <w:shd w:val="clear" w:color="auto" w:fill="00704A"/>
            <w:tcMar>
              <w:top w:w="40" w:type="dxa"/>
              <w:left w:w="20" w:type="dxa"/>
              <w:bottom w:w="40" w:type="dxa"/>
              <w:right w:w="20" w:type="dxa"/>
            </w:tcMar>
            <w:vAlign w:val="bottom"/>
          </w:tcPr>
          <w:p w14:paraId="642974D6"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4D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4D8"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642974D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4DA"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4DB"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4DC" w14:textId="77777777" w:rsidR="007B6C97" w:rsidRDefault="007B6C97">
            <w:pPr>
              <w:jc w:val="center"/>
              <w:rPr>
                <w:rFonts w:ascii="宋体"/>
              </w:rPr>
            </w:pPr>
          </w:p>
        </w:tc>
        <w:tc>
          <w:tcPr>
            <w:tcW w:w="0" w:type="auto"/>
            <w:gridSpan w:val="3"/>
            <w:shd w:val="clear" w:color="auto" w:fill="00704A"/>
            <w:tcMar>
              <w:top w:w="40" w:type="dxa"/>
              <w:left w:w="20" w:type="dxa"/>
              <w:bottom w:w="40" w:type="dxa"/>
              <w:right w:w="20" w:type="dxa"/>
            </w:tcMar>
            <w:vAlign w:val="bottom"/>
          </w:tcPr>
          <w:p w14:paraId="642974DD"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74DE" w14:textId="77777777" w:rsidR="007B6C97" w:rsidRDefault="007B6C97">
            <w:pPr>
              <w:rPr>
                <w:rFonts w:ascii="宋体"/>
              </w:rPr>
            </w:pPr>
          </w:p>
        </w:tc>
      </w:tr>
      <w:tr w:rsidR="007B6C97" w14:paraId="642974ED" w14:textId="77777777">
        <w:tc>
          <w:tcPr>
            <w:tcW w:w="0" w:type="auto"/>
            <w:gridSpan w:val="3"/>
            <w:shd w:val="clear" w:color="auto" w:fill="D7E4BC"/>
            <w:tcMar>
              <w:top w:w="40" w:type="dxa"/>
              <w:left w:w="20" w:type="dxa"/>
              <w:bottom w:w="40" w:type="dxa"/>
              <w:right w:w="20" w:type="dxa"/>
            </w:tcMar>
          </w:tcPr>
          <w:p w14:paraId="642974E0" w14:textId="77777777" w:rsidR="007B6C97" w:rsidRDefault="00E426D1">
            <w:pPr>
              <w:textAlignment w:val="top"/>
            </w:pPr>
            <w:r>
              <w:rPr>
                <w:rFonts w:ascii="Times New Roman" w:eastAsia="宋体" w:hAnsi="Times New Roman"/>
                <w:color w:val="000000"/>
                <w:sz w:val="20"/>
                <w:szCs w:val="20"/>
              </w:rPr>
              <w:t>Cash Flow Hedges:</w:t>
            </w:r>
          </w:p>
        </w:tc>
        <w:tc>
          <w:tcPr>
            <w:tcW w:w="0" w:type="auto"/>
            <w:gridSpan w:val="3"/>
            <w:shd w:val="clear" w:color="auto" w:fill="auto"/>
            <w:vAlign w:val="bottom"/>
          </w:tcPr>
          <w:p w14:paraId="642974E1" w14:textId="77777777" w:rsidR="007B6C97" w:rsidRDefault="007B6C97">
            <w:pPr>
              <w:rPr>
                <w:rFonts w:ascii="宋体"/>
                <w:vanish/>
              </w:rPr>
            </w:pPr>
          </w:p>
        </w:tc>
        <w:tc>
          <w:tcPr>
            <w:tcW w:w="0" w:type="auto"/>
            <w:gridSpan w:val="3"/>
            <w:shd w:val="clear" w:color="auto" w:fill="auto"/>
            <w:vAlign w:val="bottom"/>
          </w:tcPr>
          <w:p w14:paraId="642974E2" w14:textId="77777777" w:rsidR="007B6C97" w:rsidRDefault="007B6C97">
            <w:pPr>
              <w:rPr>
                <w:rFonts w:ascii="宋体"/>
                <w:vanish/>
              </w:rPr>
            </w:pPr>
          </w:p>
        </w:tc>
        <w:tc>
          <w:tcPr>
            <w:tcW w:w="0" w:type="auto"/>
            <w:gridSpan w:val="3"/>
            <w:shd w:val="clear" w:color="auto" w:fill="auto"/>
            <w:vAlign w:val="bottom"/>
          </w:tcPr>
          <w:p w14:paraId="642974E3" w14:textId="77777777" w:rsidR="007B6C97" w:rsidRDefault="007B6C97">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E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E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E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E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E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E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E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4E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4EC" w14:textId="77777777" w:rsidR="007B6C97" w:rsidRDefault="007B6C97">
            <w:pPr>
              <w:rPr>
                <w:rFonts w:ascii="宋体"/>
              </w:rPr>
            </w:pPr>
          </w:p>
        </w:tc>
      </w:tr>
      <w:tr w:rsidR="007B6C97" w14:paraId="64297503" w14:textId="77777777">
        <w:trPr>
          <w:trHeight w:val="300"/>
        </w:trPr>
        <w:tc>
          <w:tcPr>
            <w:tcW w:w="0" w:type="auto"/>
            <w:gridSpan w:val="3"/>
            <w:shd w:val="clear" w:color="auto" w:fill="FFFFFF"/>
            <w:tcMar>
              <w:top w:w="40" w:type="dxa"/>
              <w:left w:w="155" w:type="dxa"/>
              <w:bottom w:w="40" w:type="dxa"/>
              <w:right w:w="20" w:type="dxa"/>
            </w:tcMar>
          </w:tcPr>
          <w:p w14:paraId="642974EE" w14:textId="77777777" w:rsidR="007B6C97" w:rsidRDefault="00E426D1">
            <w:pPr>
              <w:textAlignment w:val="top"/>
            </w:pPr>
            <w:r>
              <w:rPr>
                <w:rFonts w:ascii="Times New Roman" w:eastAsia="宋体" w:hAnsi="Times New Roman"/>
                <w:color w:val="000000"/>
                <w:sz w:val="20"/>
                <w:szCs w:val="20"/>
              </w:rPr>
              <w:t>Coffee</w:t>
            </w:r>
          </w:p>
        </w:tc>
        <w:tc>
          <w:tcPr>
            <w:tcW w:w="0" w:type="auto"/>
            <w:gridSpan w:val="3"/>
            <w:shd w:val="clear" w:color="auto" w:fill="auto"/>
            <w:vAlign w:val="bottom"/>
          </w:tcPr>
          <w:p w14:paraId="642974EF" w14:textId="77777777" w:rsidR="007B6C97" w:rsidRDefault="007B6C97">
            <w:pPr>
              <w:rPr>
                <w:rFonts w:ascii="宋体"/>
                <w:vanish/>
              </w:rPr>
            </w:pPr>
          </w:p>
        </w:tc>
        <w:tc>
          <w:tcPr>
            <w:tcW w:w="0" w:type="auto"/>
            <w:gridSpan w:val="3"/>
            <w:shd w:val="clear" w:color="auto" w:fill="auto"/>
            <w:vAlign w:val="bottom"/>
          </w:tcPr>
          <w:p w14:paraId="642974F0" w14:textId="77777777" w:rsidR="007B6C97" w:rsidRDefault="007B6C97">
            <w:pPr>
              <w:rPr>
                <w:rFonts w:ascii="宋体"/>
                <w:vanish/>
              </w:rPr>
            </w:pPr>
          </w:p>
        </w:tc>
        <w:tc>
          <w:tcPr>
            <w:tcW w:w="0" w:type="auto"/>
            <w:gridSpan w:val="3"/>
            <w:shd w:val="clear" w:color="auto" w:fill="auto"/>
            <w:vAlign w:val="bottom"/>
          </w:tcPr>
          <w:p w14:paraId="642974F1" w14:textId="77777777" w:rsidR="007B6C97" w:rsidRDefault="007B6C97">
            <w:pPr>
              <w:rPr>
                <w:rFonts w:ascii="宋体"/>
                <w:vanish/>
              </w:rPr>
            </w:pPr>
          </w:p>
        </w:tc>
        <w:tc>
          <w:tcPr>
            <w:tcW w:w="0" w:type="auto"/>
            <w:vMerge w:val="restart"/>
            <w:shd w:val="clear" w:color="auto" w:fill="FFFFFF"/>
            <w:tcMar>
              <w:top w:w="40" w:type="dxa"/>
              <w:left w:w="20" w:type="dxa"/>
              <w:bottom w:w="40" w:type="dxa"/>
              <w:right w:w="0" w:type="dxa"/>
            </w:tcMar>
            <w:vAlign w:val="center"/>
          </w:tcPr>
          <w:p w14:paraId="642974F2" w14:textId="77777777" w:rsidR="007B6C97" w:rsidRDefault="00E426D1">
            <w:pPr>
              <w:textAlignment w:val="center"/>
            </w:pPr>
            <w:r>
              <w:rPr>
                <w:rFonts w:ascii="Times New Roman" w:eastAsia="宋体" w:hAnsi="Times New Roman"/>
                <w:color w:val="000000"/>
                <w:sz w:val="20"/>
                <w:szCs w:val="20"/>
              </w:rPr>
              <w:t>$</w:t>
            </w:r>
          </w:p>
        </w:tc>
        <w:tc>
          <w:tcPr>
            <w:tcW w:w="0" w:type="auto"/>
            <w:vMerge w:val="restart"/>
            <w:shd w:val="clear" w:color="auto" w:fill="FFFFFF"/>
            <w:tcMar>
              <w:top w:w="40" w:type="dxa"/>
              <w:left w:w="0" w:type="dxa"/>
              <w:bottom w:w="40" w:type="dxa"/>
              <w:right w:w="0" w:type="dxa"/>
            </w:tcMar>
            <w:vAlign w:val="center"/>
          </w:tcPr>
          <w:p w14:paraId="642974F3" w14:textId="77777777" w:rsidR="007B6C97" w:rsidRDefault="00E426D1">
            <w:pPr>
              <w:jc w:val="right"/>
              <w:textAlignment w:val="center"/>
            </w:pPr>
            <w:r>
              <w:rPr>
                <w:rFonts w:ascii="Times New Roman" w:eastAsia="宋体" w:hAnsi="Times New Roman"/>
                <w:color w:val="000000"/>
                <w:sz w:val="20"/>
                <w:szCs w:val="20"/>
              </w:rPr>
              <w:t>(19.3)</w:t>
            </w:r>
          </w:p>
        </w:tc>
        <w:tc>
          <w:tcPr>
            <w:tcW w:w="0" w:type="auto"/>
            <w:vMerge w:val="restart"/>
            <w:shd w:val="clear" w:color="auto" w:fill="FFFFFF"/>
            <w:tcMar>
              <w:top w:w="40" w:type="dxa"/>
              <w:left w:w="0" w:type="dxa"/>
              <w:bottom w:w="40" w:type="dxa"/>
              <w:right w:w="20" w:type="dxa"/>
            </w:tcMar>
            <w:vAlign w:val="center"/>
          </w:tcPr>
          <w:p w14:paraId="642974F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F5" w14:textId="77777777" w:rsidR="007B6C97" w:rsidRDefault="007B6C97">
            <w:pPr>
              <w:rPr>
                <w:rFonts w:ascii="宋体"/>
              </w:rPr>
            </w:pPr>
          </w:p>
        </w:tc>
        <w:tc>
          <w:tcPr>
            <w:tcW w:w="0" w:type="auto"/>
            <w:vMerge w:val="restart"/>
            <w:shd w:val="clear" w:color="auto" w:fill="FFFFFF"/>
            <w:tcMar>
              <w:top w:w="40" w:type="dxa"/>
              <w:left w:w="20" w:type="dxa"/>
              <w:bottom w:w="40" w:type="dxa"/>
              <w:right w:w="0" w:type="dxa"/>
            </w:tcMar>
            <w:vAlign w:val="center"/>
          </w:tcPr>
          <w:p w14:paraId="642974F6" w14:textId="77777777" w:rsidR="007B6C97" w:rsidRDefault="00E426D1">
            <w:pPr>
              <w:textAlignment w:val="center"/>
            </w:pPr>
            <w:r>
              <w:rPr>
                <w:rFonts w:ascii="Times New Roman" w:eastAsia="宋体" w:hAnsi="Times New Roman"/>
                <w:color w:val="000000"/>
                <w:sz w:val="20"/>
                <w:szCs w:val="20"/>
              </w:rPr>
              <w:t>$</w:t>
            </w:r>
          </w:p>
        </w:tc>
        <w:tc>
          <w:tcPr>
            <w:tcW w:w="0" w:type="auto"/>
            <w:vMerge w:val="restart"/>
            <w:shd w:val="clear" w:color="auto" w:fill="FFFFFF"/>
            <w:tcMar>
              <w:top w:w="40" w:type="dxa"/>
              <w:left w:w="0" w:type="dxa"/>
              <w:bottom w:w="40" w:type="dxa"/>
              <w:right w:w="0" w:type="dxa"/>
            </w:tcMar>
            <w:vAlign w:val="center"/>
          </w:tcPr>
          <w:p w14:paraId="642974F7" w14:textId="77777777" w:rsidR="007B6C97" w:rsidRDefault="00E426D1">
            <w:pPr>
              <w:jc w:val="right"/>
              <w:textAlignment w:val="center"/>
            </w:pPr>
            <w:r>
              <w:rPr>
                <w:rFonts w:ascii="Times New Roman" w:eastAsia="宋体" w:hAnsi="Times New Roman"/>
                <w:color w:val="000000"/>
                <w:sz w:val="20"/>
                <w:szCs w:val="20"/>
              </w:rPr>
              <w:t>62.8 </w:t>
            </w:r>
          </w:p>
        </w:tc>
        <w:tc>
          <w:tcPr>
            <w:tcW w:w="0" w:type="auto"/>
            <w:vMerge w:val="restart"/>
            <w:shd w:val="clear" w:color="auto" w:fill="FFFFFF"/>
            <w:tcMar>
              <w:top w:w="40" w:type="dxa"/>
              <w:left w:w="0" w:type="dxa"/>
              <w:bottom w:w="40" w:type="dxa"/>
              <w:right w:w="20" w:type="dxa"/>
            </w:tcMar>
            <w:vAlign w:val="center"/>
          </w:tcPr>
          <w:p w14:paraId="642974F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F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4F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4FB" w14:textId="77777777" w:rsidR="007B6C97" w:rsidRDefault="00E426D1">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642974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4F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4F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4FF" w14:textId="77777777" w:rsidR="007B6C97" w:rsidRDefault="00E426D1">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642975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0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502" w14:textId="77777777" w:rsidR="007B6C97" w:rsidRDefault="00E426D1">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7B6C97" w14:paraId="64297515" w14:textId="77777777">
        <w:trPr>
          <w:hidden/>
        </w:trPr>
        <w:tc>
          <w:tcPr>
            <w:tcW w:w="0" w:type="auto"/>
            <w:gridSpan w:val="3"/>
            <w:shd w:val="clear" w:color="auto" w:fill="auto"/>
            <w:vAlign w:val="bottom"/>
          </w:tcPr>
          <w:p w14:paraId="64297504" w14:textId="77777777" w:rsidR="007B6C97" w:rsidRDefault="007B6C97">
            <w:pPr>
              <w:rPr>
                <w:rFonts w:ascii="宋体"/>
                <w:vanish/>
              </w:rPr>
            </w:pPr>
          </w:p>
        </w:tc>
        <w:tc>
          <w:tcPr>
            <w:tcW w:w="0" w:type="auto"/>
            <w:gridSpan w:val="3"/>
            <w:shd w:val="clear" w:color="auto" w:fill="auto"/>
            <w:vAlign w:val="bottom"/>
          </w:tcPr>
          <w:p w14:paraId="64297505" w14:textId="77777777" w:rsidR="007B6C97" w:rsidRDefault="007B6C97">
            <w:pPr>
              <w:rPr>
                <w:rFonts w:ascii="宋体"/>
                <w:vanish/>
              </w:rPr>
            </w:pPr>
          </w:p>
        </w:tc>
        <w:tc>
          <w:tcPr>
            <w:tcW w:w="0" w:type="auto"/>
            <w:gridSpan w:val="3"/>
            <w:shd w:val="clear" w:color="auto" w:fill="auto"/>
            <w:vAlign w:val="bottom"/>
          </w:tcPr>
          <w:p w14:paraId="64297506" w14:textId="77777777" w:rsidR="007B6C97" w:rsidRDefault="007B6C97">
            <w:pPr>
              <w:rPr>
                <w:rFonts w:ascii="宋体"/>
                <w:vanish/>
              </w:rPr>
            </w:pPr>
          </w:p>
        </w:tc>
        <w:tc>
          <w:tcPr>
            <w:tcW w:w="0" w:type="auto"/>
            <w:gridSpan w:val="3"/>
            <w:shd w:val="clear" w:color="auto" w:fill="auto"/>
            <w:vAlign w:val="bottom"/>
          </w:tcPr>
          <w:p w14:paraId="64297507" w14:textId="77777777" w:rsidR="007B6C97" w:rsidRDefault="007B6C97">
            <w:pPr>
              <w:rPr>
                <w:rFonts w:ascii="宋体"/>
                <w:vanish/>
              </w:rPr>
            </w:pPr>
          </w:p>
        </w:tc>
        <w:tc>
          <w:tcPr>
            <w:tcW w:w="0" w:type="auto"/>
            <w:vMerge/>
            <w:shd w:val="clear" w:color="auto" w:fill="FFFFFF"/>
            <w:tcMar>
              <w:top w:w="40" w:type="dxa"/>
              <w:left w:w="20" w:type="dxa"/>
              <w:bottom w:w="40" w:type="dxa"/>
              <w:right w:w="0" w:type="dxa"/>
            </w:tcMar>
            <w:vAlign w:val="center"/>
          </w:tcPr>
          <w:p w14:paraId="64297508" w14:textId="77777777" w:rsidR="007B6C97" w:rsidRDefault="007B6C97">
            <w:pPr>
              <w:rPr>
                <w:rFonts w:ascii="宋体"/>
              </w:rPr>
            </w:pPr>
          </w:p>
        </w:tc>
        <w:tc>
          <w:tcPr>
            <w:tcW w:w="0" w:type="auto"/>
            <w:vMerge/>
            <w:shd w:val="clear" w:color="auto" w:fill="FFFFFF"/>
            <w:tcMar>
              <w:top w:w="40" w:type="dxa"/>
              <w:left w:w="0" w:type="dxa"/>
              <w:bottom w:w="40" w:type="dxa"/>
              <w:right w:w="0" w:type="dxa"/>
            </w:tcMar>
            <w:vAlign w:val="center"/>
          </w:tcPr>
          <w:p w14:paraId="64297509"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0A" w14:textId="77777777" w:rsidR="007B6C97" w:rsidRDefault="007B6C97">
            <w:pPr>
              <w:jc w:val="right"/>
              <w:rPr>
                <w:rFonts w:ascii="宋体"/>
              </w:rPr>
            </w:pPr>
          </w:p>
        </w:tc>
        <w:tc>
          <w:tcPr>
            <w:tcW w:w="0" w:type="auto"/>
            <w:gridSpan w:val="3"/>
            <w:shd w:val="clear" w:color="auto" w:fill="auto"/>
            <w:vAlign w:val="bottom"/>
          </w:tcPr>
          <w:p w14:paraId="6429750B" w14:textId="77777777" w:rsidR="007B6C97" w:rsidRDefault="007B6C97">
            <w:pPr>
              <w:rPr>
                <w:rFonts w:ascii="宋体"/>
                <w:vanish/>
              </w:rPr>
            </w:pPr>
          </w:p>
        </w:tc>
        <w:tc>
          <w:tcPr>
            <w:tcW w:w="0" w:type="auto"/>
            <w:vMerge/>
            <w:shd w:val="clear" w:color="auto" w:fill="FFFFFF"/>
            <w:tcMar>
              <w:top w:w="40" w:type="dxa"/>
              <w:left w:w="20" w:type="dxa"/>
              <w:bottom w:w="40" w:type="dxa"/>
              <w:right w:w="0" w:type="dxa"/>
            </w:tcMar>
            <w:vAlign w:val="center"/>
          </w:tcPr>
          <w:p w14:paraId="6429750C" w14:textId="77777777" w:rsidR="007B6C97" w:rsidRDefault="007B6C97">
            <w:pPr>
              <w:rPr>
                <w:rFonts w:ascii="宋体"/>
              </w:rPr>
            </w:pPr>
          </w:p>
        </w:tc>
        <w:tc>
          <w:tcPr>
            <w:tcW w:w="0" w:type="auto"/>
            <w:vMerge/>
            <w:shd w:val="clear" w:color="auto" w:fill="FFFFFF"/>
            <w:tcMar>
              <w:top w:w="40" w:type="dxa"/>
              <w:left w:w="0" w:type="dxa"/>
              <w:bottom w:w="40" w:type="dxa"/>
              <w:right w:w="0" w:type="dxa"/>
            </w:tcMar>
            <w:vAlign w:val="center"/>
          </w:tcPr>
          <w:p w14:paraId="6429750D"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0E" w14:textId="77777777" w:rsidR="007B6C97" w:rsidRDefault="007B6C97">
            <w:pPr>
              <w:jc w:val="right"/>
              <w:rPr>
                <w:rFonts w:ascii="宋体"/>
              </w:rPr>
            </w:pPr>
          </w:p>
        </w:tc>
        <w:tc>
          <w:tcPr>
            <w:tcW w:w="0" w:type="auto"/>
            <w:gridSpan w:val="3"/>
            <w:shd w:val="clear" w:color="auto" w:fill="auto"/>
            <w:vAlign w:val="bottom"/>
          </w:tcPr>
          <w:p w14:paraId="6429750F" w14:textId="77777777" w:rsidR="007B6C97" w:rsidRDefault="007B6C97">
            <w:pPr>
              <w:rPr>
                <w:rFonts w:ascii="宋体"/>
                <w:vanish/>
              </w:rPr>
            </w:pPr>
          </w:p>
        </w:tc>
        <w:tc>
          <w:tcPr>
            <w:tcW w:w="0" w:type="auto"/>
            <w:gridSpan w:val="3"/>
            <w:shd w:val="clear" w:color="auto" w:fill="auto"/>
            <w:vAlign w:val="bottom"/>
          </w:tcPr>
          <w:p w14:paraId="64297510" w14:textId="77777777" w:rsidR="007B6C97" w:rsidRDefault="007B6C97">
            <w:pPr>
              <w:rPr>
                <w:rFonts w:ascii="宋体"/>
                <w:vanish/>
              </w:rPr>
            </w:pPr>
          </w:p>
        </w:tc>
        <w:tc>
          <w:tcPr>
            <w:tcW w:w="0" w:type="auto"/>
            <w:gridSpan w:val="3"/>
            <w:shd w:val="clear" w:color="auto" w:fill="auto"/>
            <w:vAlign w:val="bottom"/>
          </w:tcPr>
          <w:p w14:paraId="64297511" w14:textId="77777777" w:rsidR="007B6C97" w:rsidRDefault="007B6C97">
            <w:pPr>
              <w:rPr>
                <w:rFonts w:ascii="宋体"/>
                <w:vanish/>
              </w:rPr>
            </w:pPr>
          </w:p>
        </w:tc>
        <w:tc>
          <w:tcPr>
            <w:tcW w:w="0" w:type="auto"/>
            <w:gridSpan w:val="3"/>
            <w:shd w:val="clear" w:color="auto" w:fill="auto"/>
            <w:vAlign w:val="bottom"/>
          </w:tcPr>
          <w:p w14:paraId="64297512" w14:textId="77777777" w:rsidR="007B6C97" w:rsidRDefault="007B6C97">
            <w:pPr>
              <w:rPr>
                <w:rFonts w:ascii="宋体"/>
                <w:vanish/>
              </w:rPr>
            </w:pPr>
          </w:p>
        </w:tc>
        <w:tc>
          <w:tcPr>
            <w:tcW w:w="0" w:type="auto"/>
            <w:gridSpan w:val="3"/>
            <w:shd w:val="clear" w:color="auto" w:fill="auto"/>
            <w:vAlign w:val="bottom"/>
          </w:tcPr>
          <w:p w14:paraId="64297513" w14:textId="77777777" w:rsidR="007B6C97" w:rsidRDefault="007B6C97">
            <w:pPr>
              <w:rPr>
                <w:rFonts w:ascii="宋体"/>
                <w:vanish/>
              </w:rPr>
            </w:pPr>
          </w:p>
        </w:tc>
        <w:tc>
          <w:tcPr>
            <w:tcW w:w="0" w:type="auto"/>
            <w:gridSpan w:val="3"/>
            <w:shd w:val="clear" w:color="auto" w:fill="auto"/>
            <w:vAlign w:val="bottom"/>
          </w:tcPr>
          <w:p w14:paraId="64297514" w14:textId="77777777" w:rsidR="007B6C97" w:rsidRDefault="007B6C97">
            <w:pPr>
              <w:rPr>
                <w:rFonts w:ascii="宋体"/>
                <w:vanish/>
              </w:rPr>
            </w:pPr>
          </w:p>
        </w:tc>
      </w:tr>
      <w:tr w:rsidR="007B6C97" w14:paraId="64297527" w14:textId="77777777">
        <w:trPr>
          <w:trHeight w:val="300"/>
        </w:trPr>
        <w:tc>
          <w:tcPr>
            <w:tcW w:w="0" w:type="auto"/>
            <w:gridSpan w:val="3"/>
            <w:vMerge w:val="restart"/>
            <w:shd w:val="clear" w:color="auto" w:fill="D7E4BC"/>
            <w:tcMar>
              <w:top w:w="40" w:type="dxa"/>
              <w:left w:w="155" w:type="dxa"/>
              <w:bottom w:w="40" w:type="dxa"/>
              <w:right w:w="20" w:type="dxa"/>
            </w:tcMar>
          </w:tcPr>
          <w:p w14:paraId="64297516" w14:textId="77777777" w:rsidR="007B6C97" w:rsidRDefault="00E426D1">
            <w:pPr>
              <w:textAlignment w:val="top"/>
            </w:pPr>
            <w:r>
              <w:rPr>
                <w:rFonts w:ascii="Times New Roman" w:eastAsia="宋体" w:hAnsi="Times New Roman"/>
                <w:color w:val="000000"/>
                <w:sz w:val="20"/>
                <w:szCs w:val="20"/>
              </w:rPr>
              <w:t>Cross-currency swaps</w:t>
            </w:r>
          </w:p>
        </w:tc>
        <w:tc>
          <w:tcPr>
            <w:tcW w:w="0" w:type="auto"/>
            <w:gridSpan w:val="3"/>
            <w:shd w:val="clear" w:color="auto" w:fill="auto"/>
            <w:vAlign w:val="bottom"/>
          </w:tcPr>
          <w:p w14:paraId="64297517" w14:textId="77777777" w:rsidR="007B6C97" w:rsidRDefault="007B6C97">
            <w:pPr>
              <w:rPr>
                <w:rFonts w:ascii="宋体"/>
                <w:vanish/>
              </w:rPr>
            </w:pPr>
          </w:p>
        </w:tc>
        <w:tc>
          <w:tcPr>
            <w:tcW w:w="0" w:type="auto"/>
            <w:gridSpan w:val="3"/>
            <w:shd w:val="clear" w:color="auto" w:fill="auto"/>
            <w:vAlign w:val="bottom"/>
          </w:tcPr>
          <w:p w14:paraId="64297518" w14:textId="77777777" w:rsidR="007B6C97" w:rsidRDefault="007B6C97">
            <w:pPr>
              <w:rPr>
                <w:rFonts w:ascii="宋体"/>
                <w:vanish/>
              </w:rPr>
            </w:pPr>
          </w:p>
        </w:tc>
        <w:tc>
          <w:tcPr>
            <w:tcW w:w="0" w:type="auto"/>
            <w:gridSpan w:val="3"/>
            <w:shd w:val="clear" w:color="auto" w:fill="auto"/>
            <w:vAlign w:val="bottom"/>
          </w:tcPr>
          <w:p w14:paraId="64297519" w14:textId="77777777" w:rsidR="007B6C97" w:rsidRDefault="007B6C97">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429751A" w14:textId="77777777" w:rsidR="007B6C97" w:rsidRDefault="00E426D1">
            <w:pPr>
              <w:jc w:val="right"/>
              <w:textAlignment w:val="center"/>
            </w:pPr>
            <w:r>
              <w:rPr>
                <w:rFonts w:ascii="Times New Roman" w:eastAsia="宋体" w:hAnsi="Times New Roman"/>
                <w:color w:val="000000"/>
                <w:sz w:val="20"/>
                <w:szCs w:val="20"/>
              </w:rPr>
              <w:t>12.9 </w:t>
            </w:r>
          </w:p>
        </w:tc>
        <w:tc>
          <w:tcPr>
            <w:tcW w:w="0" w:type="auto"/>
            <w:vMerge w:val="restart"/>
            <w:shd w:val="clear" w:color="auto" w:fill="D7E4BC"/>
            <w:tcMar>
              <w:top w:w="40" w:type="dxa"/>
              <w:left w:w="0" w:type="dxa"/>
              <w:bottom w:w="40" w:type="dxa"/>
              <w:right w:w="20" w:type="dxa"/>
            </w:tcMar>
            <w:vAlign w:val="center"/>
          </w:tcPr>
          <w:p w14:paraId="6429751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1C" w14:textId="77777777" w:rsidR="007B6C97" w:rsidRDefault="007B6C97">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429751D" w14:textId="77777777" w:rsidR="007B6C97" w:rsidRDefault="00E426D1">
            <w:pPr>
              <w:jc w:val="right"/>
              <w:textAlignment w:val="center"/>
            </w:pPr>
            <w:r>
              <w:rPr>
                <w:rFonts w:ascii="Times New Roman" w:eastAsia="宋体" w:hAnsi="Times New Roman"/>
                <w:color w:val="000000"/>
                <w:sz w:val="20"/>
                <w:szCs w:val="20"/>
              </w:rPr>
              <w:t>3.1 </w:t>
            </w:r>
          </w:p>
        </w:tc>
        <w:tc>
          <w:tcPr>
            <w:tcW w:w="0" w:type="auto"/>
            <w:vMerge w:val="restart"/>
            <w:shd w:val="clear" w:color="auto" w:fill="D7E4BC"/>
            <w:tcMar>
              <w:top w:w="40" w:type="dxa"/>
              <w:left w:w="0" w:type="dxa"/>
              <w:bottom w:w="40" w:type="dxa"/>
              <w:right w:w="20" w:type="dxa"/>
            </w:tcMar>
            <w:vAlign w:val="center"/>
          </w:tcPr>
          <w:p w14:paraId="642975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20" w14:textId="77777777" w:rsidR="007B6C97" w:rsidRDefault="00E426D1">
            <w:pPr>
              <w:jc w:val="right"/>
              <w:textAlignment w:val="center"/>
            </w:pPr>
            <w:r>
              <w:rPr>
                <w:rFonts w:ascii="Times New Roman" w:eastAsia="宋体" w:hAnsi="Times New Roman"/>
                <w:color w:val="000000"/>
                <w:sz w:val="20"/>
                <w:szCs w:val="20"/>
              </w:rPr>
              <w:t>(2.1)</w:t>
            </w:r>
          </w:p>
        </w:tc>
        <w:tc>
          <w:tcPr>
            <w:tcW w:w="0" w:type="auto"/>
            <w:shd w:val="clear" w:color="auto" w:fill="D7E4BC"/>
            <w:tcMar>
              <w:top w:w="40" w:type="dxa"/>
              <w:left w:w="0" w:type="dxa"/>
              <w:bottom w:w="40" w:type="dxa"/>
              <w:right w:w="20" w:type="dxa"/>
            </w:tcMar>
            <w:vAlign w:val="center"/>
          </w:tcPr>
          <w:p w14:paraId="642975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23" w14:textId="77777777" w:rsidR="007B6C97" w:rsidRDefault="00E426D1">
            <w:pPr>
              <w:jc w:val="right"/>
              <w:textAlignment w:val="center"/>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center"/>
          </w:tcPr>
          <w:p w14:paraId="642975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2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526" w14:textId="77777777" w:rsidR="007B6C97" w:rsidRDefault="00E426D1">
            <w:pPr>
              <w:textAlignment w:val="bottom"/>
            </w:pPr>
            <w:r>
              <w:rPr>
                <w:rFonts w:ascii="Times New Roman" w:eastAsia="宋体" w:hAnsi="Times New Roman"/>
                <w:color w:val="000000"/>
                <w:sz w:val="20"/>
                <w:szCs w:val="20"/>
              </w:rPr>
              <w:t>Interest expense</w:t>
            </w:r>
          </w:p>
        </w:tc>
      </w:tr>
      <w:tr w:rsidR="007B6C97" w14:paraId="64297539" w14:textId="77777777">
        <w:trPr>
          <w:trHeight w:val="300"/>
        </w:trPr>
        <w:tc>
          <w:tcPr>
            <w:tcW w:w="0" w:type="auto"/>
            <w:gridSpan w:val="3"/>
            <w:vMerge/>
            <w:shd w:val="clear" w:color="auto" w:fill="D7E4BC"/>
            <w:tcMar>
              <w:top w:w="40" w:type="dxa"/>
              <w:left w:w="155" w:type="dxa"/>
              <w:bottom w:w="40" w:type="dxa"/>
              <w:right w:w="20" w:type="dxa"/>
            </w:tcMar>
          </w:tcPr>
          <w:p w14:paraId="64297528" w14:textId="77777777" w:rsidR="007B6C97" w:rsidRDefault="007B6C97">
            <w:pPr>
              <w:rPr>
                <w:rFonts w:ascii="宋体"/>
              </w:rPr>
            </w:pPr>
          </w:p>
        </w:tc>
        <w:tc>
          <w:tcPr>
            <w:tcW w:w="0" w:type="auto"/>
            <w:gridSpan w:val="3"/>
            <w:shd w:val="clear" w:color="auto" w:fill="auto"/>
            <w:vAlign w:val="bottom"/>
          </w:tcPr>
          <w:p w14:paraId="64297529" w14:textId="77777777" w:rsidR="007B6C97" w:rsidRDefault="007B6C97">
            <w:pPr>
              <w:rPr>
                <w:rFonts w:ascii="宋体"/>
                <w:vanish/>
              </w:rPr>
            </w:pPr>
          </w:p>
        </w:tc>
        <w:tc>
          <w:tcPr>
            <w:tcW w:w="0" w:type="auto"/>
            <w:gridSpan w:val="3"/>
            <w:shd w:val="clear" w:color="auto" w:fill="auto"/>
            <w:vAlign w:val="bottom"/>
          </w:tcPr>
          <w:p w14:paraId="6429752A" w14:textId="77777777" w:rsidR="007B6C97" w:rsidRDefault="007B6C97">
            <w:pPr>
              <w:rPr>
                <w:rFonts w:ascii="宋体"/>
                <w:vanish/>
              </w:rPr>
            </w:pPr>
          </w:p>
        </w:tc>
        <w:tc>
          <w:tcPr>
            <w:tcW w:w="0" w:type="auto"/>
            <w:gridSpan w:val="3"/>
            <w:shd w:val="clear" w:color="auto" w:fill="auto"/>
            <w:vAlign w:val="bottom"/>
          </w:tcPr>
          <w:p w14:paraId="6429752B"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52C"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2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2E" w14:textId="77777777" w:rsidR="007B6C97" w:rsidRDefault="007B6C97">
            <w:pPr>
              <w:rPr>
                <w:rFonts w:ascii="宋体"/>
              </w:rPr>
            </w:pPr>
          </w:p>
        </w:tc>
        <w:tc>
          <w:tcPr>
            <w:tcW w:w="0" w:type="auto"/>
            <w:gridSpan w:val="2"/>
            <w:vMerge/>
            <w:shd w:val="clear" w:color="auto" w:fill="D7E4BC"/>
            <w:tcMar>
              <w:top w:w="40" w:type="dxa"/>
              <w:left w:w="20" w:type="dxa"/>
              <w:bottom w:w="40" w:type="dxa"/>
              <w:right w:w="0" w:type="dxa"/>
            </w:tcMar>
            <w:vAlign w:val="center"/>
          </w:tcPr>
          <w:p w14:paraId="6429752F"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3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3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32" w14:textId="77777777" w:rsidR="007B6C97" w:rsidRDefault="00E426D1">
            <w:pPr>
              <w:jc w:val="right"/>
              <w:textAlignment w:val="center"/>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center"/>
          </w:tcPr>
          <w:p w14:paraId="6429753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3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35" w14:textId="77777777" w:rsidR="007B6C97" w:rsidRDefault="00E426D1">
            <w:pPr>
              <w:jc w:val="right"/>
              <w:textAlignment w:val="center"/>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center"/>
          </w:tcPr>
          <w:p w14:paraId="6429753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37"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538" w14:textId="77777777" w:rsidR="007B6C97" w:rsidRDefault="00E426D1">
            <w:pPr>
              <w:textAlignment w:val="bottom"/>
            </w:pPr>
            <w:r>
              <w:rPr>
                <w:rFonts w:ascii="Times New Roman" w:eastAsia="宋体" w:hAnsi="Times New Roman"/>
                <w:color w:val="000000"/>
                <w:sz w:val="20"/>
                <w:szCs w:val="20"/>
              </w:rPr>
              <w:t>Interest income and other, net</w:t>
            </w:r>
          </w:p>
        </w:tc>
      </w:tr>
      <w:tr w:rsidR="007B6C97" w14:paraId="6429754B" w14:textId="77777777">
        <w:trPr>
          <w:trHeight w:val="300"/>
        </w:trPr>
        <w:tc>
          <w:tcPr>
            <w:tcW w:w="0" w:type="auto"/>
            <w:gridSpan w:val="3"/>
            <w:vMerge w:val="restart"/>
            <w:shd w:val="clear" w:color="auto" w:fill="FFFFFF"/>
            <w:tcMar>
              <w:top w:w="40" w:type="dxa"/>
              <w:left w:w="155" w:type="dxa"/>
              <w:bottom w:w="40" w:type="dxa"/>
              <w:right w:w="20" w:type="dxa"/>
            </w:tcMar>
          </w:tcPr>
          <w:p w14:paraId="6429753A" w14:textId="77777777" w:rsidR="007B6C97" w:rsidRDefault="00E426D1">
            <w:pPr>
              <w:textAlignment w:val="top"/>
            </w:pPr>
            <w:r>
              <w:rPr>
                <w:rFonts w:ascii="Times New Roman" w:eastAsia="宋体" w:hAnsi="Times New Roman"/>
                <w:color w:val="000000"/>
                <w:sz w:val="20"/>
                <w:szCs w:val="20"/>
              </w:rPr>
              <w:t>Dairy</w:t>
            </w:r>
          </w:p>
        </w:tc>
        <w:tc>
          <w:tcPr>
            <w:tcW w:w="0" w:type="auto"/>
            <w:gridSpan w:val="3"/>
            <w:shd w:val="clear" w:color="auto" w:fill="auto"/>
            <w:vAlign w:val="bottom"/>
          </w:tcPr>
          <w:p w14:paraId="6429753B" w14:textId="77777777" w:rsidR="007B6C97" w:rsidRDefault="007B6C97">
            <w:pPr>
              <w:rPr>
                <w:rFonts w:ascii="宋体"/>
                <w:vanish/>
              </w:rPr>
            </w:pPr>
          </w:p>
        </w:tc>
        <w:tc>
          <w:tcPr>
            <w:tcW w:w="0" w:type="auto"/>
            <w:gridSpan w:val="3"/>
            <w:shd w:val="clear" w:color="auto" w:fill="auto"/>
            <w:vAlign w:val="bottom"/>
          </w:tcPr>
          <w:p w14:paraId="6429753C" w14:textId="77777777" w:rsidR="007B6C97" w:rsidRDefault="007B6C97">
            <w:pPr>
              <w:rPr>
                <w:rFonts w:ascii="宋体"/>
                <w:vanish/>
              </w:rPr>
            </w:pPr>
          </w:p>
        </w:tc>
        <w:tc>
          <w:tcPr>
            <w:tcW w:w="0" w:type="auto"/>
            <w:gridSpan w:val="3"/>
            <w:shd w:val="clear" w:color="auto" w:fill="auto"/>
            <w:vAlign w:val="bottom"/>
          </w:tcPr>
          <w:p w14:paraId="6429753D" w14:textId="77777777" w:rsidR="007B6C97" w:rsidRDefault="007B6C97">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429753E" w14:textId="77777777" w:rsidR="007B6C97" w:rsidRDefault="00E426D1">
            <w:pPr>
              <w:jc w:val="right"/>
              <w:textAlignment w:val="center"/>
            </w:pPr>
            <w:r>
              <w:rPr>
                <w:rFonts w:ascii="Times New Roman" w:eastAsia="宋体" w:hAnsi="Times New Roman"/>
                <w:color w:val="000000"/>
                <w:sz w:val="20"/>
                <w:szCs w:val="20"/>
              </w:rPr>
              <w:t>(1.4)</w:t>
            </w:r>
          </w:p>
        </w:tc>
        <w:tc>
          <w:tcPr>
            <w:tcW w:w="0" w:type="auto"/>
            <w:vMerge w:val="restart"/>
            <w:shd w:val="clear" w:color="auto" w:fill="FFFFFF"/>
            <w:tcMar>
              <w:top w:w="40" w:type="dxa"/>
              <w:left w:w="0" w:type="dxa"/>
              <w:bottom w:w="40" w:type="dxa"/>
              <w:right w:w="20" w:type="dxa"/>
            </w:tcMar>
            <w:vAlign w:val="center"/>
          </w:tcPr>
          <w:p w14:paraId="6429753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40" w14:textId="77777777" w:rsidR="007B6C97" w:rsidRDefault="007B6C97">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4297541" w14:textId="77777777" w:rsidR="007B6C97" w:rsidRDefault="00E426D1">
            <w:pPr>
              <w:jc w:val="right"/>
              <w:textAlignment w:val="center"/>
            </w:pPr>
            <w:r>
              <w:rPr>
                <w:rFonts w:ascii="Times New Roman" w:eastAsia="宋体" w:hAnsi="Times New Roman"/>
                <w:color w:val="000000"/>
                <w:sz w:val="20"/>
                <w:szCs w:val="20"/>
              </w:rPr>
              <w:t>(1.7)</w:t>
            </w:r>
          </w:p>
        </w:tc>
        <w:tc>
          <w:tcPr>
            <w:tcW w:w="0" w:type="auto"/>
            <w:vMerge w:val="restart"/>
            <w:shd w:val="clear" w:color="auto" w:fill="FFFFFF"/>
            <w:tcMar>
              <w:top w:w="40" w:type="dxa"/>
              <w:left w:w="0" w:type="dxa"/>
              <w:bottom w:w="40" w:type="dxa"/>
              <w:right w:w="20" w:type="dxa"/>
            </w:tcMar>
            <w:vAlign w:val="center"/>
          </w:tcPr>
          <w:p w14:paraId="6429754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4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544" w14:textId="77777777" w:rsidR="007B6C97" w:rsidRDefault="00E426D1">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429754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4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547" w14:textId="77777777" w:rsidR="007B6C97" w:rsidRDefault="00E426D1">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6429754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49"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54A" w14:textId="77777777" w:rsidR="007B6C97" w:rsidRDefault="00E426D1">
            <w:pPr>
              <w:textAlignment w:val="bottom"/>
            </w:pPr>
            <w:r>
              <w:rPr>
                <w:rFonts w:ascii="Times New Roman" w:eastAsia="宋体" w:hAnsi="Times New Roman"/>
                <w:color w:val="000000"/>
                <w:sz w:val="20"/>
                <w:szCs w:val="20"/>
              </w:rPr>
              <w:t>Product and distribution costs</w:t>
            </w:r>
          </w:p>
        </w:tc>
      </w:tr>
      <w:tr w:rsidR="007B6C97" w14:paraId="6429755B" w14:textId="77777777">
        <w:tc>
          <w:tcPr>
            <w:tcW w:w="0" w:type="auto"/>
            <w:gridSpan w:val="3"/>
            <w:vMerge/>
            <w:shd w:val="clear" w:color="auto" w:fill="FFFFFF"/>
            <w:tcMar>
              <w:top w:w="40" w:type="dxa"/>
              <w:left w:w="155" w:type="dxa"/>
              <w:bottom w:w="40" w:type="dxa"/>
              <w:right w:w="20" w:type="dxa"/>
            </w:tcMar>
          </w:tcPr>
          <w:p w14:paraId="6429754C" w14:textId="77777777" w:rsidR="007B6C97" w:rsidRDefault="007B6C97">
            <w:pPr>
              <w:rPr>
                <w:rFonts w:ascii="宋体"/>
              </w:rPr>
            </w:pPr>
          </w:p>
        </w:tc>
        <w:tc>
          <w:tcPr>
            <w:tcW w:w="0" w:type="auto"/>
            <w:gridSpan w:val="3"/>
            <w:shd w:val="clear" w:color="auto" w:fill="auto"/>
            <w:vAlign w:val="bottom"/>
          </w:tcPr>
          <w:p w14:paraId="6429754D" w14:textId="77777777" w:rsidR="007B6C97" w:rsidRDefault="007B6C97">
            <w:pPr>
              <w:rPr>
                <w:rFonts w:ascii="宋体"/>
                <w:vanish/>
              </w:rPr>
            </w:pPr>
          </w:p>
        </w:tc>
        <w:tc>
          <w:tcPr>
            <w:tcW w:w="0" w:type="auto"/>
            <w:gridSpan w:val="3"/>
            <w:shd w:val="clear" w:color="auto" w:fill="auto"/>
            <w:vAlign w:val="bottom"/>
          </w:tcPr>
          <w:p w14:paraId="6429754E" w14:textId="77777777" w:rsidR="007B6C97" w:rsidRDefault="007B6C97">
            <w:pPr>
              <w:rPr>
                <w:rFonts w:ascii="宋体"/>
                <w:vanish/>
              </w:rPr>
            </w:pPr>
          </w:p>
        </w:tc>
        <w:tc>
          <w:tcPr>
            <w:tcW w:w="0" w:type="auto"/>
            <w:gridSpan w:val="3"/>
            <w:shd w:val="clear" w:color="auto" w:fill="auto"/>
            <w:vAlign w:val="bottom"/>
          </w:tcPr>
          <w:p w14:paraId="6429754F" w14:textId="77777777" w:rsidR="007B6C97" w:rsidRDefault="007B6C97">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4297550"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51" w14:textId="77777777" w:rsidR="007B6C97" w:rsidRDefault="007B6C97">
            <w:pPr>
              <w:jc w:val="right"/>
              <w:rPr>
                <w:rFonts w:ascii="宋体"/>
              </w:rPr>
            </w:pPr>
          </w:p>
        </w:tc>
        <w:tc>
          <w:tcPr>
            <w:tcW w:w="0" w:type="auto"/>
            <w:gridSpan w:val="3"/>
            <w:shd w:val="clear" w:color="auto" w:fill="auto"/>
            <w:vAlign w:val="bottom"/>
          </w:tcPr>
          <w:p w14:paraId="64297552" w14:textId="77777777" w:rsidR="007B6C97" w:rsidRDefault="007B6C97">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4297553"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54" w14:textId="77777777" w:rsidR="007B6C97" w:rsidRDefault="007B6C97">
            <w:pPr>
              <w:jc w:val="right"/>
              <w:rPr>
                <w:rFonts w:ascii="宋体"/>
              </w:rPr>
            </w:pPr>
          </w:p>
        </w:tc>
        <w:tc>
          <w:tcPr>
            <w:tcW w:w="0" w:type="auto"/>
            <w:gridSpan w:val="3"/>
            <w:shd w:val="clear" w:color="auto" w:fill="auto"/>
            <w:vAlign w:val="bottom"/>
          </w:tcPr>
          <w:p w14:paraId="64297555" w14:textId="77777777" w:rsidR="007B6C97" w:rsidRDefault="007B6C97">
            <w:pPr>
              <w:rPr>
                <w:rFonts w:ascii="宋体"/>
                <w:vanish/>
              </w:rPr>
            </w:pPr>
          </w:p>
        </w:tc>
        <w:tc>
          <w:tcPr>
            <w:tcW w:w="0" w:type="auto"/>
            <w:gridSpan w:val="3"/>
            <w:shd w:val="clear" w:color="auto" w:fill="auto"/>
            <w:vAlign w:val="bottom"/>
          </w:tcPr>
          <w:p w14:paraId="64297556" w14:textId="77777777" w:rsidR="007B6C97" w:rsidRDefault="007B6C97">
            <w:pPr>
              <w:rPr>
                <w:rFonts w:ascii="宋体"/>
                <w:vanish/>
              </w:rPr>
            </w:pPr>
          </w:p>
        </w:tc>
        <w:tc>
          <w:tcPr>
            <w:tcW w:w="0" w:type="auto"/>
            <w:gridSpan w:val="3"/>
            <w:shd w:val="clear" w:color="auto" w:fill="auto"/>
            <w:vAlign w:val="bottom"/>
          </w:tcPr>
          <w:p w14:paraId="64297557" w14:textId="77777777" w:rsidR="007B6C97" w:rsidRDefault="007B6C97">
            <w:pPr>
              <w:rPr>
                <w:rFonts w:ascii="宋体"/>
                <w:vanish/>
              </w:rPr>
            </w:pPr>
          </w:p>
        </w:tc>
        <w:tc>
          <w:tcPr>
            <w:tcW w:w="0" w:type="auto"/>
            <w:gridSpan w:val="3"/>
            <w:shd w:val="clear" w:color="auto" w:fill="auto"/>
            <w:vAlign w:val="bottom"/>
          </w:tcPr>
          <w:p w14:paraId="64297558" w14:textId="77777777" w:rsidR="007B6C97" w:rsidRDefault="007B6C97">
            <w:pPr>
              <w:rPr>
                <w:rFonts w:ascii="宋体"/>
                <w:vanish/>
              </w:rPr>
            </w:pPr>
          </w:p>
        </w:tc>
        <w:tc>
          <w:tcPr>
            <w:tcW w:w="0" w:type="auto"/>
            <w:gridSpan w:val="3"/>
            <w:shd w:val="clear" w:color="auto" w:fill="auto"/>
            <w:vAlign w:val="bottom"/>
          </w:tcPr>
          <w:p w14:paraId="64297559" w14:textId="77777777" w:rsidR="007B6C97" w:rsidRDefault="007B6C97">
            <w:pPr>
              <w:rPr>
                <w:rFonts w:ascii="宋体"/>
                <w:vanish/>
              </w:rPr>
            </w:pPr>
          </w:p>
        </w:tc>
        <w:tc>
          <w:tcPr>
            <w:tcW w:w="0" w:type="auto"/>
            <w:gridSpan w:val="3"/>
            <w:shd w:val="clear" w:color="auto" w:fill="auto"/>
            <w:vAlign w:val="bottom"/>
          </w:tcPr>
          <w:p w14:paraId="6429755A" w14:textId="77777777" w:rsidR="007B6C97" w:rsidRDefault="007B6C97">
            <w:pPr>
              <w:rPr>
                <w:rFonts w:ascii="宋体"/>
                <w:vanish/>
              </w:rPr>
            </w:pPr>
          </w:p>
        </w:tc>
      </w:tr>
      <w:tr w:rsidR="007B6C97" w14:paraId="6429756D" w14:textId="77777777">
        <w:trPr>
          <w:trHeight w:val="300"/>
        </w:trPr>
        <w:tc>
          <w:tcPr>
            <w:tcW w:w="0" w:type="auto"/>
            <w:gridSpan w:val="3"/>
            <w:vMerge w:val="restart"/>
            <w:shd w:val="clear" w:color="auto" w:fill="D7E4BC"/>
            <w:tcMar>
              <w:top w:w="40" w:type="dxa"/>
              <w:left w:w="155" w:type="dxa"/>
              <w:bottom w:w="40" w:type="dxa"/>
              <w:right w:w="20" w:type="dxa"/>
            </w:tcMar>
          </w:tcPr>
          <w:p w14:paraId="6429755C" w14:textId="77777777" w:rsidR="007B6C97" w:rsidRDefault="00E426D1">
            <w:pPr>
              <w:textAlignment w:val="top"/>
            </w:pPr>
            <w:r>
              <w:rPr>
                <w:rFonts w:ascii="Times New Roman" w:eastAsia="宋体" w:hAnsi="Times New Roman"/>
                <w:color w:val="000000"/>
                <w:sz w:val="20"/>
                <w:szCs w:val="20"/>
              </w:rPr>
              <w:t>Forei</w:t>
            </w:r>
            <w:r>
              <w:rPr>
                <w:rFonts w:ascii="Times New Roman" w:eastAsia="宋体" w:hAnsi="Times New Roman"/>
                <w:color w:val="000000"/>
                <w:sz w:val="20"/>
                <w:szCs w:val="20"/>
              </w:rPr>
              <w:t>gn currency - other</w:t>
            </w:r>
          </w:p>
        </w:tc>
        <w:tc>
          <w:tcPr>
            <w:tcW w:w="0" w:type="auto"/>
            <w:gridSpan w:val="3"/>
            <w:shd w:val="clear" w:color="auto" w:fill="auto"/>
            <w:vAlign w:val="bottom"/>
          </w:tcPr>
          <w:p w14:paraId="6429755D" w14:textId="77777777" w:rsidR="007B6C97" w:rsidRDefault="007B6C97">
            <w:pPr>
              <w:rPr>
                <w:rFonts w:ascii="宋体"/>
                <w:vanish/>
              </w:rPr>
            </w:pPr>
          </w:p>
        </w:tc>
        <w:tc>
          <w:tcPr>
            <w:tcW w:w="0" w:type="auto"/>
            <w:gridSpan w:val="3"/>
            <w:shd w:val="clear" w:color="auto" w:fill="auto"/>
            <w:vAlign w:val="bottom"/>
          </w:tcPr>
          <w:p w14:paraId="6429755E" w14:textId="77777777" w:rsidR="007B6C97" w:rsidRDefault="007B6C97">
            <w:pPr>
              <w:rPr>
                <w:rFonts w:ascii="宋体"/>
                <w:vanish/>
              </w:rPr>
            </w:pPr>
          </w:p>
        </w:tc>
        <w:tc>
          <w:tcPr>
            <w:tcW w:w="0" w:type="auto"/>
            <w:gridSpan w:val="3"/>
            <w:shd w:val="clear" w:color="auto" w:fill="auto"/>
            <w:vAlign w:val="bottom"/>
          </w:tcPr>
          <w:p w14:paraId="6429755F" w14:textId="77777777" w:rsidR="007B6C97" w:rsidRDefault="007B6C97">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4297560" w14:textId="77777777" w:rsidR="007B6C97" w:rsidRDefault="00E426D1">
            <w:pPr>
              <w:jc w:val="right"/>
              <w:textAlignment w:val="center"/>
            </w:pPr>
            <w:r>
              <w:rPr>
                <w:rFonts w:ascii="Times New Roman" w:eastAsia="宋体" w:hAnsi="Times New Roman"/>
                <w:color w:val="000000"/>
                <w:sz w:val="20"/>
                <w:szCs w:val="20"/>
              </w:rPr>
              <w:t>43.4 </w:t>
            </w:r>
          </w:p>
        </w:tc>
        <w:tc>
          <w:tcPr>
            <w:tcW w:w="0" w:type="auto"/>
            <w:vMerge w:val="restart"/>
            <w:shd w:val="clear" w:color="auto" w:fill="D7E4BC"/>
            <w:tcMar>
              <w:top w:w="40" w:type="dxa"/>
              <w:left w:w="0" w:type="dxa"/>
              <w:bottom w:w="40" w:type="dxa"/>
              <w:right w:w="20" w:type="dxa"/>
            </w:tcMar>
            <w:vAlign w:val="center"/>
          </w:tcPr>
          <w:p w14:paraId="642975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62" w14:textId="77777777" w:rsidR="007B6C97" w:rsidRDefault="007B6C97">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4297563" w14:textId="77777777" w:rsidR="007B6C97" w:rsidRDefault="00E426D1">
            <w:pPr>
              <w:jc w:val="right"/>
              <w:textAlignment w:val="center"/>
            </w:pPr>
            <w:r>
              <w:rPr>
                <w:rFonts w:ascii="Times New Roman" w:eastAsia="宋体" w:hAnsi="Times New Roman"/>
                <w:color w:val="000000"/>
                <w:sz w:val="20"/>
                <w:szCs w:val="20"/>
              </w:rPr>
              <w:t>(5.1)</w:t>
            </w:r>
          </w:p>
        </w:tc>
        <w:tc>
          <w:tcPr>
            <w:tcW w:w="0" w:type="auto"/>
            <w:vMerge w:val="restart"/>
            <w:shd w:val="clear" w:color="auto" w:fill="D7E4BC"/>
            <w:tcMar>
              <w:top w:w="40" w:type="dxa"/>
              <w:left w:w="0" w:type="dxa"/>
              <w:bottom w:w="40" w:type="dxa"/>
              <w:right w:w="20" w:type="dxa"/>
            </w:tcMar>
            <w:vAlign w:val="center"/>
          </w:tcPr>
          <w:p w14:paraId="6429756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6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66" w14:textId="77777777" w:rsidR="007B6C97" w:rsidRDefault="00E426D1">
            <w:pPr>
              <w:jc w:val="right"/>
              <w:textAlignment w:val="center"/>
            </w:pPr>
            <w:r>
              <w:rPr>
                <w:rFonts w:ascii="Times New Roman" w:eastAsia="宋体" w:hAnsi="Times New Roman"/>
                <w:color w:val="000000"/>
                <w:sz w:val="20"/>
                <w:szCs w:val="20"/>
              </w:rPr>
              <w:t>6.6 </w:t>
            </w:r>
          </w:p>
        </w:tc>
        <w:tc>
          <w:tcPr>
            <w:tcW w:w="0" w:type="auto"/>
            <w:shd w:val="clear" w:color="auto" w:fill="D7E4BC"/>
            <w:tcMar>
              <w:top w:w="40" w:type="dxa"/>
              <w:left w:w="0" w:type="dxa"/>
              <w:bottom w:w="40" w:type="dxa"/>
              <w:right w:w="20" w:type="dxa"/>
            </w:tcMar>
            <w:vAlign w:val="center"/>
          </w:tcPr>
          <w:p w14:paraId="6429756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6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69"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429756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6B"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56C" w14:textId="77777777" w:rsidR="007B6C97" w:rsidRDefault="00E426D1">
            <w:pPr>
              <w:textAlignment w:val="bottom"/>
            </w:pPr>
            <w:r>
              <w:rPr>
                <w:rFonts w:ascii="Times New Roman" w:eastAsia="宋体" w:hAnsi="Times New Roman"/>
                <w:color w:val="000000"/>
                <w:sz w:val="20"/>
                <w:szCs w:val="20"/>
              </w:rPr>
              <w:t>Licensed stores revenue</w:t>
            </w:r>
          </w:p>
        </w:tc>
      </w:tr>
      <w:tr w:rsidR="007B6C97" w14:paraId="6429757F" w14:textId="77777777">
        <w:trPr>
          <w:trHeight w:val="300"/>
        </w:trPr>
        <w:tc>
          <w:tcPr>
            <w:tcW w:w="0" w:type="auto"/>
            <w:gridSpan w:val="3"/>
            <w:vMerge/>
            <w:shd w:val="clear" w:color="auto" w:fill="D7E4BC"/>
            <w:tcMar>
              <w:top w:w="40" w:type="dxa"/>
              <w:left w:w="155" w:type="dxa"/>
              <w:bottom w:w="40" w:type="dxa"/>
              <w:right w:w="20" w:type="dxa"/>
            </w:tcMar>
          </w:tcPr>
          <w:p w14:paraId="6429756E" w14:textId="77777777" w:rsidR="007B6C97" w:rsidRDefault="007B6C97">
            <w:pPr>
              <w:rPr>
                <w:rFonts w:ascii="宋体"/>
              </w:rPr>
            </w:pPr>
          </w:p>
        </w:tc>
        <w:tc>
          <w:tcPr>
            <w:tcW w:w="0" w:type="auto"/>
            <w:gridSpan w:val="3"/>
            <w:shd w:val="clear" w:color="auto" w:fill="auto"/>
            <w:vAlign w:val="bottom"/>
          </w:tcPr>
          <w:p w14:paraId="6429756F" w14:textId="77777777" w:rsidR="007B6C97" w:rsidRDefault="007B6C97">
            <w:pPr>
              <w:rPr>
                <w:rFonts w:ascii="宋体"/>
                <w:vanish/>
              </w:rPr>
            </w:pPr>
          </w:p>
        </w:tc>
        <w:tc>
          <w:tcPr>
            <w:tcW w:w="0" w:type="auto"/>
            <w:gridSpan w:val="3"/>
            <w:shd w:val="clear" w:color="auto" w:fill="auto"/>
            <w:vAlign w:val="bottom"/>
          </w:tcPr>
          <w:p w14:paraId="64297570" w14:textId="77777777" w:rsidR="007B6C97" w:rsidRDefault="007B6C97">
            <w:pPr>
              <w:rPr>
                <w:rFonts w:ascii="宋体"/>
                <w:vanish/>
              </w:rPr>
            </w:pPr>
          </w:p>
        </w:tc>
        <w:tc>
          <w:tcPr>
            <w:tcW w:w="0" w:type="auto"/>
            <w:gridSpan w:val="3"/>
            <w:shd w:val="clear" w:color="auto" w:fill="auto"/>
            <w:vAlign w:val="bottom"/>
          </w:tcPr>
          <w:p w14:paraId="64297571"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572"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7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74" w14:textId="77777777" w:rsidR="007B6C97" w:rsidRDefault="007B6C97">
            <w:pPr>
              <w:rPr>
                <w:rFonts w:ascii="宋体"/>
              </w:rPr>
            </w:pPr>
          </w:p>
        </w:tc>
        <w:tc>
          <w:tcPr>
            <w:tcW w:w="0" w:type="auto"/>
            <w:gridSpan w:val="2"/>
            <w:vMerge/>
            <w:shd w:val="clear" w:color="auto" w:fill="D7E4BC"/>
            <w:tcMar>
              <w:top w:w="40" w:type="dxa"/>
              <w:left w:w="20" w:type="dxa"/>
              <w:bottom w:w="40" w:type="dxa"/>
              <w:right w:w="0" w:type="dxa"/>
            </w:tcMar>
            <w:vAlign w:val="center"/>
          </w:tcPr>
          <w:p w14:paraId="64297575"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7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7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78" w14:textId="77777777" w:rsidR="007B6C97" w:rsidRDefault="00E426D1">
            <w:pPr>
              <w:jc w:val="right"/>
              <w:textAlignment w:val="center"/>
            </w:pPr>
            <w:r>
              <w:rPr>
                <w:rFonts w:ascii="Times New Roman" w:eastAsia="宋体" w:hAnsi="Times New Roman"/>
                <w:color w:val="000000"/>
                <w:sz w:val="20"/>
                <w:szCs w:val="20"/>
              </w:rPr>
              <w:t>(0.9)</w:t>
            </w:r>
          </w:p>
        </w:tc>
        <w:tc>
          <w:tcPr>
            <w:tcW w:w="0" w:type="auto"/>
            <w:shd w:val="clear" w:color="auto" w:fill="D7E4BC"/>
            <w:tcMar>
              <w:top w:w="40" w:type="dxa"/>
              <w:left w:w="0" w:type="dxa"/>
              <w:bottom w:w="40" w:type="dxa"/>
              <w:right w:w="20" w:type="dxa"/>
            </w:tcMar>
            <w:vAlign w:val="center"/>
          </w:tcPr>
          <w:p w14:paraId="6429757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7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757B" w14:textId="77777777" w:rsidR="007B6C97" w:rsidRDefault="00E426D1">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6429757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7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57E" w14:textId="77777777" w:rsidR="007B6C97" w:rsidRDefault="00E426D1">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7B6C97" w14:paraId="6429758F" w14:textId="77777777">
        <w:tc>
          <w:tcPr>
            <w:tcW w:w="0" w:type="auto"/>
            <w:gridSpan w:val="3"/>
            <w:vMerge/>
            <w:shd w:val="clear" w:color="auto" w:fill="D7E4BC"/>
            <w:tcMar>
              <w:top w:w="40" w:type="dxa"/>
              <w:left w:w="155" w:type="dxa"/>
              <w:bottom w:w="40" w:type="dxa"/>
              <w:right w:w="20" w:type="dxa"/>
            </w:tcMar>
          </w:tcPr>
          <w:p w14:paraId="64297580" w14:textId="77777777" w:rsidR="007B6C97" w:rsidRDefault="007B6C97">
            <w:pPr>
              <w:rPr>
                <w:rFonts w:ascii="宋体"/>
              </w:rPr>
            </w:pPr>
          </w:p>
        </w:tc>
        <w:tc>
          <w:tcPr>
            <w:tcW w:w="0" w:type="auto"/>
            <w:gridSpan w:val="3"/>
            <w:shd w:val="clear" w:color="auto" w:fill="auto"/>
            <w:vAlign w:val="bottom"/>
          </w:tcPr>
          <w:p w14:paraId="64297581" w14:textId="77777777" w:rsidR="007B6C97" w:rsidRDefault="007B6C97">
            <w:pPr>
              <w:rPr>
                <w:rFonts w:ascii="宋体"/>
                <w:vanish/>
              </w:rPr>
            </w:pPr>
          </w:p>
        </w:tc>
        <w:tc>
          <w:tcPr>
            <w:tcW w:w="0" w:type="auto"/>
            <w:gridSpan w:val="3"/>
            <w:shd w:val="clear" w:color="auto" w:fill="auto"/>
            <w:vAlign w:val="bottom"/>
          </w:tcPr>
          <w:p w14:paraId="64297582" w14:textId="77777777" w:rsidR="007B6C97" w:rsidRDefault="007B6C97">
            <w:pPr>
              <w:rPr>
                <w:rFonts w:ascii="宋体"/>
                <w:vanish/>
              </w:rPr>
            </w:pPr>
          </w:p>
        </w:tc>
        <w:tc>
          <w:tcPr>
            <w:tcW w:w="0" w:type="auto"/>
            <w:gridSpan w:val="3"/>
            <w:shd w:val="clear" w:color="auto" w:fill="auto"/>
            <w:vAlign w:val="bottom"/>
          </w:tcPr>
          <w:p w14:paraId="64297583"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584"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85" w14:textId="77777777" w:rsidR="007B6C97" w:rsidRDefault="007B6C97">
            <w:pPr>
              <w:jc w:val="right"/>
              <w:rPr>
                <w:rFonts w:ascii="宋体"/>
              </w:rPr>
            </w:pPr>
          </w:p>
        </w:tc>
        <w:tc>
          <w:tcPr>
            <w:tcW w:w="0" w:type="auto"/>
            <w:gridSpan w:val="3"/>
            <w:shd w:val="clear" w:color="auto" w:fill="auto"/>
            <w:vAlign w:val="bottom"/>
          </w:tcPr>
          <w:p w14:paraId="64297586"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587"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588" w14:textId="77777777" w:rsidR="007B6C97" w:rsidRDefault="007B6C97">
            <w:pPr>
              <w:jc w:val="right"/>
              <w:rPr>
                <w:rFonts w:ascii="宋体"/>
              </w:rPr>
            </w:pPr>
          </w:p>
        </w:tc>
        <w:tc>
          <w:tcPr>
            <w:tcW w:w="0" w:type="auto"/>
            <w:gridSpan w:val="3"/>
            <w:shd w:val="clear" w:color="auto" w:fill="auto"/>
            <w:vAlign w:val="bottom"/>
          </w:tcPr>
          <w:p w14:paraId="64297589" w14:textId="77777777" w:rsidR="007B6C97" w:rsidRDefault="007B6C97">
            <w:pPr>
              <w:rPr>
                <w:rFonts w:ascii="宋体"/>
                <w:vanish/>
              </w:rPr>
            </w:pPr>
          </w:p>
        </w:tc>
        <w:tc>
          <w:tcPr>
            <w:tcW w:w="0" w:type="auto"/>
            <w:gridSpan w:val="3"/>
            <w:shd w:val="clear" w:color="auto" w:fill="auto"/>
            <w:vAlign w:val="bottom"/>
          </w:tcPr>
          <w:p w14:paraId="6429758A" w14:textId="77777777" w:rsidR="007B6C97" w:rsidRDefault="007B6C97">
            <w:pPr>
              <w:rPr>
                <w:rFonts w:ascii="宋体"/>
                <w:vanish/>
              </w:rPr>
            </w:pPr>
          </w:p>
        </w:tc>
        <w:tc>
          <w:tcPr>
            <w:tcW w:w="0" w:type="auto"/>
            <w:gridSpan w:val="3"/>
            <w:shd w:val="clear" w:color="auto" w:fill="auto"/>
            <w:vAlign w:val="bottom"/>
          </w:tcPr>
          <w:p w14:paraId="6429758B" w14:textId="77777777" w:rsidR="007B6C97" w:rsidRDefault="007B6C97">
            <w:pPr>
              <w:rPr>
                <w:rFonts w:ascii="宋体"/>
                <w:vanish/>
              </w:rPr>
            </w:pPr>
          </w:p>
        </w:tc>
        <w:tc>
          <w:tcPr>
            <w:tcW w:w="0" w:type="auto"/>
            <w:gridSpan w:val="3"/>
            <w:shd w:val="clear" w:color="auto" w:fill="auto"/>
            <w:vAlign w:val="bottom"/>
          </w:tcPr>
          <w:p w14:paraId="6429758C" w14:textId="77777777" w:rsidR="007B6C97" w:rsidRDefault="007B6C97">
            <w:pPr>
              <w:rPr>
                <w:rFonts w:ascii="宋体"/>
                <w:vanish/>
              </w:rPr>
            </w:pPr>
          </w:p>
        </w:tc>
        <w:tc>
          <w:tcPr>
            <w:tcW w:w="0" w:type="auto"/>
            <w:gridSpan w:val="3"/>
            <w:shd w:val="clear" w:color="auto" w:fill="auto"/>
            <w:vAlign w:val="bottom"/>
          </w:tcPr>
          <w:p w14:paraId="6429758D" w14:textId="77777777" w:rsidR="007B6C97" w:rsidRDefault="007B6C97">
            <w:pPr>
              <w:rPr>
                <w:rFonts w:ascii="宋体"/>
                <w:vanish/>
              </w:rPr>
            </w:pPr>
          </w:p>
        </w:tc>
        <w:tc>
          <w:tcPr>
            <w:tcW w:w="0" w:type="auto"/>
            <w:gridSpan w:val="3"/>
            <w:shd w:val="clear" w:color="auto" w:fill="auto"/>
            <w:vAlign w:val="bottom"/>
          </w:tcPr>
          <w:p w14:paraId="6429758E" w14:textId="77777777" w:rsidR="007B6C97" w:rsidRDefault="007B6C97">
            <w:pPr>
              <w:rPr>
                <w:rFonts w:ascii="宋体"/>
                <w:vanish/>
              </w:rPr>
            </w:pPr>
          </w:p>
        </w:tc>
      </w:tr>
      <w:tr w:rsidR="007B6C97" w14:paraId="642975A1" w14:textId="77777777">
        <w:trPr>
          <w:trHeight w:val="300"/>
        </w:trPr>
        <w:tc>
          <w:tcPr>
            <w:tcW w:w="0" w:type="auto"/>
            <w:gridSpan w:val="3"/>
            <w:vMerge w:val="restart"/>
            <w:shd w:val="clear" w:color="auto" w:fill="FFFFFF"/>
            <w:tcMar>
              <w:top w:w="40" w:type="dxa"/>
              <w:left w:w="155" w:type="dxa"/>
              <w:bottom w:w="40" w:type="dxa"/>
              <w:right w:w="20" w:type="dxa"/>
            </w:tcMar>
          </w:tcPr>
          <w:p w14:paraId="64297590" w14:textId="77777777" w:rsidR="007B6C97" w:rsidRDefault="00E426D1">
            <w:pPr>
              <w:textAlignment w:val="top"/>
            </w:pPr>
            <w:r>
              <w:rPr>
                <w:rFonts w:ascii="Times New Roman" w:eastAsia="宋体" w:hAnsi="Times New Roman"/>
                <w:color w:val="000000"/>
                <w:sz w:val="20"/>
                <w:szCs w:val="20"/>
              </w:rPr>
              <w:t>Inter</w:t>
            </w:r>
            <w:r>
              <w:rPr>
                <w:rFonts w:ascii="Times New Roman" w:eastAsia="宋体" w:hAnsi="Times New Roman"/>
                <w:color w:val="000000"/>
                <w:sz w:val="20"/>
                <w:szCs w:val="20"/>
              </w:rPr>
              <w:t>est rates</w:t>
            </w:r>
          </w:p>
        </w:tc>
        <w:tc>
          <w:tcPr>
            <w:tcW w:w="0" w:type="auto"/>
            <w:gridSpan w:val="3"/>
            <w:shd w:val="clear" w:color="auto" w:fill="auto"/>
            <w:vAlign w:val="bottom"/>
          </w:tcPr>
          <w:p w14:paraId="64297591" w14:textId="77777777" w:rsidR="007B6C97" w:rsidRDefault="007B6C97">
            <w:pPr>
              <w:rPr>
                <w:rFonts w:ascii="宋体"/>
                <w:vanish/>
              </w:rPr>
            </w:pPr>
          </w:p>
        </w:tc>
        <w:tc>
          <w:tcPr>
            <w:tcW w:w="0" w:type="auto"/>
            <w:gridSpan w:val="3"/>
            <w:shd w:val="clear" w:color="auto" w:fill="auto"/>
            <w:vAlign w:val="bottom"/>
          </w:tcPr>
          <w:p w14:paraId="64297592" w14:textId="77777777" w:rsidR="007B6C97" w:rsidRDefault="007B6C97">
            <w:pPr>
              <w:rPr>
                <w:rFonts w:ascii="宋体"/>
                <w:vanish/>
              </w:rPr>
            </w:pPr>
          </w:p>
        </w:tc>
        <w:tc>
          <w:tcPr>
            <w:tcW w:w="0" w:type="auto"/>
            <w:gridSpan w:val="3"/>
            <w:shd w:val="clear" w:color="auto" w:fill="auto"/>
            <w:vAlign w:val="bottom"/>
          </w:tcPr>
          <w:p w14:paraId="64297593" w14:textId="77777777" w:rsidR="007B6C97" w:rsidRDefault="007B6C97">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4297594" w14:textId="77777777" w:rsidR="007B6C97" w:rsidRDefault="00E426D1">
            <w:pPr>
              <w:jc w:val="right"/>
              <w:textAlignment w:val="center"/>
            </w:pPr>
            <w:r>
              <w:rPr>
                <w:rFonts w:ascii="Times New Roman" w:eastAsia="宋体" w:hAnsi="Times New Roman"/>
                <w:color w:val="000000"/>
                <w:sz w:val="20"/>
                <w:szCs w:val="20"/>
              </w:rPr>
              <w:t>18.8 </w:t>
            </w:r>
          </w:p>
        </w:tc>
        <w:tc>
          <w:tcPr>
            <w:tcW w:w="0" w:type="auto"/>
            <w:vMerge w:val="restart"/>
            <w:shd w:val="clear" w:color="auto" w:fill="FFFFFF"/>
            <w:tcMar>
              <w:top w:w="40" w:type="dxa"/>
              <w:left w:w="0" w:type="dxa"/>
              <w:bottom w:w="40" w:type="dxa"/>
              <w:right w:w="20" w:type="dxa"/>
            </w:tcMar>
            <w:vAlign w:val="center"/>
          </w:tcPr>
          <w:p w14:paraId="6429759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96" w14:textId="77777777" w:rsidR="007B6C97" w:rsidRDefault="007B6C97">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4297597" w14:textId="77777777" w:rsidR="007B6C97" w:rsidRDefault="00E426D1">
            <w:pPr>
              <w:jc w:val="right"/>
              <w:textAlignment w:val="center"/>
            </w:pPr>
            <w:r>
              <w:rPr>
                <w:rFonts w:ascii="Times New Roman" w:eastAsia="宋体" w:hAnsi="Times New Roman"/>
                <w:color w:val="000000"/>
                <w:sz w:val="20"/>
                <w:szCs w:val="20"/>
              </w:rPr>
              <w:t>(25.1)</w:t>
            </w:r>
          </w:p>
        </w:tc>
        <w:tc>
          <w:tcPr>
            <w:tcW w:w="0" w:type="auto"/>
            <w:vMerge w:val="restart"/>
            <w:shd w:val="clear" w:color="auto" w:fill="FFFFFF"/>
            <w:tcMar>
              <w:top w:w="40" w:type="dxa"/>
              <w:left w:w="0" w:type="dxa"/>
              <w:bottom w:w="40" w:type="dxa"/>
              <w:right w:w="20" w:type="dxa"/>
            </w:tcMar>
            <w:vAlign w:val="center"/>
          </w:tcPr>
          <w:p w14:paraId="6429759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9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59A"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429759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9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59D" w14:textId="77777777" w:rsidR="007B6C97" w:rsidRDefault="00E426D1">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6429759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59F"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5A0" w14:textId="77777777" w:rsidR="007B6C97" w:rsidRDefault="00E426D1">
            <w:pPr>
              <w:textAlignment w:val="bottom"/>
            </w:pPr>
            <w:r>
              <w:rPr>
                <w:rFonts w:ascii="Times New Roman" w:eastAsia="宋体" w:hAnsi="Times New Roman"/>
                <w:color w:val="000000"/>
                <w:sz w:val="20"/>
                <w:szCs w:val="20"/>
              </w:rPr>
              <w:t>Interest expense</w:t>
            </w:r>
          </w:p>
        </w:tc>
      </w:tr>
      <w:tr w:rsidR="007B6C97" w14:paraId="642975B1" w14:textId="77777777">
        <w:tc>
          <w:tcPr>
            <w:tcW w:w="0" w:type="auto"/>
            <w:gridSpan w:val="3"/>
            <w:vMerge/>
            <w:shd w:val="clear" w:color="auto" w:fill="FFFFFF"/>
            <w:tcMar>
              <w:top w:w="40" w:type="dxa"/>
              <w:left w:w="155" w:type="dxa"/>
              <w:bottom w:w="40" w:type="dxa"/>
              <w:right w:w="20" w:type="dxa"/>
            </w:tcMar>
          </w:tcPr>
          <w:p w14:paraId="642975A2" w14:textId="77777777" w:rsidR="007B6C97" w:rsidRDefault="007B6C97">
            <w:pPr>
              <w:rPr>
                <w:rFonts w:ascii="宋体"/>
              </w:rPr>
            </w:pPr>
          </w:p>
        </w:tc>
        <w:tc>
          <w:tcPr>
            <w:tcW w:w="0" w:type="auto"/>
            <w:gridSpan w:val="3"/>
            <w:shd w:val="clear" w:color="auto" w:fill="auto"/>
            <w:vAlign w:val="bottom"/>
          </w:tcPr>
          <w:p w14:paraId="642975A3" w14:textId="77777777" w:rsidR="007B6C97" w:rsidRDefault="007B6C97">
            <w:pPr>
              <w:rPr>
                <w:rFonts w:ascii="宋体"/>
                <w:vanish/>
              </w:rPr>
            </w:pPr>
          </w:p>
        </w:tc>
        <w:tc>
          <w:tcPr>
            <w:tcW w:w="0" w:type="auto"/>
            <w:gridSpan w:val="3"/>
            <w:shd w:val="clear" w:color="auto" w:fill="auto"/>
            <w:vAlign w:val="bottom"/>
          </w:tcPr>
          <w:p w14:paraId="642975A4" w14:textId="77777777" w:rsidR="007B6C97" w:rsidRDefault="007B6C97">
            <w:pPr>
              <w:rPr>
                <w:rFonts w:ascii="宋体"/>
                <w:vanish/>
              </w:rPr>
            </w:pPr>
          </w:p>
        </w:tc>
        <w:tc>
          <w:tcPr>
            <w:tcW w:w="0" w:type="auto"/>
            <w:gridSpan w:val="3"/>
            <w:shd w:val="clear" w:color="auto" w:fill="auto"/>
            <w:vAlign w:val="bottom"/>
          </w:tcPr>
          <w:p w14:paraId="642975A5" w14:textId="77777777" w:rsidR="007B6C97" w:rsidRDefault="007B6C97">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42975A6"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A7" w14:textId="77777777" w:rsidR="007B6C97" w:rsidRDefault="007B6C97">
            <w:pPr>
              <w:jc w:val="right"/>
              <w:rPr>
                <w:rFonts w:ascii="宋体"/>
              </w:rPr>
            </w:pPr>
          </w:p>
        </w:tc>
        <w:tc>
          <w:tcPr>
            <w:tcW w:w="0" w:type="auto"/>
            <w:gridSpan w:val="3"/>
            <w:shd w:val="clear" w:color="auto" w:fill="auto"/>
            <w:vAlign w:val="bottom"/>
          </w:tcPr>
          <w:p w14:paraId="642975A8" w14:textId="77777777" w:rsidR="007B6C97" w:rsidRDefault="007B6C97">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42975A9"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5AA" w14:textId="77777777" w:rsidR="007B6C97" w:rsidRDefault="007B6C97">
            <w:pPr>
              <w:jc w:val="right"/>
              <w:rPr>
                <w:rFonts w:ascii="宋体"/>
              </w:rPr>
            </w:pPr>
          </w:p>
        </w:tc>
        <w:tc>
          <w:tcPr>
            <w:tcW w:w="0" w:type="auto"/>
            <w:gridSpan w:val="3"/>
            <w:shd w:val="clear" w:color="auto" w:fill="auto"/>
            <w:vAlign w:val="bottom"/>
          </w:tcPr>
          <w:p w14:paraId="642975AB" w14:textId="77777777" w:rsidR="007B6C97" w:rsidRDefault="007B6C97">
            <w:pPr>
              <w:rPr>
                <w:rFonts w:ascii="宋体"/>
                <w:vanish/>
              </w:rPr>
            </w:pPr>
          </w:p>
        </w:tc>
        <w:tc>
          <w:tcPr>
            <w:tcW w:w="0" w:type="auto"/>
            <w:gridSpan w:val="3"/>
            <w:shd w:val="clear" w:color="auto" w:fill="auto"/>
            <w:vAlign w:val="bottom"/>
          </w:tcPr>
          <w:p w14:paraId="642975AC" w14:textId="77777777" w:rsidR="007B6C97" w:rsidRDefault="007B6C97">
            <w:pPr>
              <w:rPr>
                <w:rFonts w:ascii="宋体"/>
                <w:vanish/>
              </w:rPr>
            </w:pPr>
          </w:p>
        </w:tc>
        <w:tc>
          <w:tcPr>
            <w:tcW w:w="0" w:type="auto"/>
            <w:gridSpan w:val="3"/>
            <w:shd w:val="clear" w:color="auto" w:fill="auto"/>
            <w:vAlign w:val="bottom"/>
          </w:tcPr>
          <w:p w14:paraId="642975AD" w14:textId="77777777" w:rsidR="007B6C97" w:rsidRDefault="007B6C97">
            <w:pPr>
              <w:rPr>
                <w:rFonts w:ascii="宋体"/>
                <w:vanish/>
              </w:rPr>
            </w:pPr>
          </w:p>
        </w:tc>
        <w:tc>
          <w:tcPr>
            <w:tcW w:w="0" w:type="auto"/>
            <w:gridSpan w:val="3"/>
            <w:shd w:val="clear" w:color="auto" w:fill="auto"/>
            <w:vAlign w:val="bottom"/>
          </w:tcPr>
          <w:p w14:paraId="642975AE" w14:textId="77777777" w:rsidR="007B6C97" w:rsidRDefault="007B6C97">
            <w:pPr>
              <w:rPr>
                <w:rFonts w:ascii="宋体"/>
                <w:vanish/>
              </w:rPr>
            </w:pPr>
          </w:p>
        </w:tc>
        <w:tc>
          <w:tcPr>
            <w:tcW w:w="0" w:type="auto"/>
            <w:gridSpan w:val="3"/>
            <w:shd w:val="clear" w:color="auto" w:fill="auto"/>
            <w:vAlign w:val="bottom"/>
          </w:tcPr>
          <w:p w14:paraId="642975AF" w14:textId="77777777" w:rsidR="007B6C97" w:rsidRDefault="007B6C97">
            <w:pPr>
              <w:rPr>
                <w:rFonts w:ascii="宋体"/>
                <w:vanish/>
              </w:rPr>
            </w:pPr>
          </w:p>
        </w:tc>
        <w:tc>
          <w:tcPr>
            <w:tcW w:w="0" w:type="auto"/>
            <w:gridSpan w:val="3"/>
            <w:shd w:val="clear" w:color="auto" w:fill="auto"/>
            <w:vAlign w:val="bottom"/>
          </w:tcPr>
          <w:p w14:paraId="642975B0" w14:textId="77777777" w:rsidR="007B6C97" w:rsidRDefault="007B6C97">
            <w:pPr>
              <w:rPr>
                <w:rFonts w:ascii="宋体"/>
                <w:vanish/>
              </w:rPr>
            </w:pPr>
          </w:p>
        </w:tc>
      </w:tr>
      <w:tr w:rsidR="007B6C97" w14:paraId="642975BF" w14:textId="77777777">
        <w:tc>
          <w:tcPr>
            <w:tcW w:w="0" w:type="auto"/>
            <w:gridSpan w:val="3"/>
            <w:shd w:val="clear" w:color="auto" w:fill="D7E4BC"/>
            <w:tcMar>
              <w:top w:w="40" w:type="dxa"/>
              <w:left w:w="20" w:type="dxa"/>
              <w:bottom w:w="40" w:type="dxa"/>
              <w:right w:w="20" w:type="dxa"/>
            </w:tcMar>
          </w:tcPr>
          <w:p w14:paraId="642975B2" w14:textId="77777777" w:rsidR="007B6C97" w:rsidRDefault="00E426D1">
            <w:pPr>
              <w:textAlignment w:val="top"/>
            </w:pPr>
            <w:r>
              <w:rPr>
                <w:rFonts w:ascii="Times New Roman" w:eastAsia="宋体" w:hAnsi="Times New Roman"/>
                <w:color w:val="000000"/>
                <w:sz w:val="20"/>
                <w:szCs w:val="20"/>
              </w:rPr>
              <w:t>Net I</w:t>
            </w:r>
            <w:r>
              <w:rPr>
                <w:rFonts w:ascii="Times New Roman" w:eastAsia="宋体" w:hAnsi="Times New Roman"/>
                <w:color w:val="000000"/>
                <w:sz w:val="20"/>
                <w:szCs w:val="20"/>
              </w:rPr>
              <w:t>nvestment Hedges:</w:t>
            </w:r>
          </w:p>
        </w:tc>
        <w:tc>
          <w:tcPr>
            <w:tcW w:w="0" w:type="auto"/>
            <w:gridSpan w:val="3"/>
            <w:shd w:val="clear" w:color="auto" w:fill="auto"/>
            <w:vAlign w:val="bottom"/>
          </w:tcPr>
          <w:p w14:paraId="642975B3" w14:textId="77777777" w:rsidR="007B6C97" w:rsidRDefault="007B6C97">
            <w:pPr>
              <w:rPr>
                <w:rFonts w:ascii="宋体"/>
                <w:vanish/>
              </w:rPr>
            </w:pPr>
          </w:p>
        </w:tc>
        <w:tc>
          <w:tcPr>
            <w:tcW w:w="0" w:type="auto"/>
            <w:gridSpan w:val="3"/>
            <w:shd w:val="clear" w:color="auto" w:fill="auto"/>
            <w:vAlign w:val="bottom"/>
          </w:tcPr>
          <w:p w14:paraId="642975B4" w14:textId="77777777" w:rsidR="007B6C97" w:rsidRDefault="007B6C97">
            <w:pPr>
              <w:rPr>
                <w:rFonts w:ascii="宋体"/>
                <w:vanish/>
              </w:rPr>
            </w:pPr>
          </w:p>
        </w:tc>
        <w:tc>
          <w:tcPr>
            <w:tcW w:w="0" w:type="auto"/>
            <w:gridSpan w:val="3"/>
            <w:shd w:val="clear" w:color="auto" w:fill="auto"/>
            <w:vAlign w:val="bottom"/>
          </w:tcPr>
          <w:p w14:paraId="642975B5" w14:textId="77777777" w:rsidR="007B6C97" w:rsidRDefault="007B6C97">
            <w:pPr>
              <w:rPr>
                <w:rFonts w:ascii="宋体"/>
                <w:vanish/>
              </w:rPr>
            </w:pPr>
          </w:p>
        </w:tc>
        <w:tc>
          <w:tcPr>
            <w:tcW w:w="0" w:type="auto"/>
            <w:gridSpan w:val="3"/>
            <w:shd w:val="clear" w:color="auto" w:fill="D7E4BC"/>
            <w:tcMar>
              <w:top w:w="0" w:type="dxa"/>
              <w:left w:w="20" w:type="dxa"/>
              <w:bottom w:w="0" w:type="dxa"/>
              <w:right w:w="20" w:type="dxa"/>
            </w:tcMar>
            <w:vAlign w:val="bottom"/>
          </w:tcPr>
          <w:p w14:paraId="642975B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BE" w14:textId="77777777" w:rsidR="007B6C97" w:rsidRDefault="007B6C97">
            <w:pPr>
              <w:rPr>
                <w:rFonts w:ascii="宋体"/>
              </w:rPr>
            </w:pPr>
          </w:p>
        </w:tc>
      </w:tr>
      <w:tr w:rsidR="007B6C97" w14:paraId="642975D1" w14:textId="77777777">
        <w:tc>
          <w:tcPr>
            <w:tcW w:w="0" w:type="auto"/>
            <w:gridSpan w:val="3"/>
            <w:shd w:val="clear" w:color="auto" w:fill="FFFFFF"/>
            <w:tcMar>
              <w:top w:w="40" w:type="dxa"/>
              <w:left w:w="155" w:type="dxa"/>
              <w:bottom w:w="40" w:type="dxa"/>
              <w:right w:w="20" w:type="dxa"/>
            </w:tcMar>
          </w:tcPr>
          <w:p w14:paraId="642975C0" w14:textId="77777777" w:rsidR="007B6C97" w:rsidRDefault="00E426D1">
            <w:pPr>
              <w:textAlignment w:val="top"/>
            </w:pPr>
            <w:r>
              <w:rPr>
                <w:rFonts w:ascii="Times New Roman" w:eastAsia="宋体" w:hAnsi="Times New Roman"/>
                <w:color w:val="000000"/>
                <w:sz w:val="20"/>
                <w:szCs w:val="20"/>
              </w:rPr>
              <w:t xml:space="preserve">Cross-currency swaps </w:t>
            </w:r>
          </w:p>
        </w:tc>
        <w:tc>
          <w:tcPr>
            <w:tcW w:w="0" w:type="auto"/>
            <w:gridSpan w:val="3"/>
            <w:shd w:val="clear" w:color="auto" w:fill="auto"/>
            <w:vAlign w:val="bottom"/>
          </w:tcPr>
          <w:p w14:paraId="642975C1" w14:textId="77777777" w:rsidR="007B6C97" w:rsidRDefault="007B6C97">
            <w:pPr>
              <w:rPr>
                <w:rFonts w:ascii="宋体"/>
                <w:vanish/>
              </w:rPr>
            </w:pPr>
          </w:p>
        </w:tc>
        <w:tc>
          <w:tcPr>
            <w:tcW w:w="0" w:type="auto"/>
            <w:gridSpan w:val="3"/>
            <w:shd w:val="clear" w:color="auto" w:fill="auto"/>
            <w:vAlign w:val="bottom"/>
          </w:tcPr>
          <w:p w14:paraId="642975C2" w14:textId="77777777" w:rsidR="007B6C97" w:rsidRDefault="007B6C97">
            <w:pPr>
              <w:rPr>
                <w:rFonts w:ascii="宋体"/>
                <w:vanish/>
              </w:rPr>
            </w:pPr>
          </w:p>
        </w:tc>
        <w:tc>
          <w:tcPr>
            <w:tcW w:w="0" w:type="auto"/>
            <w:gridSpan w:val="3"/>
            <w:shd w:val="clear" w:color="auto" w:fill="auto"/>
            <w:vAlign w:val="bottom"/>
          </w:tcPr>
          <w:p w14:paraId="642975C3" w14:textId="77777777" w:rsidR="007B6C97" w:rsidRDefault="007B6C97">
            <w:pPr>
              <w:rPr>
                <w:rFonts w:ascii="宋体"/>
                <w:vanish/>
              </w:rPr>
            </w:pPr>
          </w:p>
        </w:tc>
        <w:tc>
          <w:tcPr>
            <w:tcW w:w="0" w:type="auto"/>
            <w:gridSpan w:val="2"/>
            <w:shd w:val="clear" w:color="auto" w:fill="FFFFFF"/>
            <w:tcMar>
              <w:top w:w="40" w:type="dxa"/>
              <w:left w:w="20" w:type="dxa"/>
              <w:bottom w:w="40" w:type="dxa"/>
              <w:right w:w="0" w:type="dxa"/>
            </w:tcMar>
            <w:vAlign w:val="bottom"/>
          </w:tcPr>
          <w:p w14:paraId="642975C4" w14:textId="77777777" w:rsidR="007B6C97" w:rsidRDefault="00E426D1">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642975C5"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5C6"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5C7" w14:textId="77777777" w:rsidR="007B6C97" w:rsidRDefault="00E426D1">
            <w:pPr>
              <w:jc w:val="right"/>
              <w:textAlignment w:val="bottom"/>
            </w:pPr>
            <w:r>
              <w:rPr>
                <w:rFonts w:ascii="Times New Roman" w:eastAsia="宋体" w:hAnsi="Times New Roman"/>
                <w:color w:val="000000"/>
                <w:sz w:val="20"/>
                <w:szCs w:val="20"/>
              </w:rPr>
              <w:t>20.6 </w:t>
            </w:r>
          </w:p>
        </w:tc>
        <w:tc>
          <w:tcPr>
            <w:tcW w:w="0" w:type="auto"/>
            <w:shd w:val="clear" w:color="auto" w:fill="auto"/>
            <w:tcMar>
              <w:top w:w="40" w:type="dxa"/>
              <w:left w:w="0" w:type="dxa"/>
              <w:bottom w:w="40" w:type="dxa"/>
              <w:right w:w="20" w:type="dxa"/>
            </w:tcMar>
            <w:vAlign w:val="bottom"/>
          </w:tcPr>
          <w:p w14:paraId="642975C8"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5C9"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5CA" w14:textId="77777777" w:rsidR="007B6C97" w:rsidRDefault="00E426D1">
            <w:pPr>
              <w:jc w:val="right"/>
              <w:textAlignment w:val="bottom"/>
            </w:pPr>
            <w:r>
              <w:rPr>
                <w:rFonts w:ascii="Times New Roman" w:eastAsia="宋体" w:hAnsi="Times New Roman"/>
                <w:color w:val="000000"/>
                <w:sz w:val="20"/>
                <w:szCs w:val="20"/>
              </w:rPr>
              <w:t>3.8 </w:t>
            </w:r>
          </w:p>
        </w:tc>
        <w:tc>
          <w:tcPr>
            <w:tcW w:w="0" w:type="auto"/>
            <w:shd w:val="clear" w:color="auto" w:fill="auto"/>
            <w:tcMar>
              <w:top w:w="40" w:type="dxa"/>
              <w:left w:w="0" w:type="dxa"/>
              <w:bottom w:w="40" w:type="dxa"/>
              <w:right w:w="20" w:type="dxa"/>
            </w:tcMar>
            <w:vAlign w:val="bottom"/>
          </w:tcPr>
          <w:p w14:paraId="642975CB"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5CC"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5CD" w14:textId="77777777" w:rsidR="007B6C97" w:rsidRDefault="00E426D1">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642975CE"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5CF"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75D0" w14:textId="77777777" w:rsidR="007B6C97" w:rsidRDefault="00E426D1">
            <w:pPr>
              <w:textAlignment w:val="bottom"/>
            </w:pPr>
            <w:r>
              <w:rPr>
                <w:rFonts w:ascii="Times New Roman" w:eastAsia="宋体" w:hAnsi="Times New Roman"/>
                <w:color w:val="000000"/>
                <w:sz w:val="20"/>
                <w:szCs w:val="20"/>
              </w:rPr>
              <w:t xml:space="preserve">Interest expense </w:t>
            </w:r>
          </w:p>
        </w:tc>
      </w:tr>
      <w:tr w:rsidR="007B6C97" w14:paraId="642975DF" w14:textId="77777777">
        <w:trPr>
          <w:hidden/>
        </w:trPr>
        <w:tc>
          <w:tcPr>
            <w:tcW w:w="0" w:type="auto"/>
            <w:gridSpan w:val="3"/>
            <w:shd w:val="clear" w:color="auto" w:fill="auto"/>
            <w:vAlign w:val="bottom"/>
          </w:tcPr>
          <w:p w14:paraId="642975D2" w14:textId="77777777" w:rsidR="007B6C97" w:rsidRDefault="007B6C97">
            <w:pPr>
              <w:rPr>
                <w:rFonts w:ascii="宋体"/>
                <w:vanish/>
              </w:rPr>
            </w:pPr>
          </w:p>
        </w:tc>
        <w:tc>
          <w:tcPr>
            <w:tcW w:w="0" w:type="auto"/>
            <w:gridSpan w:val="3"/>
            <w:shd w:val="clear" w:color="auto" w:fill="auto"/>
            <w:vAlign w:val="bottom"/>
          </w:tcPr>
          <w:p w14:paraId="642975D3" w14:textId="77777777" w:rsidR="007B6C97" w:rsidRDefault="007B6C97">
            <w:pPr>
              <w:rPr>
                <w:rFonts w:ascii="宋体"/>
                <w:vanish/>
              </w:rPr>
            </w:pPr>
          </w:p>
        </w:tc>
        <w:tc>
          <w:tcPr>
            <w:tcW w:w="0" w:type="auto"/>
            <w:gridSpan w:val="3"/>
            <w:shd w:val="clear" w:color="auto" w:fill="auto"/>
            <w:vAlign w:val="bottom"/>
          </w:tcPr>
          <w:p w14:paraId="642975D4" w14:textId="77777777" w:rsidR="007B6C97" w:rsidRDefault="007B6C97">
            <w:pPr>
              <w:rPr>
                <w:rFonts w:ascii="宋体"/>
                <w:vanish/>
              </w:rPr>
            </w:pPr>
          </w:p>
        </w:tc>
        <w:tc>
          <w:tcPr>
            <w:tcW w:w="0" w:type="auto"/>
            <w:gridSpan w:val="3"/>
            <w:shd w:val="clear" w:color="auto" w:fill="auto"/>
            <w:vAlign w:val="bottom"/>
          </w:tcPr>
          <w:p w14:paraId="642975D5" w14:textId="77777777" w:rsidR="007B6C97" w:rsidRDefault="007B6C97">
            <w:pPr>
              <w:rPr>
                <w:rFonts w:ascii="宋体"/>
                <w:vanish/>
              </w:rPr>
            </w:pPr>
          </w:p>
        </w:tc>
        <w:tc>
          <w:tcPr>
            <w:tcW w:w="0" w:type="auto"/>
            <w:gridSpan w:val="3"/>
            <w:shd w:val="clear" w:color="auto" w:fill="auto"/>
            <w:vAlign w:val="bottom"/>
          </w:tcPr>
          <w:p w14:paraId="642975D6" w14:textId="77777777" w:rsidR="007B6C97" w:rsidRDefault="007B6C97">
            <w:pPr>
              <w:rPr>
                <w:rFonts w:ascii="宋体"/>
                <w:vanish/>
              </w:rPr>
            </w:pPr>
          </w:p>
        </w:tc>
        <w:tc>
          <w:tcPr>
            <w:tcW w:w="0" w:type="auto"/>
            <w:gridSpan w:val="3"/>
            <w:shd w:val="clear" w:color="auto" w:fill="auto"/>
            <w:vAlign w:val="bottom"/>
          </w:tcPr>
          <w:p w14:paraId="642975D7" w14:textId="77777777" w:rsidR="007B6C97" w:rsidRDefault="007B6C97">
            <w:pPr>
              <w:rPr>
                <w:rFonts w:ascii="宋体"/>
                <w:vanish/>
              </w:rPr>
            </w:pPr>
          </w:p>
        </w:tc>
        <w:tc>
          <w:tcPr>
            <w:tcW w:w="0" w:type="auto"/>
            <w:gridSpan w:val="3"/>
            <w:shd w:val="clear" w:color="auto" w:fill="auto"/>
            <w:vAlign w:val="bottom"/>
          </w:tcPr>
          <w:p w14:paraId="642975D8" w14:textId="77777777" w:rsidR="007B6C97" w:rsidRDefault="007B6C97">
            <w:pPr>
              <w:rPr>
                <w:rFonts w:ascii="宋体"/>
                <w:vanish/>
              </w:rPr>
            </w:pPr>
          </w:p>
        </w:tc>
        <w:tc>
          <w:tcPr>
            <w:tcW w:w="0" w:type="auto"/>
            <w:gridSpan w:val="3"/>
            <w:shd w:val="clear" w:color="auto" w:fill="auto"/>
            <w:vAlign w:val="bottom"/>
          </w:tcPr>
          <w:p w14:paraId="642975D9" w14:textId="77777777" w:rsidR="007B6C97" w:rsidRDefault="007B6C97">
            <w:pPr>
              <w:rPr>
                <w:rFonts w:ascii="宋体"/>
                <w:vanish/>
              </w:rPr>
            </w:pPr>
          </w:p>
        </w:tc>
        <w:tc>
          <w:tcPr>
            <w:tcW w:w="0" w:type="auto"/>
            <w:gridSpan w:val="3"/>
            <w:shd w:val="clear" w:color="auto" w:fill="auto"/>
            <w:vAlign w:val="bottom"/>
          </w:tcPr>
          <w:p w14:paraId="642975DA" w14:textId="77777777" w:rsidR="007B6C97" w:rsidRDefault="007B6C97">
            <w:pPr>
              <w:rPr>
                <w:rFonts w:ascii="宋体"/>
                <w:vanish/>
              </w:rPr>
            </w:pPr>
          </w:p>
        </w:tc>
        <w:tc>
          <w:tcPr>
            <w:tcW w:w="0" w:type="auto"/>
            <w:gridSpan w:val="3"/>
            <w:shd w:val="clear" w:color="auto" w:fill="auto"/>
            <w:vAlign w:val="bottom"/>
          </w:tcPr>
          <w:p w14:paraId="642975DB" w14:textId="77777777" w:rsidR="007B6C97" w:rsidRDefault="007B6C97">
            <w:pPr>
              <w:rPr>
                <w:rFonts w:ascii="宋体"/>
                <w:vanish/>
              </w:rPr>
            </w:pPr>
          </w:p>
        </w:tc>
        <w:tc>
          <w:tcPr>
            <w:tcW w:w="0" w:type="auto"/>
            <w:gridSpan w:val="3"/>
            <w:shd w:val="clear" w:color="auto" w:fill="auto"/>
            <w:vAlign w:val="bottom"/>
          </w:tcPr>
          <w:p w14:paraId="642975DC" w14:textId="77777777" w:rsidR="007B6C97" w:rsidRDefault="007B6C97">
            <w:pPr>
              <w:rPr>
                <w:rFonts w:ascii="宋体"/>
                <w:vanish/>
              </w:rPr>
            </w:pPr>
          </w:p>
        </w:tc>
        <w:tc>
          <w:tcPr>
            <w:tcW w:w="0" w:type="auto"/>
            <w:gridSpan w:val="3"/>
            <w:shd w:val="clear" w:color="auto" w:fill="auto"/>
            <w:vAlign w:val="bottom"/>
          </w:tcPr>
          <w:p w14:paraId="642975DD" w14:textId="77777777" w:rsidR="007B6C97" w:rsidRDefault="007B6C97">
            <w:pPr>
              <w:rPr>
                <w:rFonts w:ascii="宋体"/>
                <w:vanish/>
              </w:rPr>
            </w:pPr>
          </w:p>
        </w:tc>
        <w:tc>
          <w:tcPr>
            <w:tcW w:w="0" w:type="auto"/>
            <w:gridSpan w:val="3"/>
            <w:shd w:val="clear" w:color="auto" w:fill="auto"/>
            <w:vAlign w:val="bottom"/>
          </w:tcPr>
          <w:p w14:paraId="642975DE" w14:textId="77777777" w:rsidR="007B6C97" w:rsidRDefault="007B6C97">
            <w:pPr>
              <w:rPr>
                <w:rFonts w:ascii="宋体"/>
                <w:vanish/>
              </w:rPr>
            </w:pPr>
          </w:p>
        </w:tc>
      </w:tr>
      <w:tr w:rsidR="007B6C97" w14:paraId="642975F1" w14:textId="77777777">
        <w:tc>
          <w:tcPr>
            <w:tcW w:w="0" w:type="auto"/>
            <w:gridSpan w:val="3"/>
            <w:shd w:val="clear" w:color="auto" w:fill="D7E4BC"/>
            <w:tcMar>
              <w:top w:w="40" w:type="dxa"/>
              <w:left w:w="155" w:type="dxa"/>
              <w:bottom w:w="40" w:type="dxa"/>
              <w:right w:w="20" w:type="dxa"/>
            </w:tcMar>
          </w:tcPr>
          <w:p w14:paraId="642975E0" w14:textId="77777777" w:rsidR="007B6C97" w:rsidRDefault="00E426D1">
            <w:pPr>
              <w:textAlignment w:val="top"/>
            </w:pPr>
            <w:r>
              <w:rPr>
                <w:rFonts w:ascii="Times New Roman" w:eastAsia="宋体" w:hAnsi="Times New Roman"/>
                <w:color w:val="000000"/>
                <w:sz w:val="20"/>
                <w:szCs w:val="20"/>
              </w:rPr>
              <w:t>Foreign currency debt</w:t>
            </w:r>
          </w:p>
        </w:tc>
        <w:tc>
          <w:tcPr>
            <w:tcW w:w="0" w:type="auto"/>
            <w:gridSpan w:val="3"/>
            <w:shd w:val="clear" w:color="auto" w:fill="auto"/>
            <w:vAlign w:val="bottom"/>
          </w:tcPr>
          <w:p w14:paraId="642975E1" w14:textId="77777777" w:rsidR="007B6C97" w:rsidRDefault="007B6C97">
            <w:pPr>
              <w:rPr>
                <w:rFonts w:ascii="宋体"/>
                <w:vanish/>
              </w:rPr>
            </w:pPr>
          </w:p>
        </w:tc>
        <w:tc>
          <w:tcPr>
            <w:tcW w:w="0" w:type="auto"/>
            <w:gridSpan w:val="3"/>
            <w:shd w:val="clear" w:color="auto" w:fill="auto"/>
            <w:vAlign w:val="bottom"/>
          </w:tcPr>
          <w:p w14:paraId="642975E2" w14:textId="77777777" w:rsidR="007B6C97" w:rsidRDefault="007B6C97">
            <w:pPr>
              <w:rPr>
                <w:rFonts w:ascii="宋体"/>
                <w:vanish/>
              </w:rPr>
            </w:pPr>
          </w:p>
        </w:tc>
        <w:tc>
          <w:tcPr>
            <w:tcW w:w="0" w:type="auto"/>
            <w:gridSpan w:val="3"/>
            <w:shd w:val="clear" w:color="auto" w:fill="auto"/>
            <w:vAlign w:val="bottom"/>
          </w:tcPr>
          <w:p w14:paraId="642975E3" w14:textId="77777777" w:rsidR="007B6C97" w:rsidRDefault="007B6C97">
            <w:pPr>
              <w:rPr>
                <w:rFonts w:ascii="宋体"/>
                <w:vanish/>
              </w:rPr>
            </w:pPr>
          </w:p>
        </w:tc>
        <w:tc>
          <w:tcPr>
            <w:tcW w:w="0" w:type="auto"/>
            <w:gridSpan w:val="2"/>
            <w:shd w:val="clear" w:color="auto" w:fill="D7E4BC"/>
            <w:tcMar>
              <w:top w:w="40" w:type="dxa"/>
              <w:left w:w="20" w:type="dxa"/>
              <w:bottom w:w="40" w:type="dxa"/>
              <w:right w:w="0" w:type="dxa"/>
            </w:tcMar>
            <w:vAlign w:val="bottom"/>
          </w:tcPr>
          <w:p w14:paraId="642975E4" w14:textId="77777777" w:rsidR="007B6C97" w:rsidRDefault="00E426D1">
            <w:pPr>
              <w:jc w:val="right"/>
              <w:textAlignment w:val="bottom"/>
            </w:pPr>
            <w:r>
              <w:rPr>
                <w:rFonts w:ascii="Times New Roman" w:eastAsia="宋体" w:hAnsi="Times New Roman"/>
                <w:color w:val="000000"/>
                <w:sz w:val="20"/>
                <w:szCs w:val="20"/>
              </w:rPr>
              <w:t>72.2 </w:t>
            </w:r>
          </w:p>
        </w:tc>
        <w:tc>
          <w:tcPr>
            <w:tcW w:w="0" w:type="auto"/>
            <w:shd w:val="clear" w:color="auto" w:fill="D7E4BC"/>
            <w:tcMar>
              <w:top w:w="40" w:type="dxa"/>
              <w:left w:w="0" w:type="dxa"/>
              <w:bottom w:w="40" w:type="dxa"/>
              <w:right w:w="20" w:type="dxa"/>
            </w:tcMar>
            <w:vAlign w:val="bottom"/>
          </w:tcPr>
          <w:p w14:paraId="642975E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E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5E7" w14:textId="77777777" w:rsidR="007B6C97" w:rsidRDefault="00E426D1">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left w:w="0" w:type="dxa"/>
              <w:bottom w:w="40" w:type="dxa"/>
              <w:right w:w="20" w:type="dxa"/>
            </w:tcMar>
            <w:vAlign w:val="bottom"/>
          </w:tcPr>
          <w:p w14:paraId="642975E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E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5E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5E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E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5E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5E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5E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5F0" w14:textId="77777777" w:rsidR="007B6C97" w:rsidRDefault="007B6C97">
            <w:pPr>
              <w:rPr>
                <w:rFonts w:ascii="宋体"/>
              </w:rPr>
            </w:pPr>
          </w:p>
        </w:tc>
      </w:tr>
      <w:tr w:rsidR="007B6C97" w14:paraId="64297617" w14:textId="77777777">
        <w:trPr>
          <w:hidden/>
        </w:trPr>
        <w:tc>
          <w:tcPr>
            <w:tcW w:w="0" w:type="auto"/>
            <w:gridSpan w:val="3"/>
            <w:shd w:val="clear" w:color="auto" w:fill="auto"/>
            <w:vAlign w:val="bottom"/>
          </w:tcPr>
          <w:p w14:paraId="642975F2" w14:textId="77777777" w:rsidR="007B6C97" w:rsidRDefault="007B6C97">
            <w:pPr>
              <w:rPr>
                <w:rFonts w:ascii="宋体"/>
                <w:vanish/>
              </w:rPr>
            </w:pPr>
          </w:p>
        </w:tc>
        <w:tc>
          <w:tcPr>
            <w:tcW w:w="0" w:type="auto"/>
            <w:shd w:val="clear" w:color="auto" w:fill="auto"/>
            <w:vAlign w:val="bottom"/>
          </w:tcPr>
          <w:p w14:paraId="642975F3" w14:textId="77777777" w:rsidR="007B6C97" w:rsidRDefault="007B6C97">
            <w:pPr>
              <w:rPr>
                <w:rFonts w:ascii="宋体"/>
              </w:rPr>
            </w:pPr>
          </w:p>
        </w:tc>
        <w:tc>
          <w:tcPr>
            <w:tcW w:w="0" w:type="auto"/>
            <w:shd w:val="clear" w:color="auto" w:fill="auto"/>
            <w:vAlign w:val="bottom"/>
          </w:tcPr>
          <w:p w14:paraId="642975F4" w14:textId="77777777" w:rsidR="007B6C97" w:rsidRDefault="007B6C97">
            <w:pPr>
              <w:rPr>
                <w:rFonts w:ascii="宋体"/>
              </w:rPr>
            </w:pPr>
          </w:p>
        </w:tc>
        <w:tc>
          <w:tcPr>
            <w:tcW w:w="0" w:type="auto"/>
            <w:shd w:val="clear" w:color="auto" w:fill="auto"/>
            <w:vAlign w:val="bottom"/>
          </w:tcPr>
          <w:p w14:paraId="642975F5" w14:textId="77777777" w:rsidR="007B6C97" w:rsidRDefault="007B6C97">
            <w:pPr>
              <w:rPr>
                <w:rFonts w:ascii="宋体"/>
              </w:rPr>
            </w:pPr>
          </w:p>
        </w:tc>
        <w:tc>
          <w:tcPr>
            <w:tcW w:w="0" w:type="auto"/>
            <w:shd w:val="clear" w:color="auto" w:fill="auto"/>
            <w:vAlign w:val="bottom"/>
          </w:tcPr>
          <w:p w14:paraId="642975F6" w14:textId="77777777" w:rsidR="007B6C97" w:rsidRDefault="007B6C97">
            <w:pPr>
              <w:rPr>
                <w:rFonts w:ascii="宋体"/>
              </w:rPr>
            </w:pPr>
          </w:p>
        </w:tc>
        <w:tc>
          <w:tcPr>
            <w:tcW w:w="0" w:type="auto"/>
            <w:shd w:val="clear" w:color="auto" w:fill="auto"/>
            <w:vAlign w:val="bottom"/>
          </w:tcPr>
          <w:p w14:paraId="642975F7" w14:textId="77777777" w:rsidR="007B6C97" w:rsidRDefault="007B6C97">
            <w:pPr>
              <w:rPr>
                <w:rFonts w:ascii="宋体"/>
              </w:rPr>
            </w:pPr>
          </w:p>
        </w:tc>
        <w:tc>
          <w:tcPr>
            <w:tcW w:w="0" w:type="auto"/>
            <w:shd w:val="clear" w:color="auto" w:fill="auto"/>
            <w:vAlign w:val="bottom"/>
          </w:tcPr>
          <w:p w14:paraId="642975F8" w14:textId="77777777" w:rsidR="007B6C97" w:rsidRDefault="007B6C97">
            <w:pPr>
              <w:rPr>
                <w:rFonts w:ascii="宋体"/>
              </w:rPr>
            </w:pPr>
          </w:p>
        </w:tc>
        <w:tc>
          <w:tcPr>
            <w:tcW w:w="0" w:type="auto"/>
            <w:shd w:val="clear" w:color="auto" w:fill="auto"/>
            <w:vAlign w:val="bottom"/>
          </w:tcPr>
          <w:p w14:paraId="642975F9" w14:textId="77777777" w:rsidR="007B6C97" w:rsidRDefault="007B6C97">
            <w:pPr>
              <w:rPr>
                <w:rFonts w:ascii="宋体"/>
              </w:rPr>
            </w:pPr>
          </w:p>
        </w:tc>
        <w:tc>
          <w:tcPr>
            <w:tcW w:w="0" w:type="auto"/>
            <w:shd w:val="clear" w:color="auto" w:fill="auto"/>
            <w:vAlign w:val="bottom"/>
          </w:tcPr>
          <w:p w14:paraId="642975FA" w14:textId="77777777" w:rsidR="007B6C97" w:rsidRDefault="007B6C97">
            <w:pPr>
              <w:rPr>
                <w:rFonts w:ascii="宋体"/>
              </w:rPr>
            </w:pPr>
          </w:p>
        </w:tc>
        <w:tc>
          <w:tcPr>
            <w:tcW w:w="0" w:type="auto"/>
            <w:shd w:val="clear" w:color="auto" w:fill="auto"/>
            <w:vAlign w:val="bottom"/>
          </w:tcPr>
          <w:p w14:paraId="642975FB" w14:textId="77777777" w:rsidR="007B6C97" w:rsidRDefault="007B6C97">
            <w:pPr>
              <w:rPr>
                <w:rFonts w:ascii="宋体"/>
              </w:rPr>
            </w:pPr>
          </w:p>
        </w:tc>
        <w:tc>
          <w:tcPr>
            <w:tcW w:w="0" w:type="auto"/>
            <w:shd w:val="clear" w:color="auto" w:fill="auto"/>
            <w:vAlign w:val="bottom"/>
          </w:tcPr>
          <w:p w14:paraId="642975FC" w14:textId="77777777" w:rsidR="007B6C97" w:rsidRDefault="007B6C97">
            <w:pPr>
              <w:rPr>
                <w:rFonts w:ascii="宋体"/>
              </w:rPr>
            </w:pPr>
          </w:p>
        </w:tc>
        <w:tc>
          <w:tcPr>
            <w:tcW w:w="0" w:type="auto"/>
            <w:shd w:val="clear" w:color="auto" w:fill="auto"/>
            <w:vAlign w:val="bottom"/>
          </w:tcPr>
          <w:p w14:paraId="642975FD" w14:textId="77777777" w:rsidR="007B6C97" w:rsidRDefault="007B6C97">
            <w:pPr>
              <w:rPr>
                <w:rFonts w:ascii="宋体"/>
              </w:rPr>
            </w:pPr>
          </w:p>
        </w:tc>
        <w:tc>
          <w:tcPr>
            <w:tcW w:w="0" w:type="auto"/>
            <w:shd w:val="clear" w:color="auto" w:fill="auto"/>
            <w:vAlign w:val="bottom"/>
          </w:tcPr>
          <w:p w14:paraId="642975FE" w14:textId="77777777" w:rsidR="007B6C97" w:rsidRDefault="007B6C97">
            <w:pPr>
              <w:rPr>
                <w:rFonts w:ascii="宋体"/>
              </w:rPr>
            </w:pPr>
          </w:p>
        </w:tc>
        <w:tc>
          <w:tcPr>
            <w:tcW w:w="0" w:type="auto"/>
            <w:shd w:val="clear" w:color="auto" w:fill="auto"/>
            <w:vAlign w:val="bottom"/>
          </w:tcPr>
          <w:p w14:paraId="642975FF" w14:textId="77777777" w:rsidR="007B6C97" w:rsidRDefault="007B6C97">
            <w:pPr>
              <w:rPr>
                <w:rFonts w:ascii="宋体"/>
              </w:rPr>
            </w:pPr>
          </w:p>
        </w:tc>
        <w:tc>
          <w:tcPr>
            <w:tcW w:w="0" w:type="auto"/>
            <w:shd w:val="clear" w:color="auto" w:fill="auto"/>
            <w:vAlign w:val="bottom"/>
          </w:tcPr>
          <w:p w14:paraId="64297600" w14:textId="77777777" w:rsidR="007B6C97" w:rsidRDefault="007B6C97">
            <w:pPr>
              <w:rPr>
                <w:rFonts w:ascii="宋体"/>
              </w:rPr>
            </w:pPr>
          </w:p>
        </w:tc>
        <w:tc>
          <w:tcPr>
            <w:tcW w:w="0" w:type="auto"/>
            <w:shd w:val="clear" w:color="auto" w:fill="auto"/>
            <w:vAlign w:val="bottom"/>
          </w:tcPr>
          <w:p w14:paraId="64297601" w14:textId="77777777" w:rsidR="007B6C97" w:rsidRDefault="007B6C97">
            <w:pPr>
              <w:rPr>
                <w:rFonts w:ascii="宋体"/>
              </w:rPr>
            </w:pPr>
          </w:p>
        </w:tc>
        <w:tc>
          <w:tcPr>
            <w:tcW w:w="0" w:type="auto"/>
            <w:shd w:val="clear" w:color="auto" w:fill="auto"/>
            <w:vAlign w:val="bottom"/>
          </w:tcPr>
          <w:p w14:paraId="64297602" w14:textId="77777777" w:rsidR="007B6C97" w:rsidRDefault="007B6C97">
            <w:pPr>
              <w:rPr>
                <w:rFonts w:ascii="宋体"/>
              </w:rPr>
            </w:pPr>
          </w:p>
        </w:tc>
        <w:tc>
          <w:tcPr>
            <w:tcW w:w="0" w:type="auto"/>
            <w:shd w:val="clear" w:color="auto" w:fill="auto"/>
            <w:vAlign w:val="bottom"/>
          </w:tcPr>
          <w:p w14:paraId="64297603" w14:textId="77777777" w:rsidR="007B6C97" w:rsidRDefault="007B6C97">
            <w:pPr>
              <w:rPr>
                <w:rFonts w:ascii="宋体"/>
              </w:rPr>
            </w:pPr>
          </w:p>
        </w:tc>
        <w:tc>
          <w:tcPr>
            <w:tcW w:w="0" w:type="auto"/>
            <w:shd w:val="clear" w:color="auto" w:fill="auto"/>
            <w:vAlign w:val="bottom"/>
          </w:tcPr>
          <w:p w14:paraId="64297604" w14:textId="77777777" w:rsidR="007B6C97" w:rsidRDefault="007B6C97">
            <w:pPr>
              <w:rPr>
                <w:rFonts w:ascii="宋体"/>
              </w:rPr>
            </w:pPr>
          </w:p>
        </w:tc>
        <w:tc>
          <w:tcPr>
            <w:tcW w:w="0" w:type="auto"/>
            <w:shd w:val="clear" w:color="auto" w:fill="auto"/>
            <w:vAlign w:val="bottom"/>
          </w:tcPr>
          <w:p w14:paraId="64297605" w14:textId="77777777" w:rsidR="007B6C97" w:rsidRDefault="007B6C97">
            <w:pPr>
              <w:rPr>
                <w:rFonts w:ascii="宋体"/>
              </w:rPr>
            </w:pPr>
          </w:p>
        </w:tc>
        <w:tc>
          <w:tcPr>
            <w:tcW w:w="0" w:type="auto"/>
            <w:shd w:val="clear" w:color="auto" w:fill="auto"/>
            <w:vAlign w:val="bottom"/>
          </w:tcPr>
          <w:p w14:paraId="64297606" w14:textId="77777777" w:rsidR="007B6C97" w:rsidRDefault="007B6C97">
            <w:pPr>
              <w:rPr>
                <w:rFonts w:ascii="宋体"/>
              </w:rPr>
            </w:pPr>
          </w:p>
        </w:tc>
        <w:tc>
          <w:tcPr>
            <w:tcW w:w="0" w:type="auto"/>
            <w:shd w:val="clear" w:color="auto" w:fill="auto"/>
            <w:vAlign w:val="bottom"/>
          </w:tcPr>
          <w:p w14:paraId="64297607" w14:textId="77777777" w:rsidR="007B6C97" w:rsidRDefault="007B6C97">
            <w:pPr>
              <w:rPr>
                <w:rFonts w:ascii="宋体"/>
              </w:rPr>
            </w:pPr>
          </w:p>
        </w:tc>
        <w:tc>
          <w:tcPr>
            <w:tcW w:w="0" w:type="auto"/>
            <w:shd w:val="clear" w:color="auto" w:fill="auto"/>
            <w:vAlign w:val="bottom"/>
          </w:tcPr>
          <w:p w14:paraId="64297608" w14:textId="77777777" w:rsidR="007B6C97" w:rsidRDefault="007B6C97">
            <w:pPr>
              <w:rPr>
                <w:rFonts w:ascii="宋体"/>
              </w:rPr>
            </w:pPr>
          </w:p>
        </w:tc>
        <w:tc>
          <w:tcPr>
            <w:tcW w:w="0" w:type="auto"/>
            <w:shd w:val="clear" w:color="auto" w:fill="auto"/>
            <w:vAlign w:val="bottom"/>
          </w:tcPr>
          <w:p w14:paraId="64297609" w14:textId="77777777" w:rsidR="007B6C97" w:rsidRDefault="007B6C97">
            <w:pPr>
              <w:rPr>
                <w:rFonts w:ascii="宋体"/>
              </w:rPr>
            </w:pPr>
          </w:p>
        </w:tc>
        <w:tc>
          <w:tcPr>
            <w:tcW w:w="0" w:type="auto"/>
            <w:shd w:val="clear" w:color="auto" w:fill="auto"/>
            <w:vAlign w:val="bottom"/>
          </w:tcPr>
          <w:p w14:paraId="6429760A" w14:textId="77777777" w:rsidR="007B6C97" w:rsidRDefault="007B6C97">
            <w:pPr>
              <w:rPr>
                <w:rFonts w:ascii="宋体"/>
              </w:rPr>
            </w:pPr>
          </w:p>
        </w:tc>
        <w:tc>
          <w:tcPr>
            <w:tcW w:w="0" w:type="auto"/>
            <w:shd w:val="clear" w:color="auto" w:fill="auto"/>
            <w:vAlign w:val="bottom"/>
          </w:tcPr>
          <w:p w14:paraId="6429760B" w14:textId="77777777" w:rsidR="007B6C97" w:rsidRDefault="007B6C97">
            <w:pPr>
              <w:rPr>
                <w:rFonts w:ascii="宋体"/>
              </w:rPr>
            </w:pPr>
          </w:p>
        </w:tc>
        <w:tc>
          <w:tcPr>
            <w:tcW w:w="0" w:type="auto"/>
            <w:shd w:val="clear" w:color="auto" w:fill="auto"/>
            <w:vAlign w:val="bottom"/>
          </w:tcPr>
          <w:p w14:paraId="6429760C" w14:textId="77777777" w:rsidR="007B6C97" w:rsidRDefault="007B6C97">
            <w:pPr>
              <w:rPr>
                <w:rFonts w:ascii="宋体"/>
              </w:rPr>
            </w:pPr>
          </w:p>
        </w:tc>
        <w:tc>
          <w:tcPr>
            <w:tcW w:w="0" w:type="auto"/>
            <w:shd w:val="clear" w:color="auto" w:fill="auto"/>
            <w:vAlign w:val="bottom"/>
          </w:tcPr>
          <w:p w14:paraId="6429760D" w14:textId="77777777" w:rsidR="007B6C97" w:rsidRDefault="007B6C97">
            <w:pPr>
              <w:rPr>
                <w:rFonts w:ascii="宋体"/>
              </w:rPr>
            </w:pPr>
          </w:p>
        </w:tc>
        <w:tc>
          <w:tcPr>
            <w:tcW w:w="0" w:type="auto"/>
            <w:shd w:val="clear" w:color="auto" w:fill="auto"/>
            <w:vAlign w:val="bottom"/>
          </w:tcPr>
          <w:p w14:paraId="6429760E" w14:textId="77777777" w:rsidR="007B6C97" w:rsidRDefault="007B6C97">
            <w:pPr>
              <w:rPr>
                <w:rFonts w:ascii="宋体"/>
              </w:rPr>
            </w:pPr>
          </w:p>
        </w:tc>
        <w:tc>
          <w:tcPr>
            <w:tcW w:w="0" w:type="auto"/>
            <w:shd w:val="clear" w:color="auto" w:fill="auto"/>
            <w:vAlign w:val="bottom"/>
          </w:tcPr>
          <w:p w14:paraId="6429760F" w14:textId="77777777" w:rsidR="007B6C97" w:rsidRDefault="007B6C97">
            <w:pPr>
              <w:rPr>
                <w:rFonts w:ascii="宋体"/>
              </w:rPr>
            </w:pPr>
          </w:p>
        </w:tc>
        <w:tc>
          <w:tcPr>
            <w:tcW w:w="0" w:type="auto"/>
            <w:shd w:val="clear" w:color="auto" w:fill="auto"/>
            <w:vAlign w:val="bottom"/>
          </w:tcPr>
          <w:p w14:paraId="64297610" w14:textId="77777777" w:rsidR="007B6C97" w:rsidRDefault="007B6C97">
            <w:pPr>
              <w:rPr>
                <w:rFonts w:ascii="宋体"/>
              </w:rPr>
            </w:pPr>
          </w:p>
        </w:tc>
        <w:tc>
          <w:tcPr>
            <w:tcW w:w="0" w:type="auto"/>
            <w:shd w:val="clear" w:color="auto" w:fill="auto"/>
            <w:vAlign w:val="bottom"/>
          </w:tcPr>
          <w:p w14:paraId="64297611" w14:textId="77777777" w:rsidR="007B6C97" w:rsidRDefault="007B6C97">
            <w:pPr>
              <w:rPr>
                <w:rFonts w:ascii="宋体"/>
              </w:rPr>
            </w:pPr>
          </w:p>
        </w:tc>
        <w:tc>
          <w:tcPr>
            <w:tcW w:w="0" w:type="auto"/>
            <w:shd w:val="clear" w:color="auto" w:fill="auto"/>
            <w:vAlign w:val="bottom"/>
          </w:tcPr>
          <w:p w14:paraId="64297612" w14:textId="77777777" w:rsidR="007B6C97" w:rsidRDefault="007B6C97">
            <w:pPr>
              <w:rPr>
                <w:rFonts w:ascii="宋体"/>
              </w:rPr>
            </w:pPr>
          </w:p>
        </w:tc>
        <w:tc>
          <w:tcPr>
            <w:tcW w:w="0" w:type="auto"/>
            <w:shd w:val="clear" w:color="auto" w:fill="auto"/>
            <w:vAlign w:val="bottom"/>
          </w:tcPr>
          <w:p w14:paraId="64297613" w14:textId="77777777" w:rsidR="007B6C97" w:rsidRDefault="007B6C97">
            <w:pPr>
              <w:rPr>
                <w:rFonts w:ascii="宋体"/>
              </w:rPr>
            </w:pPr>
          </w:p>
        </w:tc>
        <w:tc>
          <w:tcPr>
            <w:tcW w:w="0" w:type="auto"/>
            <w:shd w:val="clear" w:color="auto" w:fill="auto"/>
            <w:vAlign w:val="bottom"/>
          </w:tcPr>
          <w:p w14:paraId="64297614" w14:textId="77777777" w:rsidR="007B6C97" w:rsidRDefault="007B6C97">
            <w:pPr>
              <w:rPr>
                <w:rFonts w:ascii="宋体"/>
              </w:rPr>
            </w:pPr>
          </w:p>
        </w:tc>
        <w:tc>
          <w:tcPr>
            <w:tcW w:w="0" w:type="auto"/>
            <w:shd w:val="clear" w:color="auto" w:fill="auto"/>
            <w:vAlign w:val="bottom"/>
          </w:tcPr>
          <w:p w14:paraId="64297615" w14:textId="77777777" w:rsidR="007B6C97" w:rsidRDefault="007B6C97">
            <w:pPr>
              <w:rPr>
                <w:rFonts w:ascii="宋体"/>
              </w:rPr>
            </w:pPr>
          </w:p>
        </w:tc>
        <w:tc>
          <w:tcPr>
            <w:tcW w:w="0" w:type="auto"/>
            <w:shd w:val="clear" w:color="auto" w:fill="auto"/>
            <w:vAlign w:val="bottom"/>
          </w:tcPr>
          <w:p w14:paraId="64297616" w14:textId="77777777" w:rsidR="007B6C97" w:rsidRDefault="007B6C97">
            <w:pPr>
              <w:rPr>
                <w:rFonts w:ascii="宋体"/>
              </w:rPr>
            </w:pPr>
          </w:p>
        </w:tc>
      </w:tr>
      <w:tr w:rsidR="007B6C97" w14:paraId="64297625" w14:textId="77777777">
        <w:trPr>
          <w:trHeight w:val="60"/>
        </w:trPr>
        <w:tc>
          <w:tcPr>
            <w:tcW w:w="0" w:type="auto"/>
            <w:gridSpan w:val="3"/>
            <w:shd w:val="clear" w:color="auto" w:fill="auto"/>
            <w:tcMar>
              <w:top w:w="0" w:type="dxa"/>
              <w:left w:w="20" w:type="dxa"/>
              <w:bottom w:w="0" w:type="dxa"/>
              <w:right w:w="20" w:type="dxa"/>
            </w:tcMar>
            <w:vAlign w:val="bottom"/>
          </w:tcPr>
          <w:p w14:paraId="64297618" w14:textId="77777777" w:rsidR="007B6C97" w:rsidRDefault="007B6C97">
            <w:pPr>
              <w:rPr>
                <w:rFonts w:ascii="宋体"/>
              </w:rPr>
            </w:pPr>
          </w:p>
        </w:tc>
        <w:tc>
          <w:tcPr>
            <w:tcW w:w="0" w:type="auto"/>
            <w:gridSpan w:val="3"/>
            <w:shd w:val="clear" w:color="auto" w:fill="auto"/>
            <w:vAlign w:val="bottom"/>
          </w:tcPr>
          <w:p w14:paraId="64297619" w14:textId="77777777" w:rsidR="007B6C97" w:rsidRDefault="007B6C97">
            <w:pPr>
              <w:rPr>
                <w:rFonts w:ascii="宋体"/>
                <w:vanish/>
              </w:rPr>
            </w:pPr>
          </w:p>
        </w:tc>
        <w:tc>
          <w:tcPr>
            <w:tcW w:w="0" w:type="auto"/>
            <w:gridSpan w:val="3"/>
            <w:shd w:val="clear" w:color="auto" w:fill="auto"/>
            <w:vAlign w:val="bottom"/>
          </w:tcPr>
          <w:p w14:paraId="6429761A" w14:textId="77777777" w:rsidR="007B6C97" w:rsidRDefault="007B6C97">
            <w:pPr>
              <w:rPr>
                <w:rFonts w:ascii="宋体"/>
                <w:vanish/>
              </w:rPr>
            </w:pPr>
          </w:p>
        </w:tc>
        <w:tc>
          <w:tcPr>
            <w:tcW w:w="0" w:type="auto"/>
            <w:gridSpan w:val="3"/>
            <w:shd w:val="clear" w:color="auto" w:fill="auto"/>
            <w:vAlign w:val="bottom"/>
          </w:tcPr>
          <w:p w14:paraId="6429761B" w14:textId="77777777" w:rsidR="007B6C97" w:rsidRDefault="007B6C97">
            <w:pPr>
              <w:rPr>
                <w:rFonts w:ascii="宋体"/>
                <w:vanish/>
              </w:rPr>
            </w:pPr>
          </w:p>
        </w:tc>
        <w:tc>
          <w:tcPr>
            <w:tcW w:w="0" w:type="auto"/>
            <w:gridSpan w:val="3"/>
            <w:shd w:val="clear" w:color="auto" w:fill="auto"/>
            <w:tcMar>
              <w:top w:w="0" w:type="dxa"/>
              <w:left w:w="20" w:type="dxa"/>
              <w:bottom w:w="0" w:type="dxa"/>
              <w:right w:w="20" w:type="dxa"/>
            </w:tcMar>
            <w:vAlign w:val="bottom"/>
          </w:tcPr>
          <w:p w14:paraId="6429761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1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1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1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0"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623"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4" w14:textId="77777777" w:rsidR="007B6C97" w:rsidRDefault="007B6C97">
            <w:pPr>
              <w:rPr>
                <w:rFonts w:ascii="宋体"/>
              </w:rPr>
            </w:pPr>
          </w:p>
        </w:tc>
      </w:tr>
      <w:tr w:rsidR="007B6C97" w14:paraId="64297633" w14:textId="77777777">
        <w:trPr>
          <w:trHeight w:val="60"/>
        </w:trPr>
        <w:tc>
          <w:tcPr>
            <w:tcW w:w="0" w:type="auto"/>
            <w:gridSpan w:val="3"/>
            <w:shd w:val="clear" w:color="auto" w:fill="auto"/>
            <w:tcMar>
              <w:top w:w="0" w:type="dxa"/>
              <w:left w:w="20" w:type="dxa"/>
              <w:bottom w:w="0" w:type="dxa"/>
              <w:right w:w="20" w:type="dxa"/>
            </w:tcMar>
            <w:vAlign w:val="bottom"/>
          </w:tcPr>
          <w:p w14:paraId="64297626" w14:textId="77777777" w:rsidR="007B6C97" w:rsidRDefault="007B6C97">
            <w:pPr>
              <w:rPr>
                <w:rFonts w:ascii="宋体"/>
              </w:rPr>
            </w:pPr>
          </w:p>
        </w:tc>
        <w:tc>
          <w:tcPr>
            <w:tcW w:w="0" w:type="auto"/>
            <w:gridSpan w:val="3"/>
            <w:shd w:val="clear" w:color="auto" w:fill="auto"/>
            <w:vAlign w:val="bottom"/>
          </w:tcPr>
          <w:p w14:paraId="64297627" w14:textId="77777777" w:rsidR="007B6C97" w:rsidRDefault="007B6C97">
            <w:pPr>
              <w:rPr>
                <w:rFonts w:ascii="宋体"/>
                <w:vanish/>
              </w:rPr>
            </w:pPr>
          </w:p>
        </w:tc>
        <w:tc>
          <w:tcPr>
            <w:tcW w:w="0" w:type="auto"/>
            <w:gridSpan w:val="3"/>
            <w:shd w:val="clear" w:color="auto" w:fill="auto"/>
            <w:vAlign w:val="bottom"/>
          </w:tcPr>
          <w:p w14:paraId="64297628" w14:textId="77777777" w:rsidR="007B6C97" w:rsidRDefault="007B6C97">
            <w:pPr>
              <w:rPr>
                <w:rFonts w:ascii="宋体"/>
                <w:vanish/>
              </w:rPr>
            </w:pPr>
          </w:p>
        </w:tc>
        <w:tc>
          <w:tcPr>
            <w:tcW w:w="0" w:type="auto"/>
            <w:gridSpan w:val="3"/>
            <w:shd w:val="clear" w:color="auto" w:fill="auto"/>
            <w:vAlign w:val="bottom"/>
          </w:tcPr>
          <w:p w14:paraId="64297629" w14:textId="77777777" w:rsidR="007B6C97" w:rsidRDefault="007B6C97">
            <w:pPr>
              <w:rPr>
                <w:rFonts w:ascii="宋体"/>
                <w:vanish/>
              </w:rPr>
            </w:pPr>
          </w:p>
        </w:tc>
        <w:tc>
          <w:tcPr>
            <w:tcW w:w="0" w:type="auto"/>
            <w:gridSpan w:val="3"/>
            <w:shd w:val="clear" w:color="auto" w:fill="auto"/>
            <w:tcMar>
              <w:top w:w="0" w:type="dxa"/>
              <w:left w:w="20" w:type="dxa"/>
              <w:bottom w:w="0" w:type="dxa"/>
              <w:right w:w="20" w:type="dxa"/>
            </w:tcMar>
            <w:vAlign w:val="bottom"/>
          </w:tcPr>
          <w:p w14:paraId="6429762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2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3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63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32" w14:textId="77777777" w:rsidR="007B6C97" w:rsidRDefault="007B6C97">
            <w:pPr>
              <w:rPr>
                <w:rFonts w:ascii="宋体"/>
              </w:rPr>
            </w:pPr>
          </w:p>
        </w:tc>
      </w:tr>
      <w:tr w:rsidR="007B6C97" w14:paraId="6429763B" w14:textId="77777777">
        <w:tc>
          <w:tcPr>
            <w:tcW w:w="0" w:type="auto"/>
            <w:gridSpan w:val="3"/>
            <w:shd w:val="clear" w:color="auto" w:fill="auto"/>
            <w:tcMar>
              <w:top w:w="0" w:type="dxa"/>
              <w:left w:w="20" w:type="dxa"/>
              <w:bottom w:w="0" w:type="dxa"/>
              <w:right w:w="20" w:type="dxa"/>
            </w:tcMar>
            <w:vAlign w:val="bottom"/>
          </w:tcPr>
          <w:p w14:paraId="64297634" w14:textId="77777777" w:rsidR="007B6C97" w:rsidRDefault="007B6C97">
            <w:pPr>
              <w:rPr>
                <w:rFonts w:ascii="宋体"/>
              </w:rPr>
            </w:pPr>
          </w:p>
        </w:tc>
        <w:tc>
          <w:tcPr>
            <w:tcW w:w="0" w:type="auto"/>
            <w:gridSpan w:val="3"/>
            <w:shd w:val="clear" w:color="auto" w:fill="auto"/>
            <w:vAlign w:val="bottom"/>
          </w:tcPr>
          <w:p w14:paraId="64297635" w14:textId="77777777" w:rsidR="007B6C97" w:rsidRDefault="007B6C97">
            <w:pPr>
              <w:rPr>
                <w:rFonts w:ascii="宋体"/>
                <w:vanish/>
              </w:rPr>
            </w:pPr>
          </w:p>
        </w:tc>
        <w:tc>
          <w:tcPr>
            <w:tcW w:w="0" w:type="auto"/>
            <w:gridSpan w:val="3"/>
            <w:shd w:val="clear" w:color="auto" w:fill="auto"/>
            <w:vAlign w:val="bottom"/>
          </w:tcPr>
          <w:p w14:paraId="64297636" w14:textId="77777777" w:rsidR="007B6C97" w:rsidRDefault="007B6C97">
            <w:pPr>
              <w:rPr>
                <w:rFonts w:ascii="宋体"/>
                <w:vanish/>
              </w:rPr>
            </w:pPr>
          </w:p>
        </w:tc>
        <w:tc>
          <w:tcPr>
            <w:tcW w:w="0" w:type="auto"/>
            <w:gridSpan w:val="3"/>
            <w:shd w:val="clear" w:color="auto" w:fill="auto"/>
            <w:vAlign w:val="bottom"/>
          </w:tcPr>
          <w:p w14:paraId="64297637" w14:textId="77777777" w:rsidR="007B6C97" w:rsidRDefault="007B6C97">
            <w:pPr>
              <w:rPr>
                <w:rFonts w:ascii="宋体"/>
                <w:vanish/>
              </w:rPr>
            </w:pPr>
          </w:p>
        </w:tc>
        <w:tc>
          <w:tcPr>
            <w:tcW w:w="0" w:type="auto"/>
            <w:gridSpan w:val="21"/>
            <w:shd w:val="clear" w:color="auto" w:fill="00704A"/>
            <w:tcMar>
              <w:top w:w="40" w:type="dxa"/>
              <w:left w:w="20" w:type="dxa"/>
              <w:bottom w:w="40" w:type="dxa"/>
              <w:right w:w="20" w:type="dxa"/>
            </w:tcMar>
            <w:vAlign w:val="bottom"/>
          </w:tcPr>
          <w:p w14:paraId="64297638" w14:textId="77777777" w:rsidR="007B6C97" w:rsidRDefault="00E426D1">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FFFFFF"/>
            <w:tcMar>
              <w:top w:w="0" w:type="dxa"/>
              <w:left w:w="20" w:type="dxa"/>
              <w:bottom w:w="0" w:type="dxa"/>
              <w:right w:w="20" w:type="dxa"/>
            </w:tcMar>
            <w:vAlign w:val="bottom"/>
          </w:tcPr>
          <w:p w14:paraId="6429763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63A" w14:textId="77777777" w:rsidR="007B6C97" w:rsidRDefault="007B6C97">
            <w:pPr>
              <w:rPr>
                <w:rFonts w:ascii="宋体"/>
              </w:rPr>
            </w:pPr>
          </w:p>
        </w:tc>
      </w:tr>
      <w:tr w:rsidR="007B6C97" w14:paraId="64297645" w14:textId="77777777">
        <w:trPr>
          <w:trHeight w:val="580"/>
        </w:trPr>
        <w:tc>
          <w:tcPr>
            <w:tcW w:w="0" w:type="auto"/>
            <w:gridSpan w:val="3"/>
            <w:shd w:val="clear" w:color="auto" w:fill="auto"/>
            <w:tcMar>
              <w:top w:w="0" w:type="dxa"/>
              <w:left w:w="20" w:type="dxa"/>
              <w:bottom w:w="0" w:type="dxa"/>
              <w:right w:w="20" w:type="dxa"/>
            </w:tcMar>
            <w:vAlign w:val="bottom"/>
          </w:tcPr>
          <w:p w14:paraId="6429763C" w14:textId="77777777" w:rsidR="007B6C97" w:rsidRDefault="007B6C97">
            <w:pPr>
              <w:rPr>
                <w:rFonts w:ascii="宋体"/>
              </w:rPr>
            </w:pPr>
          </w:p>
        </w:tc>
        <w:tc>
          <w:tcPr>
            <w:tcW w:w="0" w:type="auto"/>
            <w:gridSpan w:val="3"/>
            <w:shd w:val="clear" w:color="auto" w:fill="auto"/>
            <w:vAlign w:val="bottom"/>
          </w:tcPr>
          <w:p w14:paraId="6429763D" w14:textId="77777777" w:rsidR="007B6C97" w:rsidRDefault="007B6C97">
            <w:pPr>
              <w:rPr>
                <w:rFonts w:ascii="宋体"/>
                <w:vanish/>
              </w:rPr>
            </w:pPr>
          </w:p>
        </w:tc>
        <w:tc>
          <w:tcPr>
            <w:tcW w:w="0" w:type="auto"/>
            <w:gridSpan w:val="3"/>
            <w:shd w:val="clear" w:color="auto" w:fill="auto"/>
            <w:vAlign w:val="bottom"/>
          </w:tcPr>
          <w:p w14:paraId="6429763E" w14:textId="77777777" w:rsidR="007B6C97" w:rsidRDefault="007B6C97">
            <w:pPr>
              <w:rPr>
                <w:rFonts w:ascii="宋体"/>
                <w:vanish/>
              </w:rPr>
            </w:pPr>
          </w:p>
        </w:tc>
        <w:tc>
          <w:tcPr>
            <w:tcW w:w="0" w:type="auto"/>
            <w:gridSpan w:val="3"/>
            <w:shd w:val="clear" w:color="auto" w:fill="auto"/>
            <w:vAlign w:val="bottom"/>
          </w:tcPr>
          <w:p w14:paraId="6429763F" w14:textId="77777777" w:rsidR="007B6C97" w:rsidRDefault="007B6C97">
            <w:pPr>
              <w:rPr>
                <w:rFonts w:ascii="宋体"/>
                <w:vanish/>
              </w:rPr>
            </w:pPr>
          </w:p>
        </w:tc>
        <w:tc>
          <w:tcPr>
            <w:tcW w:w="0" w:type="auto"/>
            <w:gridSpan w:val="9"/>
            <w:shd w:val="clear" w:color="auto" w:fill="00704A"/>
            <w:tcMar>
              <w:top w:w="40" w:type="dxa"/>
              <w:left w:w="20" w:type="dxa"/>
              <w:bottom w:w="40" w:type="dxa"/>
              <w:right w:w="20" w:type="dxa"/>
            </w:tcMar>
            <w:vAlign w:val="bottom"/>
          </w:tcPr>
          <w:p w14:paraId="64297640" w14:textId="77777777" w:rsidR="007B6C97" w:rsidRDefault="00E426D1">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64297641"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642" w14:textId="77777777" w:rsidR="007B6C97" w:rsidRDefault="00E426D1">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vAlign w:val="bottom"/>
          </w:tcPr>
          <w:p w14:paraId="64297643"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7644" w14:textId="77777777" w:rsidR="007B6C97" w:rsidRDefault="00E426D1">
            <w:pPr>
              <w:jc w:val="center"/>
              <w:textAlignment w:val="bottom"/>
            </w:pPr>
            <w:r>
              <w:rPr>
                <w:rFonts w:ascii="Times New Roman" w:eastAsia="宋体" w:hAnsi="Times New Roman"/>
                <w:b/>
                <w:bCs/>
                <w:color w:val="FFFFFF"/>
                <w:sz w:val="16"/>
                <w:szCs w:val="16"/>
              </w:rPr>
              <w:t>Location of gain/(loss)</w:t>
            </w:r>
          </w:p>
        </w:tc>
      </w:tr>
      <w:tr w:rsidR="007B6C97" w14:paraId="64297653" w14:textId="77777777">
        <w:trPr>
          <w:trHeight w:val="240"/>
        </w:trPr>
        <w:tc>
          <w:tcPr>
            <w:tcW w:w="0" w:type="auto"/>
            <w:gridSpan w:val="3"/>
            <w:shd w:val="clear" w:color="auto" w:fill="auto"/>
            <w:tcMar>
              <w:top w:w="0" w:type="dxa"/>
              <w:left w:w="20" w:type="dxa"/>
              <w:bottom w:w="0" w:type="dxa"/>
              <w:right w:w="20" w:type="dxa"/>
            </w:tcMar>
            <w:vAlign w:val="bottom"/>
          </w:tcPr>
          <w:p w14:paraId="64297646" w14:textId="77777777" w:rsidR="007B6C97" w:rsidRDefault="007B6C97">
            <w:pPr>
              <w:rPr>
                <w:rFonts w:ascii="宋体"/>
              </w:rPr>
            </w:pPr>
          </w:p>
        </w:tc>
        <w:tc>
          <w:tcPr>
            <w:tcW w:w="0" w:type="auto"/>
            <w:gridSpan w:val="3"/>
            <w:shd w:val="clear" w:color="auto" w:fill="auto"/>
            <w:vAlign w:val="bottom"/>
          </w:tcPr>
          <w:p w14:paraId="64297647" w14:textId="77777777" w:rsidR="007B6C97" w:rsidRDefault="007B6C97">
            <w:pPr>
              <w:rPr>
                <w:rFonts w:ascii="宋体"/>
                <w:vanish/>
              </w:rPr>
            </w:pPr>
          </w:p>
        </w:tc>
        <w:tc>
          <w:tcPr>
            <w:tcW w:w="0" w:type="auto"/>
            <w:gridSpan w:val="3"/>
            <w:shd w:val="clear" w:color="auto" w:fill="auto"/>
            <w:vAlign w:val="bottom"/>
          </w:tcPr>
          <w:p w14:paraId="64297648" w14:textId="77777777" w:rsidR="007B6C97" w:rsidRDefault="007B6C97">
            <w:pPr>
              <w:rPr>
                <w:rFonts w:ascii="宋体"/>
                <w:vanish/>
              </w:rPr>
            </w:pPr>
          </w:p>
        </w:tc>
        <w:tc>
          <w:tcPr>
            <w:tcW w:w="0" w:type="auto"/>
            <w:gridSpan w:val="3"/>
            <w:shd w:val="clear" w:color="auto" w:fill="auto"/>
            <w:vAlign w:val="bottom"/>
          </w:tcPr>
          <w:p w14:paraId="64297649" w14:textId="77777777" w:rsidR="007B6C97" w:rsidRDefault="007B6C97">
            <w:pPr>
              <w:rPr>
                <w:rFonts w:ascii="宋体"/>
                <w:vanish/>
              </w:rPr>
            </w:pPr>
          </w:p>
        </w:tc>
        <w:tc>
          <w:tcPr>
            <w:tcW w:w="0" w:type="auto"/>
            <w:gridSpan w:val="3"/>
            <w:shd w:val="clear" w:color="auto" w:fill="00704A"/>
            <w:tcMar>
              <w:top w:w="40" w:type="dxa"/>
              <w:left w:w="20" w:type="dxa"/>
              <w:bottom w:w="40" w:type="dxa"/>
              <w:right w:w="20" w:type="dxa"/>
            </w:tcMar>
            <w:vAlign w:val="bottom"/>
          </w:tcPr>
          <w:p w14:paraId="6429764A"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64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64C" w14:textId="77777777" w:rsidR="007B6C97" w:rsidRDefault="00E426D1">
            <w:pPr>
              <w:jc w:val="center"/>
              <w:textAlignment w:val="bottom"/>
            </w:pPr>
            <w:r>
              <w:rPr>
                <w:rFonts w:ascii="Times New Roman" w:eastAsia="宋体" w:hAnsi="Times New Roman"/>
                <w:b/>
                <w:bCs/>
                <w:color w:val="FFFFFF"/>
                <w:sz w:val="16"/>
                <w:szCs w:val="16"/>
              </w:rPr>
              <w:t xml:space="preserve">Jun </w:t>
            </w:r>
            <w:r>
              <w:rPr>
                <w:rFonts w:ascii="Times New Roman" w:eastAsia="宋体" w:hAnsi="Times New Roman"/>
                <w:b/>
                <w:bCs/>
                <w:color w:val="FFFFFF"/>
                <w:sz w:val="16"/>
                <w:szCs w:val="16"/>
              </w:rPr>
              <w:t>27, 2021</w:t>
            </w:r>
          </w:p>
        </w:tc>
        <w:tc>
          <w:tcPr>
            <w:tcW w:w="0" w:type="auto"/>
            <w:gridSpan w:val="3"/>
            <w:shd w:val="clear" w:color="auto" w:fill="auto"/>
            <w:tcMar>
              <w:top w:w="0" w:type="dxa"/>
              <w:left w:w="20" w:type="dxa"/>
              <w:bottom w:w="0" w:type="dxa"/>
              <w:right w:w="20" w:type="dxa"/>
            </w:tcMar>
            <w:vAlign w:val="bottom"/>
          </w:tcPr>
          <w:p w14:paraId="6429764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64E"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64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650"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7651"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7652" w14:textId="77777777" w:rsidR="007B6C97" w:rsidRDefault="007B6C97">
            <w:pPr>
              <w:jc w:val="center"/>
              <w:rPr>
                <w:rFonts w:ascii="宋体"/>
              </w:rPr>
            </w:pPr>
          </w:p>
        </w:tc>
      </w:tr>
      <w:tr w:rsidR="007B6C97" w14:paraId="64297661" w14:textId="77777777">
        <w:tc>
          <w:tcPr>
            <w:tcW w:w="0" w:type="auto"/>
            <w:gridSpan w:val="3"/>
            <w:shd w:val="clear" w:color="auto" w:fill="D7E4BC"/>
            <w:tcMar>
              <w:top w:w="40" w:type="dxa"/>
              <w:left w:w="20" w:type="dxa"/>
              <w:bottom w:w="40" w:type="dxa"/>
              <w:right w:w="20" w:type="dxa"/>
            </w:tcMar>
          </w:tcPr>
          <w:p w14:paraId="64297654" w14:textId="77777777" w:rsidR="007B6C97" w:rsidRDefault="00E426D1">
            <w:pPr>
              <w:textAlignment w:val="top"/>
            </w:pPr>
            <w:r>
              <w:rPr>
                <w:rFonts w:ascii="Times New Roman" w:eastAsia="宋体" w:hAnsi="Times New Roman"/>
                <w:color w:val="000000"/>
                <w:sz w:val="20"/>
                <w:szCs w:val="20"/>
              </w:rPr>
              <w:t>Cash Flow Hedges:</w:t>
            </w:r>
          </w:p>
        </w:tc>
        <w:tc>
          <w:tcPr>
            <w:tcW w:w="0" w:type="auto"/>
            <w:gridSpan w:val="3"/>
            <w:shd w:val="clear" w:color="auto" w:fill="auto"/>
            <w:vAlign w:val="bottom"/>
          </w:tcPr>
          <w:p w14:paraId="64297655" w14:textId="77777777" w:rsidR="007B6C97" w:rsidRDefault="007B6C97">
            <w:pPr>
              <w:rPr>
                <w:rFonts w:ascii="宋体"/>
                <w:vanish/>
              </w:rPr>
            </w:pPr>
          </w:p>
        </w:tc>
        <w:tc>
          <w:tcPr>
            <w:tcW w:w="0" w:type="auto"/>
            <w:gridSpan w:val="3"/>
            <w:shd w:val="clear" w:color="auto" w:fill="auto"/>
            <w:vAlign w:val="bottom"/>
          </w:tcPr>
          <w:p w14:paraId="64297656" w14:textId="77777777" w:rsidR="007B6C97" w:rsidRDefault="007B6C97">
            <w:pPr>
              <w:rPr>
                <w:rFonts w:ascii="宋体"/>
                <w:vanish/>
              </w:rPr>
            </w:pPr>
          </w:p>
        </w:tc>
        <w:tc>
          <w:tcPr>
            <w:tcW w:w="0" w:type="auto"/>
            <w:gridSpan w:val="3"/>
            <w:shd w:val="clear" w:color="auto" w:fill="auto"/>
            <w:vAlign w:val="bottom"/>
          </w:tcPr>
          <w:p w14:paraId="64297657" w14:textId="77777777" w:rsidR="007B6C97" w:rsidRDefault="007B6C97">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65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65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65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65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65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65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65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65F"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660" w14:textId="77777777" w:rsidR="007B6C97" w:rsidRDefault="007B6C97">
            <w:pPr>
              <w:rPr>
                <w:rFonts w:ascii="宋体"/>
              </w:rPr>
            </w:pPr>
          </w:p>
        </w:tc>
      </w:tr>
      <w:tr w:rsidR="007B6C97" w14:paraId="64297677" w14:textId="77777777">
        <w:tc>
          <w:tcPr>
            <w:tcW w:w="0" w:type="auto"/>
            <w:gridSpan w:val="3"/>
            <w:shd w:val="clear" w:color="auto" w:fill="FFFFFF"/>
            <w:tcMar>
              <w:top w:w="40" w:type="dxa"/>
              <w:left w:w="155" w:type="dxa"/>
              <w:bottom w:w="40" w:type="dxa"/>
              <w:right w:w="20" w:type="dxa"/>
            </w:tcMar>
          </w:tcPr>
          <w:p w14:paraId="64297662" w14:textId="77777777" w:rsidR="007B6C97" w:rsidRDefault="00E426D1">
            <w:pPr>
              <w:textAlignment w:val="top"/>
            </w:pPr>
            <w:r>
              <w:rPr>
                <w:rFonts w:ascii="Times New Roman" w:eastAsia="宋体" w:hAnsi="Times New Roman"/>
                <w:color w:val="000000"/>
                <w:sz w:val="20"/>
                <w:szCs w:val="20"/>
              </w:rPr>
              <w:t>Coffee</w:t>
            </w:r>
          </w:p>
        </w:tc>
        <w:tc>
          <w:tcPr>
            <w:tcW w:w="0" w:type="auto"/>
            <w:gridSpan w:val="3"/>
            <w:shd w:val="clear" w:color="auto" w:fill="auto"/>
            <w:vAlign w:val="bottom"/>
          </w:tcPr>
          <w:p w14:paraId="64297663" w14:textId="77777777" w:rsidR="007B6C97" w:rsidRDefault="007B6C97">
            <w:pPr>
              <w:rPr>
                <w:rFonts w:ascii="宋体"/>
                <w:vanish/>
              </w:rPr>
            </w:pPr>
          </w:p>
        </w:tc>
        <w:tc>
          <w:tcPr>
            <w:tcW w:w="0" w:type="auto"/>
            <w:gridSpan w:val="3"/>
            <w:shd w:val="clear" w:color="auto" w:fill="auto"/>
            <w:vAlign w:val="bottom"/>
          </w:tcPr>
          <w:p w14:paraId="64297664" w14:textId="77777777" w:rsidR="007B6C97" w:rsidRDefault="007B6C97">
            <w:pPr>
              <w:rPr>
                <w:rFonts w:ascii="宋体"/>
                <w:vanish/>
              </w:rPr>
            </w:pPr>
          </w:p>
        </w:tc>
        <w:tc>
          <w:tcPr>
            <w:tcW w:w="0" w:type="auto"/>
            <w:gridSpan w:val="3"/>
            <w:shd w:val="clear" w:color="auto" w:fill="auto"/>
            <w:vAlign w:val="bottom"/>
          </w:tcPr>
          <w:p w14:paraId="64297665" w14:textId="77777777" w:rsidR="007B6C97" w:rsidRDefault="007B6C97">
            <w:pPr>
              <w:rPr>
                <w:rFonts w:ascii="宋体"/>
                <w:vanish/>
              </w:rPr>
            </w:pPr>
          </w:p>
        </w:tc>
        <w:tc>
          <w:tcPr>
            <w:tcW w:w="0" w:type="auto"/>
            <w:shd w:val="clear" w:color="auto" w:fill="FFFFFF"/>
            <w:tcMar>
              <w:top w:w="40" w:type="dxa"/>
              <w:left w:w="20" w:type="dxa"/>
              <w:bottom w:w="40" w:type="dxa"/>
              <w:right w:w="0" w:type="dxa"/>
            </w:tcMar>
            <w:vAlign w:val="bottom"/>
          </w:tcPr>
          <w:p w14:paraId="6429766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667" w14:textId="77777777" w:rsidR="007B6C97" w:rsidRDefault="00E426D1">
            <w:pPr>
              <w:jc w:val="right"/>
              <w:textAlignment w:val="bottom"/>
            </w:pPr>
            <w:r>
              <w:rPr>
                <w:rFonts w:ascii="Times New Roman" w:eastAsia="宋体" w:hAnsi="Times New Roman"/>
                <w:color w:val="000000"/>
                <w:sz w:val="20"/>
                <w:szCs w:val="20"/>
              </w:rPr>
              <w:t>76.1 </w:t>
            </w:r>
          </w:p>
        </w:tc>
        <w:tc>
          <w:tcPr>
            <w:tcW w:w="0" w:type="auto"/>
            <w:shd w:val="clear" w:color="auto" w:fill="FFFFFF"/>
            <w:tcMar>
              <w:top w:w="40" w:type="dxa"/>
              <w:left w:w="0" w:type="dxa"/>
              <w:bottom w:w="40" w:type="dxa"/>
              <w:right w:w="20" w:type="dxa"/>
            </w:tcMar>
            <w:vAlign w:val="bottom"/>
          </w:tcPr>
          <w:p w14:paraId="6429766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66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66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66B" w14:textId="77777777" w:rsidR="007B6C97" w:rsidRDefault="00E426D1">
            <w:pPr>
              <w:jc w:val="right"/>
              <w:textAlignment w:val="bottom"/>
            </w:pPr>
            <w:r>
              <w:rPr>
                <w:rFonts w:ascii="Times New Roman" w:eastAsia="宋体" w:hAnsi="Times New Roman"/>
                <w:color w:val="000000"/>
                <w:sz w:val="20"/>
                <w:szCs w:val="20"/>
              </w:rPr>
              <w:t>80.5 </w:t>
            </w:r>
          </w:p>
        </w:tc>
        <w:tc>
          <w:tcPr>
            <w:tcW w:w="0" w:type="auto"/>
            <w:shd w:val="clear" w:color="auto" w:fill="FFFFFF"/>
            <w:tcMar>
              <w:top w:w="40" w:type="dxa"/>
              <w:left w:w="0" w:type="dxa"/>
              <w:bottom w:w="40" w:type="dxa"/>
              <w:right w:w="20" w:type="dxa"/>
            </w:tcMar>
            <w:vAlign w:val="bottom"/>
          </w:tcPr>
          <w:p w14:paraId="6429766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66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66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66F" w14:textId="77777777" w:rsidR="007B6C97" w:rsidRDefault="00E426D1">
            <w:pPr>
              <w:jc w:val="right"/>
              <w:textAlignment w:val="bottom"/>
            </w:pPr>
            <w:r>
              <w:rPr>
                <w:rFonts w:ascii="Times New Roman" w:eastAsia="宋体" w:hAnsi="Times New Roman"/>
                <w:color w:val="000000"/>
                <w:sz w:val="20"/>
                <w:szCs w:val="20"/>
              </w:rPr>
              <w:t>56.6 </w:t>
            </w:r>
          </w:p>
        </w:tc>
        <w:tc>
          <w:tcPr>
            <w:tcW w:w="0" w:type="auto"/>
            <w:shd w:val="clear" w:color="auto" w:fill="FFFFFF"/>
            <w:tcMar>
              <w:top w:w="40" w:type="dxa"/>
              <w:left w:w="0" w:type="dxa"/>
              <w:bottom w:w="40" w:type="dxa"/>
              <w:right w:w="20" w:type="dxa"/>
            </w:tcMar>
            <w:vAlign w:val="bottom"/>
          </w:tcPr>
          <w:p w14:paraId="6429767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67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67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673" w14:textId="77777777" w:rsidR="007B6C97" w:rsidRDefault="00E426D1">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6429767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675"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676" w14:textId="77777777" w:rsidR="007B6C97" w:rsidRDefault="00E426D1">
            <w:pPr>
              <w:textAlignment w:val="bottom"/>
            </w:pPr>
            <w:r>
              <w:rPr>
                <w:rFonts w:ascii="Times New Roman" w:eastAsia="宋体" w:hAnsi="Times New Roman"/>
                <w:color w:val="000000"/>
                <w:sz w:val="20"/>
                <w:szCs w:val="20"/>
              </w:rPr>
              <w:t>Product and distribution costs</w:t>
            </w:r>
          </w:p>
        </w:tc>
      </w:tr>
      <w:tr w:rsidR="007B6C97" w14:paraId="64297689" w14:textId="77777777">
        <w:trPr>
          <w:trHeight w:val="300"/>
        </w:trPr>
        <w:tc>
          <w:tcPr>
            <w:tcW w:w="0" w:type="auto"/>
            <w:gridSpan w:val="3"/>
            <w:vMerge w:val="restart"/>
            <w:shd w:val="clear" w:color="auto" w:fill="D7E4BC"/>
            <w:tcMar>
              <w:top w:w="40" w:type="dxa"/>
              <w:left w:w="155" w:type="dxa"/>
              <w:bottom w:w="40" w:type="dxa"/>
              <w:right w:w="20" w:type="dxa"/>
            </w:tcMar>
          </w:tcPr>
          <w:p w14:paraId="64297678" w14:textId="77777777" w:rsidR="007B6C97" w:rsidRDefault="00E426D1">
            <w:pPr>
              <w:textAlignment w:val="top"/>
            </w:pPr>
            <w:r>
              <w:rPr>
                <w:rFonts w:ascii="Times New Roman" w:eastAsia="宋体" w:hAnsi="Times New Roman"/>
                <w:color w:val="000000"/>
                <w:sz w:val="20"/>
                <w:szCs w:val="20"/>
              </w:rPr>
              <w:t>Cross-currency swaps</w:t>
            </w:r>
          </w:p>
        </w:tc>
        <w:tc>
          <w:tcPr>
            <w:tcW w:w="0" w:type="auto"/>
            <w:gridSpan w:val="3"/>
            <w:shd w:val="clear" w:color="auto" w:fill="auto"/>
            <w:vAlign w:val="bottom"/>
          </w:tcPr>
          <w:p w14:paraId="64297679" w14:textId="77777777" w:rsidR="007B6C97" w:rsidRDefault="007B6C97">
            <w:pPr>
              <w:rPr>
                <w:rFonts w:ascii="宋体"/>
                <w:vanish/>
              </w:rPr>
            </w:pPr>
          </w:p>
        </w:tc>
        <w:tc>
          <w:tcPr>
            <w:tcW w:w="0" w:type="auto"/>
            <w:gridSpan w:val="3"/>
            <w:shd w:val="clear" w:color="auto" w:fill="auto"/>
            <w:vAlign w:val="bottom"/>
          </w:tcPr>
          <w:p w14:paraId="6429767A" w14:textId="77777777" w:rsidR="007B6C97" w:rsidRDefault="007B6C97">
            <w:pPr>
              <w:rPr>
                <w:rFonts w:ascii="宋体"/>
                <w:vanish/>
              </w:rPr>
            </w:pPr>
          </w:p>
        </w:tc>
        <w:tc>
          <w:tcPr>
            <w:tcW w:w="0" w:type="auto"/>
            <w:gridSpan w:val="3"/>
            <w:shd w:val="clear" w:color="auto" w:fill="auto"/>
            <w:vAlign w:val="bottom"/>
          </w:tcPr>
          <w:p w14:paraId="6429767B" w14:textId="77777777" w:rsidR="007B6C97" w:rsidRDefault="007B6C97">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429767C" w14:textId="77777777" w:rsidR="007B6C97" w:rsidRDefault="00E426D1">
            <w:pPr>
              <w:jc w:val="right"/>
              <w:textAlignment w:val="center"/>
            </w:pPr>
            <w:r>
              <w:rPr>
                <w:rFonts w:ascii="Times New Roman" w:eastAsia="宋体" w:hAnsi="Times New Roman"/>
                <w:color w:val="000000"/>
                <w:sz w:val="20"/>
                <w:szCs w:val="20"/>
              </w:rPr>
              <w:t>22.3 </w:t>
            </w:r>
          </w:p>
        </w:tc>
        <w:tc>
          <w:tcPr>
            <w:tcW w:w="0" w:type="auto"/>
            <w:vMerge w:val="restart"/>
            <w:shd w:val="clear" w:color="auto" w:fill="D7E4BC"/>
            <w:tcMar>
              <w:top w:w="40" w:type="dxa"/>
              <w:left w:w="0" w:type="dxa"/>
              <w:bottom w:w="40" w:type="dxa"/>
              <w:right w:w="20" w:type="dxa"/>
            </w:tcMar>
            <w:vAlign w:val="center"/>
          </w:tcPr>
          <w:p w14:paraId="6429767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7E" w14:textId="77777777" w:rsidR="007B6C97" w:rsidRDefault="007B6C97">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429767F" w14:textId="77777777" w:rsidR="007B6C97" w:rsidRDefault="00E426D1">
            <w:pPr>
              <w:jc w:val="right"/>
              <w:textAlignment w:val="center"/>
            </w:pPr>
            <w:r>
              <w:rPr>
                <w:rFonts w:ascii="Times New Roman" w:eastAsia="宋体" w:hAnsi="Times New Roman"/>
                <w:color w:val="000000"/>
                <w:sz w:val="20"/>
                <w:szCs w:val="20"/>
              </w:rPr>
              <w:t>13.5 </w:t>
            </w:r>
          </w:p>
        </w:tc>
        <w:tc>
          <w:tcPr>
            <w:tcW w:w="0" w:type="auto"/>
            <w:vMerge w:val="restart"/>
            <w:shd w:val="clear" w:color="auto" w:fill="D7E4BC"/>
            <w:tcMar>
              <w:top w:w="40" w:type="dxa"/>
              <w:left w:w="0" w:type="dxa"/>
              <w:bottom w:w="40" w:type="dxa"/>
              <w:right w:w="20" w:type="dxa"/>
            </w:tcMar>
            <w:vAlign w:val="center"/>
          </w:tcPr>
          <w:p w14:paraId="6429768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8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82" w14:textId="77777777" w:rsidR="007B6C97" w:rsidRDefault="00E426D1">
            <w:pPr>
              <w:jc w:val="right"/>
              <w:textAlignment w:val="bottom"/>
            </w:pPr>
            <w:r>
              <w:rPr>
                <w:rFonts w:ascii="Times New Roman" w:eastAsia="宋体" w:hAnsi="Times New Roman"/>
                <w:color w:val="000000"/>
                <w:sz w:val="20"/>
                <w:szCs w:val="20"/>
              </w:rPr>
              <w:t>(3.7)</w:t>
            </w:r>
          </w:p>
        </w:tc>
        <w:tc>
          <w:tcPr>
            <w:tcW w:w="0" w:type="auto"/>
            <w:shd w:val="clear" w:color="auto" w:fill="D7E4BC"/>
            <w:tcMar>
              <w:top w:w="40" w:type="dxa"/>
              <w:left w:w="0" w:type="dxa"/>
              <w:bottom w:w="40" w:type="dxa"/>
              <w:right w:w="20" w:type="dxa"/>
            </w:tcMar>
            <w:vAlign w:val="bottom"/>
          </w:tcPr>
          <w:p w14:paraId="6429768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8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85" w14:textId="77777777" w:rsidR="007B6C97" w:rsidRDefault="00E426D1">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6429768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87"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688" w14:textId="77777777" w:rsidR="007B6C97" w:rsidRDefault="00E426D1">
            <w:pPr>
              <w:textAlignment w:val="bottom"/>
            </w:pPr>
            <w:r>
              <w:rPr>
                <w:rFonts w:ascii="Times New Roman" w:eastAsia="宋体" w:hAnsi="Times New Roman"/>
                <w:color w:val="000000"/>
                <w:sz w:val="20"/>
                <w:szCs w:val="20"/>
              </w:rPr>
              <w:t>Interest expense</w:t>
            </w:r>
          </w:p>
        </w:tc>
      </w:tr>
      <w:tr w:rsidR="007B6C97" w14:paraId="6429769B" w14:textId="77777777">
        <w:trPr>
          <w:trHeight w:val="300"/>
        </w:trPr>
        <w:tc>
          <w:tcPr>
            <w:tcW w:w="0" w:type="auto"/>
            <w:gridSpan w:val="3"/>
            <w:vMerge/>
            <w:shd w:val="clear" w:color="auto" w:fill="D7E4BC"/>
            <w:tcMar>
              <w:top w:w="40" w:type="dxa"/>
              <w:left w:w="155" w:type="dxa"/>
              <w:bottom w:w="40" w:type="dxa"/>
              <w:right w:w="20" w:type="dxa"/>
            </w:tcMar>
          </w:tcPr>
          <w:p w14:paraId="6429768A" w14:textId="77777777" w:rsidR="007B6C97" w:rsidRDefault="007B6C97">
            <w:pPr>
              <w:rPr>
                <w:rFonts w:ascii="宋体"/>
              </w:rPr>
            </w:pPr>
          </w:p>
        </w:tc>
        <w:tc>
          <w:tcPr>
            <w:tcW w:w="0" w:type="auto"/>
            <w:gridSpan w:val="3"/>
            <w:shd w:val="clear" w:color="auto" w:fill="auto"/>
            <w:vAlign w:val="bottom"/>
          </w:tcPr>
          <w:p w14:paraId="6429768B" w14:textId="77777777" w:rsidR="007B6C97" w:rsidRDefault="007B6C97">
            <w:pPr>
              <w:rPr>
                <w:rFonts w:ascii="宋体"/>
                <w:vanish/>
              </w:rPr>
            </w:pPr>
          </w:p>
        </w:tc>
        <w:tc>
          <w:tcPr>
            <w:tcW w:w="0" w:type="auto"/>
            <w:gridSpan w:val="3"/>
            <w:shd w:val="clear" w:color="auto" w:fill="auto"/>
            <w:vAlign w:val="bottom"/>
          </w:tcPr>
          <w:p w14:paraId="6429768C" w14:textId="77777777" w:rsidR="007B6C97" w:rsidRDefault="007B6C97">
            <w:pPr>
              <w:rPr>
                <w:rFonts w:ascii="宋体"/>
                <w:vanish/>
              </w:rPr>
            </w:pPr>
          </w:p>
        </w:tc>
        <w:tc>
          <w:tcPr>
            <w:tcW w:w="0" w:type="auto"/>
            <w:gridSpan w:val="3"/>
            <w:shd w:val="clear" w:color="auto" w:fill="auto"/>
            <w:vAlign w:val="bottom"/>
          </w:tcPr>
          <w:p w14:paraId="6429768D"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68E"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8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90" w14:textId="77777777" w:rsidR="007B6C97" w:rsidRDefault="007B6C97">
            <w:pPr>
              <w:rPr>
                <w:rFonts w:ascii="宋体"/>
              </w:rPr>
            </w:pPr>
          </w:p>
        </w:tc>
        <w:tc>
          <w:tcPr>
            <w:tcW w:w="0" w:type="auto"/>
            <w:gridSpan w:val="2"/>
            <w:vMerge/>
            <w:shd w:val="clear" w:color="auto" w:fill="D7E4BC"/>
            <w:tcMar>
              <w:top w:w="40" w:type="dxa"/>
              <w:left w:w="20" w:type="dxa"/>
              <w:bottom w:w="40" w:type="dxa"/>
              <w:right w:w="0" w:type="dxa"/>
            </w:tcMar>
            <w:vAlign w:val="center"/>
          </w:tcPr>
          <w:p w14:paraId="64297691"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94" w14:textId="77777777" w:rsidR="007B6C97" w:rsidRDefault="00E426D1">
            <w:pPr>
              <w:jc w:val="right"/>
              <w:textAlignment w:val="bottom"/>
            </w:pPr>
            <w:r>
              <w:rPr>
                <w:rFonts w:ascii="Times New Roman" w:eastAsia="宋体" w:hAnsi="Times New Roman"/>
                <w:color w:val="000000"/>
                <w:sz w:val="20"/>
                <w:szCs w:val="20"/>
              </w:rPr>
              <w:t>32.3 </w:t>
            </w:r>
          </w:p>
        </w:tc>
        <w:tc>
          <w:tcPr>
            <w:tcW w:w="0" w:type="auto"/>
            <w:shd w:val="clear" w:color="auto" w:fill="D7E4BC"/>
            <w:tcMar>
              <w:top w:w="40" w:type="dxa"/>
              <w:left w:w="0" w:type="dxa"/>
              <w:bottom w:w="40" w:type="dxa"/>
              <w:right w:w="20" w:type="dxa"/>
            </w:tcMar>
            <w:vAlign w:val="bottom"/>
          </w:tcPr>
          <w:p w14:paraId="6429769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9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97" w14:textId="77777777" w:rsidR="007B6C97" w:rsidRDefault="00E426D1">
            <w:pPr>
              <w:jc w:val="right"/>
              <w:textAlignment w:val="bottom"/>
            </w:pPr>
            <w:r>
              <w:rPr>
                <w:rFonts w:ascii="Times New Roman" w:eastAsia="宋体" w:hAnsi="Times New Roman"/>
                <w:color w:val="000000"/>
                <w:sz w:val="20"/>
                <w:szCs w:val="20"/>
              </w:rPr>
              <w:t>12.1 </w:t>
            </w:r>
          </w:p>
        </w:tc>
        <w:tc>
          <w:tcPr>
            <w:tcW w:w="0" w:type="auto"/>
            <w:shd w:val="clear" w:color="auto" w:fill="D7E4BC"/>
            <w:tcMar>
              <w:top w:w="40" w:type="dxa"/>
              <w:left w:w="0" w:type="dxa"/>
              <w:bottom w:w="40" w:type="dxa"/>
              <w:right w:w="20" w:type="dxa"/>
            </w:tcMar>
            <w:vAlign w:val="bottom"/>
          </w:tcPr>
          <w:p w14:paraId="6429769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99"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69A" w14:textId="77777777" w:rsidR="007B6C97" w:rsidRDefault="00E426D1">
            <w:pPr>
              <w:textAlignment w:val="bottom"/>
            </w:pPr>
            <w:r>
              <w:rPr>
                <w:rFonts w:ascii="Times New Roman" w:eastAsia="宋体" w:hAnsi="Times New Roman"/>
                <w:color w:val="000000"/>
                <w:sz w:val="20"/>
                <w:szCs w:val="20"/>
              </w:rPr>
              <w:t>Interest income and other, net</w:t>
            </w:r>
          </w:p>
        </w:tc>
      </w:tr>
      <w:tr w:rsidR="007B6C97" w14:paraId="642976AD" w14:textId="77777777">
        <w:trPr>
          <w:trHeight w:val="300"/>
        </w:trPr>
        <w:tc>
          <w:tcPr>
            <w:tcW w:w="0" w:type="auto"/>
            <w:gridSpan w:val="3"/>
            <w:vMerge w:val="restart"/>
            <w:shd w:val="clear" w:color="auto" w:fill="FFFFFF"/>
            <w:tcMar>
              <w:top w:w="40" w:type="dxa"/>
              <w:left w:w="155" w:type="dxa"/>
              <w:bottom w:w="40" w:type="dxa"/>
              <w:right w:w="20" w:type="dxa"/>
            </w:tcMar>
          </w:tcPr>
          <w:p w14:paraId="6429769C" w14:textId="77777777" w:rsidR="007B6C97" w:rsidRDefault="00E426D1">
            <w:pPr>
              <w:textAlignment w:val="top"/>
            </w:pPr>
            <w:r>
              <w:rPr>
                <w:rFonts w:ascii="Times New Roman" w:eastAsia="宋体" w:hAnsi="Times New Roman"/>
                <w:color w:val="000000"/>
                <w:sz w:val="20"/>
                <w:szCs w:val="20"/>
              </w:rPr>
              <w:t>Dairy</w:t>
            </w:r>
          </w:p>
        </w:tc>
        <w:tc>
          <w:tcPr>
            <w:tcW w:w="0" w:type="auto"/>
            <w:gridSpan w:val="3"/>
            <w:shd w:val="clear" w:color="auto" w:fill="auto"/>
            <w:vAlign w:val="bottom"/>
          </w:tcPr>
          <w:p w14:paraId="6429769D" w14:textId="77777777" w:rsidR="007B6C97" w:rsidRDefault="007B6C97">
            <w:pPr>
              <w:rPr>
                <w:rFonts w:ascii="宋体"/>
                <w:vanish/>
              </w:rPr>
            </w:pPr>
          </w:p>
        </w:tc>
        <w:tc>
          <w:tcPr>
            <w:tcW w:w="0" w:type="auto"/>
            <w:gridSpan w:val="3"/>
            <w:shd w:val="clear" w:color="auto" w:fill="auto"/>
            <w:vAlign w:val="bottom"/>
          </w:tcPr>
          <w:p w14:paraId="6429769E" w14:textId="77777777" w:rsidR="007B6C97" w:rsidRDefault="007B6C97">
            <w:pPr>
              <w:rPr>
                <w:rFonts w:ascii="宋体"/>
                <w:vanish/>
              </w:rPr>
            </w:pPr>
          </w:p>
        </w:tc>
        <w:tc>
          <w:tcPr>
            <w:tcW w:w="0" w:type="auto"/>
            <w:gridSpan w:val="3"/>
            <w:shd w:val="clear" w:color="auto" w:fill="auto"/>
            <w:vAlign w:val="bottom"/>
          </w:tcPr>
          <w:p w14:paraId="6429769F" w14:textId="77777777" w:rsidR="007B6C97" w:rsidRDefault="007B6C97">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642976A0" w14:textId="77777777" w:rsidR="007B6C97" w:rsidRDefault="00E426D1">
            <w:pPr>
              <w:jc w:val="right"/>
              <w:textAlignment w:val="center"/>
            </w:pPr>
            <w:r>
              <w:rPr>
                <w:rFonts w:ascii="Times New Roman" w:eastAsia="宋体" w:hAnsi="Times New Roman"/>
                <w:color w:val="000000"/>
                <w:sz w:val="20"/>
                <w:szCs w:val="20"/>
              </w:rPr>
              <w:t>6.6 </w:t>
            </w:r>
          </w:p>
        </w:tc>
        <w:tc>
          <w:tcPr>
            <w:tcW w:w="0" w:type="auto"/>
            <w:vMerge w:val="restart"/>
            <w:shd w:val="clear" w:color="auto" w:fill="auto"/>
            <w:tcMar>
              <w:top w:w="40" w:type="dxa"/>
              <w:left w:w="0" w:type="dxa"/>
              <w:bottom w:w="40" w:type="dxa"/>
              <w:right w:w="20" w:type="dxa"/>
            </w:tcMar>
            <w:vAlign w:val="center"/>
          </w:tcPr>
          <w:p w14:paraId="642976A1"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A2" w14:textId="77777777" w:rsidR="007B6C97" w:rsidRDefault="007B6C97">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642976A3" w14:textId="77777777" w:rsidR="007B6C97" w:rsidRDefault="00E426D1">
            <w:pPr>
              <w:jc w:val="right"/>
              <w:textAlignment w:val="center"/>
            </w:pPr>
            <w:r>
              <w:rPr>
                <w:rFonts w:ascii="Times New Roman" w:eastAsia="宋体" w:hAnsi="Times New Roman"/>
                <w:color w:val="000000"/>
                <w:sz w:val="20"/>
                <w:szCs w:val="20"/>
              </w:rPr>
              <w:t>(0.1)</w:t>
            </w:r>
          </w:p>
        </w:tc>
        <w:tc>
          <w:tcPr>
            <w:tcW w:w="0" w:type="auto"/>
            <w:vMerge w:val="restart"/>
            <w:shd w:val="clear" w:color="auto" w:fill="auto"/>
            <w:tcMar>
              <w:top w:w="40" w:type="dxa"/>
              <w:left w:w="0" w:type="dxa"/>
              <w:bottom w:w="40" w:type="dxa"/>
              <w:right w:w="20" w:type="dxa"/>
            </w:tcMar>
            <w:vAlign w:val="center"/>
          </w:tcPr>
          <w:p w14:paraId="642976A4"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A5"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6A6" w14:textId="77777777" w:rsidR="007B6C97" w:rsidRDefault="00E426D1">
            <w:pPr>
              <w:jc w:val="right"/>
              <w:textAlignment w:val="bottom"/>
            </w:pPr>
            <w:r>
              <w:rPr>
                <w:rFonts w:ascii="Times New Roman" w:eastAsia="宋体" w:hAnsi="Times New Roman"/>
                <w:color w:val="000000"/>
                <w:sz w:val="20"/>
                <w:szCs w:val="20"/>
              </w:rPr>
              <w:t>6.8 </w:t>
            </w:r>
          </w:p>
        </w:tc>
        <w:tc>
          <w:tcPr>
            <w:tcW w:w="0" w:type="auto"/>
            <w:shd w:val="clear" w:color="auto" w:fill="auto"/>
            <w:tcMar>
              <w:top w:w="40" w:type="dxa"/>
              <w:left w:w="0" w:type="dxa"/>
              <w:bottom w:w="40" w:type="dxa"/>
              <w:right w:w="20" w:type="dxa"/>
            </w:tcMar>
            <w:vAlign w:val="bottom"/>
          </w:tcPr>
          <w:p w14:paraId="642976A7"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A8"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6A9" w14:textId="77777777" w:rsidR="007B6C97" w:rsidRDefault="00E426D1">
            <w:pPr>
              <w:jc w:val="right"/>
              <w:textAlignment w:val="bottom"/>
            </w:pPr>
            <w:r>
              <w:rPr>
                <w:rFonts w:ascii="Times New Roman" w:eastAsia="宋体" w:hAnsi="Times New Roman"/>
                <w:color w:val="000000"/>
                <w:sz w:val="20"/>
                <w:szCs w:val="20"/>
              </w:rPr>
              <w:t>2.5 </w:t>
            </w:r>
          </w:p>
        </w:tc>
        <w:tc>
          <w:tcPr>
            <w:tcW w:w="0" w:type="auto"/>
            <w:shd w:val="clear" w:color="auto" w:fill="auto"/>
            <w:tcMar>
              <w:top w:w="40" w:type="dxa"/>
              <w:left w:w="0" w:type="dxa"/>
              <w:bottom w:w="40" w:type="dxa"/>
              <w:right w:w="20" w:type="dxa"/>
            </w:tcMar>
            <w:vAlign w:val="bottom"/>
          </w:tcPr>
          <w:p w14:paraId="642976A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6A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6AC" w14:textId="77777777" w:rsidR="007B6C97" w:rsidRDefault="00E426D1">
            <w:pPr>
              <w:textAlignment w:val="bottom"/>
            </w:pPr>
            <w:r>
              <w:rPr>
                <w:rFonts w:ascii="Times New Roman" w:eastAsia="宋体" w:hAnsi="Times New Roman"/>
                <w:color w:val="000000"/>
                <w:sz w:val="20"/>
                <w:szCs w:val="20"/>
              </w:rPr>
              <w:t>Product and distribution costs</w:t>
            </w:r>
          </w:p>
        </w:tc>
      </w:tr>
      <w:tr w:rsidR="007B6C97" w14:paraId="642976BD" w14:textId="77777777">
        <w:tc>
          <w:tcPr>
            <w:tcW w:w="0" w:type="auto"/>
            <w:gridSpan w:val="3"/>
            <w:vMerge/>
            <w:shd w:val="clear" w:color="auto" w:fill="FFFFFF"/>
            <w:tcMar>
              <w:top w:w="40" w:type="dxa"/>
              <w:left w:w="155" w:type="dxa"/>
              <w:bottom w:w="40" w:type="dxa"/>
              <w:right w:w="20" w:type="dxa"/>
            </w:tcMar>
          </w:tcPr>
          <w:p w14:paraId="642976AE" w14:textId="77777777" w:rsidR="007B6C97" w:rsidRDefault="007B6C97">
            <w:pPr>
              <w:rPr>
                <w:rFonts w:ascii="宋体"/>
              </w:rPr>
            </w:pPr>
          </w:p>
        </w:tc>
        <w:tc>
          <w:tcPr>
            <w:tcW w:w="0" w:type="auto"/>
            <w:gridSpan w:val="3"/>
            <w:shd w:val="clear" w:color="auto" w:fill="auto"/>
            <w:vAlign w:val="bottom"/>
          </w:tcPr>
          <w:p w14:paraId="642976AF" w14:textId="77777777" w:rsidR="007B6C97" w:rsidRDefault="007B6C97">
            <w:pPr>
              <w:rPr>
                <w:rFonts w:ascii="宋体"/>
                <w:vanish/>
              </w:rPr>
            </w:pPr>
          </w:p>
        </w:tc>
        <w:tc>
          <w:tcPr>
            <w:tcW w:w="0" w:type="auto"/>
            <w:gridSpan w:val="3"/>
            <w:shd w:val="clear" w:color="auto" w:fill="auto"/>
            <w:vAlign w:val="bottom"/>
          </w:tcPr>
          <w:p w14:paraId="642976B0" w14:textId="77777777" w:rsidR="007B6C97" w:rsidRDefault="007B6C97">
            <w:pPr>
              <w:rPr>
                <w:rFonts w:ascii="宋体"/>
                <w:vanish/>
              </w:rPr>
            </w:pPr>
          </w:p>
        </w:tc>
        <w:tc>
          <w:tcPr>
            <w:tcW w:w="0" w:type="auto"/>
            <w:gridSpan w:val="3"/>
            <w:shd w:val="clear" w:color="auto" w:fill="auto"/>
            <w:vAlign w:val="bottom"/>
          </w:tcPr>
          <w:p w14:paraId="642976B1" w14:textId="77777777" w:rsidR="007B6C97" w:rsidRDefault="007B6C97">
            <w:pPr>
              <w:rPr>
                <w:rFonts w:ascii="宋体"/>
                <w:vanish/>
              </w:rPr>
            </w:pPr>
          </w:p>
        </w:tc>
        <w:tc>
          <w:tcPr>
            <w:tcW w:w="0" w:type="auto"/>
            <w:gridSpan w:val="2"/>
            <w:vMerge/>
            <w:shd w:val="clear" w:color="auto" w:fill="auto"/>
            <w:tcMar>
              <w:top w:w="40" w:type="dxa"/>
              <w:left w:w="20" w:type="dxa"/>
              <w:bottom w:w="40" w:type="dxa"/>
              <w:right w:w="0" w:type="dxa"/>
            </w:tcMar>
            <w:vAlign w:val="center"/>
          </w:tcPr>
          <w:p w14:paraId="642976B2" w14:textId="77777777" w:rsidR="007B6C97" w:rsidRDefault="007B6C97">
            <w:pPr>
              <w:jc w:val="right"/>
              <w:rPr>
                <w:rFonts w:ascii="宋体"/>
              </w:rPr>
            </w:pPr>
          </w:p>
        </w:tc>
        <w:tc>
          <w:tcPr>
            <w:tcW w:w="0" w:type="auto"/>
            <w:vMerge/>
            <w:shd w:val="clear" w:color="auto" w:fill="auto"/>
            <w:tcMar>
              <w:top w:w="40" w:type="dxa"/>
              <w:left w:w="0" w:type="dxa"/>
              <w:bottom w:w="40" w:type="dxa"/>
              <w:right w:w="20" w:type="dxa"/>
            </w:tcMar>
            <w:vAlign w:val="center"/>
          </w:tcPr>
          <w:p w14:paraId="642976B3" w14:textId="77777777" w:rsidR="007B6C97" w:rsidRDefault="007B6C97">
            <w:pPr>
              <w:jc w:val="right"/>
              <w:rPr>
                <w:rFonts w:ascii="宋体"/>
              </w:rPr>
            </w:pPr>
          </w:p>
        </w:tc>
        <w:tc>
          <w:tcPr>
            <w:tcW w:w="0" w:type="auto"/>
            <w:gridSpan w:val="3"/>
            <w:shd w:val="clear" w:color="auto" w:fill="auto"/>
            <w:vAlign w:val="bottom"/>
          </w:tcPr>
          <w:p w14:paraId="642976B4" w14:textId="77777777" w:rsidR="007B6C97" w:rsidRDefault="007B6C97">
            <w:pPr>
              <w:rPr>
                <w:rFonts w:ascii="宋体"/>
                <w:vanish/>
              </w:rPr>
            </w:pPr>
          </w:p>
        </w:tc>
        <w:tc>
          <w:tcPr>
            <w:tcW w:w="0" w:type="auto"/>
            <w:gridSpan w:val="2"/>
            <w:vMerge/>
            <w:shd w:val="clear" w:color="auto" w:fill="auto"/>
            <w:tcMar>
              <w:top w:w="40" w:type="dxa"/>
              <w:left w:w="20" w:type="dxa"/>
              <w:bottom w:w="40" w:type="dxa"/>
              <w:right w:w="0" w:type="dxa"/>
            </w:tcMar>
            <w:vAlign w:val="center"/>
          </w:tcPr>
          <w:p w14:paraId="642976B5" w14:textId="77777777" w:rsidR="007B6C97" w:rsidRDefault="007B6C97">
            <w:pPr>
              <w:jc w:val="right"/>
              <w:rPr>
                <w:rFonts w:ascii="宋体"/>
              </w:rPr>
            </w:pPr>
          </w:p>
        </w:tc>
        <w:tc>
          <w:tcPr>
            <w:tcW w:w="0" w:type="auto"/>
            <w:vMerge/>
            <w:shd w:val="clear" w:color="auto" w:fill="auto"/>
            <w:tcMar>
              <w:top w:w="40" w:type="dxa"/>
              <w:left w:w="0" w:type="dxa"/>
              <w:bottom w:w="40" w:type="dxa"/>
              <w:right w:w="20" w:type="dxa"/>
            </w:tcMar>
            <w:vAlign w:val="center"/>
          </w:tcPr>
          <w:p w14:paraId="642976B6" w14:textId="77777777" w:rsidR="007B6C97" w:rsidRDefault="007B6C97">
            <w:pPr>
              <w:jc w:val="right"/>
              <w:rPr>
                <w:rFonts w:ascii="宋体"/>
              </w:rPr>
            </w:pPr>
          </w:p>
        </w:tc>
        <w:tc>
          <w:tcPr>
            <w:tcW w:w="0" w:type="auto"/>
            <w:gridSpan w:val="3"/>
            <w:shd w:val="clear" w:color="auto" w:fill="auto"/>
            <w:vAlign w:val="bottom"/>
          </w:tcPr>
          <w:p w14:paraId="642976B7" w14:textId="77777777" w:rsidR="007B6C97" w:rsidRDefault="007B6C97">
            <w:pPr>
              <w:rPr>
                <w:rFonts w:ascii="宋体"/>
                <w:vanish/>
              </w:rPr>
            </w:pPr>
          </w:p>
        </w:tc>
        <w:tc>
          <w:tcPr>
            <w:tcW w:w="0" w:type="auto"/>
            <w:gridSpan w:val="3"/>
            <w:shd w:val="clear" w:color="auto" w:fill="auto"/>
            <w:vAlign w:val="bottom"/>
          </w:tcPr>
          <w:p w14:paraId="642976B8" w14:textId="77777777" w:rsidR="007B6C97" w:rsidRDefault="007B6C97">
            <w:pPr>
              <w:rPr>
                <w:rFonts w:ascii="宋体"/>
                <w:vanish/>
              </w:rPr>
            </w:pPr>
          </w:p>
        </w:tc>
        <w:tc>
          <w:tcPr>
            <w:tcW w:w="0" w:type="auto"/>
            <w:gridSpan w:val="3"/>
            <w:shd w:val="clear" w:color="auto" w:fill="auto"/>
            <w:vAlign w:val="bottom"/>
          </w:tcPr>
          <w:p w14:paraId="642976B9" w14:textId="77777777" w:rsidR="007B6C97" w:rsidRDefault="007B6C97">
            <w:pPr>
              <w:rPr>
                <w:rFonts w:ascii="宋体"/>
                <w:vanish/>
              </w:rPr>
            </w:pPr>
          </w:p>
        </w:tc>
        <w:tc>
          <w:tcPr>
            <w:tcW w:w="0" w:type="auto"/>
            <w:gridSpan w:val="3"/>
            <w:shd w:val="clear" w:color="auto" w:fill="auto"/>
            <w:vAlign w:val="bottom"/>
          </w:tcPr>
          <w:p w14:paraId="642976BA" w14:textId="77777777" w:rsidR="007B6C97" w:rsidRDefault="007B6C97">
            <w:pPr>
              <w:rPr>
                <w:rFonts w:ascii="宋体"/>
                <w:vanish/>
              </w:rPr>
            </w:pPr>
          </w:p>
        </w:tc>
        <w:tc>
          <w:tcPr>
            <w:tcW w:w="0" w:type="auto"/>
            <w:gridSpan w:val="3"/>
            <w:shd w:val="clear" w:color="auto" w:fill="auto"/>
            <w:vAlign w:val="bottom"/>
          </w:tcPr>
          <w:p w14:paraId="642976BB" w14:textId="77777777" w:rsidR="007B6C97" w:rsidRDefault="007B6C97">
            <w:pPr>
              <w:rPr>
                <w:rFonts w:ascii="宋体"/>
                <w:vanish/>
              </w:rPr>
            </w:pPr>
          </w:p>
        </w:tc>
        <w:tc>
          <w:tcPr>
            <w:tcW w:w="0" w:type="auto"/>
            <w:gridSpan w:val="3"/>
            <w:shd w:val="clear" w:color="auto" w:fill="auto"/>
            <w:vAlign w:val="bottom"/>
          </w:tcPr>
          <w:p w14:paraId="642976BC" w14:textId="77777777" w:rsidR="007B6C97" w:rsidRDefault="007B6C97">
            <w:pPr>
              <w:rPr>
                <w:rFonts w:ascii="宋体"/>
                <w:vanish/>
              </w:rPr>
            </w:pPr>
          </w:p>
        </w:tc>
      </w:tr>
      <w:tr w:rsidR="007B6C97" w14:paraId="642976CF" w14:textId="77777777">
        <w:trPr>
          <w:trHeight w:val="300"/>
        </w:trPr>
        <w:tc>
          <w:tcPr>
            <w:tcW w:w="0" w:type="auto"/>
            <w:gridSpan w:val="3"/>
            <w:vMerge w:val="restart"/>
            <w:shd w:val="clear" w:color="auto" w:fill="D7E4BC"/>
            <w:tcMar>
              <w:top w:w="40" w:type="dxa"/>
              <w:left w:w="155" w:type="dxa"/>
              <w:bottom w:w="40" w:type="dxa"/>
              <w:right w:w="20" w:type="dxa"/>
            </w:tcMar>
          </w:tcPr>
          <w:p w14:paraId="642976BE" w14:textId="77777777" w:rsidR="007B6C97" w:rsidRDefault="00E426D1">
            <w:pPr>
              <w:textAlignment w:val="top"/>
            </w:pPr>
            <w:r>
              <w:rPr>
                <w:rFonts w:ascii="Times New Roman" w:eastAsia="宋体" w:hAnsi="Times New Roman"/>
                <w:color w:val="000000"/>
                <w:sz w:val="20"/>
                <w:szCs w:val="20"/>
              </w:rPr>
              <w:t>Forei</w:t>
            </w:r>
            <w:r>
              <w:rPr>
                <w:rFonts w:ascii="Times New Roman" w:eastAsia="宋体" w:hAnsi="Times New Roman"/>
                <w:color w:val="000000"/>
                <w:sz w:val="20"/>
                <w:szCs w:val="20"/>
              </w:rPr>
              <w:t>gn currency - other</w:t>
            </w:r>
          </w:p>
        </w:tc>
        <w:tc>
          <w:tcPr>
            <w:tcW w:w="0" w:type="auto"/>
            <w:gridSpan w:val="3"/>
            <w:shd w:val="clear" w:color="auto" w:fill="auto"/>
            <w:vAlign w:val="bottom"/>
          </w:tcPr>
          <w:p w14:paraId="642976BF" w14:textId="77777777" w:rsidR="007B6C97" w:rsidRDefault="007B6C97">
            <w:pPr>
              <w:rPr>
                <w:rFonts w:ascii="宋体"/>
                <w:vanish/>
              </w:rPr>
            </w:pPr>
          </w:p>
        </w:tc>
        <w:tc>
          <w:tcPr>
            <w:tcW w:w="0" w:type="auto"/>
            <w:gridSpan w:val="3"/>
            <w:shd w:val="clear" w:color="auto" w:fill="auto"/>
            <w:vAlign w:val="bottom"/>
          </w:tcPr>
          <w:p w14:paraId="642976C0" w14:textId="77777777" w:rsidR="007B6C97" w:rsidRDefault="007B6C97">
            <w:pPr>
              <w:rPr>
                <w:rFonts w:ascii="宋体"/>
                <w:vanish/>
              </w:rPr>
            </w:pPr>
          </w:p>
        </w:tc>
        <w:tc>
          <w:tcPr>
            <w:tcW w:w="0" w:type="auto"/>
            <w:gridSpan w:val="3"/>
            <w:shd w:val="clear" w:color="auto" w:fill="auto"/>
            <w:vAlign w:val="bottom"/>
          </w:tcPr>
          <w:p w14:paraId="642976C1" w14:textId="77777777" w:rsidR="007B6C97" w:rsidRDefault="007B6C97">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42976C2" w14:textId="77777777" w:rsidR="007B6C97" w:rsidRDefault="00E426D1">
            <w:pPr>
              <w:jc w:val="right"/>
              <w:textAlignment w:val="center"/>
            </w:pPr>
            <w:r>
              <w:rPr>
                <w:rFonts w:ascii="Times New Roman" w:eastAsia="宋体" w:hAnsi="Times New Roman"/>
                <w:color w:val="000000"/>
                <w:sz w:val="20"/>
                <w:szCs w:val="20"/>
              </w:rPr>
              <w:t>51.1 </w:t>
            </w:r>
          </w:p>
        </w:tc>
        <w:tc>
          <w:tcPr>
            <w:tcW w:w="0" w:type="auto"/>
            <w:vMerge w:val="restart"/>
            <w:shd w:val="clear" w:color="auto" w:fill="D7E4BC"/>
            <w:tcMar>
              <w:top w:w="40" w:type="dxa"/>
              <w:left w:w="0" w:type="dxa"/>
              <w:bottom w:w="40" w:type="dxa"/>
              <w:right w:w="20" w:type="dxa"/>
            </w:tcMar>
            <w:vAlign w:val="center"/>
          </w:tcPr>
          <w:p w14:paraId="642976C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C4" w14:textId="77777777" w:rsidR="007B6C97" w:rsidRDefault="007B6C97">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42976C5" w14:textId="77777777" w:rsidR="007B6C97" w:rsidRDefault="00E426D1">
            <w:pPr>
              <w:jc w:val="right"/>
              <w:textAlignment w:val="center"/>
            </w:pPr>
            <w:r>
              <w:rPr>
                <w:rFonts w:ascii="Times New Roman" w:eastAsia="宋体" w:hAnsi="Times New Roman"/>
                <w:color w:val="000000"/>
                <w:sz w:val="20"/>
                <w:szCs w:val="20"/>
              </w:rPr>
              <w:t>(23.9)</w:t>
            </w:r>
          </w:p>
        </w:tc>
        <w:tc>
          <w:tcPr>
            <w:tcW w:w="0" w:type="auto"/>
            <w:vMerge w:val="restart"/>
            <w:shd w:val="clear" w:color="auto" w:fill="D7E4BC"/>
            <w:tcMar>
              <w:top w:w="40" w:type="dxa"/>
              <w:left w:w="0" w:type="dxa"/>
              <w:bottom w:w="40" w:type="dxa"/>
              <w:right w:w="20" w:type="dxa"/>
            </w:tcMar>
            <w:vAlign w:val="center"/>
          </w:tcPr>
          <w:p w14:paraId="642976C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C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C8" w14:textId="77777777" w:rsidR="007B6C97" w:rsidRDefault="00E426D1">
            <w:pPr>
              <w:jc w:val="right"/>
              <w:textAlignment w:val="bottom"/>
            </w:pPr>
            <w:r>
              <w:rPr>
                <w:rFonts w:ascii="Times New Roman" w:eastAsia="宋体" w:hAnsi="Times New Roman"/>
                <w:color w:val="000000"/>
                <w:sz w:val="20"/>
                <w:szCs w:val="20"/>
              </w:rPr>
              <w:t>11.0 </w:t>
            </w:r>
          </w:p>
        </w:tc>
        <w:tc>
          <w:tcPr>
            <w:tcW w:w="0" w:type="auto"/>
            <w:shd w:val="clear" w:color="auto" w:fill="D7E4BC"/>
            <w:tcMar>
              <w:top w:w="40" w:type="dxa"/>
              <w:left w:w="0" w:type="dxa"/>
              <w:bottom w:w="40" w:type="dxa"/>
              <w:right w:w="20" w:type="dxa"/>
            </w:tcMar>
            <w:vAlign w:val="bottom"/>
          </w:tcPr>
          <w:p w14:paraId="642976C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C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CB"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76C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C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6CE" w14:textId="77777777" w:rsidR="007B6C97" w:rsidRDefault="00E426D1">
            <w:pPr>
              <w:textAlignment w:val="bottom"/>
            </w:pPr>
            <w:r>
              <w:rPr>
                <w:rFonts w:ascii="Times New Roman" w:eastAsia="宋体" w:hAnsi="Times New Roman"/>
                <w:color w:val="000000"/>
                <w:sz w:val="20"/>
                <w:szCs w:val="20"/>
              </w:rPr>
              <w:t>Licensed stores revenue</w:t>
            </w:r>
          </w:p>
        </w:tc>
      </w:tr>
      <w:tr w:rsidR="007B6C97" w14:paraId="642976E1" w14:textId="77777777">
        <w:trPr>
          <w:trHeight w:val="300"/>
        </w:trPr>
        <w:tc>
          <w:tcPr>
            <w:tcW w:w="0" w:type="auto"/>
            <w:gridSpan w:val="3"/>
            <w:vMerge/>
            <w:shd w:val="clear" w:color="auto" w:fill="D7E4BC"/>
            <w:tcMar>
              <w:top w:w="40" w:type="dxa"/>
              <w:left w:w="155" w:type="dxa"/>
              <w:bottom w:w="40" w:type="dxa"/>
              <w:right w:w="20" w:type="dxa"/>
            </w:tcMar>
          </w:tcPr>
          <w:p w14:paraId="642976D0" w14:textId="77777777" w:rsidR="007B6C97" w:rsidRDefault="007B6C97">
            <w:pPr>
              <w:rPr>
                <w:rFonts w:ascii="宋体"/>
              </w:rPr>
            </w:pPr>
          </w:p>
        </w:tc>
        <w:tc>
          <w:tcPr>
            <w:tcW w:w="0" w:type="auto"/>
            <w:gridSpan w:val="3"/>
            <w:shd w:val="clear" w:color="auto" w:fill="auto"/>
            <w:vAlign w:val="bottom"/>
          </w:tcPr>
          <w:p w14:paraId="642976D1" w14:textId="77777777" w:rsidR="007B6C97" w:rsidRDefault="007B6C97">
            <w:pPr>
              <w:rPr>
                <w:rFonts w:ascii="宋体"/>
                <w:vanish/>
              </w:rPr>
            </w:pPr>
          </w:p>
        </w:tc>
        <w:tc>
          <w:tcPr>
            <w:tcW w:w="0" w:type="auto"/>
            <w:gridSpan w:val="3"/>
            <w:shd w:val="clear" w:color="auto" w:fill="auto"/>
            <w:vAlign w:val="bottom"/>
          </w:tcPr>
          <w:p w14:paraId="642976D2" w14:textId="77777777" w:rsidR="007B6C97" w:rsidRDefault="007B6C97">
            <w:pPr>
              <w:rPr>
                <w:rFonts w:ascii="宋体"/>
                <w:vanish/>
              </w:rPr>
            </w:pPr>
          </w:p>
        </w:tc>
        <w:tc>
          <w:tcPr>
            <w:tcW w:w="0" w:type="auto"/>
            <w:gridSpan w:val="3"/>
            <w:shd w:val="clear" w:color="auto" w:fill="auto"/>
            <w:vAlign w:val="bottom"/>
          </w:tcPr>
          <w:p w14:paraId="642976D3"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6D4"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D6" w14:textId="77777777" w:rsidR="007B6C97" w:rsidRDefault="007B6C97">
            <w:pPr>
              <w:rPr>
                <w:rFonts w:ascii="宋体"/>
              </w:rPr>
            </w:pPr>
          </w:p>
        </w:tc>
        <w:tc>
          <w:tcPr>
            <w:tcW w:w="0" w:type="auto"/>
            <w:gridSpan w:val="2"/>
            <w:vMerge/>
            <w:shd w:val="clear" w:color="auto" w:fill="D7E4BC"/>
            <w:tcMar>
              <w:top w:w="40" w:type="dxa"/>
              <w:left w:w="20" w:type="dxa"/>
              <w:bottom w:w="40" w:type="dxa"/>
              <w:right w:w="0" w:type="dxa"/>
            </w:tcMar>
            <w:vAlign w:val="center"/>
          </w:tcPr>
          <w:p w14:paraId="642976D7"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D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D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DA" w14:textId="77777777" w:rsidR="007B6C97" w:rsidRDefault="00E426D1">
            <w:pPr>
              <w:jc w:val="right"/>
              <w:textAlignment w:val="bottom"/>
            </w:pPr>
            <w:r>
              <w:rPr>
                <w:rFonts w:ascii="Times New Roman" w:eastAsia="宋体" w:hAnsi="Times New Roman"/>
                <w:color w:val="000000"/>
                <w:sz w:val="20"/>
                <w:szCs w:val="20"/>
              </w:rPr>
              <w:t>(2.5)</w:t>
            </w:r>
          </w:p>
        </w:tc>
        <w:tc>
          <w:tcPr>
            <w:tcW w:w="0" w:type="auto"/>
            <w:shd w:val="clear" w:color="auto" w:fill="D7E4BC"/>
            <w:tcMar>
              <w:top w:w="40" w:type="dxa"/>
              <w:left w:w="0" w:type="dxa"/>
              <w:bottom w:w="40" w:type="dxa"/>
              <w:right w:w="20" w:type="dxa"/>
            </w:tcMar>
            <w:vAlign w:val="bottom"/>
          </w:tcPr>
          <w:p w14:paraId="642976D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D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6DD" w14:textId="77777777" w:rsidR="007B6C97" w:rsidRDefault="00E426D1">
            <w:pPr>
              <w:jc w:val="right"/>
              <w:textAlignment w:val="bottom"/>
            </w:pPr>
            <w:r>
              <w:rPr>
                <w:rFonts w:ascii="Times New Roman" w:eastAsia="宋体" w:hAnsi="Times New Roman"/>
                <w:color w:val="000000"/>
                <w:sz w:val="20"/>
                <w:szCs w:val="20"/>
              </w:rPr>
              <w:t>(5.0)</w:t>
            </w:r>
          </w:p>
        </w:tc>
        <w:tc>
          <w:tcPr>
            <w:tcW w:w="0" w:type="auto"/>
            <w:shd w:val="clear" w:color="auto" w:fill="D7E4BC"/>
            <w:tcMar>
              <w:top w:w="40" w:type="dxa"/>
              <w:left w:w="0" w:type="dxa"/>
              <w:bottom w:w="40" w:type="dxa"/>
              <w:right w:w="20" w:type="dxa"/>
            </w:tcMar>
            <w:vAlign w:val="bottom"/>
          </w:tcPr>
          <w:p w14:paraId="642976D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6DF"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bottom"/>
          </w:tcPr>
          <w:p w14:paraId="642976E0" w14:textId="77777777" w:rsidR="007B6C97" w:rsidRDefault="00E426D1">
            <w:pPr>
              <w:textAlignment w:val="bottom"/>
            </w:pPr>
            <w:r>
              <w:rPr>
                <w:rFonts w:ascii="Times New Roman" w:eastAsia="宋体" w:hAnsi="Times New Roman"/>
                <w:color w:val="000000"/>
                <w:sz w:val="20"/>
                <w:szCs w:val="20"/>
              </w:rPr>
              <w:t>Product and distribution costs</w:t>
            </w:r>
          </w:p>
        </w:tc>
      </w:tr>
      <w:tr w:rsidR="007B6C97" w14:paraId="642976F1" w14:textId="77777777">
        <w:tc>
          <w:tcPr>
            <w:tcW w:w="0" w:type="auto"/>
            <w:gridSpan w:val="3"/>
            <w:vMerge/>
            <w:shd w:val="clear" w:color="auto" w:fill="D7E4BC"/>
            <w:tcMar>
              <w:top w:w="40" w:type="dxa"/>
              <w:left w:w="155" w:type="dxa"/>
              <w:bottom w:w="40" w:type="dxa"/>
              <w:right w:w="20" w:type="dxa"/>
            </w:tcMar>
          </w:tcPr>
          <w:p w14:paraId="642976E2" w14:textId="77777777" w:rsidR="007B6C97" w:rsidRDefault="007B6C97">
            <w:pPr>
              <w:rPr>
                <w:rFonts w:ascii="宋体"/>
              </w:rPr>
            </w:pPr>
          </w:p>
        </w:tc>
        <w:tc>
          <w:tcPr>
            <w:tcW w:w="0" w:type="auto"/>
            <w:gridSpan w:val="3"/>
            <w:shd w:val="clear" w:color="auto" w:fill="auto"/>
            <w:vAlign w:val="bottom"/>
          </w:tcPr>
          <w:p w14:paraId="642976E3" w14:textId="77777777" w:rsidR="007B6C97" w:rsidRDefault="007B6C97">
            <w:pPr>
              <w:rPr>
                <w:rFonts w:ascii="宋体"/>
                <w:vanish/>
              </w:rPr>
            </w:pPr>
          </w:p>
        </w:tc>
        <w:tc>
          <w:tcPr>
            <w:tcW w:w="0" w:type="auto"/>
            <w:gridSpan w:val="3"/>
            <w:shd w:val="clear" w:color="auto" w:fill="auto"/>
            <w:vAlign w:val="bottom"/>
          </w:tcPr>
          <w:p w14:paraId="642976E4" w14:textId="77777777" w:rsidR="007B6C97" w:rsidRDefault="007B6C97">
            <w:pPr>
              <w:rPr>
                <w:rFonts w:ascii="宋体"/>
                <w:vanish/>
              </w:rPr>
            </w:pPr>
          </w:p>
        </w:tc>
        <w:tc>
          <w:tcPr>
            <w:tcW w:w="0" w:type="auto"/>
            <w:gridSpan w:val="3"/>
            <w:shd w:val="clear" w:color="auto" w:fill="auto"/>
            <w:vAlign w:val="bottom"/>
          </w:tcPr>
          <w:p w14:paraId="642976E5"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6E6"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E7" w14:textId="77777777" w:rsidR="007B6C97" w:rsidRDefault="007B6C97">
            <w:pPr>
              <w:jc w:val="right"/>
              <w:rPr>
                <w:rFonts w:ascii="宋体"/>
              </w:rPr>
            </w:pPr>
          </w:p>
        </w:tc>
        <w:tc>
          <w:tcPr>
            <w:tcW w:w="0" w:type="auto"/>
            <w:gridSpan w:val="3"/>
            <w:shd w:val="clear" w:color="auto" w:fill="auto"/>
            <w:vAlign w:val="bottom"/>
          </w:tcPr>
          <w:p w14:paraId="642976E8" w14:textId="77777777" w:rsidR="007B6C97" w:rsidRDefault="007B6C97">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42976E9" w14:textId="77777777" w:rsidR="007B6C97" w:rsidRDefault="007B6C97">
            <w:pPr>
              <w:jc w:val="right"/>
              <w:rPr>
                <w:rFonts w:ascii="宋体"/>
              </w:rPr>
            </w:pPr>
          </w:p>
        </w:tc>
        <w:tc>
          <w:tcPr>
            <w:tcW w:w="0" w:type="auto"/>
            <w:vMerge/>
            <w:shd w:val="clear" w:color="auto" w:fill="D7E4BC"/>
            <w:tcMar>
              <w:top w:w="40" w:type="dxa"/>
              <w:left w:w="0" w:type="dxa"/>
              <w:bottom w:w="40" w:type="dxa"/>
              <w:right w:w="20" w:type="dxa"/>
            </w:tcMar>
            <w:vAlign w:val="center"/>
          </w:tcPr>
          <w:p w14:paraId="642976EA" w14:textId="77777777" w:rsidR="007B6C97" w:rsidRDefault="007B6C97">
            <w:pPr>
              <w:jc w:val="right"/>
              <w:rPr>
                <w:rFonts w:ascii="宋体"/>
              </w:rPr>
            </w:pPr>
          </w:p>
        </w:tc>
        <w:tc>
          <w:tcPr>
            <w:tcW w:w="0" w:type="auto"/>
            <w:gridSpan w:val="3"/>
            <w:shd w:val="clear" w:color="auto" w:fill="auto"/>
            <w:vAlign w:val="bottom"/>
          </w:tcPr>
          <w:p w14:paraId="642976EB" w14:textId="77777777" w:rsidR="007B6C97" w:rsidRDefault="007B6C97">
            <w:pPr>
              <w:rPr>
                <w:rFonts w:ascii="宋体"/>
                <w:vanish/>
              </w:rPr>
            </w:pPr>
          </w:p>
        </w:tc>
        <w:tc>
          <w:tcPr>
            <w:tcW w:w="0" w:type="auto"/>
            <w:gridSpan w:val="3"/>
            <w:shd w:val="clear" w:color="auto" w:fill="auto"/>
            <w:vAlign w:val="bottom"/>
          </w:tcPr>
          <w:p w14:paraId="642976EC" w14:textId="77777777" w:rsidR="007B6C97" w:rsidRDefault="007B6C97">
            <w:pPr>
              <w:rPr>
                <w:rFonts w:ascii="宋体"/>
                <w:vanish/>
              </w:rPr>
            </w:pPr>
          </w:p>
        </w:tc>
        <w:tc>
          <w:tcPr>
            <w:tcW w:w="0" w:type="auto"/>
            <w:gridSpan w:val="3"/>
            <w:shd w:val="clear" w:color="auto" w:fill="auto"/>
            <w:vAlign w:val="bottom"/>
          </w:tcPr>
          <w:p w14:paraId="642976ED" w14:textId="77777777" w:rsidR="007B6C97" w:rsidRDefault="007B6C97">
            <w:pPr>
              <w:rPr>
                <w:rFonts w:ascii="宋体"/>
                <w:vanish/>
              </w:rPr>
            </w:pPr>
          </w:p>
        </w:tc>
        <w:tc>
          <w:tcPr>
            <w:tcW w:w="0" w:type="auto"/>
            <w:gridSpan w:val="3"/>
            <w:shd w:val="clear" w:color="auto" w:fill="auto"/>
            <w:vAlign w:val="bottom"/>
          </w:tcPr>
          <w:p w14:paraId="642976EE" w14:textId="77777777" w:rsidR="007B6C97" w:rsidRDefault="007B6C97">
            <w:pPr>
              <w:rPr>
                <w:rFonts w:ascii="宋体"/>
                <w:vanish/>
              </w:rPr>
            </w:pPr>
          </w:p>
        </w:tc>
        <w:tc>
          <w:tcPr>
            <w:tcW w:w="0" w:type="auto"/>
            <w:gridSpan w:val="3"/>
            <w:shd w:val="clear" w:color="auto" w:fill="auto"/>
            <w:vAlign w:val="bottom"/>
          </w:tcPr>
          <w:p w14:paraId="642976EF" w14:textId="77777777" w:rsidR="007B6C97" w:rsidRDefault="007B6C97">
            <w:pPr>
              <w:rPr>
                <w:rFonts w:ascii="宋体"/>
                <w:vanish/>
              </w:rPr>
            </w:pPr>
          </w:p>
        </w:tc>
        <w:tc>
          <w:tcPr>
            <w:tcW w:w="0" w:type="auto"/>
            <w:gridSpan w:val="3"/>
            <w:shd w:val="clear" w:color="auto" w:fill="auto"/>
            <w:vAlign w:val="bottom"/>
          </w:tcPr>
          <w:p w14:paraId="642976F0" w14:textId="77777777" w:rsidR="007B6C97" w:rsidRDefault="007B6C97">
            <w:pPr>
              <w:rPr>
                <w:rFonts w:ascii="宋体"/>
                <w:vanish/>
              </w:rPr>
            </w:pPr>
          </w:p>
        </w:tc>
      </w:tr>
      <w:tr w:rsidR="007B6C97" w14:paraId="64297703" w14:textId="77777777">
        <w:trPr>
          <w:trHeight w:val="300"/>
        </w:trPr>
        <w:tc>
          <w:tcPr>
            <w:tcW w:w="0" w:type="auto"/>
            <w:gridSpan w:val="3"/>
            <w:vMerge w:val="restart"/>
            <w:shd w:val="clear" w:color="auto" w:fill="FFFFFF"/>
            <w:tcMar>
              <w:top w:w="40" w:type="dxa"/>
              <w:left w:w="155" w:type="dxa"/>
              <w:bottom w:w="40" w:type="dxa"/>
              <w:right w:w="20" w:type="dxa"/>
            </w:tcMar>
          </w:tcPr>
          <w:p w14:paraId="642976F2" w14:textId="77777777" w:rsidR="007B6C97" w:rsidRDefault="00E426D1">
            <w:pPr>
              <w:textAlignment w:val="top"/>
            </w:pPr>
            <w:r>
              <w:rPr>
                <w:rFonts w:ascii="Times New Roman" w:eastAsia="宋体" w:hAnsi="Times New Roman"/>
                <w:color w:val="000000"/>
                <w:sz w:val="20"/>
                <w:szCs w:val="20"/>
              </w:rPr>
              <w:t>Interest rates</w:t>
            </w:r>
          </w:p>
        </w:tc>
        <w:tc>
          <w:tcPr>
            <w:tcW w:w="0" w:type="auto"/>
            <w:gridSpan w:val="3"/>
            <w:shd w:val="clear" w:color="auto" w:fill="auto"/>
            <w:vAlign w:val="bottom"/>
          </w:tcPr>
          <w:p w14:paraId="642976F3" w14:textId="77777777" w:rsidR="007B6C97" w:rsidRDefault="007B6C97">
            <w:pPr>
              <w:rPr>
                <w:rFonts w:ascii="宋体"/>
                <w:vanish/>
              </w:rPr>
            </w:pPr>
          </w:p>
        </w:tc>
        <w:tc>
          <w:tcPr>
            <w:tcW w:w="0" w:type="auto"/>
            <w:gridSpan w:val="3"/>
            <w:shd w:val="clear" w:color="auto" w:fill="auto"/>
            <w:vAlign w:val="bottom"/>
          </w:tcPr>
          <w:p w14:paraId="642976F4" w14:textId="77777777" w:rsidR="007B6C97" w:rsidRDefault="007B6C97">
            <w:pPr>
              <w:rPr>
                <w:rFonts w:ascii="宋体"/>
                <w:vanish/>
              </w:rPr>
            </w:pPr>
          </w:p>
        </w:tc>
        <w:tc>
          <w:tcPr>
            <w:tcW w:w="0" w:type="auto"/>
            <w:gridSpan w:val="3"/>
            <w:shd w:val="clear" w:color="auto" w:fill="auto"/>
            <w:vAlign w:val="bottom"/>
          </w:tcPr>
          <w:p w14:paraId="642976F5" w14:textId="77777777" w:rsidR="007B6C97" w:rsidRDefault="007B6C97">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42976F6" w14:textId="77777777" w:rsidR="007B6C97" w:rsidRDefault="00E426D1">
            <w:pPr>
              <w:jc w:val="right"/>
              <w:textAlignment w:val="center"/>
            </w:pPr>
            <w:r>
              <w:rPr>
                <w:rFonts w:ascii="Times New Roman" w:eastAsia="宋体" w:hAnsi="Times New Roman"/>
                <w:color w:val="000000"/>
                <w:sz w:val="20"/>
                <w:szCs w:val="20"/>
              </w:rPr>
              <w:t>54.2 </w:t>
            </w:r>
          </w:p>
        </w:tc>
        <w:tc>
          <w:tcPr>
            <w:tcW w:w="0" w:type="auto"/>
            <w:vMerge w:val="restart"/>
            <w:shd w:val="clear" w:color="auto" w:fill="FFFFFF"/>
            <w:tcMar>
              <w:top w:w="40" w:type="dxa"/>
              <w:left w:w="0" w:type="dxa"/>
              <w:bottom w:w="40" w:type="dxa"/>
              <w:right w:w="20" w:type="dxa"/>
            </w:tcMar>
            <w:vAlign w:val="center"/>
          </w:tcPr>
          <w:p w14:paraId="642976F7"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F8" w14:textId="77777777" w:rsidR="007B6C97" w:rsidRDefault="007B6C97">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42976F9" w14:textId="77777777" w:rsidR="007B6C97" w:rsidRDefault="00E426D1">
            <w:pPr>
              <w:jc w:val="right"/>
              <w:textAlignment w:val="center"/>
            </w:pPr>
            <w:r>
              <w:rPr>
                <w:rFonts w:ascii="Times New Roman" w:eastAsia="宋体" w:hAnsi="Times New Roman"/>
                <w:color w:val="000000"/>
                <w:sz w:val="20"/>
                <w:szCs w:val="20"/>
              </w:rPr>
              <w:t>68.9 </w:t>
            </w:r>
          </w:p>
        </w:tc>
        <w:tc>
          <w:tcPr>
            <w:tcW w:w="0" w:type="auto"/>
            <w:vMerge w:val="restart"/>
            <w:shd w:val="clear" w:color="auto" w:fill="FFFFFF"/>
            <w:tcMar>
              <w:top w:w="40" w:type="dxa"/>
              <w:left w:w="0" w:type="dxa"/>
              <w:bottom w:w="40" w:type="dxa"/>
              <w:right w:w="20" w:type="dxa"/>
            </w:tcMar>
            <w:vAlign w:val="center"/>
          </w:tcPr>
          <w:p w14:paraId="642976FA"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FB"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6FC" w14:textId="77777777" w:rsidR="007B6C97" w:rsidRDefault="00E426D1">
            <w:pPr>
              <w:jc w:val="right"/>
              <w:textAlignment w:val="bottom"/>
            </w:pPr>
            <w:r>
              <w:rPr>
                <w:rFonts w:ascii="Times New Roman" w:eastAsia="宋体" w:hAnsi="Times New Roman"/>
                <w:color w:val="000000"/>
                <w:sz w:val="20"/>
                <w:szCs w:val="20"/>
              </w:rPr>
              <w:t>(1.5)</w:t>
            </w:r>
          </w:p>
        </w:tc>
        <w:tc>
          <w:tcPr>
            <w:tcW w:w="0" w:type="auto"/>
            <w:shd w:val="clear" w:color="auto" w:fill="auto"/>
            <w:tcMar>
              <w:top w:w="40" w:type="dxa"/>
              <w:left w:w="0" w:type="dxa"/>
              <w:bottom w:w="40" w:type="dxa"/>
              <w:right w:w="20" w:type="dxa"/>
            </w:tcMar>
            <w:vAlign w:val="bottom"/>
          </w:tcPr>
          <w:p w14:paraId="642976FD"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6FE"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6FF" w14:textId="77777777" w:rsidR="007B6C97" w:rsidRDefault="00E426D1">
            <w:pPr>
              <w:jc w:val="right"/>
              <w:textAlignment w:val="bottom"/>
            </w:pPr>
            <w:r>
              <w:rPr>
                <w:rFonts w:ascii="Times New Roman" w:eastAsia="宋体" w:hAnsi="Times New Roman"/>
                <w:color w:val="000000"/>
                <w:sz w:val="20"/>
                <w:szCs w:val="20"/>
              </w:rPr>
              <w:t>(1.4)</w:t>
            </w:r>
          </w:p>
        </w:tc>
        <w:tc>
          <w:tcPr>
            <w:tcW w:w="0" w:type="auto"/>
            <w:shd w:val="clear" w:color="auto" w:fill="auto"/>
            <w:tcMar>
              <w:top w:w="40" w:type="dxa"/>
              <w:left w:w="0" w:type="dxa"/>
              <w:bottom w:w="40" w:type="dxa"/>
              <w:right w:w="20" w:type="dxa"/>
            </w:tcMar>
            <w:vAlign w:val="bottom"/>
          </w:tcPr>
          <w:p w14:paraId="642977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0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702" w14:textId="77777777" w:rsidR="007B6C97" w:rsidRDefault="00E426D1">
            <w:pPr>
              <w:textAlignment w:val="bottom"/>
            </w:pPr>
            <w:r>
              <w:rPr>
                <w:rFonts w:ascii="Times New Roman" w:eastAsia="宋体" w:hAnsi="Times New Roman"/>
                <w:color w:val="000000"/>
                <w:sz w:val="20"/>
                <w:szCs w:val="20"/>
              </w:rPr>
              <w:t>Interest expense</w:t>
            </w:r>
          </w:p>
        </w:tc>
      </w:tr>
      <w:tr w:rsidR="007B6C97" w14:paraId="64297715" w14:textId="77777777">
        <w:trPr>
          <w:trHeight w:val="300"/>
        </w:trPr>
        <w:tc>
          <w:tcPr>
            <w:tcW w:w="0" w:type="auto"/>
            <w:gridSpan w:val="3"/>
            <w:vMerge/>
            <w:shd w:val="clear" w:color="auto" w:fill="FFFFFF"/>
            <w:tcMar>
              <w:top w:w="40" w:type="dxa"/>
              <w:left w:w="155" w:type="dxa"/>
              <w:bottom w:w="40" w:type="dxa"/>
              <w:right w:w="20" w:type="dxa"/>
            </w:tcMar>
          </w:tcPr>
          <w:p w14:paraId="64297704" w14:textId="77777777" w:rsidR="007B6C97" w:rsidRDefault="007B6C97">
            <w:pPr>
              <w:rPr>
                <w:rFonts w:ascii="宋体"/>
              </w:rPr>
            </w:pPr>
          </w:p>
        </w:tc>
        <w:tc>
          <w:tcPr>
            <w:tcW w:w="0" w:type="auto"/>
            <w:gridSpan w:val="3"/>
            <w:shd w:val="clear" w:color="auto" w:fill="auto"/>
            <w:vAlign w:val="bottom"/>
          </w:tcPr>
          <w:p w14:paraId="64297705" w14:textId="77777777" w:rsidR="007B6C97" w:rsidRDefault="007B6C97">
            <w:pPr>
              <w:rPr>
                <w:rFonts w:ascii="宋体"/>
                <w:vanish/>
              </w:rPr>
            </w:pPr>
          </w:p>
        </w:tc>
        <w:tc>
          <w:tcPr>
            <w:tcW w:w="0" w:type="auto"/>
            <w:gridSpan w:val="3"/>
            <w:shd w:val="clear" w:color="auto" w:fill="auto"/>
            <w:vAlign w:val="bottom"/>
          </w:tcPr>
          <w:p w14:paraId="64297706" w14:textId="77777777" w:rsidR="007B6C97" w:rsidRDefault="007B6C97">
            <w:pPr>
              <w:rPr>
                <w:rFonts w:ascii="宋体"/>
                <w:vanish/>
              </w:rPr>
            </w:pPr>
          </w:p>
        </w:tc>
        <w:tc>
          <w:tcPr>
            <w:tcW w:w="0" w:type="auto"/>
            <w:gridSpan w:val="3"/>
            <w:shd w:val="clear" w:color="auto" w:fill="auto"/>
            <w:vAlign w:val="bottom"/>
          </w:tcPr>
          <w:p w14:paraId="64297707" w14:textId="77777777" w:rsidR="007B6C97" w:rsidRDefault="007B6C97">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4297708"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709"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0A" w14:textId="77777777" w:rsidR="007B6C97" w:rsidRDefault="007B6C97">
            <w:pPr>
              <w:rPr>
                <w:rFonts w:ascii="宋体"/>
              </w:rPr>
            </w:pPr>
          </w:p>
        </w:tc>
        <w:tc>
          <w:tcPr>
            <w:tcW w:w="0" w:type="auto"/>
            <w:gridSpan w:val="2"/>
            <w:vMerge/>
            <w:shd w:val="clear" w:color="auto" w:fill="FFFFFF"/>
            <w:tcMar>
              <w:top w:w="40" w:type="dxa"/>
              <w:left w:w="20" w:type="dxa"/>
              <w:bottom w:w="40" w:type="dxa"/>
              <w:right w:w="0" w:type="dxa"/>
            </w:tcMar>
            <w:vAlign w:val="center"/>
          </w:tcPr>
          <w:p w14:paraId="6429770B" w14:textId="77777777" w:rsidR="007B6C97" w:rsidRDefault="007B6C97">
            <w:pPr>
              <w:jc w:val="right"/>
              <w:rPr>
                <w:rFonts w:ascii="宋体"/>
              </w:rPr>
            </w:pPr>
          </w:p>
        </w:tc>
        <w:tc>
          <w:tcPr>
            <w:tcW w:w="0" w:type="auto"/>
            <w:vMerge/>
            <w:shd w:val="clear" w:color="auto" w:fill="FFFFFF"/>
            <w:tcMar>
              <w:top w:w="40" w:type="dxa"/>
              <w:left w:w="0" w:type="dxa"/>
              <w:bottom w:w="40" w:type="dxa"/>
              <w:right w:w="20" w:type="dxa"/>
            </w:tcMar>
            <w:vAlign w:val="center"/>
          </w:tcPr>
          <w:p w14:paraId="6429770C"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0D"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70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429770F"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10"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711" w14:textId="77777777" w:rsidR="007B6C97" w:rsidRDefault="00E426D1">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64297712"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13"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7714" w14:textId="77777777" w:rsidR="007B6C97" w:rsidRDefault="00E426D1">
            <w:pPr>
              <w:textAlignment w:val="bottom"/>
            </w:pPr>
            <w:r>
              <w:rPr>
                <w:rFonts w:ascii="Times New Roman" w:eastAsia="宋体" w:hAnsi="Times New Roman"/>
                <w:color w:val="000000"/>
                <w:sz w:val="20"/>
                <w:szCs w:val="20"/>
              </w:rPr>
              <w:t>Interest income and other, net</w:t>
            </w:r>
          </w:p>
        </w:tc>
      </w:tr>
      <w:tr w:rsidR="007B6C97" w14:paraId="64297723" w14:textId="77777777">
        <w:tc>
          <w:tcPr>
            <w:tcW w:w="0" w:type="auto"/>
            <w:gridSpan w:val="3"/>
            <w:shd w:val="clear" w:color="auto" w:fill="D7E4BC"/>
            <w:tcMar>
              <w:top w:w="40" w:type="dxa"/>
              <w:left w:w="20" w:type="dxa"/>
              <w:bottom w:w="40" w:type="dxa"/>
              <w:right w:w="20" w:type="dxa"/>
            </w:tcMar>
          </w:tcPr>
          <w:p w14:paraId="64297716" w14:textId="77777777" w:rsidR="007B6C97" w:rsidRDefault="00E426D1">
            <w:pPr>
              <w:textAlignment w:val="top"/>
            </w:pPr>
            <w:r>
              <w:rPr>
                <w:rFonts w:ascii="Times New Roman" w:eastAsia="宋体" w:hAnsi="Times New Roman"/>
                <w:color w:val="000000"/>
                <w:sz w:val="20"/>
                <w:szCs w:val="20"/>
              </w:rPr>
              <w:t>Net Investment Hedges:</w:t>
            </w:r>
          </w:p>
        </w:tc>
        <w:tc>
          <w:tcPr>
            <w:tcW w:w="0" w:type="auto"/>
            <w:gridSpan w:val="3"/>
            <w:shd w:val="clear" w:color="auto" w:fill="auto"/>
            <w:vAlign w:val="bottom"/>
          </w:tcPr>
          <w:p w14:paraId="64297717" w14:textId="77777777" w:rsidR="007B6C97" w:rsidRDefault="007B6C97">
            <w:pPr>
              <w:rPr>
                <w:rFonts w:ascii="宋体"/>
                <w:vanish/>
              </w:rPr>
            </w:pPr>
          </w:p>
        </w:tc>
        <w:tc>
          <w:tcPr>
            <w:tcW w:w="0" w:type="auto"/>
            <w:gridSpan w:val="3"/>
            <w:shd w:val="clear" w:color="auto" w:fill="auto"/>
            <w:vAlign w:val="bottom"/>
          </w:tcPr>
          <w:p w14:paraId="64297718" w14:textId="77777777" w:rsidR="007B6C97" w:rsidRDefault="007B6C97">
            <w:pPr>
              <w:rPr>
                <w:rFonts w:ascii="宋体"/>
                <w:vanish/>
              </w:rPr>
            </w:pPr>
          </w:p>
        </w:tc>
        <w:tc>
          <w:tcPr>
            <w:tcW w:w="0" w:type="auto"/>
            <w:gridSpan w:val="3"/>
            <w:shd w:val="clear" w:color="auto" w:fill="auto"/>
            <w:vAlign w:val="bottom"/>
          </w:tcPr>
          <w:p w14:paraId="64297719" w14:textId="77777777" w:rsidR="007B6C97" w:rsidRDefault="007B6C97">
            <w:pPr>
              <w:rPr>
                <w:rFonts w:ascii="宋体"/>
                <w:vanish/>
              </w:rPr>
            </w:pPr>
          </w:p>
        </w:tc>
        <w:tc>
          <w:tcPr>
            <w:tcW w:w="0" w:type="auto"/>
            <w:gridSpan w:val="3"/>
            <w:shd w:val="clear" w:color="auto" w:fill="D7E4BC"/>
            <w:tcMar>
              <w:top w:w="0" w:type="dxa"/>
              <w:left w:w="20" w:type="dxa"/>
              <w:bottom w:w="0" w:type="dxa"/>
              <w:right w:w="20" w:type="dxa"/>
            </w:tcMar>
            <w:vAlign w:val="bottom"/>
          </w:tcPr>
          <w:p w14:paraId="6429771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1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1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1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1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1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2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2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22" w14:textId="77777777" w:rsidR="007B6C97" w:rsidRDefault="007B6C97">
            <w:pPr>
              <w:rPr>
                <w:rFonts w:ascii="宋体"/>
              </w:rPr>
            </w:pPr>
          </w:p>
        </w:tc>
      </w:tr>
      <w:tr w:rsidR="007B6C97" w14:paraId="64297735" w14:textId="77777777">
        <w:tc>
          <w:tcPr>
            <w:tcW w:w="0" w:type="auto"/>
            <w:gridSpan w:val="3"/>
            <w:shd w:val="clear" w:color="auto" w:fill="FFFFFF"/>
            <w:tcMar>
              <w:top w:w="40" w:type="dxa"/>
              <w:left w:w="155" w:type="dxa"/>
              <w:bottom w:w="40" w:type="dxa"/>
              <w:right w:w="20" w:type="dxa"/>
            </w:tcMar>
          </w:tcPr>
          <w:p w14:paraId="64297724" w14:textId="77777777" w:rsidR="007B6C97" w:rsidRDefault="00E426D1">
            <w:pPr>
              <w:textAlignment w:val="top"/>
            </w:pPr>
            <w:r>
              <w:rPr>
                <w:rFonts w:ascii="Times New Roman" w:eastAsia="宋体" w:hAnsi="Times New Roman"/>
                <w:color w:val="000000"/>
                <w:sz w:val="20"/>
                <w:szCs w:val="20"/>
              </w:rPr>
              <w:t xml:space="preserve">Cross-currency swaps </w:t>
            </w:r>
          </w:p>
        </w:tc>
        <w:tc>
          <w:tcPr>
            <w:tcW w:w="0" w:type="auto"/>
            <w:gridSpan w:val="3"/>
            <w:shd w:val="clear" w:color="auto" w:fill="auto"/>
            <w:vAlign w:val="bottom"/>
          </w:tcPr>
          <w:p w14:paraId="64297725" w14:textId="77777777" w:rsidR="007B6C97" w:rsidRDefault="007B6C97">
            <w:pPr>
              <w:rPr>
                <w:rFonts w:ascii="宋体"/>
                <w:vanish/>
              </w:rPr>
            </w:pPr>
          </w:p>
        </w:tc>
        <w:tc>
          <w:tcPr>
            <w:tcW w:w="0" w:type="auto"/>
            <w:gridSpan w:val="3"/>
            <w:shd w:val="clear" w:color="auto" w:fill="auto"/>
            <w:vAlign w:val="bottom"/>
          </w:tcPr>
          <w:p w14:paraId="64297726" w14:textId="77777777" w:rsidR="007B6C97" w:rsidRDefault="007B6C97">
            <w:pPr>
              <w:rPr>
                <w:rFonts w:ascii="宋体"/>
                <w:vanish/>
              </w:rPr>
            </w:pPr>
          </w:p>
        </w:tc>
        <w:tc>
          <w:tcPr>
            <w:tcW w:w="0" w:type="auto"/>
            <w:gridSpan w:val="3"/>
            <w:shd w:val="clear" w:color="auto" w:fill="auto"/>
            <w:vAlign w:val="bottom"/>
          </w:tcPr>
          <w:p w14:paraId="64297727" w14:textId="77777777" w:rsidR="007B6C97" w:rsidRDefault="007B6C97">
            <w:pPr>
              <w:rPr>
                <w:rFonts w:ascii="宋体"/>
                <w:vanish/>
              </w:rPr>
            </w:pPr>
          </w:p>
        </w:tc>
        <w:tc>
          <w:tcPr>
            <w:tcW w:w="0" w:type="auto"/>
            <w:gridSpan w:val="2"/>
            <w:shd w:val="clear" w:color="auto" w:fill="FFFFFF"/>
            <w:tcMar>
              <w:top w:w="40" w:type="dxa"/>
              <w:left w:w="20" w:type="dxa"/>
              <w:bottom w:w="40" w:type="dxa"/>
              <w:right w:w="0" w:type="dxa"/>
            </w:tcMar>
            <w:vAlign w:val="bottom"/>
          </w:tcPr>
          <w:p w14:paraId="64297728" w14:textId="77777777" w:rsidR="007B6C97" w:rsidRDefault="00E426D1">
            <w:pPr>
              <w:jc w:val="right"/>
              <w:textAlignment w:val="bottom"/>
            </w:pPr>
            <w:r>
              <w:rPr>
                <w:rFonts w:ascii="Times New Roman" w:eastAsia="宋体" w:hAnsi="Times New Roman"/>
                <w:color w:val="000000"/>
                <w:sz w:val="20"/>
                <w:szCs w:val="20"/>
              </w:rPr>
              <w:t>51.2 </w:t>
            </w:r>
          </w:p>
        </w:tc>
        <w:tc>
          <w:tcPr>
            <w:tcW w:w="0" w:type="auto"/>
            <w:shd w:val="clear" w:color="auto" w:fill="FFFFFF"/>
            <w:tcMar>
              <w:top w:w="40" w:type="dxa"/>
              <w:left w:w="0" w:type="dxa"/>
              <w:bottom w:w="40" w:type="dxa"/>
              <w:right w:w="20" w:type="dxa"/>
            </w:tcMar>
            <w:vAlign w:val="bottom"/>
          </w:tcPr>
          <w:p w14:paraId="64297729"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2A"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72B" w14:textId="77777777" w:rsidR="007B6C97" w:rsidRDefault="00E426D1">
            <w:pPr>
              <w:jc w:val="right"/>
              <w:textAlignment w:val="bottom"/>
            </w:pPr>
            <w:r>
              <w:rPr>
                <w:rFonts w:ascii="Times New Roman" w:eastAsia="宋体" w:hAnsi="Times New Roman"/>
                <w:color w:val="000000"/>
                <w:sz w:val="20"/>
                <w:szCs w:val="20"/>
              </w:rPr>
              <w:t>10.2 </w:t>
            </w:r>
          </w:p>
        </w:tc>
        <w:tc>
          <w:tcPr>
            <w:tcW w:w="0" w:type="auto"/>
            <w:shd w:val="clear" w:color="auto" w:fill="auto"/>
            <w:tcMar>
              <w:top w:w="40" w:type="dxa"/>
              <w:left w:w="0" w:type="dxa"/>
              <w:bottom w:w="40" w:type="dxa"/>
              <w:right w:w="20" w:type="dxa"/>
            </w:tcMar>
            <w:vAlign w:val="bottom"/>
          </w:tcPr>
          <w:p w14:paraId="6429772C"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2D"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72E" w14:textId="77777777" w:rsidR="007B6C97" w:rsidRDefault="00E426D1">
            <w:pPr>
              <w:jc w:val="right"/>
              <w:textAlignment w:val="bottom"/>
            </w:pPr>
            <w:r>
              <w:rPr>
                <w:rFonts w:ascii="Times New Roman" w:eastAsia="宋体" w:hAnsi="Times New Roman"/>
                <w:color w:val="000000"/>
                <w:sz w:val="20"/>
                <w:szCs w:val="20"/>
              </w:rPr>
              <w:t>10.7 </w:t>
            </w:r>
          </w:p>
        </w:tc>
        <w:tc>
          <w:tcPr>
            <w:tcW w:w="0" w:type="auto"/>
            <w:shd w:val="clear" w:color="auto" w:fill="auto"/>
            <w:tcMar>
              <w:top w:w="40" w:type="dxa"/>
              <w:left w:w="0" w:type="dxa"/>
              <w:bottom w:w="40" w:type="dxa"/>
              <w:right w:w="20" w:type="dxa"/>
            </w:tcMar>
            <w:vAlign w:val="bottom"/>
          </w:tcPr>
          <w:p w14:paraId="6429772F"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30"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731" w14:textId="77777777" w:rsidR="007B6C97" w:rsidRDefault="00E426D1">
            <w:pPr>
              <w:jc w:val="right"/>
              <w:textAlignment w:val="bottom"/>
            </w:pPr>
            <w:r>
              <w:rPr>
                <w:rFonts w:ascii="Times New Roman" w:eastAsia="宋体" w:hAnsi="Times New Roman"/>
                <w:color w:val="000000"/>
                <w:sz w:val="20"/>
                <w:szCs w:val="20"/>
              </w:rPr>
              <w:t>9.9 </w:t>
            </w:r>
          </w:p>
        </w:tc>
        <w:tc>
          <w:tcPr>
            <w:tcW w:w="0" w:type="auto"/>
            <w:shd w:val="clear" w:color="auto" w:fill="auto"/>
            <w:tcMar>
              <w:top w:w="40" w:type="dxa"/>
              <w:left w:w="0" w:type="dxa"/>
              <w:bottom w:w="40" w:type="dxa"/>
              <w:right w:w="20" w:type="dxa"/>
            </w:tcMar>
            <w:vAlign w:val="bottom"/>
          </w:tcPr>
          <w:p w14:paraId="64297732"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733"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7734" w14:textId="77777777" w:rsidR="007B6C97" w:rsidRDefault="00E426D1">
            <w:pPr>
              <w:textAlignment w:val="bottom"/>
            </w:pPr>
            <w:r>
              <w:rPr>
                <w:rFonts w:ascii="Times New Roman" w:eastAsia="宋体" w:hAnsi="Times New Roman"/>
                <w:color w:val="000000"/>
                <w:sz w:val="20"/>
                <w:szCs w:val="20"/>
              </w:rPr>
              <w:t xml:space="preserve">Interest expense </w:t>
            </w:r>
          </w:p>
        </w:tc>
      </w:tr>
      <w:tr w:rsidR="007B6C97" w14:paraId="64297743" w14:textId="77777777">
        <w:trPr>
          <w:hidden/>
        </w:trPr>
        <w:tc>
          <w:tcPr>
            <w:tcW w:w="0" w:type="auto"/>
            <w:gridSpan w:val="3"/>
            <w:shd w:val="clear" w:color="auto" w:fill="auto"/>
            <w:vAlign w:val="bottom"/>
          </w:tcPr>
          <w:p w14:paraId="64297736" w14:textId="77777777" w:rsidR="007B6C97" w:rsidRDefault="007B6C97">
            <w:pPr>
              <w:rPr>
                <w:rFonts w:ascii="宋体"/>
                <w:vanish/>
              </w:rPr>
            </w:pPr>
          </w:p>
        </w:tc>
        <w:tc>
          <w:tcPr>
            <w:tcW w:w="0" w:type="auto"/>
            <w:gridSpan w:val="3"/>
            <w:shd w:val="clear" w:color="auto" w:fill="auto"/>
            <w:vAlign w:val="bottom"/>
          </w:tcPr>
          <w:p w14:paraId="64297737" w14:textId="77777777" w:rsidR="007B6C97" w:rsidRDefault="007B6C97">
            <w:pPr>
              <w:rPr>
                <w:rFonts w:ascii="宋体"/>
                <w:vanish/>
              </w:rPr>
            </w:pPr>
          </w:p>
        </w:tc>
        <w:tc>
          <w:tcPr>
            <w:tcW w:w="0" w:type="auto"/>
            <w:gridSpan w:val="3"/>
            <w:shd w:val="clear" w:color="auto" w:fill="auto"/>
            <w:vAlign w:val="bottom"/>
          </w:tcPr>
          <w:p w14:paraId="64297738" w14:textId="77777777" w:rsidR="007B6C97" w:rsidRDefault="007B6C97">
            <w:pPr>
              <w:rPr>
                <w:rFonts w:ascii="宋体"/>
                <w:vanish/>
              </w:rPr>
            </w:pPr>
          </w:p>
        </w:tc>
        <w:tc>
          <w:tcPr>
            <w:tcW w:w="0" w:type="auto"/>
            <w:gridSpan w:val="3"/>
            <w:shd w:val="clear" w:color="auto" w:fill="auto"/>
            <w:vAlign w:val="bottom"/>
          </w:tcPr>
          <w:p w14:paraId="64297739" w14:textId="77777777" w:rsidR="007B6C97" w:rsidRDefault="007B6C97">
            <w:pPr>
              <w:rPr>
                <w:rFonts w:ascii="宋体"/>
                <w:vanish/>
              </w:rPr>
            </w:pPr>
          </w:p>
        </w:tc>
        <w:tc>
          <w:tcPr>
            <w:tcW w:w="0" w:type="auto"/>
            <w:gridSpan w:val="3"/>
            <w:shd w:val="clear" w:color="auto" w:fill="auto"/>
            <w:vAlign w:val="bottom"/>
          </w:tcPr>
          <w:p w14:paraId="6429773A" w14:textId="77777777" w:rsidR="007B6C97" w:rsidRDefault="007B6C97">
            <w:pPr>
              <w:rPr>
                <w:rFonts w:ascii="宋体"/>
                <w:vanish/>
              </w:rPr>
            </w:pPr>
          </w:p>
        </w:tc>
        <w:tc>
          <w:tcPr>
            <w:tcW w:w="0" w:type="auto"/>
            <w:gridSpan w:val="3"/>
            <w:shd w:val="clear" w:color="auto" w:fill="auto"/>
            <w:vAlign w:val="bottom"/>
          </w:tcPr>
          <w:p w14:paraId="6429773B" w14:textId="77777777" w:rsidR="007B6C97" w:rsidRDefault="007B6C97">
            <w:pPr>
              <w:rPr>
                <w:rFonts w:ascii="宋体"/>
                <w:vanish/>
              </w:rPr>
            </w:pPr>
          </w:p>
        </w:tc>
        <w:tc>
          <w:tcPr>
            <w:tcW w:w="0" w:type="auto"/>
            <w:gridSpan w:val="3"/>
            <w:shd w:val="clear" w:color="auto" w:fill="auto"/>
            <w:vAlign w:val="bottom"/>
          </w:tcPr>
          <w:p w14:paraId="6429773C" w14:textId="77777777" w:rsidR="007B6C97" w:rsidRDefault="007B6C97">
            <w:pPr>
              <w:rPr>
                <w:rFonts w:ascii="宋体"/>
                <w:vanish/>
              </w:rPr>
            </w:pPr>
          </w:p>
        </w:tc>
        <w:tc>
          <w:tcPr>
            <w:tcW w:w="0" w:type="auto"/>
            <w:gridSpan w:val="3"/>
            <w:shd w:val="clear" w:color="auto" w:fill="auto"/>
            <w:vAlign w:val="bottom"/>
          </w:tcPr>
          <w:p w14:paraId="6429773D" w14:textId="77777777" w:rsidR="007B6C97" w:rsidRDefault="007B6C97">
            <w:pPr>
              <w:rPr>
                <w:rFonts w:ascii="宋体"/>
                <w:vanish/>
              </w:rPr>
            </w:pPr>
          </w:p>
        </w:tc>
        <w:tc>
          <w:tcPr>
            <w:tcW w:w="0" w:type="auto"/>
            <w:gridSpan w:val="3"/>
            <w:shd w:val="clear" w:color="auto" w:fill="auto"/>
            <w:vAlign w:val="bottom"/>
          </w:tcPr>
          <w:p w14:paraId="6429773E" w14:textId="77777777" w:rsidR="007B6C97" w:rsidRDefault="007B6C97">
            <w:pPr>
              <w:rPr>
                <w:rFonts w:ascii="宋体"/>
                <w:vanish/>
              </w:rPr>
            </w:pPr>
          </w:p>
        </w:tc>
        <w:tc>
          <w:tcPr>
            <w:tcW w:w="0" w:type="auto"/>
            <w:gridSpan w:val="3"/>
            <w:shd w:val="clear" w:color="auto" w:fill="auto"/>
            <w:vAlign w:val="bottom"/>
          </w:tcPr>
          <w:p w14:paraId="6429773F" w14:textId="77777777" w:rsidR="007B6C97" w:rsidRDefault="007B6C97">
            <w:pPr>
              <w:rPr>
                <w:rFonts w:ascii="宋体"/>
                <w:vanish/>
              </w:rPr>
            </w:pPr>
          </w:p>
        </w:tc>
        <w:tc>
          <w:tcPr>
            <w:tcW w:w="0" w:type="auto"/>
            <w:gridSpan w:val="3"/>
            <w:shd w:val="clear" w:color="auto" w:fill="auto"/>
            <w:vAlign w:val="bottom"/>
          </w:tcPr>
          <w:p w14:paraId="64297740" w14:textId="77777777" w:rsidR="007B6C97" w:rsidRDefault="007B6C97">
            <w:pPr>
              <w:rPr>
                <w:rFonts w:ascii="宋体"/>
                <w:vanish/>
              </w:rPr>
            </w:pPr>
          </w:p>
        </w:tc>
        <w:tc>
          <w:tcPr>
            <w:tcW w:w="0" w:type="auto"/>
            <w:gridSpan w:val="3"/>
            <w:shd w:val="clear" w:color="auto" w:fill="auto"/>
            <w:vAlign w:val="bottom"/>
          </w:tcPr>
          <w:p w14:paraId="64297741" w14:textId="77777777" w:rsidR="007B6C97" w:rsidRDefault="007B6C97">
            <w:pPr>
              <w:rPr>
                <w:rFonts w:ascii="宋体"/>
                <w:vanish/>
              </w:rPr>
            </w:pPr>
          </w:p>
        </w:tc>
        <w:tc>
          <w:tcPr>
            <w:tcW w:w="0" w:type="auto"/>
            <w:gridSpan w:val="3"/>
            <w:shd w:val="clear" w:color="auto" w:fill="auto"/>
            <w:vAlign w:val="bottom"/>
          </w:tcPr>
          <w:p w14:paraId="64297742" w14:textId="77777777" w:rsidR="007B6C97" w:rsidRDefault="007B6C97">
            <w:pPr>
              <w:rPr>
                <w:rFonts w:ascii="宋体"/>
                <w:vanish/>
              </w:rPr>
            </w:pPr>
          </w:p>
        </w:tc>
      </w:tr>
      <w:tr w:rsidR="007B6C97" w14:paraId="64297755" w14:textId="77777777">
        <w:tc>
          <w:tcPr>
            <w:tcW w:w="0" w:type="auto"/>
            <w:gridSpan w:val="3"/>
            <w:shd w:val="clear" w:color="auto" w:fill="D7E4BC"/>
            <w:tcMar>
              <w:top w:w="40" w:type="dxa"/>
              <w:left w:w="155" w:type="dxa"/>
              <w:bottom w:w="40" w:type="dxa"/>
              <w:right w:w="20" w:type="dxa"/>
            </w:tcMar>
          </w:tcPr>
          <w:p w14:paraId="64297744" w14:textId="77777777" w:rsidR="007B6C97" w:rsidRDefault="00E426D1">
            <w:pPr>
              <w:textAlignment w:val="top"/>
            </w:pPr>
            <w:r>
              <w:rPr>
                <w:rFonts w:ascii="Times New Roman" w:eastAsia="宋体" w:hAnsi="Times New Roman"/>
                <w:color w:val="000000"/>
                <w:sz w:val="20"/>
                <w:szCs w:val="20"/>
              </w:rPr>
              <w:t>Foreign currency debt</w:t>
            </w:r>
          </w:p>
        </w:tc>
        <w:tc>
          <w:tcPr>
            <w:tcW w:w="0" w:type="auto"/>
            <w:gridSpan w:val="3"/>
            <w:shd w:val="clear" w:color="auto" w:fill="auto"/>
            <w:vAlign w:val="bottom"/>
          </w:tcPr>
          <w:p w14:paraId="64297745" w14:textId="77777777" w:rsidR="007B6C97" w:rsidRDefault="007B6C97">
            <w:pPr>
              <w:rPr>
                <w:rFonts w:ascii="宋体"/>
                <w:vanish/>
              </w:rPr>
            </w:pPr>
          </w:p>
        </w:tc>
        <w:tc>
          <w:tcPr>
            <w:tcW w:w="0" w:type="auto"/>
            <w:gridSpan w:val="3"/>
            <w:shd w:val="clear" w:color="auto" w:fill="auto"/>
            <w:vAlign w:val="bottom"/>
          </w:tcPr>
          <w:p w14:paraId="64297746" w14:textId="77777777" w:rsidR="007B6C97" w:rsidRDefault="007B6C97">
            <w:pPr>
              <w:rPr>
                <w:rFonts w:ascii="宋体"/>
                <w:vanish/>
              </w:rPr>
            </w:pPr>
          </w:p>
        </w:tc>
        <w:tc>
          <w:tcPr>
            <w:tcW w:w="0" w:type="auto"/>
            <w:gridSpan w:val="3"/>
            <w:shd w:val="clear" w:color="auto" w:fill="auto"/>
            <w:vAlign w:val="bottom"/>
          </w:tcPr>
          <w:p w14:paraId="64297747" w14:textId="77777777" w:rsidR="007B6C97" w:rsidRDefault="007B6C97">
            <w:pPr>
              <w:rPr>
                <w:rFonts w:ascii="宋体"/>
                <w:vanish/>
              </w:rPr>
            </w:pPr>
          </w:p>
        </w:tc>
        <w:tc>
          <w:tcPr>
            <w:tcW w:w="0" w:type="auto"/>
            <w:gridSpan w:val="2"/>
            <w:shd w:val="clear" w:color="auto" w:fill="D7E4BC"/>
            <w:tcMar>
              <w:top w:w="40" w:type="dxa"/>
              <w:left w:w="20" w:type="dxa"/>
              <w:bottom w:w="40" w:type="dxa"/>
              <w:right w:w="0" w:type="dxa"/>
            </w:tcMar>
            <w:vAlign w:val="bottom"/>
          </w:tcPr>
          <w:p w14:paraId="64297748" w14:textId="77777777" w:rsidR="007B6C97" w:rsidRDefault="00E426D1">
            <w:pPr>
              <w:jc w:val="right"/>
              <w:textAlignment w:val="bottom"/>
            </w:pPr>
            <w:r>
              <w:rPr>
                <w:rFonts w:ascii="Times New Roman" w:eastAsia="宋体" w:hAnsi="Times New Roman"/>
                <w:color w:val="000000"/>
                <w:sz w:val="20"/>
                <w:szCs w:val="20"/>
              </w:rPr>
              <w:t>137.6 </w:t>
            </w:r>
          </w:p>
        </w:tc>
        <w:tc>
          <w:tcPr>
            <w:tcW w:w="0" w:type="auto"/>
            <w:shd w:val="clear" w:color="auto" w:fill="D7E4BC"/>
            <w:tcMar>
              <w:top w:w="40" w:type="dxa"/>
              <w:left w:w="0" w:type="dxa"/>
              <w:bottom w:w="40" w:type="dxa"/>
              <w:right w:w="20" w:type="dxa"/>
            </w:tcMar>
            <w:vAlign w:val="bottom"/>
          </w:tcPr>
          <w:p w14:paraId="6429774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4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4B" w14:textId="77777777" w:rsidR="007B6C97" w:rsidRDefault="00E426D1">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6429774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4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4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74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5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5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75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5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54" w14:textId="77777777" w:rsidR="007B6C97" w:rsidRDefault="007B6C97">
            <w:pPr>
              <w:rPr>
                <w:rFonts w:ascii="宋体"/>
              </w:rPr>
            </w:pPr>
          </w:p>
        </w:tc>
      </w:tr>
      <w:tr w:rsidR="007B6C97" w14:paraId="6429777B" w14:textId="77777777">
        <w:trPr>
          <w:hidden/>
        </w:trPr>
        <w:tc>
          <w:tcPr>
            <w:tcW w:w="0" w:type="auto"/>
            <w:gridSpan w:val="3"/>
            <w:shd w:val="clear" w:color="auto" w:fill="auto"/>
            <w:vAlign w:val="bottom"/>
          </w:tcPr>
          <w:p w14:paraId="64297756" w14:textId="77777777" w:rsidR="007B6C97" w:rsidRDefault="007B6C97">
            <w:pPr>
              <w:rPr>
                <w:rFonts w:ascii="宋体"/>
                <w:vanish/>
              </w:rPr>
            </w:pPr>
          </w:p>
        </w:tc>
        <w:tc>
          <w:tcPr>
            <w:tcW w:w="0" w:type="auto"/>
            <w:shd w:val="clear" w:color="auto" w:fill="auto"/>
            <w:vAlign w:val="bottom"/>
          </w:tcPr>
          <w:p w14:paraId="64297757" w14:textId="77777777" w:rsidR="007B6C97" w:rsidRDefault="007B6C97">
            <w:pPr>
              <w:rPr>
                <w:rFonts w:ascii="宋体"/>
              </w:rPr>
            </w:pPr>
          </w:p>
        </w:tc>
        <w:tc>
          <w:tcPr>
            <w:tcW w:w="0" w:type="auto"/>
            <w:shd w:val="clear" w:color="auto" w:fill="auto"/>
            <w:vAlign w:val="bottom"/>
          </w:tcPr>
          <w:p w14:paraId="64297758" w14:textId="77777777" w:rsidR="007B6C97" w:rsidRDefault="007B6C97">
            <w:pPr>
              <w:rPr>
                <w:rFonts w:ascii="宋体"/>
              </w:rPr>
            </w:pPr>
          </w:p>
        </w:tc>
        <w:tc>
          <w:tcPr>
            <w:tcW w:w="0" w:type="auto"/>
            <w:shd w:val="clear" w:color="auto" w:fill="auto"/>
            <w:vAlign w:val="bottom"/>
          </w:tcPr>
          <w:p w14:paraId="64297759" w14:textId="77777777" w:rsidR="007B6C97" w:rsidRDefault="007B6C97">
            <w:pPr>
              <w:rPr>
                <w:rFonts w:ascii="宋体"/>
              </w:rPr>
            </w:pPr>
          </w:p>
        </w:tc>
        <w:tc>
          <w:tcPr>
            <w:tcW w:w="0" w:type="auto"/>
            <w:shd w:val="clear" w:color="auto" w:fill="auto"/>
            <w:vAlign w:val="bottom"/>
          </w:tcPr>
          <w:p w14:paraId="6429775A" w14:textId="77777777" w:rsidR="007B6C97" w:rsidRDefault="007B6C97">
            <w:pPr>
              <w:rPr>
                <w:rFonts w:ascii="宋体"/>
              </w:rPr>
            </w:pPr>
          </w:p>
        </w:tc>
        <w:tc>
          <w:tcPr>
            <w:tcW w:w="0" w:type="auto"/>
            <w:shd w:val="clear" w:color="auto" w:fill="auto"/>
            <w:vAlign w:val="bottom"/>
          </w:tcPr>
          <w:p w14:paraId="6429775B" w14:textId="77777777" w:rsidR="007B6C97" w:rsidRDefault="007B6C97">
            <w:pPr>
              <w:rPr>
                <w:rFonts w:ascii="宋体"/>
              </w:rPr>
            </w:pPr>
          </w:p>
        </w:tc>
        <w:tc>
          <w:tcPr>
            <w:tcW w:w="0" w:type="auto"/>
            <w:shd w:val="clear" w:color="auto" w:fill="auto"/>
            <w:vAlign w:val="bottom"/>
          </w:tcPr>
          <w:p w14:paraId="6429775C" w14:textId="77777777" w:rsidR="007B6C97" w:rsidRDefault="007B6C97">
            <w:pPr>
              <w:rPr>
                <w:rFonts w:ascii="宋体"/>
              </w:rPr>
            </w:pPr>
          </w:p>
        </w:tc>
        <w:tc>
          <w:tcPr>
            <w:tcW w:w="0" w:type="auto"/>
            <w:shd w:val="clear" w:color="auto" w:fill="auto"/>
            <w:vAlign w:val="bottom"/>
          </w:tcPr>
          <w:p w14:paraId="6429775D" w14:textId="77777777" w:rsidR="007B6C97" w:rsidRDefault="007B6C97">
            <w:pPr>
              <w:rPr>
                <w:rFonts w:ascii="宋体"/>
              </w:rPr>
            </w:pPr>
          </w:p>
        </w:tc>
        <w:tc>
          <w:tcPr>
            <w:tcW w:w="0" w:type="auto"/>
            <w:shd w:val="clear" w:color="auto" w:fill="auto"/>
            <w:vAlign w:val="bottom"/>
          </w:tcPr>
          <w:p w14:paraId="6429775E" w14:textId="77777777" w:rsidR="007B6C97" w:rsidRDefault="007B6C97">
            <w:pPr>
              <w:rPr>
                <w:rFonts w:ascii="宋体"/>
              </w:rPr>
            </w:pPr>
          </w:p>
        </w:tc>
        <w:tc>
          <w:tcPr>
            <w:tcW w:w="0" w:type="auto"/>
            <w:shd w:val="clear" w:color="auto" w:fill="auto"/>
            <w:vAlign w:val="bottom"/>
          </w:tcPr>
          <w:p w14:paraId="6429775F" w14:textId="77777777" w:rsidR="007B6C97" w:rsidRDefault="007B6C97">
            <w:pPr>
              <w:rPr>
                <w:rFonts w:ascii="宋体"/>
              </w:rPr>
            </w:pPr>
          </w:p>
        </w:tc>
        <w:tc>
          <w:tcPr>
            <w:tcW w:w="0" w:type="auto"/>
            <w:shd w:val="clear" w:color="auto" w:fill="auto"/>
            <w:vAlign w:val="bottom"/>
          </w:tcPr>
          <w:p w14:paraId="64297760" w14:textId="77777777" w:rsidR="007B6C97" w:rsidRDefault="007B6C97">
            <w:pPr>
              <w:rPr>
                <w:rFonts w:ascii="宋体"/>
              </w:rPr>
            </w:pPr>
          </w:p>
        </w:tc>
        <w:tc>
          <w:tcPr>
            <w:tcW w:w="0" w:type="auto"/>
            <w:shd w:val="clear" w:color="auto" w:fill="auto"/>
            <w:vAlign w:val="bottom"/>
          </w:tcPr>
          <w:p w14:paraId="64297761" w14:textId="77777777" w:rsidR="007B6C97" w:rsidRDefault="007B6C97">
            <w:pPr>
              <w:rPr>
                <w:rFonts w:ascii="宋体"/>
              </w:rPr>
            </w:pPr>
          </w:p>
        </w:tc>
        <w:tc>
          <w:tcPr>
            <w:tcW w:w="0" w:type="auto"/>
            <w:shd w:val="clear" w:color="auto" w:fill="auto"/>
            <w:vAlign w:val="bottom"/>
          </w:tcPr>
          <w:p w14:paraId="64297762" w14:textId="77777777" w:rsidR="007B6C97" w:rsidRDefault="007B6C97">
            <w:pPr>
              <w:rPr>
                <w:rFonts w:ascii="宋体"/>
              </w:rPr>
            </w:pPr>
          </w:p>
        </w:tc>
        <w:tc>
          <w:tcPr>
            <w:tcW w:w="0" w:type="auto"/>
            <w:shd w:val="clear" w:color="auto" w:fill="auto"/>
            <w:vAlign w:val="bottom"/>
          </w:tcPr>
          <w:p w14:paraId="64297763" w14:textId="77777777" w:rsidR="007B6C97" w:rsidRDefault="007B6C97">
            <w:pPr>
              <w:rPr>
                <w:rFonts w:ascii="宋体"/>
              </w:rPr>
            </w:pPr>
          </w:p>
        </w:tc>
        <w:tc>
          <w:tcPr>
            <w:tcW w:w="0" w:type="auto"/>
            <w:shd w:val="clear" w:color="auto" w:fill="auto"/>
            <w:vAlign w:val="bottom"/>
          </w:tcPr>
          <w:p w14:paraId="64297764" w14:textId="77777777" w:rsidR="007B6C97" w:rsidRDefault="007B6C97">
            <w:pPr>
              <w:rPr>
                <w:rFonts w:ascii="宋体"/>
              </w:rPr>
            </w:pPr>
          </w:p>
        </w:tc>
        <w:tc>
          <w:tcPr>
            <w:tcW w:w="0" w:type="auto"/>
            <w:shd w:val="clear" w:color="auto" w:fill="auto"/>
            <w:vAlign w:val="bottom"/>
          </w:tcPr>
          <w:p w14:paraId="64297765" w14:textId="77777777" w:rsidR="007B6C97" w:rsidRDefault="007B6C97">
            <w:pPr>
              <w:rPr>
                <w:rFonts w:ascii="宋体"/>
              </w:rPr>
            </w:pPr>
          </w:p>
        </w:tc>
        <w:tc>
          <w:tcPr>
            <w:tcW w:w="0" w:type="auto"/>
            <w:shd w:val="clear" w:color="auto" w:fill="auto"/>
            <w:vAlign w:val="bottom"/>
          </w:tcPr>
          <w:p w14:paraId="64297766" w14:textId="77777777" w:rsidR="007B6C97" w:rsidRDefault="007B6C97">
            <w:pPr>
              <w:rPr>
                <w:rFonts w:ascii="宋体"/>
              </w:rPr>
            </w:pPr>
          </w:p>
        </w:tc>
        <w:tc>
          <w:tcPr>
            <w:tcW w:w="0" w:type="auto"/>
            <w:shd w:val="clear" w:color="auto" w:fill="auto"/>
            <w:vAlign w:val="bottom"/>
          </w:tcPr>
          <w:p w14:paraId="64297767" w14:textId="77777777" w:rsidR="007B6C97" w:rsidRDefault="007B6C97">
            <w:pPr>
              <w:rPr>
                <w:rFonts w:ascii="宋体"/>
              </w:rPr>
            </w:pPr>
          </w:p>
        </w:tc>
        <w:tc>
          <w:tcPr>
            <w:tcW w:w="0" w:type="auto"/>
            <w:shd w:val="clear" w:color="auto" w:fill="auto"/>
            <w:vAlign w:val="bottom"/>
          </w:tcPr>
          <w:p w14:paraId="64297768" w14:textId="77777777" w:rsidR="007B6C97" w:rsidRDefault="007B6C97">
            <w:pPr>
              <w:rPr>
                <w:rFonts w:ascii="宋体"/>
              </w:rPr>
            </w:pPr>
          </w:p>
        </w:tc>
        <w:tc>
          <w:tcPr>
            <w:tcW w:w="0" w:type="auto"/>
            <w:shd w:val="clear" w:color="auto" w:fill="auto"/>
            <w:vAlign w:val="bottom"/>
          </w:tcPr>
          <w:p w14:paraId="64297769" w14:textId="77777777" w:rsidR="007B6C97" w:rsidRDefault="007B6C97">
            <w:pPr>
              <w:rPr>
                <w:rFonts w:ascii="宋体"/>
              </w:rPr>
            </w:pPr>
          </w:p>
        </w:tc>
        <w:tc>
          <w:tcPr>
            <w:tcW w:w="0" w:type="auto"/>
            <w:shd w:val="clear" w:color="auto" w:fill="auto"/>
            <w:vAlign w:val="bottom"/>
          </w:tcPr>
          <w:p w14:paraId="6429776A" w14:textId="77777777" w:rsidR="007B6C97" w:rsidRDefault="007B6C97">
            <w:pPr>
              <w:rPr>
                <w:rFonts w:ascii="宋体"/>
              </w:rPr>
            </w:pPr>
          </w:p>
        </w:tc>
        <w:tc>
          <w:tcPr>
            <w:tcW w:w="0" w:type="auto"/>
            <w:shd w:val="clear" w:color="auto" w:fill="auto"/>
            <w:vAlign w:val="bottom"/>
          </w:tcPr>
          <w:p w14:paraId="6429776B" w14:textId="77777777" w:rsidR="007B6C97" w:rsidRDefault="007B6C97">
            <w:pPr>
              <w:rPr>
                <w:rFonts w:ascii="宋体"/>
              </w:rPr>
            </w:pPr>
          </w:p>
        </w:tc>
        <w:tc>
          <w:tcPr>
            <w:tcW w:w="0" w:type="auto"/>
            <w:shd w:val="clear" w:color="auto" w:fill="auto"/>
            <w:vAlign w:val="bottom"/>
          </w:tcPr>
          <w:p w14:paraId="6429776C" w14:textId="77777777" w:rsidR="007B6C97" w:rsidRDefault="007B6C97">
            <w:pPr>
              <w:rPr>
                <w:rFonts w:ascii="宋体"/>
              </w:rPr>
            </w:pPr>
          </w:p>
        </w:tc>
        <w:tc>
          <w:tcPr>
            <w:tcW w:w="0" w:type="auto"/>
            <w:shd w:val="clear" w:color="auto" w:fill="auto"/>
            <w:vAlign w:val="bottom"/>
          </w:tcPr>
          <w:p w14:paraId="6429776D" w14:textId="77777777" w:rsidR="007B6C97" w:rsidRDefault="007B6C97">
            <w:pPr>
              <w:rPr>
                <w:rFonts w:ascii="宋体"/>
              </w:rPr>
            </w:pPr>
          </w:p>
        </w:tc>
        <w:tc>
          <w:tcPr>
            <w:tcW w:w="0" w:type="auto"/>
            <w:shd w:val="clear" w:color="auto" w:fill="auto"/>
            <w:vAlign w:val="bottom"/>
          </w:tcPr>
          <w:p w14:paraId="6429776E" w14:textId="77777777" w:rsidR="007B6C97" w:rsidRDefault="007B6C97">
            <w:pPr>
              <w:rPr>
                <w:rFonts w:ascii="宋体"/>
              </w:rPr>
            </w:pPr>
          </w:p>
        </w:tc>
        <w:tc>
          <w:tcPr>
            <w:tcW w:w="0" w:type="auto"/>
            <w:shd w:val="clear" w:color="auto" w:fill="auto"/>
            <w:vAlign w:val="bottom"/>
          </w:tcPr>
          <w:p w14:paraId="6429776F" w14:textId="77777777" w:rsidR="007B6C97" w:rsidRDefault="007B6C97">
            <w:pPr>
              <w:rPr>
                <w:rFonts w:ascii="宋体"/>
              </w:rPr>
            </w:pPr>
          </w:p>
        </w:tc>
        <w:tc>
          <w:tcPr>
            <w:tcW w:w="0" w:type="auto"/>
            <w:shd w:val="clear" w:color="auto" w:fill="auto"/>
            <w:vAlign w:val="bottom"/>
          </w:tcPr>
          <w:p w14:paraId="64297770" w14:textId="77777777" w:rsidR="007B6C97" w:rsidRDefault="007B6C97">
            <w:pPr>
              <w:rPr>
                <w:rFonts w:ascii="宋体"/>
              </w:rPr>
            </w:pPr>
          </w:p>
        </w:tc>
        <w:tc>
          <w:tcPr>
            <w:tcW w:w="0" w:type="auto"/>
            <w:shd w:val="clear" w:color="auto" w:fill="auto"/>
            <w:vAlign w:val="bottom"/>
          </w:tcPr>
          <w:p w14:paraId="64297771" w14:textId="77777777" w:rsidR="007B6C97" w:rsidRDefault="007B6C97">
            <w:pPr>
              <w:rPr>
                <w:rFonts w:ascii="宋体"/>
              </w:rPr>
            </w:pPr>
          </w:p>
        </w:tc>
        <w:tc>
          <w:tcPr>
            <w:tcW w:w="0" w:type="auto"/>
            <w:shd w:val="clear" w:color="auto" w:fill="auto"/>
            <w:vAlign w:val="bottom"/>
          </w:tcPr>
          <w:p w14:paraId="64297772" w14:textId="77777777" w:rsidR="007B6C97" w:rsidRDefault="007B6C97">
            <w:pPr>
              <w:rPr>
                <w:rFonts w:ascii="宋体"/>
              </w:rPr>
            </w:pPr>
          </w:p>
        </w:tc>
        <w:tc>
          <w:tcPr>
            <w:tcW w:w="0" w:type="auto"/>
            <w:shd w:val="clear" w:color="auto" w:fill="auto"/>
            <w:vAlign w:val="bottom"/>
          </w:tcPr>
          <w:p w14:paraId="64297773" w14:textId="77777777" w:rsidR="007B6C97" w:rsidRDefault="007B6C97">
            <w:pPr>
              <w:rPr>
                <w:rFonts w:ascii="宋体"/>
              </w:rPr>
            </w:pPr>
          </w:p>
        </w:tc>
        <w:tc>
          <w:tcPr>
            <w:tcW w:w="0" w:type="auto"/>
            <w:shd w:val="clear" w:color="auto" w:fill="auto"/>
            <w:vAlign w:val="bottom"/>
          </w:tcPr>
          <w:p w14:paraId="64297774" w14:textId="77777777" w:rsidR="007B6C97" w:rsidRDefault="007B6C97">
            <w:pPr>
              <w:rPr>
                <w:rFonts w:ascii="宋体"/>
              </w:rPr>
            </w:pPr>
          </w:p>
        </w:tc>
        <w:tc>
          <w:tcPr>
            <w:tcW w:w="0" w:type="auto"/>
            <w:shd w:val="clear" w:color="auto" w:fill="auto"/>
            <w:vAlign w:val="bottom"/>
          </w:tcPr>
          <w:p w14:paraId="64297775" w14:textId="77777777" w:rsidR="007B6C97" w:rsidRDefault="007B6C97">
            <w:pPr>
              <w:rPr>
                <w:rFonts w:ascii="宋体"/>
              </w:rPr>
            </w:pPr>
          </w:p>
        </w:tc>
        <w:tc>
          <w:tcPr>
            <w:tcW w:w="0" w:type="auto"/>
            <w:shd w:val="clear" w:color="auto" w:fill="auto"/>
            <w:vAlign w:val="bottom"/>
          </w:tcPr>
          <w:p w14:paraId="64297776" w14:textId="77777777" w:rsidR="007B6C97" w:rsidRDefault="007B6C97">
            <w:pPr>
              <w:rPr>
                <w:rFonts w:ascii="宋体"/>
              </w:rPr>
            </w:pPr>
          </w:p>
        </w:tc>
        <w:tc>
          <w:tcPr>
            <w:tcW w:w="0" w:type="auto"/>
            <w:shd w:val="clear" w:color="auto" w:fill="auto"/>
            <w:vAlign w:val="bottom"/>
          </w:tcPr>
          <w:p w14:paraId="64297777" w14:textId="77777777" w:rsidR="007B6C97" w:rsidRDefault="007B6C97">
            <w:pPr>
              <w:rPr>
                <w:rFonts w:ascii="宋体"/>
              </w:rPr>
            </w:pPr>
          </w:p>
        </w:tc>
        <w:tc>
          <w:tcPr>
            <w:tcW w:w="0" w:type="auto"/>
            <w:shd w:val="clear" w:color="auto" w:fill="auto"/>
            <w:vAlign w:val="bottom"/>
          </w:tcPr>
          <w:p w14:paraId="64297778" w14:textId="77777777" w:rsidR="007B6C97" w:rsidRDefault="007B6C97">
            <w:pPr>
              <w:rPr>
                <w:rFonts w:ascii="宋体"/>
              </w:rPr>
            </w:pPr>
          </w:p>
        </w:tc>
        <w:tc>
          <w:tcPr>
            <w:tcW w:w="0" w:type="auto"/>
            <w:shd w:val="clear" w:color="auto" w:fill="auto"/>
            <w:vAlign w:val="bottom"/>
          </w:tcPr>
          <w:p w14:paraId="64297779" w14:textId="77777777" w:rsidR="007B6C97" w:rsidRDefault="007B6C97">
            <w:pPr>
              <w:rPr>
                <w:rFonts w:ascii="宋体"/>
              </w:rPr>
            </w:pPr>
          </w:p>
        </w:tc>
        <w:tc>
          <w:tcPr>
            <w:tcW w:w="0" w:type="auto"/>
            <w:shd w:val="clear" w:color="auto" w:fill="auto"/>
            <w:vAlign w:val="bottom"/>
          </w:tcPr>
          <w:p w14:paraId="6429777A" w14:textId="77777777" w:rsidR="007B6C97" w:rsidRDefault="007B6C97">
            <w:pPr>
              <w:rPr>
                <w:rFonts w:ascii="宋体"/>
              </w:rPr>
            </w:pPr>
          </w:p>
        </w:tc>
      </w:tr>
    </w:tbl>
    <w:p w14:paraId="6429777C" w14:textId="77777777" w:rsidR="007B6C97" w:rsidRDefault="00E426D1">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2080"/>
        <w:gridCol w:w="36"/>
        <w:gridCol w:w="37"/>
        <w:gridCol w:w="1923"/>
        <w:gridCol w:w="36"/>
        <w:gridCol w:w="36"/>
        <w:gridCol w:w="36"/>
        <w:gridCol w:w="36"/>
        <w:gridCol w:w="121"/>
        <w:gridCol w:w="778"/>
        <w:gridCol w:w="36"/>
        <w:gridCol w:w="36"/>
        <w:gridCol w:w="36"/>
        <w:gridCol w:w="36"/>
        <w:gridCol w:w="121"/>
        <w:gridCol w:w="778"/>
        <w:gridCol w:w="36"/>
        <w:gridCol w:w="36"/>
        <w:gridCol w:w="36"/>
        <w:gridCol w:w="36"/>
        <w:gridCol w:w="121"/>
        <w:gridCol w:w="778"/>
        <w:gridCol w:w="36"/>
        <w:gridCol w:w="36"/>
        <w:gridCol w:w="36"/>
        <w:gridCol w:w="36"/>
        <w:gridCol w:w="121"/>
        <w:gridCol w:w="780"/>
        <w:gridCol w:w="36"/>
      </w:tblGrid>
      <w:tr w:rsidR="007B6C97" w14:paraId="6429779B" w14:textId="77777777">
        <w:tc>
          <w:tcPr>
            <w:tcW w:w="50" w:type="pct"/>
            <w:shd w:val="clear" w:color="auto" w:fill="auto"/>
            <w:vAlign w:val="bottom"/>
          </w:tcPr>
          <w:p w14:paraId="6429777D" w14:textId="77777777" w:rsidR="007B6C97" w:rsidRDefault="007B6C97">
            <w:pPr>
              <w:rPr>
                <w:rFonts w:ascii="宋体"/>
              </w:rPr>
            </w:pPr>
          </w:p>
        </w:tc>
        <w:tc>
          <w:tcPr>
            <w:tcW w:w="1311" w:type="pct"/>
            <w:shd w:val="clear" w:color="auto" w:fill="auto"/>
            <w:vAlign w:val="bottom"/>
          </w:tcPr>
          <w:p w14:paraId="6429777E" w14:textId="77777777" w:rsidR="007B6C97" w:rsidRDefault="007B6C97">
            <w:pPr>
              <w:rPr>
                <w:rFonts w:ascii="宋体"/>
              </w:rPr>
            </w:pPr>
          </w:p>
        </w:tc>
        <w:tc>
          <w:tcPr>
            <w:tcW w:w="5" w:type="pct"/>
            <w:shd w:val="clear" w:color="auto" w:fill="auto"/>
            <w:vAlign w:val="bottom"/>
          </w:tcPr>
          <w:p w14:paraId="6429777F" w14:textId="77777777" w:rsidR="007B6C97" w:rsidRDefault="007B6C97">
            <w:pPr>
              <w:rPr>
                <w:rFonts w:ascii="宋体"/>
              </w:rPr>
            </w:pPr>
          </w:p>
        </w:tc>
        <w:tc>
          <w:tcPr>
            <w:tcW w:w="50" w:type="pct"/>
            <w:shd w:val="clear" w:color="auto" w:fill="auto"/>
            <w:vAlign w:val="bottom"/>
          </w:tcPr>
          <w:p w14:paraId="64297780" w14:textId="77777777" w:rsidR="007B6C97" w:rsidRDefault="007B6C97">
            <w:pPr>
              <w:rPr>
                <w:rFonts w:ascii="宋体"/>
              </w:rPr>
            </w:pPr>
          </w:p>
        </w:tc>
        <w:tc>
          <w:tcPr>
            <w:tcW w:w="1209" w:type="pct"/>
            <w:shd w:val="clear" w:color="auto" w:fill="auto"/>
            <w:vAlign w:val="bottom"/>
          </w:tcPr>
          <w:p w14:paraId="64297781" w14:textId="77777777" w:rsidR="007B6C97" w:rsidRDefault="007B6C97">
            <w:pPr>
              <w:rPr>
                <w:rFonts w:ascii="宋体"/>
              </w:rPr>
            </w:pPr>
          </w:p>
        </w:tc>
        <w:tc>
          <w:tcPr>
            <w:tcW w:w="5" w:type="pct"/>
            <w:shd w:val="clear" w:color="auto" w:fill="auto"/>
            <w:vAlign w:val="bottom"/>
          </w:tcPr>
          <w:p w14:paraId="64297782" w14:textId="77777777" w:rsidR="007B6C97" w:rsidRDefault="007B6C97">
            <w:pPr>
              <w:rPr>
                <w:rFonts w:ascii="宋体"/>
              </w:rPr>
            </w:pPr>
          </w:p>
        </w:tc>
        <w:tc>
          <w:tcPr>
            <w:tcW w:w="5" w:type="pct"/>
            <w:shd w:val="clear" w:color="auto" w:fill="auto"/>
            <w:vAlign w:val="bottom"/>
          </w:tcPr>
          <w:p w14:paraId="64297783" w14:textId="77777777" w:rsidR="007B6C97" w:rsidRDefault="007B6C97">
            <w:pPr>
              <w:rPr>
                <w:rFonts w:ascii="宋体"/>
              </w:rPr>
            </w:pPr>
          </w:p>
        </w:tc>
        <w:tc>
          <w:tcPr>
            <w:tcW w:w="19" w:type="pct"/>
            <w:shd w:val="clear" w:color="auto" w:fill="auto"/>
            <w:vAlign w:val="bottom"/>
          </w:tcPr>
          <w:p w14:paraId="64297784" w14:textId="77777777" w:rsidR="007B6C97" w:rsidRDefault="007B6C97">
            <w:pPr>
              <w:rPr>
                <w:rFonts w:ascii="宋体"/>
              </w:rPr>
            </w:pPr>
          </w:p>
        </w:tc>
        <w:tc>
          <w:tcPr>
            <w:tcW w:w="5" w:type="pct"/>
            <w:shd w:val="clear" w:color="auto" w:fill="auto"/>
            <w:vAlign w:val="bottom"/>
          </w:tcPr>
          <w:p w14:paraId="64297785" w14:textId="77777777" w:rsidR="007B6C97" w:rsidRDefault="007B6C97">
            <w:pPr>
              <w:rPr>
                <w:rFonts w:ascii="宋体"/>
              </w:rPr>
            </w:pPr>
          </w:p>
        </w:tc>
        <w:tc>
          <w:tcPr>
            <w:tcW w:w="50" w:type="pct"/>
            <w:shd w:val="clear" w:color="auto" w:fill="auto"/>
            <w:vAlign w:val="bottom"/>
          </w:tcPr>
          <w:p w14:paraId="64297786" w14:textId="77777777" w:rsidR="007B6C97" w:rsidRDefault="007B6C97">
            <w:pPr>
              <w:rPr>
                <w:rFonts w:ascii="宋体"/>
              </w:rPr>
            </w:pPr>
          </w:p>
        </w:tc>
        <w:tc>
          <w:tcPr>
            <w:tcW w:w="507" w:type="pct"/>
            <w:shd w:val="clear" w:color="auto" w:fill="auto"/>
            <w:vAlign w:val="bottom"/>
          </w:tcPr>
          <w:p w14:paraId="64297787" w14:textId="77777777" w:rsidR="007B6C97" w:rsidRDefault="007B6C97">
            <w:pPr>
              <w:rPr>
                <w:rFonts w:ascii="宋体"/>
              </w:rPr>
            </w:pPr>
          </w:p>
        </w:tc>
        <w:tc>
          <w:tcPr>
            <w:tcW w:w="5" w:type="pct"/>
            <w:shd w:val="clear" w:color="auto" w:fill="auto"/>
            <w:vAlign w:val="bottom"/>
          </w:tcPr>
          <w:p w14:paraId="64297788" w14:textId="77777777" w:rsidR="007B6C97" w:rsidRDefault="007B6C97">
            <w:pPr>
              <w:rPr>
                <w:rFonts w:ascii="宋体"/>
              </w:rPr>
            </w:pPr>
          </w:p>
        </w:tc>
        <w:tc>
          <w:tcPr>
            <w:tcW w:w="5" w:type="pct"/>
            <w:shd w:val="clear" w:color="auto" w:fill="auto"/>
            <w:vAlign w:val="bottom"/>
          </w:tcPr>
          <w:p w14:paraId="64297789" w14:textId="77777777" w:rsidR="007B6C97" w:rsidRDefault="007B6C97">
            <w:pPr>
              <w:rPr>
                <w:rFonts w:ascii="宋体"/>
              </w:rPr>
            </w:pPr>
          </w:p>
        </w:tc>
        <w:tc>
          <w:tcPr>
            <w:tcW w:w="19" w:type="pct"/>
            <w:shd w:val="clear" w:color="auto" w:fill="auto"/>
            <w:vAlign w:val="bottom"/>
          </w:tcPr>
          <w:p w14:paraId="6429778A" w14:textId="77777777" w:rsidR="007B6C97" w:rsidRDefault="007B6C97">
            <w:pPr>
              <w:rPr>
                <w:rFonts w:ascii="宋体"/>
              </w:rPr>
            </w:pPr>
          </w:p>
        </w:tc>
        <w:tc>
          <w:tcPr>
            <w:tcW w:w="5" w:type="pct"/>
            <w:shd w:val="clear" w:color="auto" w:fill="auto"/>
            <w:vAlign w:val="bottom"/>
          </w:tcPr>
          <w:p w14:paraId="6429778B" w14:textId="77777777" w:rsidR="007B6C97" w:rsidRDefault="007B6C97">
            <w:pPr>
              <w:rPr>
                <w:rFonts w:ascii="宋体"/>
              </w:rPr>
            </w:pPr>
          </w:p>
        </w:tc>
        <w:tc>
          <w:tcPr>
            <w:tcW w:w="50" w:type="pct"/>
            <w:shd w:val="clear" w:color="auto" w:fill="auto"/>
            <w:vAlign w:val="bottom"/>
          </w:tcPr>
          <w:p w14:paraId="6429778C" w14:textId="77777777" w:rsidR="007B6C97" w:rsidRDefault="007B6C97">
            <w:pPr>
              <w:rPr>
                <w:rFonts w:ascii="宋体"/>
              </w:rPr>
            </w:pPr>
          </w:p>
        </w:tc>
        <w:tc>
          <w:tcPr>
            <w:tcW w:w="507" w:type="pct"/>
            <w:shd w:val="clear" w:color="auto" w:fill="auto"/>
            <w:vAlign w:val="bottom"/>
          </w:tcPr>
          <w:p w14:paraId="6429778D" w14:textId="77777777" w:rsidR="007B6C97" w:rsidRDefault="007B6C97">
            <w:pPr>
              <w:rPr>
                <w:rFonts w:ascii="宋体"/>
              </w:rPr>
            </w:pPr>
          </w:p>
        </w:tc>
        <w:tc>
          <w:tcPr>
            <w:tcW w:w="5" w:type="pct"/>
            <w:shd w:val="clear" w:color="auto" w:fill="auto"/>
            <w:vAlign w:val="bottom"/>
          </w:tcPr>
          <w:p w14:paraId="6429778E" w14:textId="77777777" w:rsidR="007B6C97" w:rsidRDefault="007B6C97">
            <w:pPr>
              <w:rPr>
                <w:rFonts w:ascii="宋体"/>
              </w:rPr>
            </w:pPr>
          </w:p>
        </w:tc>
        <w:tc>
          <w:tcPr>
            <w:tcW w:w="5" w:type="pct"/>
            <w:shd w:val="clear" w:color="auto" w:fill="auto"/>
            <w:vAlign w:val="bottom"/>
          </w:tcPr>
          <w:p w14:paraId="6429778F" w14:textId="77777777" w:rsidR="007B6C97" w:rsidRDefault="007B6C97">
            <w:pPr>
              <w:rPr>
                <w:rFonts w:ascii="宋体"/>
              </w:rPr>
            </w:pPr>
          </w:p>
        </w:tc>
        <w:tc>
          <w:tcPr>
            <w:tcW w:w="19" w:type="pct"/>
            <w:shd w:val="clear" w:color="auto" w:fill="auto"/>
            <w:vAlign w:val="bottom"/>
          </w:tcPr>
          <w:p w14:paraId="64297790" w14:textId="77777777" w:rsidR="007B6C97" w:rsidRDefault="007B6C97">
            <w:pPr>
              <w:rPr>
                <w:rFonts w:ascii="宋体"/>
              </w:rPr>
            </w:pPr>
          </w:p>
        </w:tc>
        <w:tc>
          <w:tcPr>
            <w:tcW w:w="5" w:type="pct"/>
            <w:shd w:val="clear" w:color="auto" w:fill="auto"/>
            <w:vAlign w:val="bottom"/>
          </w:tcPr>
          <w:p w14:paraId="64297791" w14:textId="77777777" w:rsidR="007B6C97" w:rsidRDefault="007B6C97">
            <w:pPr>
              <w:rPr>
                <w:rFonts w:ascii="宋体"/>
              </w:rPr>
            </w:pPr>
          </w:p>
        </w:tc>
        <w:tc>
          <w:tcPr>
            <w:tcW w:w="50" w:type="pct"/>
            <w:shd w:val="clear" w:color="auto" w:fill="auto"/>
            <w:vAlign w:val="bottom"/>
          </w:tcPr>
          <w:p w14:paraId="64297792" w14:textId="77777777" w:rsidR="007B6C97" w:rsidRDefault="007B6C97">
            <w:pPr>
              <w:rPr>
                <w:rFonts w:ascii="宋体"/>
              </w:rPr>
            </w:pPr>
          </w:p>
        </w:tc>
        <w:tc>
          <w:tcPr>
            <w:tcW w:w="507" w:type="pct"/>
            <w:shd w:val="clear" w:color="auto" w:fill="auto"/>
            <w:vAlign w:val="bottom"/>
          </w:tcPr>
          <w:p w14:paraId="64297793" w14:textId="77777777" w:rsidR="007B6C97" w:rsidRDefault="007B6C97">
            <w:pPr>
              <w:rPr>
                <w:rFonts w:ascii="宋体"/>
              </w:rPr>
            </w:pPr>
          </w:p>
        </w:tc>
        <w:tc>
          <w:tcPr>
            <w:tcW w:w="5" w:type="pct"/>
            <w:shd w:val="clear" w:color="auto" w:fill="auto"/>
            <w:vAlign w:val="bottom"/>
          </w:tcPr>
          <w:p w14:paraId="64297794" w14:textId="77777777" w:rsidR="007B6C97" w:rsidRDefault="007B6C97">
            <w:pPr>
              <w:rPr>
                <w:rFonts w:ascii="宋体"/>
              </w:rPr>
            </w:pPr>
          </w:p>
        </w:tc>
        <w:tc>
          <w:tcPr>
            <w:tcW w:w="5" w:type="pct"/>
            <w:shd w:val="clear" w:color="auto" w:fill="auto"/>
            <w:vAlign w:val="bottom"/>
          </w:tcPr>
          <w:p w14:paraId="64297795" w14:textId="77777777" w:rsidR="007B6C97" w:rsidRDefault="007B6C97">
            <w:pPr>
              <w:rPr>
                <w:rFonts w:ascii="宋体"/>
              </w:rPr>
            </w:pPr>
          </w:p>
        </w:tc>
        <w:tc>
          <w:tcPr>
            <w:tcW w:w="19" w:type="pct"/>
            <w:shd w:val="clear" w:color="auto" w:fill="auto"/>
            <w:vAlign w:val="bottom"/>
          </w:tcPr>
          <w:p w14:paraId="64297796" w14:textId="77777777" w:rsidR="007B6C97" w:rsidRDefault="007B6C97">
            <w:pPr>
              <w:rPr>
                <w:rFonts w:ascii="宋体"/>
              </w:rPr>
            </w:pPr>
          </w:p>
        </w:tc>
        <w:tc>
          <w:tcPr>
            <w:tcW w:w="5" w:type="pct"/>
            <w:shd w:val="clear" w:color="auto" w:fill="auto"/>
            <w:vAlign w:val="bottom"/>
          </w:tcPr>
          <w:p w14:paraId="64297797" w14:textId="77777777" w:rsidR="007B6C97" w:rsidRDefault="007B6C97">
            <w:pPr>
              <w:rPr>
                <w:rFonts w:ascii="宋体"/>
              </w:rPr>
            </w:pPr>
          </w:p>
        </w:tc>
        <w:tc>
          <w:tcPr>
            <w:tcW w:w="50" w:type="pct"/>
            <w:shd w:val="clear" w:color="auto" w:fill="auto"/>
            <w:vAlign w:val="bottom"/>
          </w:tcPr>
          <w:p w14:paraId="64297798" w14:textId="77777777" w:rsidR="007B6C97" w:rsidRDefault="007B6C97">
            <w:pPr>
              <w:rPr>
                <w:rFonts w:ascii="宋体"/>
              </w:rPr>
            </w:pPr>
          </w:p>
        </w:tc>
        <w:tc>
          <w:tcPr>
            <w:tcW w:w="508" w:type="pct"/>
            <w:shd w:val="clear" w:color="auto" w:fill="auto"/>
            <w:vAlign w:val="bottom"/>
          </w:tcPr>
          <w:p w14:paraId="64297799" w14:textId="77777777" w:rsidR="007B6C97" w:rsidRDefault="007B6C97">
            <w:pPr>
              <w:rPr>
                <w:rFonts w:ascii="宋体"/>
              </w:rPr>
            </w:pPr>
          </w:p>
        </w:tc>
        <w:tc>
          <w:tcPr>
            <w:tcW w:w="5" w:type="pct"/>
            <w:shd w:val="clear" w:color="auto" w:fill="auto"/>
            <w:vAlign w:val="bottom"/>
          </w:tcPr>
          <w:p w14:paraId="6429779A" w14:textId="77777777" w:rsidR="007B6C97" w:rsidRDefault="007B6C97">
            <w:pPr>
              <w:rPr>
                <w:rFonts w:ascii="宋体"/>
              </w:rPr>
            </w:pPr>
          </w:p>
        </w:tc>
      </w:tr>
      <w:tr w:rsidR="007B6C97" w14:paraId="642977A0" w14:textId="77777777">
        <w:tc>
          <w:tcPr>
            <w:tcW w:w="0" w:type="auto"/>
            <w:gridSpan w:val="3"/>
            <w:shd w:val="clear" w:color="auto" w:fill="auto"/>
            <w:tcMar>
              <w:top w:w="0" w:type="dxa"/>
              <w:left w:w="20" w:type="dxa"/>
              <w:bottom w:w="0" w:type="dxa"/>
              <w:right w:w="20" w:type="dxa"/>
            </w:tcMar>
            <w:vAlign w:val="bottom"/>
          </w:tcPr>
          <w:p w14:paraId="6429779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79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79E"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779F" w14:textId="77777777" w:rsidR="007B6C97" w:rsidRDefault="00E426D1">
            <w:pPr>
              <w:jc w:val="center"/>
              <w:textAlignment w:val="bottom"/>
            </w:pPr>
            <w:r>
              <w:rPr>
                <w:rFonts w:ascii="Times New Roman" w:eastAsia="宋体" w:hAnsi="Times New Roman"/>
                <w:b/>
                <w:bCs/>
                <w:color w:val="FFFFFF"/>
                <w:sz w:val="16"/>
                <w:szCs w:val="16"/>
              </w:rPr>
              <w:t>Gains/(Losses) Recognized in Earnings</w:t>
            </w:r>
          </w:p>
        </w:tc>
      </w:tr>
      <w:tr w:rsidR="007B6C97" w14:paraId="642977A7" w14:textId="77777777">
        <w:trPr>
          <w:trHeight w:val="300"/>
        </w:trPr>
        <w:tc>
          <w:tcPr>
            <w:tcW w:w="0" w:type="auto"/>
            <w:gridSpan w:val="3"/>
            <w:shd w:val="clear" w:color="auto" w:fill="auto"/>
            <w:tcMar>
              <w:top w:w="40" w:type="dxa"/>
              <w:left w:w="20" w:type="dxa"/>
              <w:bottom w:w="40" w:type="dxa"/>
              <w:right w:w="20" w:type="dxa"/>
            </w:tcMar>
            <w:vAlign w:val="bottom"/>
          </w:tcPr>
          <w:p w14:paraId="642977A1" w14:textId="77777777" w:rsidR="007B6C97" w:rsidRDefault="00E426D1">
            <w:pPr>
              <w:textAlignment w:val="bottom"/>
            </w:pPr>
            <w:r>
              <w:rPr>
                <w:rFonts w:ascii="Times New Roman" w:eastAsia="宋体" w:hAnsi="Times New Roman"/>
                <w:color w:val="000000"/>
                <w:sz w:val="20"/>
                <w:szCs w:val="20"/>
              </w:rPr>
              <w:t> </w:t>
            </w:r>
          </w:p>
        </w:tc>
        <w:tc>
          <w:tcPr>
            <w:tcW w:w="0" w:type="auto"/>
            <w:gridSpan w:val="3"/>
            <w:vMerge w:val="restart"/>
            <w:shd w:val="clear" w:color="auto" w:fill="00704A"/>
            <w:tcMar>
              <w:top w:w="40" w:type="dxa"/>
              <w:left w:w="20" w:type="dxa"/>
              <w:bottom w:w="40" w:type="dxa"/>
              <w:right w:w="20" w:type="dxa"/>
            </w:tcMar>
            <w:vAlign w:val="bottom"/>
          </w:tcPr>
          <w:p w14:paraId="642977A2" w14:textId="77777777" w:rsidR="007B6C97" w:rsidRDefault="00E426D1">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vAlign w:val="bottom"/>
          </w:tcPr>
          <w:p w14:paraId="642977A3"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7A4"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77A5"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7A6"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77B2" w14:textId="77777777">
        <w:trPr>
          <w:trHeight w:val="300"/>
        </w:trPr>
        <w:tc>
          <w:tcPr>
            <w:tcW w:w="0" w:type="auto"/>
            <w:gridSpan w:val="3"/>
            <w:shd w:val="clear" w:color="auto" w:fill="auto"/>
            <w:tcMar>
              <w:top w:w="40" w:type="dxa"/>
              <w:left w:w="20" w:type="dxa"/>
              <w:bottom w:w="40" w:type="dxa"/>
              <w:right w:w="20" w:type="dxa"/>
            </w:tcMar>
            <w:vAlign w:val="bottom"/>
          </w:tcPr>
          <w:p w14:paraId="642977A8" w14:textId="77777777" w:rsidR="007B6C97" w:rsidRDefault="00E426D1">
            <w:pPr>
              <w:textAlignment w:val="bottom"/>
            </w:pPr>
            <w:r>
              <w:rPr>
                <w:rFonts w:ascii="Times New Roman" w:eastAsia="宋体" w:hAnsi="Times New Roman"/>
                <w:color w:val="000000"/>
                <w:sz w:val="20"/>
                <w:szCs w:val="20"/>
              </w:rPr>
              <w:t> </w:t>
            </w:r>
          </w:p>
        </w:tc>
        <w:tc>
          <w:tcPr>
            <w:tcW w:w="0" w:type="auto"/>
            <w:gridSpan w:val="3"/>
            <w:vMerge/>
            <w:shd w:val="clear" w:color="auto" w:fill="00704A"/>
            <w:tcMar>
              <w:top w:w="40" w:type="dxa"/>
              <w:left w:w="20" w:type="dxa"/>
              <w:bottom w:w="40" w:type="dxa"/>
              <w:right w:w="20" w:type="dxa"/>
            </w:tcMar>
            <w:vAlign w:val="bottom"/>
          </w:tcPr>
          <w:p w14:paraId="642977A9"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77A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7AB"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7A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7AD"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77A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7AF" w14:textId="77777777" w:rsidR="007B6C97" w:rsidRDefault="00E426D1">
            <w:pPr>
              <w:jc w:val="center"/>
              <w:textAlignment w:val="bottom"/>
            </w:pPr>
            <w:r>
              <w:rPr>
                <w:rFonts w:ascii="Times New Roman" w:eastAsia="宋体" w:hAnsi="Times New Roman"/>
                <w:b/>
                <w:bCs/>
                <w:color w:val="FFFFFF"/>
                <w:sz w:val="16"/>
                <w:szCs w:val="16"/>
              </w:rPr>
              <w:t xml:space="preserve">Jul 3, </w:t>
            </w:r>
            <w:r>
              <w:rPr>
                <w:rFonts w:ascii="Times New Roman" w:eastAsia="宋体" w:hAnsi="Times New Roman"/>
                <w:b/>
                <w:bCs/>
                <w:color w:val="FFFFFF"/>
                <w:sz w:val="16"/>
                <w:szCs w:val="16"/>
              </w:rPr>
              <w:t>2022</w:t>
            </w:r>
          </w:p>
        </w:tc>
        <w:tc>
          <w:tcPr>
            <w:tcW w:w="0" w:type="auto"/>
            <w:gridSpan w:val="3"/>
            <w:shd w:val="clear" w:color="auto" w:fill="FFFFFF"/>
            <w:tcMar>
              <w:top w:w="0" w:type="dxa"/>
              <w:left w:w="20" w:type="dxa"/>
              <w:bottom w:w="0" w:type="dxa"/>
              <w:right w:w="20" w:type="dxa"/>
            </w:tcMar>
            <w:vAlign w:val="bottom"/>
          </w:tcPr>
          <w:p w14:paraId="642977B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7B1"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77BD" w14:textId="77777777">
        <w:tc>
          <w:tcPr>
            <w:tcW w:w="0" w:type="auto"/>
            <w:gridSpan w:val="3"/>
            <w:shd w:val="clear" w:color="auto" w:fill="D7E4BC"/>
            <w:tcMar>
              <w:top w:w="40" w:type="dxa"/>
              <w:left w:w="20" w:type="dxa"/>
              <w:bottom w:w="40" w:type="dxa"/>
              <w:right w:w="20" w:type="dxa"/>
            </w:tcMar>
            <w:vAlign w:val="bottom"/>
          </w:tcPr>
          <w:p w14:paraId="642977B3" w14:textId="77777777" w:rsidR="007B6C97" w:rsidRDefault="00E426D1">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7B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B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7B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B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7B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B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7B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7B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7BC" w14:textId="77777777" w:rsidR="007B6C97" w:rsidRDefault="007B6C97">
            <w:pPr>
              <w:rPr>
                <w:rFonts w:ascii="宋体"/>
              </w:rPr>
            </w:pPr>
          </w:p>
        </w:tc>
      </w:tr>
      <w:tr w:rsidR="007B6C97" w14:paraId="642977D0" w14:textId="77777777">
        <w:tc>
          <w:tcPr>
            <w:tcW w:w="0" w:type="auto"/>
            <w:gridSpan w:val="3"/>
            <w:shd w:val="clear" w:color="auto" w:fill="FFFFFF"/>
            <w:tcMar>
              <w:top w:w="40" w:type="dxa"/>
              <w:left w:w="155" w:type="dxa"/>
              <w:bottom w:w="40" w:type="dxa"/>
              <w:right w:w="20" w:type="dxa"/>
            </w:tcMar>
            <w:vAlign w:val="bottom"/>
          </w:tcPr>
          <w:p w14:paraId="642977BE" w14:textId="77777777" w:rsidR="007B6C97" w:rsidRDefault="00E426D1">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642977BF" w14:textId="77777777" w:rsidR="007B6C97" w:rsidRDefault="00E426D1">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642977C0"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77C1"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77C2" w14:textId="77777777" w:rsidR="007B6C97" w:rsidRDefault="00E426D1">
            <w:pPr>
              <w:jc w:val="right"/>
              <w:textAlignment w:val="center"/>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center"/>
          </w:tcPr>
          <w:p w14:paraId="642977C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C4"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77C5"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77C6"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77C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C8"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77C9"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77CA" w14:textId="77777777" w:rsidR="007B6C97" w:rsidRDefault="00E426D1">
            <w:pPr>
              <w:jc w:val="right"/>
              <w:textAlignment w:val="center"/>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center"/>
          </w:tcPr>
          <w:p w14:paraId="642977C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CC" w14:textId="77777777" w:rsidR="007B6C97" w:rsidRDefault="007B6C97">
            <w:pPr>
              <w:rPr>
                <w:rFonts w:ascii="宋体"/>
              </w:rPr>
            </w:pPr>
          </w:p>
        </w:tc>
        <w:tc>
          <w:tcPr>
            <w:tcW w:w="0" w:type="auto"/>
            <w:shd w:val="clear" w:color="auto" w:fill="FFFFFF"/>
            <w:tcMar>
              <w:top w:w="40" w:type="dxa"/>
              <w:left w:w="20" w:type="dxa"/>
              <w:bottom w:w="40" w:type="dxa"/>
              <w:right w:w="0" w:type="dxa"/>
            </w:tcMar>
            <w:vAlign w:val="center"/>
          </w:tcPr>
          <w:p w14:paraId="642977CD" w14:textId="77777777" w:rsidR="007B6C97" w:rsidRDefault="00E426D1">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42977CE"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77CF" w14:textId="77777777" w:rsidR="007B6C97" w:rsidRDefault="007B6C97">
            <w:pPr>
              <w:jc w:val="right"/>
              <w:rPr>
                <w:rFonts w:ascii="宋体"/>
              </w:rPr>
            </w:pPr>
          </w:p>
        </w:tc>
      </w:tr>
      <w:tr w:rsidR="007B6C97" w14:paraId="642977DF" w14:textId="77777777">
        <w:tc>
          <w:tcPr>
            <w:tcW w:w="0" w:type="auto"/>
            <w:gridSpan w:val="3"/>
            <w:shd w:val="clear" w:color="auto" w:fill="D7E4BC"/>
            <w:tcMar>
              <w:top w:w="40" w:type="dxa"/>
              <w:left w:w="155" w:type="dxa"/>
              <w:bottom w:w="40" w:type="dxa"/>
              <w:right w:w="20" w:type="dxa"/>
            </w:tcMar>
            <w:vAlign w:val="bottom"/>
          </w:tcPr>
          <w:p w14:paraId="642977D1" w14:textId="77777777" w:rsidR="007B6C97" w:rsidRDefault="00E426D1">
            <w:pPr>
              <w:textAlignment w:val="bottom"/>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42977D2" w14:textId="77777777" w:rsidR="007B6C97" w:rsidRDefault="00E426D1">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642977D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D4" w14:textId="77777777" w:rsidR="007B6C97" w:rsidRDefault="00E426D1">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642977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D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D7" w14:textId="77777777" w:rsidR="007B6C97" w:rsidRDefault="00E426D1">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642977D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D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DA" w14:textId="77777777" w:rsidR="007B6C97" w:rsidRDefault="00E426D1">
            <w:pPr>
              <w:jc w:val="right"/>
              <w:textAlignment w:val="bottom"/>
            </w:pPr>
            <w:r>
              <w:rPr>
                <w:rFonts w:ascii="Times New Roman" w:eastAsia="宋体" w:hAnsi="Times New Roman"/>
                <w:color w:val="000000"/>
                <w:sz w:val="20"/>
                <w:szCs w:val="20"/>
              </w:rPr>
              <w:t>28.2 </w:t>
            </w:r>
          </w:p>
        </w:tc>
        <w:tc>
          <w:tcPr>
            <w:tcW w:w="0" w:type="auto"/>
            <w:shd w:val="clear" w:color="auto" w:fill="D7E4BC"/>
            <w:tcMar>
              <w:top w:w="40" w:type="dxa"/>
              <w:left w:w="0" w:type="dxa"/>
              <w:bottom w:w="40" w:type="dxa"/>
              <w:right w:w="20" w:type="dxa"/>
            </w:tcMar>
            <w:vAlign w:val="bottom"/>
          </w:tcPr>
          <w:p w14:paraId="642977D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D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DD"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642977DE" w14:textId="77777777" w:rsidR="007B6C97" w:rsidRDefault="007B6C97">
            <w:pPr>
              <w:jc w:val="right"/>
              <w:rPr>
                <w:rFonts w:ascii="宋体"/>
              </w:rPr>
            </w:pPr>
          </w:p>
        </w:tc>
      </w:tr>
      <w:tr w:rsidR="007B6C97" w14:paraId="642977EE" w14:textId="77777777">
        <w:tc>
          <w:tcPr>
            <w:tcW w:w="0" w:type="auto"/>
            <w:gridSpan w:val="3"/>
            <w:shd w:val="clear" w:color="auto" w:fill="FFFFFF"/>
            <w:tcMar>
              <w:top w:w="40" w:type="dxa"/>
              <w:left w:w="155" w:type="dxa"/>
              <w:bottom w:w="40" w:type="dxa"/>
              <w:right w:w="20" w:type="dxa"/>
            </w:tcMar>
            <w:vAlign w:val="bottom"/>
          </w:tcPr>
          <w:p w14:paraId="642977E0" w14:textId="77777777" w:rsidR="007B6C97" w:rsidRDefault="00E426D1">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642977E1" w14:textId="77777777" w:rsidR="007B6C97" w:rsidRDefault="00E426D1">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642977E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77E3" w14:textId="77777777" w:rsidR="007B6C97" w:rsidRDefault="00E426D1">
            <w:pPr>
              <w:jc w:val="right"/>
              <w:textAlignment w:val="center"/>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center"/>
          </w:tcPr>
          <w:p w14:paraId="642977E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E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77E6"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77E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E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7E9" w14:textId="77777777" w:rsidR="007B6C97" w:rsidRDefault="00E426D1">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642977E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7E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7E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7ED" w14:textId="77777777" w:rsidR="007B6C97" w:rsidRDefault="007B6C97">
            <w:pPr>
              <w:jc w:val="right"/>
              <w:rPr>
                <w:rFonts w:ascii="宋体"/>
              </w:rPr>
            </w:pPr>
          </w:p>
        </w:tc>
      </w:tr>
      <w:tr w:rsidR="007B6C97" w14:paraId="642977FD" w14:textId="77777777">
        <w:tc>
          <w:tcPr>
            <w:tcW w:w="0" w:type="auto"/>
            <w:gridSpan w:val="3"/>
            <w:shd w:val="clear" w:color="auto" w:fill="D7E4BC"/>
            <w:tcMar>
              <w:top w:w="40" w:type="dxa"/>
              <w:left w:w="155" w:type="dxa"/>
              <w:bottom w:w="40" w:type="dxa"/>
              <w:right w:w="20" w:type="dxa"/>
            </w:tcMar>
            <w:vAlign w:val="bottom"/>
          </w:tcPr>
          <w:p w14:paraId="642977EF" w14:textId="77777777" w:rsidR="007B6C97" w:rsidRDefault="00E426D1">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642977F0" w14:textId="77777777" w:rsidR="007B6C97" w:rsidRDefault="00E426D1">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642977F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F2" w14:textId="77777777" w:rsidR="007B6C97" w:rsidRDefault="00E426D1">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642977F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F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F5" w14:textId="77777777" w:rsidR="007B6C97" w:rsidRDefault="00E426D1">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42977F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F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F8"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42977F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7F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7FB" w14:textId="77777777" w:rsidR="007B6C97" w:rsidRDefault="00E426D1">
            <w:pPr>
              <w:jc w:val="right"/>
              <w:textAlignment w:val="bottom"/>
            </w:pPr>
            <w:r>
              <w:rPr>
                <w:rFonts w:ascii="Times New Roman" w:eastAsia="宋体" w:hAnsi="Times New Roman"/>
                <w:color w:val="000000"/>
                <w:sz w:val="20"/>
                <w:szCs w:val="20"/>
              </w:rPr>
              <w:t>2.7 </w:t>
            </w:r>
          </w:p>
        </w:tc>
        <w:tc>
          <w:tcPr>
            <w:tcW w:w="0" w:type="auto"/>
            <w:shd w:val="clear" w:color="auto" w:fill="D7E4BC"/>
            <w:tcMar>
              <w:top w:w="40" w:type="dxa"/>
              <w:left w:w="0" w:type="dxa"/>
              <w:bottom w:w="40" w:type="dxa"/>
              <w:right w:w="20" w:type="dxa"/>
            </w:tcMar>
            <w:vAlign w:val="bottom"/>
          </w:tcPr>
          <w:p w14:paraId="642977FC" w14:textId="77777777" w:rsidR="007B6C97" w:rsidRDefault="007B6C97">
            <w:pPr>
              <w:jc w:val="right"/>
              <w:rPr>
                <w:rFonts w:ascii="宋体"/>
              </w:rPr>
            </w:pPr>
          </w:p>
        </w:tc>
      </w:tr>
      <w:tr w:rsidR="007B6C97" w14:paraId="64297808" w14:textId="77777777">
        <w:tc>
          <w:tcPr>
            <w:tcW w:w="0" w:type="auto"/>
            <w:gridSpan w:val="3"/>
            <w:shd w:val="clear" w:color="auto" w:fill="FFFFFF"/>
            <w:tcMar>
              <w:top w:w="40" w:type="dxa"/>
              <w:left w:w="20" w:type="dxa"/>
              <w:bottom w:w="40" w:type="dxa"/>
              <w:right w:w="20" w:type="dxa"/>
            </w:tcMar>
            <w:vAlign w:val="bottom"/>
          </w:tcPr>
          <w:p w14:paraId="642977FE" w14:textId="77777777" w:rsidR="007B6C97" w:rsidRDefault="00E426D1">
            <w:pPr>
              <w:textAlignment w:val="bottom"/>
            </w:pPr>
            <w:r>
              <w:rPr>
                <w:rFonts w:ascii="Times New Roman" w:eastAsia="宋体" w:hAnsi="Times New Roman"/>
                <w:color w:val="000000"/>
                <w:sz w:val="20"/>
                <w:szCs w:val="20"/>
              </w:rPr>
              <w:t>Fair Value Hedges:</w:t>
            </w:r>
          </w:p>
        </w:tc>
        <w:tc>
          <w:tcPr>
            <w:tcW w:w="0" w:type="auto"/>
            <w:gridSpan w:val="3"/>
            <w:shd w:val="clear" w:color="auto" w:fill="FFFFFF"/>
            <w:tcMar>
              <w:top w:w="0" w:type="dxa"/>
              <w:left w:w="20" w:type="dxa"/>
              <w:bottom w:w="0" w:type="dxa"/>
              <w:right w:w="20" w:type="dxa"/>
            </w:tcMar>
            <w:vAlign w:val="bottom"/>
          </w:tcPr>
          <w:p w14:paraId="642977F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07" w14:textId="77777777" w:rsidR="007B6C97" w:rsidRDefault="007B6C97">
            <w:pPr>
              <w:rPr>
                <w:rFonts w:ascii="宋体"/>
              </w:rPr>
            </w:pPr>
          </w:p>
        </w:tc>
      </w:tr>
      <w:tr w:rsidR="007B6C97" w14:paraId="64297817" w14:textId="77777777">
        <w:tc>
          <w:tcPr>
            <w:tcW w:w="0" w:type="auto"/>
            <w:gridSpan w:val="3"/>
            <w:shd w:val="clear" w:color="auto" w:fill="D7E4BC"/>
            <w:tcMar>
              <w:top w:w="40" w:type="dxa"/>
              <w:left w:w="155" w:type="dxa"/>
              <w:bottom w:w="40" w:type="dxa"/>
              <w:right w:w="20" w:type="dxa"/>
            </w:tcMar>
            <w:vAlign w:val="bottom"/>
          </w:tcPr>
          <w:p w14:paraId="64297809" w14:textId="77777777" w:rsidR="007B6C97" w:rsidRDefault="00E426D1">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6429780A" w14:textId="77777777" w:rsidR="007B6C97" w:rsidRDefault="00E426D1">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vAlign w:val="bottom"/>
          </w:tcPr>
          <w:p w14:paraId="6429780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0C" w14:textId="77777777" w:rsidR="007B6C97" w:rsidRDefault="00E426D1">
            <w:pPr>
              <w:jc w:val="right"/>
              <w:textAlignment w:val="bottom"/>
            </w:pPr>
            <w:r>
              <w:rPr>
                <w:rFonts w:ascii="Times New Roman" w:eastAsia="宋体" w:hAnsi="Times New Roman"/>
                <w:color w:val="000000"/>
                <w:sz w:val="20"/>
                <w:szCs w:val="20"/>
              </w:rPr>
              <w:t>(11.6)</w:t>
            </w:r>
          </w:p>
        </w:tc>
        <w:tc>
          <w:tcPr>
            <w:tcW w:w="0" w:type="auto"/>
            <w:shd w:val="clear" w:color="auto" w:fill="D7E4BC"/>
            <w:tcMar>
              <w:top w:w="40" w:type="dxa"/>
              <w:left w:w="0" w:type="dxa"/>
              <w:bottom w:w="40" w:type="dxa"/>
              <w:right w:w="20" w:type="dxa"/>
            </w:tcMar>
            <w:vAlign w:val="bottom"/>
          </w:tcPr>
          <w:p w14:paraId="6429780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0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0F" w14:textId="77777777" w:rsidR="007B6C97" w:rsidRDefault="00E426D1">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6429781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1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12" w14:textId="77777777" w:rsidR="007B6C97" w:rsidRDefault="00E426D1">
            <w:pPr>
              <w:jc w:val="right"/>
              <w:textAlignment w:val="bottom"/>
            </w:pPr>
            <w:r>
              <w:rPr>
                <w:rFonts w:ascii="Times New Roman" w:eastAsia="宋体" w:hAnsi="Times New Roman"/>
                <w:color w:val="000000"/>
                <w:sz w:val="20"/>
                <w:szCs w:val="20"/>
              </w:rPr>
              <w:t>(37.7)</w:t>
            </w:r>
          </w:p>
        </w:tc>
        <w:tc>
          <w:tcPr>
            <w:tcW w:w="0" w:type="auto"/>
            <w:shd w:val="clear" w:color="auto" w:fill="D7E4BC"/>
            <w:tcMar>
              <w:top w:w="40" w:type="dxa"/>
              <w:left w:w="0" w:type="dxa"/>
              <w:bottom w:w="40" w:type="dxa"/>
              <w:right w:w="20" w:type="dxa"/>
            </w:tcMar>
            <w:vAlign w:val="bottom"/>
          </w:tcPr>
          <w:p w14:paraId="6429781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1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15" w14:textId="77777777" w:rsidR="007B6C97" w:rsidRDefault="00E426D1">
            <w:pPr>
              <w:jc w:val="right"/>
              <w:textAlignment w:val="bottom"/>
            </w:pPr>
            <w:r>
              <w:rPr>
                <w:rFonts w:ascii="Times New Roman" w:eastAsia="宋体" w:hAnsi="Times New Roman"/>
                <w:color w:val="000000"/>
                <w:sz w:val="20"/>
                <w:szCs w:val="20"/>
              </w:rPr>
              <w:t>(1.4)</w:t>
            </w:r>
          </w:p>
        </w:tc>
        <w:tc>
          <w:tcPr>
            <w:tcW w:w="0" w:type="auto"/>
            <w:shd w:val="clear" w:color="auto" w:fill="D7E4BC"/>
            <w:tcMar>
              <w:top w:w="40" w:type="dxa"/>
              <w:left w:w="0" w:type="dxa"/>
              <w:bottom w:w="40" w:type="dxa"/>
              <w:right w:w="20" w:type="dxa"/>
            </w:tcMar>
            <w:vAlign w:val="bottom"/>
          </w:tcPr>
          <w:p w14:paraId="64297816" w14:textId="77777777" w:rsidR="007B6C97" w:rsidRDefault="007B6C97">
            <w:pPr>
              <w:jc w:val="right"/>
              <w:rPr>
                <w:rFonts w:ascii="宋体"/>
              </w:rPr>
            </w:pPr>
          </w:p>
        </w:tc>
      </w:tr>
      <w:tr w:rsidR="007B6C97" w14:paraId="64297826" w14:textId="77777777">
        <w:tc>
          <w:tcPr>
            <w:tcW w:w="0" w:type="auto"/>
            <w:gridSpan w:val="3"/>
            <w:shd w:val="clear" w:color="auto" w:fill="FFFFFF"/>
            <w:tcMar>
              <w:top w:w="40" w:type="dxa"/>
              <w:left w:w="155" w:type="dxa"/>
              <w:bottom w:w="40" w:type="dxa"/>
              <w:right w:w="20" w:type="dxa"/>
            </w:tcMar>
            <w:vAlign w:val="bottom"/>
          </w:tcPr>
          <w:p w14:paraId="64297818" w14:textId="77777777" w:rsidR="007B6C97" w:rsidRDefault="00E426D1">
            <w:pPr>
              <w:textAlignment w:val="bottom"/>
            </w:pPr>
            <w:r>
              <w:rPr>
                <w:rFonts w:ascii="Times New Roman" w:eastAsia="宋体" w:hAnsi="Times New Roman"/>
                <w:color w:val="000000"/>
                <w:sz w:val="20"/>
                <w:szCs w:val="20"/>
              </w:rPr>
              <w:t>Long-term debt (hedged item)</w:t>
            </w:r>
          </w:p>
        </w:tc>
        <w:tc>
          <w:tcPr>
            <w:tcW w:w="0" w:type="auto"/>
            <w:gridSpan w:val="3"/>
            <w:shd w:val="clear" w:color="auto" w:fill="FFFFFF"/>
            <w:tcMar>
              <w:top w:w="40" w:type="dxa"/>
              <w:left w:w="20" w:type="dxa"/>
              <w:bottom w:w="40" w:type="dxa"/>
              <w:right w:w="20" w:type="dxa"/>
            </w:tcMar>
            <w:vAlign w:val="bottom"/>
          </w:tcPr>
          <w:p w14:paraId="64297819" w14:textId="77777777" w:rsidR="007B6C97" w:rsidRDefault="00E426D1">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6429781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1B" w14:textId="77777777" w:rsidR="007B6C97" w:rsidRDefault="00E426D1">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6429781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1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1E" w14:textId="77777777" w:rsidR="007B6C97" w:rsidRDefault="00E426D1">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6429781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2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21" w14:textId="77777777" w:rsidR="007B6C97" w:rsidRDefault="00E426D1">
            <w:pPr>
              <w:jc w:val="right"/>
              <w:textAlignment w:val="bottom"/>
            </w:pPr>
            <w:r>
              <w:rPr>
                <w:rFonts w:ascii="Times New Roman" w:eastAsia="宋体" w:hAnsi="Times New Roman"/>
                <w:color w:val="000000"/>
                <w:sz w:val="20"/>
                <w:szCs w:val="20"/>
              </w:rPr>
              <w:t>47.5 </w:t>
            </w:r>
          </w:p>
        </w:tc>
        <w:tc>
          <w:tcPr>
            <w:tcW w:w="0" w:type="auto"/>
            <w:shd w:val="clear" w:color="auto" w:fill="FFFFFF"/>
            <w:tcMar>
              <w:top w:w="40" w:type="dxa"/>
              <w:left w:w="0" w:type="dxa"/>
              <w:bottom w:w="40" w:type="dxa"/>
              <w:right w:w="20" w:type="dxa"/>
            </w:tcMar>
            <w:vAlign w:val="bottom"/>
          </w:tcPr>
          <w:p w14:paraId="6429782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2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24" w14:textId="77777777" w:rsidR="007B6C97" w:rsidRDefault="00E426D1">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64297825" w14:textId="77777777" w:rsidR="007B6C97" w:rsidRDefault="007B6C97">
            <w:pPr>
              <w:jc w:val="right"/>
              <w:rPr>
                <w:rFonts w:ascii="宋体"/>
              </w:rPr>
            </w:pPr>
          </w:p>
        </w:tc>
      </w:tr>
    </w:tbl>
    <w:p w14:paraId="64297827" w14:textId="77777777" w:rsidR="007B6C97" w:rsidRDefault="00E426D1">
      <w:pPr>
        <w:jc w:val="center"/>
      </w:pPr>
      <w:r>
        <w:rPr>
          <w:rFonts w:ascii="Times New Roman" w:eastAsia="宋体" w:hAnsi="Times New Roman"/>
          <w:color w:val="000000"/>
          <w:sz w:val="20"/>
          <w:szCs w:val="20"/>
        </w:rPr>
        <w:t>14</w:t>
      </w:r>
    </w:p>
    <w:p w14:paraId="64297828" w14:textId="77777777" w:rsidR="007B6C97" w:rsidRDefault="00E426D1">
      <w:r>
        <w:pict w14:anchorId="642999E8">
          <v:rect id="_x0000_i1038" style="width:415.3pt;height:1.5pt" o:hralign="center" o:hrstd="t" o:hr="t" fillcolor="#a0a0a0" stroked="f"/>
        </w:pict>
      </w:r>
    </w:p>
    <w:p w14:paraId="64297829" w14:textId="77777777" w:rsidR="007B6C97" w:rsidRDefault="00E426D1">
      <w:hyperlink r:id="rId103" w:anchor="ie38a2b375c9840e583a36769999bbee6_7" w:history="1">
        <w:r>
          <w:rPr>
            <w:rStyle w:val="a5"/>
            <w:rFonts w:ascii="Times New Roman" w:eastAsia="宋体" w:hAnsi="Times New Roman"/>
            <w:sz w:val="20"/>
            <w:szCs w:val="20"/>
          </w:rPr>
          <w:t>Table</w:t>
        </w:r>
      </w:hyperlink>
      <w:hyperlink r:id="rId104" w:anchor="ie38a2b375c9840e583a36769999bbee6_7" w:history="1">
        <w:r>
          <w:rPr>
            <w:rStyle w:val="a5"/>
            <w:rFonts w:ascii="Times New Roman" w:eastAsia="宋体" w:hAnsi="Times New Roman"/>
            <w:sz w:val="20"/>
            <w:szCs w:val="20"/>
          </w:rPr>
          <w:t xml:space="preserve"> of Contents</w:t>
        </w:r>
      </w:hyperlink>
    </w:p>
    <w:p w14:paraId="6429782A" w14:textId="77777777" w:rsidR="007B6C97" w:rsidRDefault="00E426D1">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670"/>
        <w:gridCol w:w="36"/>
        <w:gridCol w:w="121"/>
        <w:gridCol w:w="1085"/>
        <w:gridCol w:w="36"/>
        <w:gridCol w:w="36"/>
        <w:gridCol w:w="36"/>
        <w:gridCol w:w="36"/>
        <w:gridCol w:w="121"/>
        <w:gridCol w:w="1085"/>
        <w:gridCol w:w="36"/>
      </w:tblGrid>
      <w:tr w:rsidR="007B6C97" w14:paraId="64297837" w14:textId="77777777">
        <w:tc>
          <w:tcPr>
            <w:tcW w:w="50" w:type="pct"/>
            <w:shd w:val="clear" w:color="auto" w:fill="auto"/>
            <w:vAlign w:val="bottom"/>
          </w:tcPr>
          <w:p w14:paraId="6429782B" w14:textId="77777777" w:rsidR="007B6C97" w:rsidRDefault="007B6C97">
            <w:pPr>
              <w:rPr>
                <w:rFonts w:ascii="宋体"/>
              </w:rPr>
            </w:pPr>
          </w:p>
        </w:tc>
        <w:tc>
          <w:tcPr>
            <w:tcW w:w="3439" w:type="pct"/>
            <w:shd w:val="clear" w:color="auto" w:fill="auto"/>
            <w:vAlign w:val="bottom"/>
          </w:tcPr>
          <w:p w14:paraId="6429782C" w14:textId="77777777" w:rsidR="007B6C97" w:rsidRDefault="007B6C97">
            <w:pPr>
              <w:rPr>
                <w:rFonts w:ascii="宋体"/>
              </w:rPr>
            </w:pPr>
          </w:p>
        </w:tc>
        <w:tc>
          <w:tcPr>
            <w:tcW w:w="5" w:type="pct"/>
            <w:shd w:val="clear" w:color="auto" w:fill="auto"/>
            <w:vAlign w:val="bottom"/>
          </w:tcPr>
          <w:p w14:paraId="6429782D" w14:textId="77777777" w:rsidR="007B6C97" w:rsidRDefault="007B6C97">
            <w:pPr>
              <w:rPr>
                <w:rFonts w:ascii="宋体"/>
              </w:rPr>
            </w:pPr>
          </w:p>
        </w:tc>
        <w:tc>
          <w:tcPr>
            <w:tcW w:w="50" w:type="pct"/>
            <w:shd w:val="clear" w:color="auto" w:fill="auto"/>
            <w:vAlign w:val="bottom"/>
          </w:tcPr>
          <w:p w14:paraId="6429782E" w14:textId="77777777" w:rsidR="007B6C97" w:rsidRDefault="007B6C97">
            <w:pPr>
              <w:rPr>
                <w:rFonts w:ascii="宋体"/>
              </w:rPr>
            </w:pPr>
          </w:p>
        </w:tc>
        <w:tc>
          <w:tcPr>
            <w:tcW w:w="683" w:type="pct"/>
            <w:shd w:val="clear" w:color="auto" w:fill="auto"/>
            <w:vAlign w:val="bottom"/>
          </w:tcPr>
          <w:p w14:paraId="6429782F" w14:textId="77777777" w:rsidR="007B6C97" w:rsidRDefault="007B6C97">
            <w:pPr>
              <w:rPr>
                <w:rFonts w:ascii="宋体"/>
              </w:rPr>
            </w:pPr>
          </w:p>
        </w:tc>
        <w:tc>
          <w:tcPr>
            <w:tcW w:w="5" w:type="pct"/>
            <w:shd w:val="clear" w:color="auto" w:fill="auto"/>
            <w:vAlign w:val="bottom"/>
          </w:tcPr>
          <w:p w14:paraId="64297830" w14:textId="77777777" w:rsidR="007B6C97" w:rsidRDefault="007B6C97">
            <w:pPr>
              <w:rPr>
                <w:rFonts w:ascii="宋体"/>
              </w:rPr>
            </w:pPr>
          </w:p>
        </w:tc>
        <w:tc>
          <w:tcPr>
            <w:tcW w:w="5" w:type="pct"/>
            <w:shd w:val="clear" w:color="auto" w:fill="auto"/>
            <w:vAlign w:val="bottom"/>
          </w:tcPr>
          <w:p w14:paraId="64297831" w14:textId="77777777" w:rsidR="007B6C97" w:rsidRDefault="007B6C97">
            <w:pPr>
              <w:rPr>
                <w:rFonts w:ascii="宋体"/>
              </w:rPr>
            </w:pPr>
          </w:p>
        </w:tc>
        <w:tc>
          <w:tcPr>
            <w:tcW w:w="19" w:type="pct"/>
            <w:shd w:val="clear" w:color="auto" w:fill="auto"/>
            <w:vAlign w:val="bottom"/>
          </w:tcPr>
          <w:p w14:paraId="64297832" w14:textId="77777777" w:rsidR="007B6C97" w:rsidRDefault="007B6C97">
            <w:pPr>
              <w:rPr>
                <w:rFonts w:ascii="宋体"/>
              </w:rPr>
            </w:pPr>
          </w:p>
        </w:tc>
        <w:tc>
          <w:tcPr>
            <w:tcW w:w="5" w:type="pct"/>
            <w:shd w:val="clear" w:color="auto" w:fill="auto"/>
            <w:vAlign w:val="bottom"/>
          </w:tcPr>
          <w:p w14:paraId="64297833" w14:textId="77777777" w:rsidR="007B6C97" w:rsidRDefault="007B6C97">
            <w:pPr>
              <w:rPr>
                <w:rFonts w:ascii="宋体"/>
              </w:rPr>
            </w:pPr>
          </w:p>
        </w:tc>
        <w:tc>
          <w:tcPr>
            <w:tcW w:w="50" w:type="pct"/>
            <w:shd w:val="clear" w:color="auto" w:fill="auto"/>
            <w:vAlign w:val="bottom"/>
          </w:tcPr>
          <w:p w14:paraId="64297834" w14:textId="77777777" w:rsidR="007B6C97" w:rsidRDefault="007B6C97">
            <w:pPr>
              <w:rPr>
                <w:rFonts w:ascii="宋体"/>
              </w:rPr>
            </w:pPr>
          </w:p>
        </w:tc>
        <w:tc>
          <w:tcPr>
            <w:tcW w:w="683" w:type="pct"/>
            <w:shd w:val="clear" w:color="auto" w:fill="auto"/>
            <w:vAlign w:val="bottom"/>
          </w:tcPr>
          <w:p w14:paraId="64297835" w14:textId="77777777" w:rsidR="007B6C97" w:rsidRDefault="007B6C97">
            <w:pPr>
              <w:rPr>
                <w:rFonts w:ascii="宋体"/>
              </w:rPr>
            </w:pPr>
          </w:p>
        </w:tc>
        <w:tc>
          <w:tcPr>
            <w:tcW w:w="5" w:type="pct"/>
            <w:shd w:val="clear" w:color="auto" w:fill="auto"/>
            <w:vAlign w:val="bottom"/>
          </w:tcPr>
          <w:p w14:paraId="64297836" w14:textId="77777777" w:rsidR="007B6C97" w:rsidRDefault="007B6C97">
            <w:pPr>
              <w:rPr>
                <w:rFonts w:ascii="宋体"/>
              </w:rPr>
            </w:pPr>
          </w:p>
        </w:tc>
      </w:tr>
      <w:tr w:rsidR="007B6C97" w14:paraId="6429783C" w14:textId="77777777">
        <w:tc>
          <w:tcPr>
            <w:tcW w:w="0" w:type="auto"/>
            <w:gridSpan w:val="3"/>
            <w:shd w:val="clear" w:color="auto" w:fill="auto"/>
            <w:tcMar>
              <w:top w:w="0" w:type="dxa"/>
              <w:left w:w="20" w:type="dxa"/>
              <w:bottom w:w="0" w:type="dxa"/>
              <w:right w:w="20" w:type="dxa"/>
            </w:tcMar>
            <w:vAlign w:val="bottom"/>
          </w:tcPr>
          <w:p w14:paraId="6429783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839"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83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83B"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845" w14:textId="77777777">
        <w:tc>
          <w:tcPr>
            <w:tcW w:w="0" w:type="auto"/>
            <w:gridSpan w:val="3"/>
            <w:shd w:val="clear" w:color="auto" w:fill="D7E4BC"/>
            <w:tcMar>
              <w:top w:w="40" w:type="dxa"/>
              <w:left w:w="20" w:type="dxa"/>
              <w:bottom w:w="40" w:type="dxa"/>
              <w:right w:w="20" w:type="dxa"/>
            </w:tcMar>
            <w:vAlign w:val="bottom"/>
          </w:tcPr>
          <w:p w14:paraId="6429783D" w14:textId="77777777" w:rsidR="007B6C97" w:rsidRDefault="00E426D1">
            <w:pPr>
              <w:textAlignment w:val="bottom"/>
            </w:pPr>
            <w:r>
              <w:rPr>
                <w:rFonts w:ascii="Times New Roman" w:eastAsia="宋体" w:hAnsi="Times New Roman"/>
                <w:color w:val="000000"/>
                <w:sz w:val="20"/>
                <w:szCs w:val="20"/>
              </w:rPr>
              <w:t>Coffee</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83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83F" w14:textId="77777777" w:rsidR="007B6C97" w:rsidRDefault="00E426D1">
            <w:pPr>
              <w:jc w:val="right"/>
              <w:textAlignment w:val="bottom"/>
            </w:pPr>
            <w:r>
              <w:rPr>
                <w:rFonts w:ascii="Times New Roman" w:eastAsia="宋体" w:hAnsi="Times New Roman"/>
                <w:color w:val="000000"/>
                <w:sz w:val="20"/>
                <w:szCs w:val="20"/>
              </w:rPr>
              <w:t>717 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84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41"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84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843" w14:textId="77777777" w:rsidR="007B6C97" w:rsidRDefault="00E426D1">
            <w:pPr>
              <w:jc w:val="right"/>
              <w:textAlignment w:val="bottom"/>
            </w:pPr>
            <w:r>
              <w:rPr>
                <w:rFonts w:ascii="Times New Roman" w:eastAsia="宋体" w:hAnsi="Times New Roman"/>
                <w:color w:val="000000"/>
                <w:sz w:val="20"/>
                <w:szCs w:val="20"/>
              </w:rPr>
              <w:t>481 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844" w14:textId="77777777" w:rsidR="007B6C97" w:rsidRDefault="007B6C97">
            <w:pPr>
              <w:jc w:val="right"/>
              <w:rPr>
                <w:rFonts w:ascii="宋体"/>
              </w:rPr>
            </w:pPr>
          </w:p>
        </w:tc>
      </w:tr>
      <w:tr w:rsidR="007B6C97" w14:paraId="6429784C" w14:textId="77777777">
        <w:tc>
          <w:tcPr>
            <w:tcW w:w="0" w:type="auto"/>
            <w:gridSpan w:val="3"/>
            <w:shd w:val="clear" w:color="auto" w:fill="FFFFFF"/>
            <w:tcMar>
              <w:top w:w="40" w:type="dxa"/>
              <w:left w:w="20" w:type="dxa"/>
              <w:bottom w:w="40" w:type="dxa"/>
              <w:right w:w="20" w:type="dxa"/>
            </w:tcMar>
            <w:vAlign w:val="bottom"/>
          </w:tcPr>
          <w:p w14:paraId="64297846" w14:textId="77777777" w:rsidR="007B6C97" w:rsidRDefault="00E426D1">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64297847" w14:textId="77777777" w:rsidR="007B6C97" w:rsidRDefault="00E426D1">
            <w:pPr>
              <w:jc w:val="right"/>
              <w:textAlignment w:val="bottom"/>
            </w:pPr>
            <w:r>
              <w:rPr>
                <w:rFonts w:ascii="Times New Roman" w:eastAsia="宋体" w:hAnsi="Times New Roman"/>
                <w:color w:val="000000"/>
                <w:sz w:val="20"/>
                <w:szCs w:val="20"/>
              </w:rPr>
              <w:t>757 </w:t>
            </w:r>
          </w:p>
        </w:tc>
        <w:tc>
          <w:tcPr>
            <w:tcW w:w="0" w:type="auto"/>
            <w:shd w:val="clear" w:color="auto" w:fill="FFFFFF"/>
            <w:tcMar>
              <w:top w:w="40" w:type="dxa"/>
              <w:left w:w="0" w:type="dxa"/>
              <w:bottom w:w="40" w:type="dxa"/>
              <w:right w:w="20" w:type="dxa"/>
            </w:tcMar>
            <w:vAlign w:val="bottom"/>
          </w:tcPr>
          <w:p w14:paraId="6429784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4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4A" w14:textId="77777777" w:rsidR="007B6C97" w:rsidRDefault="00E426D1">
            <w:pPr>
              <w:jc w:val="right"/>
              <w:textAlignment w:val="bottom"/>
            </w:pPr>
            <w:r>
              <w:rPr>
                <w:rFonts w:ascii="Times New Roman" w:eastAsia="宋体" w:hAnsi="Times New Roman"/>
                <w:color w:val="000000"/>
                <w:sz w:val="20"/>
                <w:szCs w:val="20"/>
              </w:rPr>
              <w:t>806 </w:t>
            </w:r>
          </w:p>
        </w:tc>
        <w:tc>
          <w:tcPr>
            <w:tcW w:w="0" w:type="auto"/>
            <w:shd w:val="clear" w:color="auto" w:fill="FFFFFF"/>
            <w:tcMar>
              <w:top w:w="40" w:type="dxa"/>
              <w:left w:w="0" w:type="dxa"/>
              <w:bottom w:w="40" w:type="dxa"/>
              <w:right w:w="20" w:type="dxa"/>
            </w:tcMar>
            <w:vAlign w:val="bottom"/>
          </w:tcPr>
          <w:p w14:paraId="6429784B" w14:textId="77777777" w:rsidR="007B6C97" w:rsidRDefault="007B6C97">
            <w:pPr>
              <w:jc w:val="right"/>
              <w:rPr>
                <w:rFonts w:ascii="宋体"/>
              </w:rPr>
            </w:pPr>
          </w:p>
        </w:tc>
      </w:tr>
      <w:tr w:rsidR="007B6C97" w14:paraId="64297853" w14:textId="77777777">
        <w:tc>
          <w:tcPr>
            <w:tcW w:w="0" w:type="auto"/>
            <w:gridSpan w:val="3"/>
            <w:shd w:val="clear" w:color="auto" w:fill="D7E4BC"/>
            <w:tcMar>
              <w:top w:w="40" w:type="dxa"/>
              <w:left w:w="20" w:type="dxa"/>
              <w:bottom w:w="40" w:type="dxa"/>
              <w:right w:w="20" w:type="dxa"/>
            </w:tcMar>
            <w:vAlign w:val="bottom"/>
          </w:tcPr>
          <w:p w14:paraId="6429784D" w14:textId="77777777" w:rsidR="007B6C97" w:rsidRDefault="00E426D1">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6429784E" w14:textId="77777777" w:rsidR="007B6C97" w:rsidRDefault="00E426D1">
            <w:pPr>
              <w:jc w:val="right"/>
              <w:textAlignment w:val="bottom"/>
            </w:pPr>
            <w:r>
              <w:rPr>
                <w:rFonts w:ascii="Times New Roman" w:eastAsia="宋体" w:hAnsi="Times New Roman"/>
                <w:color w:val="000000"/>
                <w:sz w:val="20"/>
                <w:szCs w:val="20"/>
              </w:rPr>
              <w:t>59 </w:t>
            </w:r>
          </w:p>
        </w:tc>
        <w:tc>
          <w:tcPr>
            <w:tcW w:w="0" w:type="auto"/>
            <w:shd w:val="clear" w:color="auto" w:fill="D7E4BC"/>
            <w:tcMar>
              <w:top w:w="40" w:type="dxa"/>
              <w:left w:w="0" w:type="dxa"/>
              <w:bottom w:w="40" w:type="dxa"/>
              <w:right w:w="20" w:type="dxa"/>
            </w:tcMar>
            <w:vAlign w:val="bottom"/>
          </w:tcPr>
          <w:p w14:paraId="6429784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5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51" w14:textId="77777777" w:rsidR="007B6C97" w:rsidRDefault="00E426D1">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64297852" w14:textId="77777777" w:rsidR="007B6C97" w:rsidRDefault="007B6C97">
            <w:pPr>
              <w:jc w:val="right"/>
              <w:rPr>
                <w:rFonts w:ascii="宋体"/>
              </w:rPr>
            </w:pPr>
          </w:p>
        </w:tc>
      </w:tr>
      <w:tr w:rsidR="007B6C97" w14:paraId="6429785A" w14:textId="77777777">
        <w:tc>
          <w:tcPr>
            <w:tcW w:w="0" w:type="auto"/>
            <w:gridSpan w:val="3"/>
            <w:shd w:val="clear" w:color="auto" w:fill="FFFFFF"/>
            <w:tcMar>
              <w:top w:w="40" w:type="dxa"/>
              <w:left w:w="20" w:type="dxa"/>
              <w:bottom w:w="40" w:type="dxa"/>
              <w:right w:w="20" w:type="dxa"/>
            </w:tcMar>
            <w:vAlign w:val="bottom"/>
          </w:tcPr>
          <w:p w14:paraId="64297854" w14:textId="77777777" w:rsidR="007B6C97" w:rsidRDefault="00E426D1">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64297855"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429785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5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58"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4297859" w14:textId="77777777" w:rsidR="007B6C97" w:rsidRDefault="007B6C97">
            <w:pPr>
              <w:jc w:val="right"/>
              <w:rPr>
                <w:rFonts w:ascii="宋体"/>
              </w:rPr>
            </w:pPr>
          </w:p>
        </w:tc>
      </w:tr>
      <w:tr w:rsidR="007B6C97" w14:paraId="64297861" w14:textId="77777777">
        <w:tc>
          <w:tcPr>
            <w:tcW w:w="0" w:type="auto"/>
            <w:gridSpan w:val="3"/>
            <w:shd w:val="clear" w:color="auto" w:fill="D7E4BC"/>
            <w:tcMar>
              <w:top w:w="40" w:type="dxa"/>
              <w:left w:w="20" w:type="dxa"/>
              <w:bottom w:w="40" w:type="dxa"/>
              <w:right w:w="20" w:type="dxa"/>
            </w:tcMar>
            <w:vAlign w:val="bottom"/>
          </w:tcPr>
          <w:p w14:paraId="6429785B" w14:textId="77777777" w:rsidR="007B6C97" w:rsidRDefault="00E426D1">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6429785C" w14:textId="77777777" w:rsidR="007B6C97" w:rsidRDefault="00E426D1">
            <w:pPr>
              <w:jc w:val="right"/>
              <w:textAlignment w:val="bottom"/>
            </w:pPr>
            <w:r>
              <w:rPr>
                <w:rFonts w:ascii="Times New Roman" w:eastAsia="宋体" w:hAnsi="Times New Roman"/>
                <w:color w:val="000000"/>
                <w:sz w:val="20"/>
                <w:szCs w:val="20"/>
              </w:rPr>
              <w:t>1,158 </w:t>
            </w:r>
          </w:p>
        </w:tc>
        <w:tc>
          <w:tcPr>
            <w:tcW w:w="0" w:type="auto"/>
            <w:shd w:val="clear" w:color="auto" w:fill="D7E4BC"/>
            <w:tcMar>
              <w:top w:w="40" w:type="dxa"/>
              <w:left w:w="0" w:type="dxa"/>
              <w:bottom w:w="40" w:type="dxa"/>
              <w:right w:w="20" w:type="dxa"/>
            </w:tcMar>
            <w:vAlign w:val="bottom"/>
          </w:tcPr>
          <w:p w14:paraId="642978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5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5F" w14:textId="77777777" w:rsidR="007B6C97" w:rsidRDefault="00E426D1">
            <w:pPr>
              <w:jc w:val="right"/>
              <w:textAlignment w:val="bottom"/>
            </w:pPr>
            <w:r>
              <w:rPr>
                <w:rFonts w:ascii="Times New Roman" w:eastAsia="宋体" w:hAnsi="Times New Roman"/>
                <w:color w:val="000000"/>
                <w:sz w:val="20"/>
                <w:szCs w:val="20"/>
              </w:rPr>
              <w:t>1,009 </w:t>
            </w:r>
          </w:p>
        </w:tc>
        <w:tc>
          <w:tcPr>
            <w:tcW w:w="0" w:type="auto"/>
            <w:shd w:val="clear" w:color="auto" w:fill="D7E4BC"/>
            <w:tcMar>
              <w:top w:w="40" w:type="dxa"/>
              <w:left w:w="0" w:type="dxa"/>
              <w:bottom w:w="40" w:type="dxa"/>
              <w:right w:w="20" w:type="dxa"/>
            </w:tcMar>
            <w:vAlign w:val="bottom"/>
          </w:tcPr>
          <w:p w14:paraId="64297860" w14:textId="77777777" w:rsidR="007B6C97" w:rsidRDefault="007B6C97">
            <w:pPr>
              <w:jc w:val="right"/>
              <w:rPr>
                <w:rFonts w:ascii="宋体"/>
              </w:rPr>
            </w:pPr>
          </w:p>
        </w:tc>
      </w:tr>
      <w:tr w:rsidR="007B6C97" w14:paraId="64297868" w14:textId="77777777">
        <w:tc>
          <w:tcPr>
            <w:tcW w:w="0" w:type="auto"/>
            <w:gridSpan w:val="3"/>
            <w:shd w:val="clear" w:color="auto" w:fill="FFFFFF"/>
            <w:tcMar>
              <w:top w:w="40" w:type="dxa"/>
              <w:left w:w="20" w:type="dxa"/>
              <w:bottom w:w="40" w:type="dxa"/>
              <w:right w:w="20" w:type="dxa"/>
            </w:tcMar>
            <w:vAlign w:val="bottom"/>
          </w:tcPr>
          <w:p w14:paraId="64297862" w14:textId="77777777" w:rsidR="007B6C97" w:rsidRDefault="00E426D1">
            <w:pPr>
              <w:textAlignment w:val="bottom"/>
            </w:pPr>
            <w:r>
              <w:rPr>
                <w:rFonts w:ascii="Times New Roman" w:eastAsia="宋体" w:hAnsi="Times New Roman"/>
                <w:color w:val="000000"/>
                <w:sz w:val="20"/>
                <w:szCs w:val="20"/>
              </w:rPr>
              <w:t>Interest rate swaps</w:t>
            </w:r>
          </w:p>
        </w:tc>
        <w:tc>
          <w:tcPr>
            <w:tcW w:w="0" w:type="auto"/>
            <w:gridSpan w:val="2"/>
            <w:shd w:val="clear" w:color="auto" w:fill="FFFFFF"/>
            <w:tcMar>
              <w:top w:w="40" w:type="dxa"/>
              <w:left w:w="20" w:type="dxa"/>
              <w:bottom w:w="40" w:type="dxa"/>
              <w:right w:w="0" w:type="dxa"/>
            </w:tcMar>
            <w:vAlign w:val="bottom"/>
          </w:tcPr>
          <w:p w14:paraId="64297863" w14:textId="77777777" w:rsidR="007B6C97" w:rsidRDefault="00E426D1">
            <w:pPr>
              <w:jc w:val="right"/>
              <w:textAlignment w:val="bottom"/>
            </w:pPr>
            <w:r>
              <w:rPr>
                <w:rFonts w:ascii="Times New Roman" w:eastAsia="宋体" w:hAnsi="Times New Roman"/>
                <w:color w:val="000000"/>
                <w:sz w:val="20"/>
                <w:szCs w:val="20"/>
              </w:rPr>
              <w:t>1,600 </w:t>
            </w:r>
          </w:p>
        </w:tc>
        <w:tc>
          <w:tcPr>
            <w:tcW w:w="0" w:type="auto"/>
            <w:shd w:val="clear" w:color="auto" w:fill="FFFFFF"/>
            <w:tcMar>
              <w:top w:w="40" w:type="dxa"/>
              <w:left w:w="0" w:type="dxa"/>
              <w:bottom w:w="40" w:type="dxa"/>
              <w:right w:w="20" w:type="dxa"/>
            </w:tcMar>
            <w:vAlign w:val="bottom"/>
          </w:tcPr>
          <w:p w14:paraId="6429786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6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66" w14:textId="77777777" w:rsidR="007B6C97" w:rsidRDefault="00E426D1">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64297867" w14:textId="77777777" w:rsidR="007B6C97" w:rsidRDefault="007B6C97">
            <w:pPr>
              <w:jc w:val="right"/>
              <w:rPr>
                <w:rFonts w:ascii="宋体"/>
              </w:rPr>
            </w:pPr>
          </w:p>
        </w:tc>
      </w:tr>
    </w:tbl>
    <w:p w14:paraId="64297869" w14:textId="77777777" w:rsidR="007B6C97" w:rsidRDefault="00E426D1">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r>
        <w:rPr>
          <w:rFonts w:ascii="Times New Roman" w:eastAsia="宋体" w:hAnsi="Times New Roman"/>
          <w:color w:val="000000"/>
          <w:sz w:val="20"/>
          <w:szCs w:val="20"/>
        </w:rPr>
        <w:t>) including the location of the asset and/or liability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3"/>
        <w:gridCol w:w="2614"/>
        <w:gridCol w:w="37"/>
        <w:gridCol w:w="38"/>
        <w:gridCol w:w="2862"/>
        <w:gridCol w:w="37"/>
        <w:gridCol w:w="36"/>
        <w:gridCol w:w="36"/>
        <w:gridCol w:w="36"/>
        <w:gridCol w:w="120"/>
        <w:gridCol w:w="1088"/>
        <w:gridCol w:w="36"/>
        <w:gridCol w:w="36"/>
        <w:gridCol w:w="36"/>
        <w:gridCol w:w="36"/>
        <w:gridCol w:w="120"/>
        <w:gridCol w:w="1089"/>
        <w:gridCol w:w="36"/>
      </w:tblGrid>
      <w:tr w:rsidR="007B6C97" w14:paraId="6429787C" w14:textId="77777777">
        <w:tc>
          <w:tcPr>
            <w:tcW w:w="50" w:type="pct"/>
            <w:shd w:val="clear" w:color="auto" w:fill="auto"/>
            <w:vAlign w:val="bottom"/>
          </w:tcPr>
          <w:p w14:paraId="6429786A" w14:textId="77777777" w:rsidR="007B6C97" w:rsidRDefault="007B6C97">
            <w:pPr>
              <w:rPr>
                <w:rFonts w:ascii="宋体"/>
              </w:rPr>
            </w:pPr>
          </w:p>
        </w:tc>
        <w:tc>
          <w:tcPr>
            <w:tcW w:w="1604" w:type="pct"/>
            <w:shd w:val="clear" w:color="auto" w:fill="auto"/>
            <w:vAlign w:val="bottom"/>
          </w:tcPr>
          <w:p w14:paraId="6429786B" w14:textId="77777777" w:rsidR="007B6C97" w:rsidRDefault="007B6C97">
            <w:pPr>
              <w:rPr>
                <w:rFonts w:ascii="宋体"/>
              </w:rPr>
            </w:pPr>
          </w:p>
        </w:tc>
        <w:tc>
          <w:tcPr>
            <w:tcW w:w="5" w:type="pct"/>
            <w:shd w:val="clear" w:color="auto" w:fill="auto"/>
            <w:vAlign w:val="bottom"/>
          </w:tcPr>
          <w:p w14:paraId="6429786C" w14:textId="77777777" w:rsidR="007B6C97" w:rsidRDefault="007B6C97">
            <w:pPr>
              <w:rPr>
                <w:rFonts w:ascii="宋体"/>
              </w:rPr>
            </w:pPr>
          </w:p>
        </w:tc>
        <w:tc>
          <w:tcPr>
            <w:tcW w:w="50" w:type="pct"/>
            <w:shd w:val="clear" w:color="auto" w:fill="auto"/>
            <w:vAlign w:val="bottom"/>
          </w:tcPr>
          <w:p w14:paraId="6429786D" w14:textId="77777777" w:rsidR="007B6C97" w:rsidRDefault="007B6C97">
            <w:pPr>
              <w:rPr>
                <w:rFonts w:ascii="宋体"/>
              </w:rPr>
            </w:pPr>
          </w:p>
        </w:tc>
        <w:tc>
          <w:tcPr>
            <w:tcW w:w="1750" w:type="pct"/>
            <w:shd w:val="clear" w:color="auto" w:fill="auto"/>
            <w:vAlign w:val="bottom"/>
          </w:tcPr>
          <w:p w14:paraId="6429786E" w14:textId="77777777" w:rsidR="007B6C97" w:rsidRDefault="007B6C97">
            <w:pPr>
              <w:rPr>
                <w:rFonts w:ascii="宋体"/>
              </w:rPr>
            </w:pPr>
          </w:p>
        </w:tc>
        <w:tc>
          <w:tcPr>
            <w:tcW w:w="5" w:type="pct"/>
            <w:shd w:val="clear" w:color="auto" w:fill="auto"/>
            <w:vAlign w:val="bottom"/>
          </w:tcPr>
          <w:p w14:paraId="6429786F" w14:textId="77777777" w:rsidR="007B6C97" w:rsidRDefault="007B6C97">
            <w:pPr>
              <w:rPr>
                <w:rFonts w:ascii="宋体"/>
              </w:rPr>
            </w:pPr>
          </w:p>
        </w:tc>
        <w:tc>
          <w:tcPr>
            <w:tcW w:w="5" w:type="pct"/>
            <w:shd w:val="clear" w:color="auto" w:fill="auto"/>
            <w:vAlign w:val="bottom"/>
          </w:tcPr>
          <w:p w14:paraId="64297870" w14:textId="77777777" w:rsidR="007B6C97" w:rsidRDefault="007B6C97">
            <w:pPr>
              <w:rPr>
                <w:rFonts w:ascii="宋体"/>
              </w:rPr>
            </w:pPr>
          </w:p>
        </w:tc>
        <w:tc>
          <w:tcPr>
            <w:tcW w:w="19" w:type="pct"/>
            <w:shd w:val="clear" w:color="auto" w:fill="auto"/>
            <w:vAlign w:val="bottom"/>
          </w:tcPr>
          <w:p w14:paraId="64297871" w14:textId="77777777" w:rsidR="007B6C97" w:rsidRDefault="007B6C97">
            <w:pPr>
              <w:rPr>
                <w:rFonts w:ascii="宋体"/>
              </w:rPr>
            </w:pPr>
          </w:p>
        </w:tc>
        <w:tc>
          <w:tcPr>
            <w:tcW w:w="5" w:type="pct"/>
            <w:shd w:val="clear" w:color="auto" w:fill="auto"/>
            <w:vAlign w:val="bottom"/>
          </w:tcPr>
          <w:p w14:paraId="64297872" w14:textId="77777777" w:rsidR="007B6C97" w:rsidRDefault="007B6C97">
            <w:pPr>
              <w:rPr>
                <w:rFonts w:ascii="宋体"/>
              </w:rPr>
            </w:pPr>
          </w:p>
        </w:tc>
        <w:tc>
          <w:tcPr>
            <w:tcW w:w="50" w:type="pct"/>
            <w:shd w:val="clear" w:color="auto" w:fill="auto"/>
            <w:vAlign w:val="bottom"/>
          </w:tcPr>
          <w:p w14:paraId="64297873" w14:textId="77777777" w:rsidR="007B6C97" w:rsidRDefault="007B6C97">
            <w:pPr>
              <w:rPr>
                <w:rFonts w:ascii="宋体"/>
              </w:rPr>
            </w:pPr>
          </w:p>
        </w:tc>
        <w:tc>
          <w:tcPr>
            <w:tcW w:w="683" w:type="pct"/>
            <w:shd w:val="clear" w:color="auto" w:fill="auto"/>
            <w:vAlign w:val="bottom"/>
          </w:tcPr>
          <w:p w14:paraId="64297874" w14:textId="77777777" w:rsidR="007B6C97" w:rsidRDefault="007B6C97">
            <w:pPr>
              <w:rPr>
                <w:rFonts w:ascii="宋体"/>
              </w:rPr>
            </w:pPr>
          </w:p>
        </w:tc>
        <w:tc>
          <w:tcPr>
            <w:tcW w:w="5" w:type="pct"/>
            <w:shd w:val="clear" w:color="auto" w:fill="auto"/>
            <w:vAlign w:val="bottom"/>
          </w:tcPr>
          <w:p w14:paraId="64297875" w14:textId="77777777" w:rsidR="007B6C97" w:rsidRDefault="007B6C97">
            <w:pPr>
              <w:rPr>
                <w:rFonts w:ascii="宋体"/>
              </w:rPr>
            </w:pPr>
          </w:p>
        </w:tc>
        <w:tc>
          <w:tcPr>
            <w:tcW w:w="5" w:type="pct"/>
            <w:shd w:val="clear" w:color="auto" w:fill="auto"/>
            <w:vAlign w:val="bottom"/>
          </w:tcPr>
          <w:p w14:paraId="64297876" w14:textId="77777777" w:rsidR="007B6C97" w:rsidRDefault="007B6C97">
            <w:pPr>
              <w:rPr>
                <w:rFonts w:ascii="宋体"/>
              </w:rPr>
            </w:pPr>
          </w:p>
        </w:tc>
        <w:tc>
          <w:tcPr>
            <w:tcW w:w="19" w:type="pct"/>
            <w:shd w:val="clear" w:color="auto" w:fill="auto"/>
            <w:vAlign w:val="bottom"/>
          </w:tcPr>
          <w:p w14:paraId="64297877" w14:textId="77777777" w:rsidR="007B6C97" w:rsidRDefault="007B6C97">
            <w:pPr>
              <w:rPr>
                <w:rFonts w:ascii="宋体"/>
              </w:rPr>
            </w:pPr>
          </w:p>
        </w:tc>
        <w:tc>
          <w:tcPr>
            <w:tcW w:w="5" w:type="pct"/>
            <w:shd w:val="clear" w:color="auto" w:fill="auto"/>
            <w:vAlign w:val="bottom"/>
          </w:tcPr>
          <w:p w14:paraId="64297878" w14:textId="77777777" w:rsidR="007B6C97" w:rsidRDefault="007B6C97">
            <w:pPr>
              <w:rPr>
                <w:rFonts w:ascii="宋体"/>
              </w:rPr>
            </w:pPr>
          </w:p>
        </w:tc>
        <w:tc>
          <w:tcPr>
            <w:tcW w:w="50" w:type="pct"/>
            <w:shd w:val="clear" w:color="auto" w:fill="auto"/>
            <w:vAlign w:val="bottom"/>
          </w:tcPr>
          <w:p w14:paraId="64297879" w14:textId="77777777" w:rsidR="007B6C97" w:rsidRDefault="007B6C97">
            <w:pPr>
              <w:rPr>
                <w:rFonts w:ascii="宋体"/>
              </w:rPr>
            </w:pPr>
          </w:p>
        </w:tc>
        <w:tc>
          <w:tcPr>
            <w:tcW w:w="683" w:type="pct"/>
            <w:shd w:val="clear" w:color="auto" w:fill="auto"/>
            <w:vAlign w:val="bottom"/>
          </w:tcPr>
          <w:p w14:paraId="6429787A" w14:textId="77777777" w:rsidR="007B6C97" w:rsidRDefault="007B6C97">
            <w:pPr>
              <w:rPr>
                <w:rFonts w:ascii="宋体"/>
              </w:rPr>
            </w:pPr>
          </w:p>
        </w:tc>
        <w:tc>
          <w:tcPr>
            <w:tcW w:w="5" w:type="pct"/>
            <w:shd w:val="clear" w:color="auto" w:fill="auto"/>
            <w:vAlign w:val="bottom"/>
          </w:tcPr>
          <w:p w14:paraId="6429787B" w14:textId="77777777" w:rsidR="007B6C97" w:rsidRDefault="007B6C97">
            <w:pPr>
              <w:rPr>
                <w:rFonts w:ascii="宋体"/>
              </w:rPr>
            </w:pPr>
          </w:p>
        </w:tc>
      </w:tr>
      <w:tr w:rsidR="007B6C97" w14:paraId="64297881" w14:textId="77777777">
        <w:tc>
          <w:tcPr>
            <w:tcW w:w="0" w:type="auto"/>
            <w:gridSpan w:val="3"/>
            <w:shd w:val="clear" w:color="auto" w:fill="auto"/>
            <w:tcMar>
              <w:top w:w="0" w:type="dxa"/>
              <w:left w:w="20" w:type="dxa"/>
              <w:bottom w:w="0" w:type="dxa"/>
              <w:right w:w="20" w:type="dxa"/>
            </w:tcMar>
            <w:vAlign w:val="bottom"/>
          </w:tcPr>
          <w:p w14:paraId="6429787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87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787F"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880" w14:textId="77777777" w:rsidR="007B6C97" w:rsidRDefault="00E426D1">
            <w:pPr>
              <w:jc w:val="center"/>
              <w:textAlignment w:val="bottom"/>
            </w:pPr>
            <w:r>
              <w:rPr>
                <w:rFonts w:ascii="Times New Roman" w:eastAsia="宋体" w:hAnsi="Times New Roman"/>
                <w:b/>
                <w:bCs/>
                <w:color w:val="FFFFFF"/>
                <w:sz w:val="16"/>
                <w:szCs w:val="16"/>
              </w:rPr>
              <w:t>Derivative Assets</w:t>
            </w:r>
          </w:p>
        </w:tc>
      </w:tr>
      <w:tr w:rsidR="007B6C97" w14:paraId="64297888" w14:textId="77777777">
        <w:tc>
          <w:tcPr>
            <w:tcW w:w="0" w:type="auto"/>
            <w:gridSpan w:val="3"/>
            <w:shd w:val="clear" w:color="auto" w:fill="auto"/>
            <w:tcMar>
              <w:top w:w="0" w:type="dxa"/>
              <w:left w:w="20" w:type="dxa"/>
              <w:bottom w:w="0" w:type="dxa"/>
              <w:right w:w="20" w:type="dxa"/>
            </w:tcMar>
            <w:vAlign w:val="bottom"/>
          </w:tcPr>
          <w:p w14:paraId="6429788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883" w14:textId="77777777" w:rsidR="007B6C97" w:rsidRDefault="00E426D1">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4297884"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885"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88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887"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88F" w14:textId="77777777">
        <w:tc>
          <w:tcPr>
            <w:tcW w:w="0" w:type="auto"/>
            <w:gridSpan w:val="3"/>
            <w:shd w:val="clear" w:color="auto" w:fill="D7E4BC"/>
            <w:tcMar>
              <w:top w:w="40" w:type="dxa"/>
              <w:left w:w="20" w:type="dxa"/>
              <w:bottom w:w="40" w:type="dxa"/>
              <w:right w:w="20" w:type="dxa"/>
            </w:tcMar>
            <w:vAlign w:val="bottom"/>
          </w:tcPr>
          <w:p w14:paraId="64297889" w14:textId="77777777" w:rsidR="007B6C97" w:rsidRDefault="00E426D1">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88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8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88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8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88E" w14:textId="77777777" w:rsidR="007B6C97" w:rsidRDefault="007B6C97">
            <w:pPr>
              <w:rPr>
                <w:rFonts w:ascii="宋体"/>
              </w:rPr>
            </w:pPr>
          </w:p>
        </w:tc>
      </w:tr>
      <w:tr w:rsidR="007B6C97" w14:paraId="6429789A" w14:textId="77777777">
        <w:tc>
          <w:tcPr>
            <w:tcW w:w="0" w:type="auto"/>
            <w:gridSpan w:val="3"/>
            <w:shd w:val="clear" w:color="auto" w:fill="FFFFFF"/>
            <w:tcMar>
              <w:top w:w="40" w:type="dxa"/>
              <w:left w:w="155" w:type="dxa"/>
              <w:bottom w:w="40" w:type="dxa"/>
              <w:right w:w="20" w:type="dxa"/>
            </w:tcMar>
            <w:vAlign w:val="bottom"/>
          </w:tcPr>
          <w:p w14:paraId="64297890" w14:textId="77777777" w:rsidR="007B6C97" w:rsidRDefault="00E426D1">
            <w:pPr>
              <w:textAlignment w:val="bottom"/>
            </w:pPr>
            <w:r>
              <w:rPr>
                <w:rFonts w:ascii="Times New Roman" w:eastAsia="宋体" w:hAnsi="Times New Roman"/>
                <w:color w:val="000000"/>
                <w:sz w:val="20"/>
                <w:szCs w:val="20"/>
              </w:rPr>
              <w:t>Cross-currency swaps</w:t>
            </w:r>
          </w:p>
        </w:tc>
        <w:tc>
          <w:tcPr>
            <w:tcW w:w="0" w:type="auto"/>
            <w:gridSpan w:val="3"/>
            <w:shd w:val="clear" w:color="auto" w:fill="FFFFFF"/>
            <w:tcMar>
              <w:top w:w="40" w:type="dxa"/>
              <w:left w:w="20" w:type="dxa"/>
              <w:bottom w:w="40" w:type="dxa"/>
              <w:right w:w="20" w:type="dxa"/>
            </w:tcMar>
            <w:vAlign w:val="bottom"/>
          </w:tcPr>
          <w:p w14:paraId="64297891" w14:textId="77777777" w:rsidR="007B6C97" w:rsidRDefault="00E426D1">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64297892"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893"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894" w14:textId="77777777" w:rsidR="007B6C97" w:rsidRDefault="00E426D1">
            <w:pPr>
              <w:jc w:val="right"/>
              <w:textAlignment w:val="bottom"/>
            </w:pPr>
            <w:r>
              <w:rPr>
                <w:rFonts w:ascii="Times New Roman" w:eastAsia="宋体" w:hAnsi="Times New Roman"/>
                <w:color w:val="000000"/>
                <w:sz w:val="20"/>
                <w:szCs w:val="20"/>
              </w:rPr>
              <w:t>114.0 </w:t>
            </w:r>
          </w:p>
        </w:tc>
        <w:tc>
          <w:tcPr>
            <w:tcW w:w="0" w:type="auto"/>
            <w:shd w:val="clear" w:color="auto" w:fill="FFFFFF"/>
            <w:tcMar>
              <w:top w:w="40" w:type="dxa"/>
              <w:left w:w="0" w:type="dxa"/>
              <w:bottom w:w="40" w:type="dxa"/>
              <w:right w:w="20" w:type="dxa"/>
            </w:tcMar>
            <w:vAlign w:val="bottom"/>
          </w:tcPr>
          <w:p w14:paraId="6429789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96"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897"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898" w14:textId="77777777" w:rsidR="007B6C97" w:rsidRDefault="00E426D1">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64297899" w14:textId="77777777" w:rsidR="007B6C97" w:rsidRDefault="007B6C97">
            <w:pPr>
              <w:jc w:val="right"/>
              <w:rPr>
                <w:rFonts w:ascii="宋体"/>
              </w:rPr>
            </w:pPr>
          </w:p>
        </w:tc>
      </w:tr>
      <w:tr w:rsidR="007B6C97" w14:paraId="642978A3" w14:textId="77777777">
        <w:tc>
          <w:tcPr>
            <w:tcW w:w="0" w:type="auto"/>
            <w:gridSpan w:val="3"/>
            <w:shd w:val="clear" w:color="auto" w:fill="D7E4BC"/>
            <w:tcMar>
              <w:top w:w="40" w:type="dxa"/>
              <w:left w:w="155" w:type="dxa"/>
              <w:bottom w:w="40" w:type="dxa"/>
              <w:right w:w="20" w:type="dxa"/>
            </w:tcMar>
            <w:vAlign w:val="bottom"/>
          </w:tcPr>
          <w:p w14:paraId="6429789B" w14:textId="77777777" w:rsidR="007B6C97" w:rsidRDefault="00E426D1">
            <w:pPr>
              <w:textAlignment w:val="bottom"/>
            </w:pPr>
            <w:r>
              <w:rPr>
                <w:rFonts w:ascii="Times New Roman" w:eastAsia="宋体" w:hAnsi="Times New Roman"/>
                <w:color w:val="000000"/>
                <w:sz w:val="20"/>
                <w:szCs w:val="20"/>
              </w:rPr>
              <w:t>Coffee</w:t>
            </w:r>
          </w:p>
        </w:tc>
        <w:tc>
          <w:tcPr>
            <w:tcW w:w="0" w:type="auto"/>
            <w:gridSpan w:val="3"/>
            <w:shd w:val="clear" w:color="auto" w:fill="D7E4BC"/>
            <w:tcMar>
              <w:top w:w="40" w:type="dxa"/>
              <w:left w:w="20" w:type="dxa"/>
              <w:bottom w:w="40" w:type="dxa"/>
              <w:right w:w="20" w:type="dxa"/>
            </w:tcMar>
          </w:tcPr>
          <w:p w14:paraId="6429789C" w14:textId="77777777" w:rsidR="007B6C97" w:rsidRDefault="00E426D1">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42978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9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89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A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A1" w14:textId="77777777" w:rsidR="007B6C97" w:rsidRDefault="00E426D1">
            <w:pPr>
              <w:jc w:val="right"/>
              <w:textAlignment w:val="bottom"/>
            </w:pPr>
            <w:r>
              <w:rPr>
                <w:rFonts w:ascii="Times New Roman" w:eastAsia="宋体" w:hAnsi="Times New Roman"/>
                <w:color w:val="000000"/>
                <w:sz w:val="20"/>
                <w:szCs w:val="20"/>
              </w:rPr>
              <w:t>130.5 </w:t>
            </w:r>
          </w:p>
        </w:tc>
        <w:tc>
          <w:tcPr>
            <w:tcW w:w="0" w:type="auto"/>
            <w:shd w:val="clear" w:color="auto" w:fill="D7E4BC"/>
            <w:tcMar>
              <w:top w:w="40" w:type="dxa"/>
              <w:left w:w="0" w:type="dxa"/>
              <w:bottom w:w="40" w:type="dxa"/>
              <w:right w:w="20" w:type="dxa"/>
            </w:tcMar>
            <w:vAlign w:val="bottom"/>
          </w:tcPr>
          <w:p w14:paraId="642978A2" w14:textId="77777777" w:rsidR="007B6C97" w:rsidRDefault="007B6C97">
            <w:pPr>
              <w:jc w:val="right"/>
              <w:rPr>
                <w:rFonts w:ascii="宋体"/>
              </w:rPr>
            </w:pPr>
          </w:p>
        </w:tc>
      </w:tr>
      <w:tr w:rsidR="007B6C97" w14:paraId="642978AC" w14:textId="77777777">
        <w:tc>
          <w:tcPr>
            <w:tcW w:w="0" w:type="auto"/>
            <w:gridSpan w:val="3"/>
            <w:shd w:val="clear" w:color="auto" w:fill="FFFFFF"/>
            <w:tcMar>
              <w:top w:w="40" w:type="dxa"/>
              <w:left w:w="155" w:type="dxa"/>
              <w:bottom w:w="40" w:type="dxa"/>
              <w:right w:w="20" w:type="dxa"/>
            </w:tcMar>
            <w:vAlign w:val="bottom"/>
          </w:tcPr>
          <w:p w14:paraId="642978A4" w14:textId="77777777" w:rsidR="007B6C97" w:rsidRDefault="00E426D1">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642978A5" w14:textId="77777777" w:rsidR="007B6C97" w:rsidRDefault="00E426D1">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top w:w="0" w:type="dxa"/>
              <w:left w:w="20" w:type="dxa"/>
              <w:bottom w:w="0" w:type="dxa"/>
              <w:right w:w="20" w:type="dxa"/>
            </w:tcMar>
            <w:vAlign w:val="bottom"/>
          </w:tcPr>
          <w:p w14:paraId="642978A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A7"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42978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8A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8AA"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78AB" w14:textId="77777777" w:rsidR="007B6C97" w:rsidRDefault="007B6C97">
            <w:pPr>
              <w:jc w:val="right"/>
              <w:rPr>
                <w:rFonts w:ascii="宋体"/>
              </w:rPr>
            </w:pPr>
          </w:p>
        </w:tc>
      </w:tr>
      <w:tr w:rsidR="007B6C97" w14:paraId="642978B3" w14:textId="77777777">
        <w:trPr>
          <w:hidden/>
        </w:trPr>
        <w:tc>
          <w:tcPr>
            <w:tcW w:w="0" w:type="auto"/>
            <w:gridSpan w:val="3"/>
            <w:shd w:val="clear" w:color="auto" w:fill="auto"/>
            <w:vAlign w:val="bottom"/>
          </w:tcPr>
          <w:p w14:paraId="642978AD" w14:textId="77777777" w:rsidR="007B6C97" w:rsidRDefault="007B6C97">
            <w:pPr>
              <w:rPr>
                <w:rFonts w:ascii="宋体"/>
                <w:vanish/>
              </w:rPr>
            </w:pPr>
          </w:p>
        </w:tc>
        <w:tc>
          <w:tcPr>
            <w:tcW w:w="0" w:type="auto"/>
            <w:gridSpan w:val="3"/>
            <w:shd w:val="clear" w:color="auto" w:fill="auto"/>
            <w:vAlign w:val="bottom"/>
          </w:tcPr>
          <w:p w14:paraId="642978AE" w14:textId="77777777" w:rsidR="007B6C97" w:rsidRDefault="007B6C97">
            <w:pPr>
              <w:rPr>
                <w:rFonts w:ascii="宋体"/>
                <w:vanish/>
              </w:rPr>
            </w:pPr>
          </w:p>
        </w:tc>
        <w:tc>
          <w:tcPr>
            <w:tcW w:w="0" w:type="auto"/>
            <w:gridSpan w:val="3"/>
            <w:shd w:val="clear" w:color="auto" w:fill="auto"/>
            <w:vAlign w:val="bottom"/>
          </w:tcPr>
          <w:p w14:paraId="642978AF" w14:textId="77777777" w:rsidR="007B6C97" w:rsidRDefault="007B6C97">
            <w:pPr>
              <w:rPr>
                <w:rFonts w:ascii="宋体"/>
                <w:vanish/>
              </w:rPr>
            </w:pPr>
          </w:p>
        </w:tc>
        <w:tc>
          <w:tcPr>
            <w:tcW w:w="0" w:type="auto"/>
            <w:gridSpan w:val="3"/>
            <w:shd w:val="clear" w:color="auto" w:fill="auto"/>
            <w:vAlign w:val="bottom"/>
          </w:tcPr>
          <w:p w14:paraId="642978B0" w14:textId="77777777" w:rsidR="007B6C97" w:rsidRDefault="007B6C97">
            <w:pPr>
              <w:rPr>
                <w:rFonts w:ascii="宋体"/>
                <w:vanish/>
              </w:rPr>
            </w:pPr>
          </w:p>
        </w:tc>
        <w:tc>
          <w:tcPr>
            <w:tcW w:w="0" w:type="auto"/>
            <w:gridSpan w:val="3"/>
            <w:shd w:val="clear" w:color="auto" w:fill="auto"/>
            <w:vAlign w:val="bottom"/>
          </w:tcPr>
          <w:p w14:paraId="642978B1" w14:textId="77777777" w:rsidR="007B6C97" w:rsidRDefault="007B6C97">
            <w:pPr>
              <w:rPr>
                <w:rFonts w:ascii="宋体"/>
                <w:vanish/>
              </w:rPr>
            </w:pPr>
          </w:p>
        </w:tc>
        <w:tc>
          <w:tcPr>
            <w:tcW w:w="0" w:type="auto"/>
            <w:gridSpan w:val="3"/>
            <w:shd w:val="clear" w:color="auto" w:fill="auto"/>
            <w:vAlign w:val="bottom"/>
          </w:tcPr>
          <w:p w14:paraId="642978B2" w14:textId="77777777" w:rsidR="007B6C97" w:rsidRDefault="007B6C97">
            <w:pPr>
              <w:rPr>
                <w:rFonts w:ascii="宋体"/>
                <w:vanish/>
              </w:rPr>
            </w:pPr>
          </w:p>
        </w:tc>
      </w:tr>
      <w:tr w:rsidR="007B6C97" w14:paraId="642978BC" w14:textId="77777777">
        <w:trPr>
          <w:trHeight w:val="300"/>
        </w:trPr>
        <w:tc>
          <w:tcPr>
            <w:tcW w:w="0" w:type="auto"/>
            <w:gridSpan w:val="3"/>
            <w:vMerge w:val="restart"/>
            <w:shd w:val="clear" w:color="auto" w:fill="D7E4BC"/>
            <w:tcMar>
              <w:top w:w="40" w:type="dxa"/>
              <w:left w:w="155" w:type="dxa"/>
              <w:bottom w:w="40" w:type="dxa"/>
              <w:right w:w="20" w:type="dxa"/>
            </w:tcMar>
          </w:tcPr>
          <w:p w14:paraId="642978B4" w14:textId="77777777" w:rsidR="007B6C97" w:rsidRDefault="00E426D1">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42978B5" w14:textId="77777777" w:rsidR="007B6C97" w:rsidRDefault="00E426D1">
            <w:pPr>
              <w:textAlignment w:val="bottom"/>
            </w:pPr>
            <w:r>
              <w:rPr>
                <w:rFonts w:ascii="Times New Roman" w:eastAsia="宋体" w:hAnsi="Times New Roman"/>
                <w:color w:val="000000"/>
                <w:sz w:val="20"/>
                <w:szCs w:val="20"/>
              </w:rPr>
              <w:t xml:space="preserve">Prepaid expenses and </w:t>
            </w:r>
            <w:r>
              <w:rPr>
                <w:rFonts w:ascii="Times New Roman" w:eastAsia="宋体" w:hAnsi="Times New Roman"/>
                <w:color w:val="000000"/>
                <w:sz w:val="20"/>
                <w:szCs w:val="20"/>
              </w:rPr>
              <w:t>other current assets</w:t>
            </w:r>
          </w:p>
        </w:tc>
        <w:tc>
          <w:tcPr>
            <w:tcW w:w="0" w:type="auto"/>
            <w:gridSpan w:val="3"/>
            <w:shd w:val="clear" w:color="auto" w:fill="D7E4BC"/>
            <w:tcMar>
              <w:top w:w="0" w:type="dxa"/>
              <w:left w:w="20" w:type="dxa"/>
              <w:bottom w:w="0" w:type="dxa"/>
              <w:right w:w="20" w:type="dxa"/>
            </w:tcMar>
            <w:vAlign w:val="bottom"/>
          </w:tcPr>
          <w:p w14:paraId="642978B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B7" w14:textId="77777777" w:rsidR="007B6C97" w:rsidRDefault="00E426D1">
            <w:pPr>
              <w:jc w:val="right"/>
              <w:textAlignment w:val="bottom"/>
            </w:pPr>
            <w:r>
              <w:rPr>
                <w:rFonts w:ascii="Times New Roman" w:eastAsia="宋体" w:hAnsi="Times New Roman"/>
                <w:color w:val="000000"/>
                <w:sz w:val="20"/>
                <w:szCs w:val="20"/>
              </w:rPr>
              <w:t>26.5 </w:t>
            </w:r>
          </w:p>
        </w:tc>
        <w:tc>
          <w:tcPr>
            <w:tcW w:w="0" w:type="auto"/>
            <w:shd w:val="clear" w:color="auto" w:fill="D7E4BC"/>
            <w:tcMar>
              <w:top w:w="40" w:type="dxa"/>
              <w:left w:w="0" w:type="dxa"/>
              <w:bottom w:w="40" w:type="dxa"/>
              <w:right w:w="20" w:type="dxa"/>
            </w:tcMar>
            <w:vAlign w:val="bottom"/>
          </w:tcPr>
          <w:p w14:paraId="642978B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B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BA" w14:textId="77777777" w:rsidR="007B6C97" w:rsidRDefault="00E426D1">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642978BB" w14:textId="77777777" w:rsidR="007B6C97" w:rsidRDefault="007B6C97">
            <w:pPr>
              <w:jc w:val="right"/>
              <w:rPr>
                <w:rFonts w:ascii="宋体"/>
              </w:rPr>
            </w:pPr>
          </w:p>
        </w:tc>
      </w:tr>
      <w:tr w:rsidR="007B6C97" w14:paraId="642978C5" w14:textId="77777777">
        <w:trPr>
          <w:trHeight w:val="300"/>
        </w:trPr>
        <w:tc>
          <w:tcPr>
            <w:tcW w:w="0" w:type="auto"/>
            <w:gridSpan w:val="3"/>
            <w:vMerge/>
            <w:shd w:val="clear" w:color="auto" w:fill="D7E4BC"/>
            <w:tcMar>
              <w:top w:w="40" w:type="dxa"/>
              <w:left w:w="155" w:type="dxa"/>
              <w:bottom w:w="40" w:type="dxa"/>
              <w:right w:w="20" w:type="dxa"/>
            </w:tcMar>
          </w:tcPr>
          <w:p w14:paraId="642978B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78BE" w14:textId="77777777" w:rsidR="007B6C97" w:rsidRDefault="00E426D1">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642978B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C0" w14:textId="77777777" w:rsidR="007B6C97" w:rsidRDefault="00E426D1">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642978C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C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C3" w14:textId="77777777" w:rsidR="007B6C97" w:rsidRDefault="00E426D1">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642978C4" w14:textId="77777777" w:rsidR="007B6C97" w:rsidRDefault="007B6C97">
            <w:pPr>
              <w:jc w:val="right"/>
              <w:rPr>
                <w:rFonts w:ascii="宋体"/>
              </w:rPr>
            </w:pPr>
          </w:p>
        </w:tc>
      </w:tr>
      <w:tr w:rsidR="007B6C97" w14:paraId="642978CC" w14:textId="77777777">
        <w:trPr>
          <w:hidden/>
        </w:trPr>
        <w:tc>
          <w:tcPr>
            <w:tcW w:w="0" w:type="auto"/>
            <w:gridSpan w:val="3"/>
            <w:shd w:val="clear" w:color="auto" w:fill="auto"/>
            <w:vAlign w:val="bottom"/>
          </w:tcPr>
          <w:p w14:paraId="642978C6" w14:textId="77777777" w:rsidR="007B6C97" w:rsidRDefault="007B6C97">
            <w:pPr>
              <w:rPr>
                <w:rFonts w:ascii="宋体"/>
                <w:vanish/>
              </w:rPr>
            </w:pPr>
          </w:p>
        </w:tc>
        <w:tc>
          <w:tcPr>
            <w:tcW w:w="0" w:type="auto"/>
            <w:gridSpan w:val="3"/>
            <w:shd w:val="clear" w:color="auto" w:fill="auto"/>
            <w:vAlign w:val="bottom"/>
          </w:tcPr>
          <w:p w14:paraId="642978C7" w14:textId="77777777" w:rsidR="007B6C97" w:rsidRDefault="007B6C97">
            <w:pPr>
              <w:rPr>
                <w:rFonts w:ascii="宋体"/>
                <w:vanish/>
              </w:rPr>
            </w:pPr>
          </w:p>
        </w:tc>
        <w:tc>
          <w:tcPr>
            <w:tcW w:w="0" w:type="auto"/>
            <w:gridSpan w:val="3"/>
            <w:shd w:val="clear" w:color="auto" w:fill="auto"/>
            <w:vAlign w:val="bottom"/>
          </w:tcPr>
          <w:p w14:paraId="642978C8" w14:textId="77777777" w:rsidR="007B6C97" w:rsidRDefault="007B6C97">
            <w:pPr>
              <w:rPr>
                <w:rFonts w:ascii="宋体"/>
                <w:vanish/>
              </w:rPr>
            </w:pPr>
          </w:p>
        </w:tc>
        <w:tc>
          <w:tcPr>
            <w:tcW w:w="0" w:type="auto"/>
            <w:gridSpan w:val="3"/>
            <w:shd w:val="clear" w:color="auto" w:fill="auto"/>
            <w:vAlign w:val="bottom"/>
          </w:tcPr>
          <w:p w14:paraId="642978C9" w14:textId="77777777" w:rsidR="007B6C97" w:rsidRDefault="007B6C97">
            <w:pPr>
              <w:rPr>
                <w:rFonts w:ascii="宋体"/>
                <w:vanish/>
              </w:rPr>
            </w:pPr>
          </w:p>
        </w:tc>
        <w:tc>
          <w:tcPr>
            <w:tcW w:w="0" w:type="auto"/>
            <w:gridSpan w:val="3"/>
            <w:shd w:val="clear" w:color="auto" w:fill="auto"/>
            <w:vAlign w:val="bottom"/>
          </w:tcPr>
          <w:p w14:paraId="642978CA" w14:textId="77777777" w:rsidR="007B6C97" w:rsidRDefault="007B6C97">
            <w:pPr>
              <w:rPr>
                <w:rFonts w:ascii="宋体"/>
                <w:vanish/>
              </w:rPr>
            </w:pPr>
          </w:p>
        </w:tc>
        <w:tc>
          <w:tcPr>
            <w:tcW w:w="0" w:type="auto"/>
            <w:gridSpan w:val="3"/>
            <w:shd w:val="clear" w:color="auto" w:fill="auto"/>
            <w:vAlign w:val="bottom"/>
          </w:tcPr>
          <w:p w14:paraId="642978CB" w14:textId="77777777" w:rsidR="007B6C97" w:rsidRDefault="007B6C97">
            <w:pPr>
              <w:rPr>
                <w:rFonts w:ascii="宋体"/>
                <w:vanish/>
              </w:rPr>
            </w:pPr>
          </w:p>
        </w:tc>
      </w:tr>
      <w:tr w:rsidR="007B6C97" w14:paraId="642978D5" w14:textId="77777777">
        <w:tc>
          <w:tcPr>
            <w:tcW w:w="0" w:type="auto"/>
            <w:gridSpan w:val="3"/>
            <w:shd w:val="clear" w:color="auto" w:fill="auto"/>
            <w:tcMar>
              <w:top w:w="40" w:type="dxa"/>
              <w:left w:w="155" w:type="dxa"/>
              <w:bottom w:w="40" w:type="dxa"/>
              <w:right w:w="20" w:type="dxa"/>
            </w:tcMar>
            <w:vAlign w:val="bottom"/>
          </w:tcPr>
          <w:p w14:paraId="642978CD" w14:textId="77777777" w:rsidR="007B6C97" w:rsidRDefault="00E426D1">
            <w:pPr>
              <w:textAlignment w:val="bottom"/>
            </w:pPr>
            <w:r>
              <w:rPr>
                <w:rFonts w:ascii="Times New Roman" w:eastAsia="宋体" w:hAnsi="Times New Roman"/>
                <w:color w:val="000000"/>
                <w:sz w:val="20"/>
                <w:szCs w:val="20"/>
              </w:rPr>
              <w:t>Interest rate swaps</w:t>
            </w:r>
          </w:p>
        </w:tc>
        <w:tc>
          <w:tcPr>
            <w:tcW w:w="0" w:type="auto"/>
            <w:gridSpan w:val="3"/>
            <w:shd w:val="clear" w:color="auto" w:fill="auto"/>
            <w:tcMar>
              <w:top w:w="40" w:type="dxa"/>
              <w:left w:w="20" w:type="dxa"/>
              <w:bottom w:w="40" w:type="dxa"/>
              <w:right w:w="20" w:type="dxa"/>
            </w:tcMar>
            <w:vAlign w:val="bottom"/>
          </w:tcPr>
          <w:p w14:paraId="642978CE" w14:textId="77777777" w:rsidR="007B6C97" w:rsidRDefault="00E426D1">
            <w:pPr>
              <w:textAlignment w:val="bottom"/>
            </w:pPr>
            <w:r>
              <w:rPr>
                <w:rFonts w:ascii="Times New Roman" w:eastAsia="宋体" w:hAnsi="Times New Roman"/>
                <w:color w:val="000000"/>
                <w:sz w:val="20"/>
                <w:szCs w:val="20"/>
              </w:rPr>
              <w:t>Other long-term assets</w:t>
            </w:r>
          </w:p>
        </w:tc>
        <w:tc>
          <w:tcPr>
            <w:tcW w:w="0" w:type="auto"/>
            <w:gridSpan w:val="3"/>
            <w:shd w:val="clear" w:color="auto" w:fill="auto"/>
            <w:tcMar>
              <w:top w:w="0" w:type="dxa"/>
              <w:left w:w="20" w:type="dxa"/>
              <w:bottom w:w="0" w:type="dxa"/>
              <w:right w:w="20" w:type="dxa"/>
            </w:tcMar>
            <w:vAlign w:val="bottom"/>
          </w:tcPr>
          <w:p w14:paraId="642978CF"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8D0" w14:textId="77777777" w:rsidR="007B6C97" w:rsidRDefault="00E426D1">
            <w:pPr>
              <w:jc w:val="right"/>
              <w:textAlignment w:val="bottom"/>
            </w:pPr>
            <w:r>
              <w:rPr>
                <w:rFonts w:ascii="Times New Roman" w:eastAsia="宋体" w:hAnsi="Times New Roman"/>
                <w:color w:val="000000"/>
                <w:sz w:val="20"/>
                <w:szCs w:val="20"/>
              </w:rPr>
              <w:t>54.5 </w:t>
            </w:r>
          </w:p>
        </w:tc>
        <w:tc>
          <w:tcPr>
            <w:tcW w:w="0" w:type="auto"/>
            <w:shd w:val="clear" w:color="auto" w:fill="auto"/>
            <w:tcMar>
              <w:top w:w="40" w:type="dxa"/>
              <w:left w:w="0" w:type="dxa"/>
              <w:bottom w:w="40" w:type="dxa"/>
              <w:right w:w="20" w:type="dxa"/>
            </w:tcMar>
            <w:vAlign w:val="bottom"/>
          </w:tcPr>
          <w:p w14:paraId="642978D1"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8D2"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8D3" w14:textId="77777777" w:rsidR="007B6C97" w:rsidRDefault="00E426D1">
            <w:pPr>
              <w:jc w:val="right"/>
              <w:textAlignment w:val="bottom"/>
            </w:pPr>
            <w:r>
              <w:rPr>
                <w:rFonts w:ascii="Times New Roman" w:eastAsia="宋体" w:hAnsi="Times New Roman"/>
                <w:color w:val="000000"/>
                <w:sz w:val="20"/>
                <w:szCs w:val="20"/>
              </w:rPr>
              <w:t>22.7 </w:t>
            </w:r>
          </w:p>
        </w:tc>
        <w:tc>
          <w:tcPr>
            <w:tcW w:w="0" w:type="auto"/>
            <w:shd w:val="clear" w:color="auto" w:fill="auto"/>
            <w:tcMar>
              <w:top w:w="40" w:type="dxa"/>
              <w:left w:w="0" w:type="dxa"/>
              <w:bottom w:w="40" w:type="dxa"/>
              <w:right w:w="20" w:type="dxa"/>
            </w:tcMar>
            <w:vAlign w:val="bottom"/>
          </w:tcPr>
          <w:p w14:paraId="642978D4" w14:textId="77777777" w:rsidR="007B6C97" w:rsidRDefault="007B6C97">
            <w:pPr>
              <w:jc w:val="right"/>
              <w:rPr>
                <w:rFonts w:ascii="宋体"/>
              </w:rPr>
            </w:pPr>
          </w:p>
        </w:tc>
      </w:tr>
      <w:tr w:rsidR="007B6C97" w14:paraId="642978DC" w14:textId="77777777">
        <w:tc>
          <w:tcPr>
            <w:tcW w:w="0" w:type="auto"/>
            <w:gridSpan w:val="3"/>
            <w:shd w:val="clear" w:color="auto" w:fill="D7E4BC"/>
            <w:tcMar>
              <w:top w:w="40" w:type="dxa"/>
              <w:left w:w="20" w:type="dxa"/>
              <w:bottom w:w="40" w:type="dxa"/>
              <w:right w:w="20" w:type="dxa"/>
            </w:tcMar>
            <w:vAlign w:val="bottom"/>
          </w:tcPr>
          <w:p w14:paraId="642978D6" w14:textId="77777777" w:rsidR="007B6C97" w:rsidRDefault="00E426D1">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642978D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D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D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D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8DB" w14:textId="77777777" w:rsidR="007B6C97" w:rsidRDefault="007B6C97">
            <w:pPr>
              <w:rPr>
                <w:rFonts w:ascii="宋体"/>
              </w:rPr>
            </w:pPr>
          </w:p>
        </w:tc>
      </w:tr>
      <w:tr w:rsidR="007B6C97" w14:paraId="642978E3" w14:textId="77777777">
        <w:trPr>
          <w:hidden/>
        </w:trPr>
        <w:tc>
          <w:tcPr>
            <w:tcW w:w="0" w:type="auto"/>
            <w:gridSpan w:val="3"/>
            <w:shd w:val="clear" w:color="auto" w:fill="auto"/>
            <w:vAlign w:val="bottom"/>
          </w:tcPr>
          <w:p w14:paraId="642978DD" w14:textId="77777777" w:rsidR="007B6C97" w:rsidRDefault="007B6C97">
            <w:pPr>
              <w:rPr>
                <w:rFonts w:ascii="宋体"/>
                <w:vanish/>
              </w:rPr>
            </w:pPr>
          </w:p>
        </w:tc>
        <w:tc>
          <w:tcPr>
            <w:tcW w:w="0" w:type="auto"/>
            <w:gridSpan w:val="3"/>
            <w:shd w:val="clear" w:color="auto" w:fill="auto"/>
            <w:vAlign w:val="bottom"/>
          </w:tcPr>
          <w:p w14:paraId="642978DE" w14:textId="77777777" w:rsidR="007B6C97" w:rsidRDefault="007B6C97">
            <w:pPr>
              <w:rPr>
                <w:rFonts w:ascii="宋体"/>
                <w:vanish/>
              </w:rPr>
            </w:pPr>
          </w:p>
        </w:tc>
        <w:tc>
          <w:tcPr>
            <w:tcW w:w="0" w:type="auto"/>
            <w:gridSpan w:val="3"/>
            <w:shd w:val="clear" w:color="auto" w:fill="auto"/>
            <w:vAlign w:val="bottom"/>
          </w:tcPr>
          <w:p w14:paraId="642978DF" w14:textId="77777777" w:rsidR="007B6C97" w:rsidRDefault="007B6C97">
            <w:pPr>
              <w:rPr>
                <w:rFonts w:ascii="宋体"/>
                <w:vanish/>
              </w:rPr>
            </w:pPr>
          </w:p>
        </w:tc>
        <w:tc>
          <w:tcPr>
            <w:tcW w:w="0" w:type="auto"/>
            <w:gridSpan w:val="3"/>
            <w:shd w:val="clear" w:color="auto" w:fill="auto"/>
            <w:vAlign w:val="bottom"/>
          </w:tcPr>
          <w:p w14:paraId="642978E0" w14:textId="77777777" w:rsidR="007B6C97" w:rsidRDefault="007B6C97">
            <w:pPr>
              <w:rPr>
                <w:rFonts w:ascii="宋体"/>
                <w:vanish/>
              </w:rPr>
            </w:pPr>
          </w:p>
        </w:tc>
        <w:tc>
          <w:tcPr>
            <w:tcW w:w="0" w:type="auto"/>
            <w:gridSpan w:val="3"/>
            <w:shd w:val="clear" w:color="auto" w:fill="auto"/>
            <w:vAlign w:val="bottom"/>
          </w:tcPr>
          <w:p w14:paraId="642978E1" w14:textId="77777777" w:rsidR="007B6C97" w:rsidRDefault="007B6C97">
            <w:pPr>
              <w:rPr>
                <w:rFonts w:ascii="宋体"/>
                <w:vanish/>
              </w:rPr>
            </w:pPr>
          </w:p>
        </w:tc>
        <w:tc>
          <w:tcPr>
            <w:tcW w:w="0" w:type="auto"/>
            <w:gridSpan w:val="3"/>
            <w:shd w:val="clear" w:color="auto" w:fill="auto"/>
            <w:vAlign w:val="bottom"/>
          </w:tcPr>
          <w:p w14:paraId="642978E2" w14:textId="77777777" w:rsidR="007B6C97" w:rsidRDefault="007B6C97">
            <w:pPr>
              <w:rPr>
                <w:rFonts w:ascii="宋体"/>
                <w:vanish/>
              </w:rPr>
            </w:pPr>
          </w:p>
        </w:tc>
      </w:tr>
      <w:tr w:rsidR="007B6C97" w14:paraId="642978EA" w14:textId="77777777">
        <w:trPr>
          <w:hidden/>
        </w:trPr>
        <w:tc>
          <w:tcPr>
            <w:tcW w:w="0" w:type="auto"/>
            <w:gridSpan w:val="3"/>
            <w:shd w:val="clear" w:color="auto" w:fill="auto"/>
            <w:vAlign w:val="bottom"/>
          </w:tcPr>
          <w:p w14:paraId="642978E4" w14:textId="77777777" w:rsidR="007B6C97" w:rsidRDefault="007B6C97">
            <w:pPr>
              <w:rPr>
                <w:rFonts w:ascii="宋体"/>
                <w:vanish/>
              </w:rPr>
            </w:pPr>
          </w:p>
        </w:tc>
        <w:tc>
          <w:tcPr>
            <w:tcW w:w="0" w:type="auto"/>
            <w:gridSpan w:val="3"/>
            <w:shd w:val="clear" w:color="auto" w:fill="auto"/>
            <w:vAlign w:val="bottom"/>
          </w:tcPr>
          <w:p w14:paraId="642978E5" w14:textId="77777777" w:rsidR="007B6C97" w:rsidRDefault="007B6C97">
            <w:pPr>
              <w:rPr>
                <w:rFonts w:ascii="宋体"/>
                <w:vanish/>
              </w:rPr>
            </w:pPr>
          </w:p>
        </w:tc>
        <w:tc>
          <w:tcPr>
            <w:tcW w:w="0" w:type="auto"/>
            <w:gridSpan w:val="3"/>
            <w:shd w:val="clear" w:color="auto" w:fill="auto"/>
            <w:vAlign w:val="bottom"/>
          </w:tcPr>
          <w:p w14:paraId="642978E6" w14:textId="77777777" w:rsidR="007B6C97" w:rsidRDefault="007B6C97">
            <w:pPr>
              <w:rPr>
                <w:rFonts w:ascii="宋体"/>
                <w:vanish/>
              </w:rPr>
            </w:pPr>
          </w:p>
        </w:tc>
        <w:tc>
          <w:tcPr>
            <w:tcW w:w="0" w:type="auto"/>
            <w:gridSpan w:val="3"/>
            <w:shd w:val="clear" w:color="auto" w:fill="auto"/>
            <w:vAlign w:val="bottom"/>
          </w:tcPr>
          <w:p w14:paraId="642978E7" w14:textId="77777777" w:rsidR="007B6C97" w:rsidRDefault="007B6C97">
            <w:pPr>
              <w:rPr>
                <w:rFonts w:ascii="宋体"/>
                <w:vanish/>
              </w:rPr>
            </w:pPr>
          </w:p>
        </w:tc>
        <w:tc>
          <w:tcPr>
            <w:tcW w:w="0" w:type="auto"/>
            <w:gridSpan w:val="3"/>
            <w:shd w:val="clear" w:color="auto" w:fill="auto"/>
            <w:vAlign w:val="bottom"/>
          </w:tcPr>
          <w:p w14:paraId="642978E8" w14:textId="77777777" w:rsidR="007B6C97" w:rsidRDefault="007B6C97">
            <w:pPr>
              <w:rPr>
                <w:rFonts w:ascii="宋体"/>
                <w:vanish/>
              </w:rPr>
            </w:pPr>
          </w:p>
        </w:tc>
        <w:tc>
          <w:tcPr>
            <w:tcW w:w="0" w:type="auto"/>
            <w:gridSpan w:val="3"/>
            <w:shd w:val="clear" w:color="auto" w:fill="auto"/>
            <w:vAlign w:val="bottom"/>
          </w:tcPr>
          <w:p w14:paraId="642978E9" w14:textId="77777777" w:rsidR="007B6C97" w:rsidRDefault="007B6C97">
            <w:pPr>
              <w:rPr>
                <w:rFonts w:ascii="宋体"/>
                <w:vanish/>
              </w:rPr>
            </w:pPr>
          </w:p>
        </w:tc>
      </w:tr>
      <w:tr w:rsidR="007B6C97" w14:paraId="642978F3" w14:textId="77777777">
        <w:tc>
          <w:tcPr>
            <w:tcW w:w="0" w:type="auto"/>
            <w:gridSpan w:val="3"/>
            <w:shd w:val="clear" w:color="auto" w:fill="auto"/>
            <w:tcMar>
              <w:top w:w="40" w:type="dxa"/>
              <w:left w:w="155" w:type="dxa"/>
              <w:bottom w:w="40" w:type="dxa"/>
              <w:right w:w="20" w:type="dxa"/>
            </w:tcMar>
            <w:vAlign w:val="bottom"/>
          </w:tcPr>
          <w:p w14:paraId="642978EB" w14:textId="77777777" w:rsidR="007B6C97" w:rsidRDefault="00E426D1">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auto"/>
            <w:tcMar>
              <w:top w:w="40" w:type="dxa"/>
              <w:left w:w="20" w:type="dxa"/>
              <w:bottom w:w="40" w:type="dxa"/>
              <w:right w:w="20" w:type="dxa"/>
            </w:tcMar>
          </w:tcPr>
          <w:p w14:paraId="642978EC" w14:textId="77777777" w:rsidR="007B6C97" w:rsidRDefault="00E426D1">
            <w:pPr>
              <w:textAlignment w:val="top"/>
            </w:pPr>
            <w:r>
              <w:rPr>
                <w:rFonts w:ascii="Times New Roman" w:eastAsia="宋体" w:hAnsi="Times New Roman"/>
                <w:color w:val="000000"/>
                <w:sz w:val="20"/>
                <w:szCs w:val="20"/>
              </w:rPr>
              <w:t xml:space="preserve">Prepaid </w:t>
            </w:r>
            <w:r>
              <w:rPr>
                <w:rFonts w:ascii="Times New Roman" w:eastAsia="宋体" w:hAnsi="Times New Roman"/>
                <w:color w:val="000000"/>
                <w:sz w:val="20"/>
                <w:szCs w:val="20"/>
              </w:rPr>
              <w:t>expenses and other current assets</w:t>
            </w:r>
          </w:p>
        </w:tc>
        <w:tc>
          <w:tcPr>
            <w:tcW w:w="0" w:type="auto"/>
            <w:gridSpan w:val="3"/>
            <w:shd w:val="clear" w:color="auto" w:fill="auto"/>
            <w:tcMar>
              <w:top w:w="0" w:type="dxa"/>
              <w:left w:w="20" w:type="dxa"/>
              <w:bottom w:w="0" w:type="dxa"/>
              <w:right w:w="20" w:type="dxa"/>
            </w:tcMar>
            <w:vAlign w:val="bottom"/>
          </w:tcPr>
          <w:p w14:paraId="642978ED"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8EE" w14:textId="77777777" w:rsidR="007B6C97" w:rsidRDefault="00E426D1">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642978EF"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8F0"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8F1"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642978F2" w14:textId="77777777" w:rsidR="007B6C97" w:rsidRDefault="007B6C97">
            <w:pPr>
              <w:jc w:val="right"/>
              <w:rPr>
                <w:rFonts w:ascii="宋体"/>
              </w:rPr>
            </w:pPr>
          </w:p>
        </w:tc>
      </w:tr>
      <w:tr w:rsidR="007B6C97" w14:paraId="642978FC" w14:textId="77777777">
        <w:tc>
          <w:tcPr>
            <w:tcW w:w="0" w:type="auto"/>
            <w:gridSpan w:val="3"/>
            <w:shd w:val="clear" w:color="auto" w:fill="D7E4BC"/>
            <w:tcMar>
              <w:top w:w="40" w:type="dxa"/>
              <w:left w:w="155" w:type="dxa"/>
              <w:bottom w:w="40" w:type="dxa"/>
              <w:right w:w="20" w:type="dxa"/>
            </w:tcMar>
            <w:vAlign w:val="bottom"/>
          </w:tcPr>
          <w:p w14:paraId="642978F4" w14:textId="77777777" w:rsidR="007B6C97" w:rsidRDefault="00E426D1">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642978F5" w14:textId="77777777" w:rsidR="007B6C97" w:rsidRDefault="00E426D1">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42978F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F7" w14:textId="77777777" w:rsidR="007B6C97" w:rsidRDefault="00E426D1">
            <w:pPr>
              <w:jc w:val="right"/>
              <w:textAlignment w:val="bottom"/>
            </w:pPr>
            <w:r>
              <w:rPr>
                <w:rFonts w:ascii="Times New Roman" w:eastAsia="宋体" w:hAnsi="Times New Roman"/>
                <w:color w:val="000000"/>
                <w:sz w:val="20"/>
                <w:szCs w:val="20"/>
              </w:rPr>
              <w:t>17.4 </w:t>
            </w:r>
          </w:p>
        </w:tc>
        <w:tc>
          <w:tcPr>
            <w:tcW w:w="0" w:type="auto"/>
            <w:shd w:val="clear" w:color="auto" w:fill="D7E4BC"/>
            <w:tcMar>
              <w:top w:w="40" w:type="dxa"/>
              <w:left w:w="0" w:type="dxa"/>
              <w:bottom w:w="40" w:type="dxa"/>
              <w:right w:w="20" w:type="dxa"/>
            </w:tcMar>
            <w:vAlign w:val="bottom"/>
          </w:tcPr>
          <w:p w14:paraId="642978F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8F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8FA" w14:textId="77777777" w:rsidR="007B6C97" w:rsidRDefault="00E426D1">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642978FB" w14:textId="77777777" w:rsidR="007B6C97" w:rsidRDefault="007B6C97">
            <w:pPr>
              <w:jc w:val="right"/>
              <w:rPr>
                <w:rFonts w:ascii="宋体"/>
              </w:rPr>
            </w:pPr>
          </w:p>
        </w:tc>
      </w:tr>
      <w:tr w:rsidR="007B6C97" w14:paraId="64297903" w14:textId="77777777">
        <w:trPr>
          <w:trHeight w:val="60"/>
        </w:trPr>
        <w:tc>
          <w:tcPr>
            <w:tcW w:w="0" w:type="auto"/>
            <w:gridSpan w:val="3"/>
            <w:shd w:val="clear" w:color="auto" w:fill="FFFFFF"/>
            <w:tcMar>
              <w:top w:w="0" w:type="dxa"/>
              <w:left w:w="20" w:type="dxa"/>
              <w:bottom w:w="0" w:type="dxa"/>
              <w:right w:w="20" w:type="dxa"/>
            </w:tcMar>
            <w:vAlign w:val="bottom"/>
          </w:tcPr>
          <w:p w14:paraId="642978F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F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8F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90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90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902" w14:textId="77777777" w:rsidR="007B6C97" w:rsidRDefault="007B6C97">
            <w:pPr>
              <w:rPr>
                <w:rFonts w:ascii="宋体"/>
              </w:rPr>
            </w:pPr>
          </w:p>
        </w:tc>
      </w:tr>
      <w:tr w:rsidR="007B6C97" w14:paraId="64297908" w14:textId="77777777">
        <w:tc>
          <w:tcPr>
            <w:tcW w:w="0" w:type="auto"/>
            <w:gridSpan w:val="3"/>
            <w:shd w:val="clear" w:color="auto" w:fill="FFFFFF"/>
            <w:tcMar>
              <w:top w:w="0" w:type="dxa"/>
              <w:left w:w="20" w:type="dxa"/>
              <w:bottom w:w="0" w:type="dxa"/>
              <w:right w:w="20" w:type="dxa"/>
            </w:tcMar>
            <w:vAlign w:val="bottom"/>
          </w:tcPr>
          <w:p w14:paraId="6429790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90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906"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907" w14:textId="77777777" w:rsidR="007B6C97" w:rsidRDefault="00E426D1">
            <w:pPr>
              <w:jc w:val="center"/>
              <w:textAlignment w:val="bottom"/>
            </w:pPr>
            <w:r>
              <w:rPr>
                <w:rFonts w:ascii="Times New Roman" w:eastAsia="宋体" w:hAnsi="Times New Roman"/>
                <w:b/>
                <w:bCs/>
                <w:color w:val="FFFFFF"/>
                <w:sz w:val="16"/>
                <w:szCs w:val="16"/>
              </w:rPr>
              <w:t>Derivative Liabilities</w:t>
            </w:r>
          </w:p>
        </w:tc>
      </w:tr>
      <w:tr w:rsidR="007B6C97" w14:paraId="6429790F" w14:textId="77777777">
        <w:tc>
          <w:tcPr>
            <w:tcW w:w="0" w:type="auto"/>
            <w:gridSpan w:val="3"/>
            <w:shd w:val="clear" w:color="auto" w:fill="auto"/>
            <w:tcMar>
              <w:top w:w="0" w:type="dxa"/>
              <w:left w:w="20" w:type="dxa"/>
              <w:bottom w:w="0" w:type="dxa"/>
              <w:right w:w="20" w:type="dxa"/>
            </w:tcMar>
            <w:vAlign w:val="bottom"/>
          </w:tcPr>
          <w:p w14:paraId="6429790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0A" w14:textId="77777777" w:rsidR="007B6C97" w:rsidRDefault="00E426D1">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429790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0C"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90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0E"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916" w14:textId="77777777">
        <w:tc>
          <w:tcPr>
            <w:tcW w:w="0" w:type="auto"/>
            <w:gridSpan w:val="3"/>
            <w:shd w:val="clear" w:color="auto" w:fill="D7E4BC"/>
            <w:tcMar>
              <w:top w:w="40" w:type="dxa"/>
              <w:left w:w="20" w:type="dxa"/>
              <w:bottom w:w="40" w:type="dxa"/>
              <w:right w:w="20" w:type="dxa"/>
            </w:tcMar>
            <w:vAlign w:val="bottom"/>
          </w:tcPr>
          <w:p w14:paraId="64297910" w14:textId="77777777" w:rsidR="007B6C97" w:rsidRDefault="00E426D1">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1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12"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1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14"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15" w14:textId="77777777" w:rsidR="007B6C97" w:rsidRDefault="007B6C97">
            <w:pPr>
              <w:rPr>
                <w:rFonts w:ascii="宋体"/>
              </w:rPr>
            </w:pPr>
          </w:p>
        </w:tc>
      </w:tr>
      <w:tr w:rsidR="007B6C97" w14:paraId="64297921" w14:textId="77777777">
        <w:tc>
          <w:tcPr>
            <w:tcW w:w="0" w:type="auto"/>
            <w:gridSpan w:val="3"/>
            <w:shd w:val="clear" w:color="auto" w:fill="FFFFFF"/>
            <w:tcMar>
              <w:top w:w="40" w:type="dxa"/>
              <w:left w:w="155" w:type="dxa"/>
              <w:bottom w:w="40" w:type="dxa"/>
              <w:right w:w="20" w:type="dxa"/>
            </w:tcMar>
          </w:tcPr>
          <w:p w14:paraId="64297917" w14:textId="77777777" w:rsidR="007B6C97" w:rsidRDefault="00E426D1">
            <w:pPr>
              <w:textAlignment w:val="top"/>
            </w:pPr>
            <w:r>
              <w:rPr>
                <w:rFonts w:ascii="Times New Roman" w:eastAsia="宋体" w:hAnsi="Times New Roman"/>
                <w:color w:val="000000"/>
                <w:sz w:val="20"/>
                <w:szCs w:val="20"/>
              </w:rPr>
              <w:t>Cross-currency swaps</w:t>
            </w:r>
          </w:p>
        </w:tc>
        <w:tc>
          <w:tcPr>
            <w:tcW w:w="0" w:type="auto"/>
            <w:gridSpan w:val="3"/>
            <w:shd w:val="clear" w:color="auto" w:fill="FFFFFF"/>
            <w:tcMar>
              <w:top w:w="40" w:type="dxa"/>
              <w:left w:w="20" w:type="dxa"/>
              <w:bottom w:w="40" w:type="dxa"/>
              <w:right w:w="20" w:type="dxa"/>
            </w:tcMar>
          </w:tcPr>
          <w:p w14:paraId="64297918" w14:textId="77777777" w:rsidR="007B6C97" w:rsidRDefault="00E426D1">
            <w:pPr>
              <w:textAlignment w:val="top"/>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6429791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91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1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91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91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91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1F" w14:textId="77777777" w:rsidR="007B6C97" w:rsidRDefault="00E426D1">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4297920" w14:textId="77777777" w:rsidR="007B6C97" w:rsidRDefault="007B6C97">
            <w:pPr>
              <w:jc w:val="right"/>
              <w:rPr>
                <w:rFonts w:ascii="宋体"/>
              </w:rPr>
            </w:pPr>
          </w:p>
        </w:tc>
      </w:tr>
      <w:tr w:rsidR="007B6C97" w14:paraId="64297928" w14:textId="77777777">
        <w:trPr>
          <w:hidden/>
        </w:trPr>
        <w:tc>
          <w:tcPr>
            <w:tcW w:w="0" w:type="auto"/>
            <w:gridSpan w:val="3"/>
            <w:shd w:val="clear" w:color="auto" w:fill="auto"/>
            <w:vAlign w:val="bottom"/>
          </w:tcPr>
          <w:p w14:paraId="64297922" w14:textId="77777777" w:rsidR="007B6C97" w:rsidRDefault="007B6C97">
            <w:pPr>
              <w:rPr>
                <w:rFonts w:ascii="宋体"/>
                <w:vanish/>
              </w:rPr>
            </w:pPr>
          </w:p>
        </w:tc>
        <w:tc>
          <w:tcPr>
            <w:tcW w:w="0" w:type="auto"/>
            <w:gridSpan w:val="3"/>
            <w:shd w:val="clear" w:color="auto" w:fill="auto"/>
            <w:vAlign w:val="bottom"/>
          </w:tcPr>
          <w:p w14:paraId="64297923" w14:textId="77777777" w:rsidR="007B6C97" w:rsidRDefault="007B6C97">
            <w:pPr>
              <w:rPr>
                <w:rFonts w:ascii="宋体"/>
                <w:vanish/>
              </w:rPr>
            </w:pPr>
          </w:p>
        </w:tc>
        <w:tc>
          <w:tcPr>
            <w:tcW w:w="0" w:type="auto"/>
            <w:gridSpan w:val="3"/>
            <w:shd w:val="clear" w:color="auto" w:fill="auto"/>
            <w:vAlign w:val="bottom"/>
          </w:tcPr>
          <w:p w14:paraId="64297924" w14:textId="77777777" w:rsidR="007B6C97" w:rsidRDefault="007B6C97">
            <w:pPr>
              <w:rPr>
                <w:rFonts w:ascii="宋体"/>
                <w:vanish/>
              </w:rPr>
            </w:pPr>
          </w:p>
        </w:tc>
        <w:tc>
          <w:tcPr>
            <w:tcW w:w="0" w:type="auto"/>
            <w:gridSpan w:val="3"/>
            <w:shd w:val="clear" w:color="auto" w:fill="auto"/>
            <w:vAlign w:val="bottom"/>
          </w:tcPr>
          <w:p w14:paraId="64297925" w14:textId="77777777" w:rsidR="007B6C97" w:rsidRDefault="007B6C97">
            <w:pPr>
              <w:rPr>
                <w:rFonts w:ascii="宋体"/>
                <w:vanish/>
              </w:rPr>
            </w:pPr>
          </w:p>
        </w:tc>
        <w:tc>
          <w:tcPr>
            <w:tcW w:w="0" w:type="auto"/>
            <w:gridSpan w:val="3"/>
            <w:shd w:val="clear" w:color="auto" w:fill="auto"/>
            <w:vAlign w:val="bottom"/>
          </w:tcPr>
          <w:p w14:paraId="64297926" w14:textId="77777777" w:rsidR="007B6C97" w:rsidRDefault="007B6C97">
            <w:pPr>
              <w:rPr>
                <w:rFonts w:ascii="宋体"/>
                <w:vanish/>
              </w:rPr>
            </w:pPr>
          </w:p>
        </w:tc>
        <w:tc>
          <w:tcPr>
            <w:tcW w:w="0" w:type="auto"/>
            <w:gridSpan w:val="3"/>
            <w:shd w:val="clear" w:color="auto" w:fill="auto"/>
            <w:vAlign w:val="bottom"/>
          </w:tcPr>
          <w:p w14:paraId="64297927" w14:textId="77777777" w:rsidR="007B6C97" w:rsidRDefault="007B6C97">
            <w:pPr>
              <w:rPr>
                <w:rFonts w:ascii="宋体"/>
                <w:vanish/>
              </w:rPr>
            </w:pPr>
          </w:p>
        </w:tc>
      </w:tr>
      <w:tr w:rsidR="007B6C97" w14:paraId="64297931" w14:textId="77777777">
        <w:trPr>
          <w:hidden/>
        </w:trPr>
        <w:tc>
          <w:tcPr>
            <w:tcW w:w="0" w:type="auto"/>
            <w:gridSpan w:val="3"/>
            <w:shd w:val="clear" w:color="auto" w:fill="auto"/>
            <w:vAlign w:val="bottom"/>
          </w:tcPr>
          <w:p w14:paraId="64297929" w14:textId="77777777" w:rsidR="007B6C97" w:rsidRDefault="007B6C97">
            <w:pPr>
              <w:rPr>
                <w:rFonts w:ascii="宋体"/>
                <w:vanish/>
              </w:rPr>
            </w:pPr>
          </w:p>
        </w:tc>
        <w:tc>
          <w:tcPr>
            <w:tcW w:w="0" w:type="auto"/>
            <w:gridSpan w:val="3"/>
            <w:shd w:val="clear" w:color="auto" w:fill="auto"/>
            <w:vAlign w:val="bottom"/>
          </w:tcPr>
          <w:p w14:paraId="6429792A" w14:textId="77777777" w:rsidR="007B6C97" w:rsidRDefault="007B6C97">
            <w:pPr>
              <w:rPr>
                <w:rFonts w:ascii="宋体"/>
                <w:vanish/>
              </w:rPr>
            </w:pPr>
          </w:p>
        </w:tc>
        <w:tc>
          <w:tcPr>
            <w:tcW w:w="0" w:type="auto"/>
            <w:gridSpan w:val="3"/>
            <w:shd w:val="clear" w:color="auto" w:fill="auto"/>
            <w:vAlign w:val="bottom"/>
          </w:tcPr>
          <w:p w14:paraId="6429792B" w14:textId="77777777" w:rsidR="007B6C97" w:rsidRDefault="007B6C97">
            <w:pPr>
              <w:rPr>
                <w:rFonts w:ascii="宋体"/>
                <w:vanish/>
              </w:rPr>
            </w:pPr>
          </w:p>
        </w:tc>
        <w:tc>
          <w:tcPr>
            <w:tcW w:w="0" w:type="auto"/>
            <w:gridSpan w:val="3"/>
            <w:shd w:val="clear" w:color="auto" w:fill="auto"/>
            <w:vAlign w:val="bottom"/>
          </w:tcPr>
          <w:p w14:paraId="6429792C" w14:textId="77777777" w:rsidR="007B6C97" w:rsidRDefault="007B6C97">
            <w:pPr>
              <w:rPr>
                <w:rFonts w:ascii="宋体"/>
                <w:vanish/>
              </w:rPr>
            </w:pPr>
          </w:p>
        </w:tc>
        <w:tc>
          <w:tcPr>
            <w:tcW w:w="0" w:type="auto"/>
            <w:gridSpan w:val="3"/>
            <w:shd w:val="clear" w:color="auto" w:fill="auto"/>
            <w:vAlign w:val="bottom"/>
          </w:tcPr>
          <w:p w14:paraId="6429792D" w14:textId="77777777" w:rsidR="007B6C97" w:rsidRDefault="007B6C97">
            <w:pPr>
              <w:rPr>
                <w:rFonts w:ascii="宋体"/>
                <w:vanish/>
              </w:rPr>
            </w:pPr>
          </w:p>
        </w:tc>
        <w:tc>
          <w:tcPr>
            <w:tcW w:w="0" w:type="auto"/>
            <w:shd w:val="clear" w:color="auto" w:fill="auto"/>
            <w:vAlign w:val="bottom"/>
          </w:tcPr>
          <w:p w14:paraId="6429792E" w14:textId="77777777" w:rsidR="007B6C97" w:rsidRDefault="007B6C97">
            <w:pPr>
              <w:rPr>
                <w:rFonts w:ascii="宋体"/>
              </w:rPr>
            </w:pPr>
          </w:p>
        </w:tc>
        <w:tc>
          <w:tcPr>
            <w:tcW w:w="0" w:type="auto"/>
            <w:shd w:val="clear" w:color="auto" w:fill="auto"/>
            <w:vAlign w:val="bottom"/>
          </w:tcPr>
          <w:p w14:paraId="6429792F" w14:textId="77777777" w:rsidR="007B6C97" w:rsidRDefault="007B6C97">
            <w:pPr>
              <w:rPr>
                <w:rFonts w:ascii="宋体"/>
              </w:rPr>
            </w:pPr>
          </w:p>
        </w:tc>
        <w:tc>
          <w:tcPr>
            <w:tcW w:w="0" w:type="auto"/>
            <w:shd w:val="clear" w:color="auto" w:fill="auto"/>
            <w:vAlign w:val="bottom"/>
          </w:tcPr>
          <w:p w14:paraId="64297930" w14:textId="77777777" w:rsidR="007B6C97" w:rsidRDefault="007B6C97">
            <w:pPr>
              <w:rPr>
                <w:rFonts w:ascii="宋体"/>
              </w:rPr>
            </w:pPr>
          </w:p>
        </w:tc>
      </w:tr>
      <w:tr w:rsidR="007B6C97" w14:paraId="64297938" w14:textId="77777777">
        <w:trPr>
          <w:hidden/>
        </w:trPr>
        <w:tc>
          <w:tcPr>
            <w:tcW w:w="0" w:type="auto"/>
            <w:gridSpan w:val="3"/>
            <w:shd w:val="clear" w:color="auto" w:fill="auto"/>
            <w:vAlign w:val="bottom"/>
          </w:tcPr>
          <w:p w14:paraId="64297932" w14:textId="77777777" w:rsidR="007B6C97" w:rsidRDefault="007B6C97">
            <w:pPr>
              <w:rPr>
                <w:rFonts w:ascii="宋体"/>
                <w:vanish/>
              </w:rPr>
            </w:pPr>
          </w:p>
        </w:tc>
        <w:tc>
          <w:tcPr>
            <w:tcW w:w="0" w:type="auto"/>
            <w:gridSpan w:val="3"/>
            <w:shd w:val="clear" w:color="auto" w:fill="auto"/>
            <w:vAlign w:val="bottom"/>
          </w:tcPr>
          <w:p w14:paraId="64297933" w14:textId="77777777" w:rsidR="007B6C97" w:rsidRDefault="007B6C97">
            <w:pPr>
              <w:rPr>
                <w:rFonts w:ascii="宋体"/>
                <w:vanish/>
              </w:rPr>
            </w:pPr>
          </w:p>
        </w:tc>
        <w:tc>
          <w:tcPr>
            <w:tcW w:w="0" w:type="auto"/>
            <w:gridSpan w:val="3"/>
            <w:shd w:val="clear" w:color="auto" w:fill="auto"/>
            <w:vAlign w:val="bottom"/>
          </w:tcPr>
          <w:p w14:paraId="64297934" w14:textId="77777777" w:rsidR="007B6C97" w:rsidRDefault="007B6C97">
            <w:pPr>
              <w:rPr>
                <w:rFonts w:ascii="宋体"/>
                <w:vanish/>
              </w:rPr>
            </w:pPr>
          </w:p>
        </w:tc>
        <w:tc>
          <w:tcPr>
            <w:tcW w:w="0" w:type="auto"/>
            <w:gridSpan w:val="3"/>
            <w:shd w:val="clear" w:color="auto" w:fill="auto"/>
            <w:vAlign w:val="bottom"/>
          </w:tcPr>
          <w:p w14:paraId="64297935" w14:textId="77777777" w:rsidR="007B6C97" w:rsidRDefault="007B6C97">
            <w:pPr>
              <w:rPr>
                <w:rFonts w:ascii="宋体"/>
                <w:vanish/>
              </w:rPr>
            </w:pPr>
          </w:p>
        </w:tc>
        <w:tc>
          <w:tcPr>
            <w:tcW w:w="0" w:type="auto"/>
            <w:gridSpan w:val="3"/>
            <w:shd w:val="clear" w:color="auto" w:fill="auto"/>
            <w:vAlign w:val="bottom"/>
          </w:tcPr>
          <w:p w14:paraId="64297936" w14:textId="77777777" w:rsidR="007B6C97" w:rsidRDefault="007B6C97">
            <w:pPr>
              <w:rPr>
                <w:rFonts w:ascii="宋体"/>
                <w:vanish/>
              </w:rPr>
            </w:pPr>
          </w:p>
        </w:tc>
        <w:tc>
          <w:tcPr>
            <w:tcW w:w="0" w:type="auto"/>
            <w:gridSpan w:val="3"/>
            <w:shd w:val="clear" w:color="auto" w:fill="auto"/>
            <w:vAlign w:val="bottom"/>
          </w:tcPr>
          <w:p w14:paraId="64297937" w14:textId="77777777" w:rsidR="007B6C97" w:rsidRDefault="007B6C97">
            <w:pPr>
              <w:rPr>
                <w:rFonts w:ascii="宋体"/>
                <w:vanish/>
              </w:rPr>
            </w:pPr>
          </w:p>
        </w:tc>
      </w:tr>
      <w:tr w:rsidR="007B6C97" w14:paraId="64297941" w14:textId="77777777">
        <w:tc>
          <w:tcPr>
            <w:tcW w:w="0" w:type="auto"/>
            <w:gridSpan w:val="3"/>
            <w:shd w:val="clear" w:color="auto" w:fill="auto"/>
            <w:tcMar>
              <w:top w:w="40" w:type="dxa"/>
              <w:left w:w="155" w:type="dxa"/>
              <w:bottom w:w="40" w:type="dxa"/>
              <w:right w:w="20" w:type="dxa"/>
            </w:tcMar>
            <w:vAlign w:val="bottom"/>
          </w:tcPr>
          <w:p w14:paraId="64297939" w14:textId="77777777" w:rsidR="007B6C97" w:rsidRDefault="00E426D1">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6429793A"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429793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93C"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429793D"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93E"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3F" w14:textId="77777777" w:rsidR="007B6C97" w:rsidRDefault="00E426D1">
            <w:pPr>
              <w:jc w:val="right"/>
              <w:textAlignment w:val="bottom"/>
            </w:pPr>
            <w:r>
              <w:rPr>
                <w:rFonts w:ascii="Times New Roman" w:eastAsia="宋体" w:hAnsi="Times New Roman"/>
                <w:color w:val="000000"/>
                <w:sz w:val="20"/>
                <w:szCs w:val="20"/>
              </w:rPr>
              <w:t>0.9 </w:t>
            </w:r>
          </w:p>
        </w:tc>
        <w:tc>
          <w:tcPr>
            <w:tcW w:w="0" w:type="auto"/>
            <w:shd w:val="clear" w:color="auto" w:fill="auto"/>
            <w:tcMar>
              <w:top w:w="40" w:type="dxa"/>
              <w:left w:w="0" w:type="dxa"/>
              <w:bottom w:w="40" w:type="dxa"/>
              <w:right w:w="20" w:type="dxa"/>
            </w:tcMar>
            <w:vAlign w:val="bottom"/>
          </w:tcPr>
          <w:p w14:paraId="64297940" w14:textId="77777777" w:rsidR="007B6C97" w:rsidRDefault="007B6C97">
            <w:pPr>
              <w:jc w:val="right"/>
              <w:rPr>
                <w:rFonts w:ascii="宋体"/>
              </w:rPr>
            </w:pPr>
          </w:p>
        </w:tc>
      </w:tr>
      <w:tr w:rsidR="007B6C97" w14:paraId="6429794A" w14:textId="77777777">
        <w:trPr>
          <w:trHeight w:val="300"/>
        </w:trPr>
        <w:tc>
          <w:tcPr>
            <w:tcW w:w="0" w:type="auto"/>
            <w:gridSpan w:val="3"/>
            <w:vMerge w:val="restart"/>
            <w:shd w:val="clear" w:color="auto" w:fill="D7E4BC"/>
            <w:tcMar>
              <w:top w:w="40" w:type="dxa"/>
              <w:left w:w="155" w:type="dxa"/>
              <w:bottom w:w="40" w:type="dxa"/>
              <w:right w:w="20" w:type="dxa"/>
            </w:tcMar>
          </w:tcPr>
          <w:p w14:paraId="64297942" w14:textId="77777777" w:rsidR="007B6C97" w:rsidRDefault="00E426D1">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4297943"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6429794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945" w14:textId="77777777" w:rsidR="007B6C97" w:rsidRDefault="00E426D1">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6429794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94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948" w14:textId="77777777" w:rsidR="007B6C97" w:rsidRDefault="00E426D1">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4297949" w14:textId="77777777" w:rsidR="007B6C97" w:rsidRDefault="007B6C97">
            <w:pPr>
              <w:jc w:val="right"/>
              <w:rPr>
                <w:rFonts w:ascii="宋体"/>
              </w:rPr>
            </w:pPr>
          </w:p>
        </w:tc>
      </w:tr>
      <w:tr w:rsidR="007B6C97" w14:paraId="64297953" w14:textId="77777777">
        <w:trPr>
          <w:trHeight w:val="300"/>
        </w:trPr>
        <w:tc>
          <w:tcPr>
            <w:tcW w:w="0" w:type="auto"/>
            <w:gridSpan w:val="3"/>
            <w:vMerge/>
            <w:shd w:val="clear" w:color="auto" w:fill="D7E4BC"/>
            <w:tcMar>
              <w:top w:w="40" w:type="dxa"/>
              <w:left w:w="155" w:type="dxa"/>
              <w:bottom w:w="40" w:type="dxa"/>
              <w:right w:w="20" w:type="dxa"/>
            </w:tcMar>
          </w:tcPr>
          <w:p w14:paraId="6429794B"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794C" w14:textId="77777777" w:rsidR="007B6C97" w:rsidRDefault="00E426D1">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6429794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94E" w14:textId="77777777" w:rsidR="007B6C97" w:rsidRDefault="00E426D1">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6429794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95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951" w14:textId="77777777" w:rsidR="007B6C97" w:rsidRDefault="00E426D1">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64297952" w14:textId="77777777" w:rsidR="007B6C97" w:rsidRDefault="007B6C97">
            <w:pPr>
              <w:jc w:val="right"/>
              <w:rPr>
                <w:rFonts w:ascii="宋体"/>
              </w:rPr>
            </w:pPr>
          </w:p>
        </w:tc>
      </w:tr>
      <w:tr w:rsidR="007B6C97" w14:paraId="6429795C" w14:textId="77777777">
        <w:tc>
          <w:tcPr>
            <w:tcW w:w="0" w:type="auto"/>
            <w:gridSpan w:val="3"/>
            <w:shd w:val="clear" w:color="auto" w:fill="auto"/>
            <w:tcMar>
              <w:top w:w="40" w:type="dxa"/>
              <w:left w:w="155" w:type="dxa"/>
              <w:bottom w:w="40" w:type="dxa"/>
              <w:right w:w="20" w:type="dxa"/>
            </w:tcMar>
            <w:vAlign w:val="bottom"/>
          </w:tcPr>
          <w:p w14:paraId="64297954" w14:textId="77777777" w:rsidR="007B6C97" w:rsidRDefault="00E426D1">
            <w:pPr>
              <w:textAlignment w:val="bottom"/>
            </w:pPr>
            <w:r>
              <w:rPr>
                <w:rFonts w:ascii="Times New Roman" w:eastAsia="宋体" w:hAnsi="Times New Roman"/>
                <w:color w:val="000000"/>
                <w:sz w:val="20"/>
                <w:szCs w:val="20"/>
              </w:rPr>
              <w:t xml:space="preserve">Interest rate </w:t>
            </w:r>
            <w:r>
              <w:rPr>
                <w:rFonts w:ascii="Times New Roman" w:eastAsia="宋体" w:hAnsi="Times New Roman"/>
                <w:color w:val="000000"/>
                <w:sz w:val="20"/>
                <w:szCs w:val="20"/>
              </w:rPr>
              <w:t>swaps</w:t>
            </w:r>
          </w:p>
        </w:tc>
        <w:tc>
          <w:tcPr>
            <w:tcW w:w="0" w:type="auto"/>
            <w:gridSpan w:val="3"/>
            <w:shd w:val="clear" w:color="auto" w:fill="auto"/>
            <w:tcMar>
              <w:top w:w="40" w:type="dxa"/>
              <w:left w:w="20" w:type="dxa"/>
              <w:bottom w:w="40" w:type="dxa"/>
              <w:right w:w="20" w:type="dxa"/>
            </w:tcMar>
            <w:vAlign w:val="bottom"/>
          </w:tcPr>
          <w:p w14:paraId="64297955" w14:textId="77777777" w:rsidR="007B6C97" w:rsidRDefault="00E426D1">
            <w:pPr>
              <w:textAlignment w:val="bottom"/>
            </w:pPr>
            <w:r>
              <w:rPr>
                <w:rFonts w:ascii="Times New Roman" w:eastAsia="宋体" w:hAnsi="Times New Roman"/>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64297956"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57" w14:textId="77777777" w:rsidR="007B6C97" w:rsidRDefault="00E426D1">
            <w:pPr>
              <w:jc w:val="right"/>
              <w:textAlignment w:val="bottom"/>
            </w:pPr>
            <w:r>
              <w:rPr>
                <w:rFonts w:ascii="Times New Roman" w:eastAsia="宋体" w:hAnsi="Times New Roman"/>
                <w:color w:val="000000"/>
                <w:sz w:val="20"/>
                <w:szCs w:val="20"/>
              </w:rPr>
              <w:t>17.4 </w:t>
            </w:r>
          </w:p>
        </w:tc>
        <w:tc>
          <w:tcPr>
            <w:tcW w:w="0" w:type="auto"/>
            <w:shd w:val="clear" w:color="auto" w:fill="auto"/>
            <w:tcMar>
              <w:top w:w="40" w:type="dxa"/>
              <w:left w:w="0" w:type="dxa"/>
              <w:bottom w:w="40" w:type="dxa"/>
              <w:right w:w="20" w:type="dxa"/>
            </w:tcMar>
            <w:vAlign w:val="bottom"/>
          </w:tcPr>
          <w:p w14:paraId="64297958"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959"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5A" w14:textId="77777777" w:rsidR="007B6C97" w:rsidRDefault="00E426D1">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6429795B" w14:textId="77777777" w:rsidR="007B6C97" w:rsidRDefault="007B6C97">
            <w:pPr>
              <w:jc w:val="right"/>
              <w:rPr>
                <w:rFonts w:ascii="宋体"/>
              </w:rPr>
            </w:pPr>
          </w:p>
        </w:tc>
      </w:tr>
      <w:tr w:rsidR="007B6C97" w14:paraId="64297963" w14:textId="77777777">
        <w:tc>
          <w:tcPr>
            <w:tcW w:w="0" w:type="auto"/>
            <w:gridSpan w:val="3"/>
            <w:shd w:val="clear" w:color="auto" w:fill="D7E4BC"/>
            <w:tcMar>
              <w:top w:w="40" w:type="dxa"/>
              <w:left w:w="20" w:type="dxa"/>
              <w:bottom w:w="40" w:type="dxa"/>
              <w:right w:w="20" w:type="dxa"/>
            </w:tcMar>
            <w:vAlign w:val="bottom"/>
          </w:tcPr>
          <w:p w14:paraId="6429795D" w14:textId="77777777" w:rsidR="007B6C97" w:rsidRDefault="00E426D1">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6429795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5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6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6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62" w14:textId="77777777" w:rsidR="007B6C97" w:rsidRDefault="007B6C97">
            <w:pPr>
              <w:rPr>
                <w:rFonts w:ascii="宋体"/>
              </w:rPr>
            </w:pPr>
          </w:p>
        </w:tc>
      </w:tr>
      <w:tr w:rsidR="007B6C97" w14:paraId="6429796C" w14:textId="77777777">
        <w:tc>
          <w:tcPr>
            <w:tcW w:w="0" w:type="auto"/>
            <w:gridSpan w:val="3"/>
            <w:shd w:val="clear" w:color="auto" w:fill="auto"/>
            <w:tcMar>
              <w:top w:w="40" w:type="dxa"/>
              <w:left w:w="155" w:type="dxa"/>
              <w:bottom w:w="40" w:type="dxa"/>
              <w:right w:w="20" w:type="dxa"/>
            </w:tcMar>
            <w:vAlign w:val="bottom"/>
          </w:tcPr>
          <w:p w14:paraId="64297964" w14:textId="77777777" w:rsidR="007B6C97" w:rsidRDefault="00E426D1">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64297965"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4297966"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6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4297968"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969"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6A"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auto"/>
            <w:tcMar>
              <w:top w:w="40" w:type="dxa"/>
              <w:left w:w="0" w:type="dxa"/>
              <w:bottom w:w="40" w:type="dxa"/>
              <w:right w:w="20" w:type="dxa"/>
            </w:tcMar>
            <w:vAlign w:val="bottom"/>
          </w:tcPr>
          <w:p w14:paraId="6429796B" w14:textId="77777777" w:rsidR="007B6C97" w:rsidRDefault="007B6C97">
            <w:pPr>
              <w:jc w:val="right"/>
              <w:rPr>
                <w:rFonts w:ascii="宋体"/>
              </w:rPr>
            </w:pPr>
          </w:p>
        </w:tc>
      </w:tr>
      <w:tr w:rsidR="007B6C97" w14:paraId="64297973" w14:textId="77777777">
        <w:trPr>
          <w:hidden/>
        </w:trPr>
        <w:tc>
          <w:tcPr>
            <w:tcW w:w="0" w:type="auto"/>
            <w:gridSpan w:val="3"/>
            <w:shd w:val="clear" w:color="auto" w:fill="auto"/>
            <w:vAlign w:val="bottom"/>
          </w:tcPr>
          <w:p w14:paraId="6429796D" w14:textId="77777777" w:rsidR="007B6C97" w:rsidRDefault="007B6C97">
            <w:pPr>
              <w:rPr>
                <w:rFonts w:ascii="宋体"/>
                <w:vanish/>
              </w:rPr>
            </w:pPr>
          </w:p>
        </w:tc>
        <w:tc>
          <w:tcPr>
            <w:tcW w:w="0" w:type="auto"/>
            <w:gridSpan w:val="3"/>
            <w:shd w:val="clear" w:color="auto" w:fill="auto"/>
            <w:vAlign w:val="bottom"/>
          </w:tcPr>
          <w:p w14:paraId="6429796E" w14:textId="77777777" w:rsidR="007B6C97" w:rsidRDefault="007B6C97">
            <w:pPr>
              <w:rPr>
                <w:rFonts w:ascii="宋体"/>
                <w:vanish/>
              </w:rPr>
            </w:pPr>
          </w:p>
        </w:tc>
        <w:tc>
          <w:tcPr>
            <w:tcW w:w="0" w:type="auto"/>
            <w:gridSpan w:val="3"/>
            <w:shd w:val="clear" w:color="auto" w:fill="auto"/>
            <w:vAlign w:val="bottom"/>
          </w:tcPr>
          <w:p w14:paraId="6429796F" w14:textId="77777777" w:rsidR="007B6C97" w:rsidRDefault="007B6C97">
            <w:pPr>
              <w:rPr>
                <w:rFonts w:ascii="宋体"/>
                <w:vanish/>
              </w:rPr>
            </w:pPr>
          </w:p>
        </w:tc>
        <w:tc>
          <w:tcPr>
            <w:tcW w:w="0" w:type="auto"/>
            <w:gridSpan w:val="3"/>
            <w:shd w:val="clear" w:color="auto" w:fill="auto"/>
            <w:vAlign w:val="bottom"/>
          </w:tcPr>
          <w:p w14:paraId="64297970" w14:textId="77777777" w:rsidR="007B6C97" w:rsidRDefault="007B6C97">
            <w:pPr>
              <w:rPr>
                <w:rFonts w:ascii="宋体"/>
                <w:vanish/>
              </w:rPr>
            </w:pPr>
          </w:p>
        </w:tc>
        <w:tc>
          <w:tcPr>
            <w:tcW w:w="0" w:type="auto"/>
            <w:gridSpan w:val="3"/>
            <w:shd w:val="clear" w:color="auto" w:fill="auto"/>
            <w:vAlign w:val="bottom"/>
          </w:tcPr>
          <w:p w14:paraId="64297971" w14:textId="77777777" w:rsidR="007B6C97" w:rsidRDefault="007B6C97">
            <w:pPr>
              <w:rPr>
                <w:rFonts w:ascii="宋体"/>
                <w:vanish/>
              </w:rPr>
            </w:pPr>
          </w:p>
        </w:tc>
        <w:tc>
          <w:tcPr>
            <w:tcW w:w="0" w:type="auto"/>
            <w:gridSpan w:val="3"/>
            <w:shd w:val="clear" w:color="auto" w:fill="auto"/>
            <w:vAlign w:val="bottom"/>
          </w:tcPr>
          <w:p w14:paraId="64297972" w14:textId="77777777" w:rsidR="007B6C97" w:rsidRDefault="007B6C97">
            <w:pPr>
              <w:rPr>
                <w:rFonts w:ascii="宋体"/>
                <w:vanish/>
              </w:rPr>
            </w:pPr>
          </w:p>
        </w:tc>
      </w:tr>
      <w:tr w:rsidR="007B6C97" w14:paraId="6429797C" w14:textId="77777777">
        <w:tc>
          <w:tcPr>
            <w:tcW w:w="0" w:type="auto"/>
            <w:gridSpan w:val="3"/>
            <w:shd w:val="clear" w:color="auto" w:fill="auto"/>
            <w:tcMar>
              <w:top w:w="40" w:type="dxa"/>
              <w:left w:w="155" w:type="dxa"/>
              <w:bottom w:w="40" w:type="dxa"/>
              <w:right w:w="20" w:type="dxa"/>
            </w:tcMar>
            <w:vAlign w:val="bottom"/>
          </w:tcPr>
          <w:p w14:paraId="64297974" w14:textId="77777777" w:rsidR="007B6C97" w:rsidRDefault="00E426D1">
            <w:pPr>
              <w:textAlignment w:val="bottom"/>
            </w:pPr>
            <w:r>
              <w:rPr>
                <w:rFonts w:ascii="Times New Roman" w:eastAsia="宋体" w:hAnsi="Times New Roman"/>
                <w:color w:val="000000"/>
                <w:sz w:val="20"/>
                <w:szCs w:val="20"/>
              </w:rPr>
              <w:t>Foreign currency</w:t>
            </w:r>
          </w:p>
        </w:tc>
        <w:tc>
          <w:tcPr>
            <w:tcW w:w="0" w:type="auto"/>
            <w:gridSpan w:val="3"/>
            <w:shd w:val="clear" w:color="auto" w:fill="auto"/>
            <w:tcMar>
              <w:top w:w="40" w:type="dxa"/>
              <w:left w:w="20" w:type="dxa"/>
              <w:bottom w:w="40" w:type="dxa"/>
              <w:right w:w="20" w:type="dxa"/>
            </w:tcMar>
            <w:vAlign w:val="bottom"/>
          </w:tcPr>
          <w:p w14:paraId="64297975"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4297976"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77" w14:textId="77777777" w:rsidR="007B6C97" w:rsidRDefault="00E426D1">
            <w:pPr>
              <w:jc w:val="right"/>
              <w:textAlignment w:val="bottom"/>
            </w:pPr>
            <w:r>
              <w:rPr>
                <w:rFonts w:ascii="Times New Roman" w:eastAsia="宋体" w:hAnsi="Times New Roman"/>
                <w:color w:val="000000"/>
                <w:sz w:val="20"/>
                <w:szCs w:val="20"/>
              </w:rPr>
              <w:t>0.5 </w:t>
            </w:r>
          </w:p>
        </w:tc>
        <w:tc>
          <w:tcPr>
            <w:tcW w:w="0" w:type="auto"/>
            <w:shd w:val="clear" w:color="auto" w:fill="auto"/>
            <w:tcMar>
              <w:top w:w="40" w:type="dxa"/>
              <w:left w:w="0" w:type="dxa"/>
              <w:bottom w:w="40" w:type="dxa"/>
              <w:right w:w="20" w:type="dxa"/>
            </w:tcMar>
            <w:vAlign w:val="bottom"/>
          </w:tcPr>
          <w:p w14:paraId="64297978"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7979" w14:textId="77777777" w:rsidR="007B6C97" w:rsidRDefault="007B6C97">
            <w:pPr>
              <w:rPr>
                <w:rFonts w:ascii="宋体"/>
              </w:rPr>
            </w:pPr>
          </w:p>
        </w:tc>
        <w:tc>
          <w:tcPr>
            <w:tcW w:w="0" w:type="auto"/>
            <w:gridSpan w:val="2"/>
            <w:shd w:val="clear" w:color="auto" w:fill="auto"/>
            <w:tcMar>
              <w:top w:w="40" w:type="dxa"/>
              <w:left w:w="20" w:type="dxa"/>
              <w:bottom w:w="40" w:type="dxa"/>
              <w:right w:w="0" w:type="dxa"/>
            </w:tcMar>
            <w:vAlign w:val="bottom"/>
          </w:tcPr>
          <w:p w14:paraId="6429797A"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6429797B" w14:textId="77777777" w:rsidR="007B6C97" w:rsidRDefault="007B6C97">
            <w:pPr>
              <w:jc w:val="right"/>
              <w:rPr>
                <w:rFonts w:ascii="宋体"/>
              </w:rPr>
            </w:pPr>
          </w:p>
        </w:tc>
      </w:tr>
      <w:tr w:rsidR="007B6C97" w14:paraId="64297983" w14:textId="77777777">
        <w:trPr>
          <w:hidden/>
        </w:trPr>
        <w:tc>
          <w:tcPr>
            <w:tcW w:w="0" w:type="auto"/>
            <w:gridSpan w:val="3"/>
            <w:shd w:val="clear" w:color="auto" w:fill="auto"/>
            <w:vAlign w:val="bottom"/>
          </w:tcPr>
          <w:p w14:paraId="6429797D" w14:textId="77777777" w:rsidR="007B6C97" w:rsidRDefault="007B6C97">
            <w:pPr>
              <w:rPr>
                <w:rFonts w:ascii="宋体"/>
                <w:vanish/>
              </w:rPr>
            </w:pPr>
          </w:p>
        </w:tc>
        <w:tc>
          <w:tcPr>
            <w:tcW w:w="0" w:type="auto"/>
            <w:gridSpan w:val="3"/>
            <w:shd w:val="clear" w:color="auto" w:fill="auto"/>
            <w:vAlign w:val="bottom"/>
          </w:tcPr>
          <w:p w14:paraId="6429797E" w14:textId="77777777" w:rsidR="007B6C97" w:rsidRDefault="007B6C97">
            <w:pPr>
              <w:rPr>
                <w:rFonts w:ascii="宋体"/>
                <w:vanish/>
              </w:rPr>
            </w:pPr>
          </w:p>
        </w:tc>
        <w:tc>
          <w:tcPr>
            <w:tcW w:w="0" w:type="auto"/>
            <w:gridSpan w:val="3"/>
            <w:shd w:val="clear" w:color="auto" w:fill="auto"/>
            <w:vAlign w:val="bottom"/>
          </w:tcPr>
          <w:p w14:paraId="6429797F" w14:textId="77777777" w:rsidR="007B6C97" w:rsidRDefault="007B6C97">
            <w:pPr>
              <w:rPr>
                <w:rFonts w:ascii="宋体"/>
                <w:vanish/>
              </w:rPr>
            </w:pPr>
          </w:p>
        </w:tc>
        <w:tc>
          <w:tcPr>
            <w:tcW w:w="0" w:type="auto"/>
            <w:gridSpan w:val="3"/>
            <w:shd w:val="clear" w:color="auto" w:fill="auto"/>
            <w:vAlign w:val="bottom"/>
          </w:tcPr>
          <w:p w14:paraId="64297980" w14:textId="77777777" w:rsidR="007B6C97" w:rsidRDefault="007B6C97">
            <w:pPr>
              <w:rPr>
                <w:rFonts w:ascii="宋体"/>
                <w:vanish/>
              </w:rPr>
            </w:pPr>
          </w:p>
        </w:tc>
        <w:tc>
          <w:tcPr>
            <w:tcW w:w="0" w:type="auto"/>
            <w:gridSpan w:val="3"/>
            <w:shd w:val="clear" w:color="auto" w:fill="auto"/>
            <w:vAlign w:val="bottom"/>
          </w:tcPr>
          <w:p w14:paraId="64297981" w14:textId="77777777" w:rsidR="007B6C97" w:rsidRDefault="007B6C97">
            <w:pPr>
              <w:rPr>
                <w:rFonts w:ascii="宋体"/>
                <w:vanish/>
              </w:rPr>
            </w:pPr>
          </w:p>
        </w:tc>
        <w:tc>
          <w:tcPr>
            <w:tcW w:w="0" w:type="auto"/>
            <w:gridSpan w:val="3"/>
            <w:shd w:val="clear" w:color="auto" w:fill="auto"/>
            <w:vAlign w:val="bottom"/>
          </w:tcPr>
          <w:p w14:paraId="64297982" w14:textId="77777777" w:rsidR="007B6C97" w:rsidRDefault="007B6C97">
            <w:pPr>
              <w:rPr>
                <w:rFonts w:ascii="宋体"/>
                <w:vanish/>
              </w:rPr>
            </w:pPr>
          </w:p>
        </w:tc>
      </w:tr>
    </w:tbl>
    <w:p w14:paraId="64297984" w14:textId="77777777" w:rsidR="007B6C97" w:rsidRDefault="00E426D1">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tblCellMar>
          <w:top w:w="15" w:type="dxa"/>
          <w:left w:w="15" w:type="dxa"/>
          <w:bottom w:w="15" w:type="dxa"/>
          <w:right w:w="15" w:type="dxa"/>
        </w:tblCellMar>
        <w:tblLook w:val="04A0" w:firstRow="1" w:lastRow="0" w:firstColumn="1" w:lastColumn="0" w:noHBand="0" w:noVBand="1"/>
      </w:tblPr>
      <w:tblGrid>
        <w:gridCol w:w="38"/>
        <w:gridCol w:w="2564"/>
        <w:gridCol w:w="37"/>
        <w:gridCol w:w="120"/>
        <w:gridCol w:w="1184"/>
        <w:gridCol w:w="36"/>
        <w:gridCol w:w="36"/>
        <w:gridCol w:w="36"/>
        <w:gridCol w:w="36"/>
        <w:gridCol w:w="120"/>
        <w:gridCol w:w="1184"/>
        <w:gridCol w:w="36"/>
        <w:gridCol w:w="36"/>
        <w:gridCol w:w="36"/>
        <w:gridCol w:w="36"/>
        <w:gridCol w:w="120"/>
        <w:gridCol w:w="1184"/>
        <w:gridCol w:w="36"/>
        <w:gridCol w:w="36"/>
        <w:gridCol w:w="36"/>
        <w:gridCol w:w="36"/>
        <w:gridCol w:w="120"/>
        <w:gridCol w:w="1185"/>
        <w:gridCol w:w="36"/>
      </w:tblGrid>
      <w:tr w:rsidR="007B6C97" w14:paraId="6429799D" w14:textId="77777777">
        <w:tc>
          <w:tcPr>
            <w:tcW w:w="50" w:type="pct"/>
            <w:shd w:val="clear" w:color="auto" w:fill="auto"/>
            <w:vAlign w:val="bottom"/>
          </w:tcPr>
          <w:p w14:paraId="64297985" w14:textId="77777777" w:rsidR="007B6C97" w:rsidRDefault="007B6C97">
            <w:pPr>
              <w:rPr>
                <w:rFonts w:ascii="宋体"/>
              </w:rPr>
            </w:pPr>
          </w:p>
        </w:tc>
        <w:tc>
          <w:tcPr>
            <w:tcW w:w="1606" w:type="pct"/>
            <w:shd w:val="clear" w:color="auto" w:fill="auto"/>
            <w:vAlign w:val="bottom"/>
          </w:tcPr>
          <w:p w14:paraId="64297986" w14:textId="77777777" w:rsidR="007B6C97" w:rsidRDefault="007B6C97">
            <w:pPr>
              <w:rPr>
                <w:rFonts w:ascii="宋体"/>
              </w:rPr>
            </w:pPr>
          </w:p>
        </w:tc>
        <w:tc>
          <w:tcPr>
            <w:tcW w:w="5" w:type="pct"/>
            <w:shd w:val="clear" w:color="auto" w:fill="auto"/>
            <w:vAlign w:val="bottom"/>
          </w:tcPr>
          <w:p w14:paraId="64297987" w14:textId="77777777" w:rsidR="007B6C97" w:rsidRDefault="007B6C97">
            <w:pPr>
              <w:rPr>
                <w:rFonts w:ascii="宋体"/>
              </w:rPr>
            </w:pPr>
          </w:p>
        </w:tc>
        <w:tc>
          <w:tcPr>
            <w:tcW w:w="50" w:type="pct"/>
            <w:shd w:val="clear" w:color="auto" w:fill="auto"/>
            <w:vAlign w:val="bottom"/>
          </w:tcPr>
          <w:p w14:paraId="64297988" w14:textId="77777777" w:rsidR="007B6C97" w:rsidRDefault="007B6C97">
            <w:pPr>
              <w:rPr>
                <w:rFonts w:ascii="宋体"/>
              </w:rPr>
            </w:pPr>
          </w:p>
        </w:tc>
        <w:tc>
          <w:tcPr>
            <w:tcW w:w="757" w:type="pct"/>
            <w:shd w:val="clear" w:color="auto" w:fill="auto"/>
            <w:vAlign w:val="bottom"/>
          </w:tcPr>
          <w:p w14:paraId="64297989" w14:textId="77777777" w:rsidR="007B6C97" w:rsidRDefault="007B6C97">
            <w:pPr>
              <w:rPr>
                <w:rFonts w:ascii="宋体"/>
              </w:rPr>
            </w:pPr>
          </w:p>
        </w:tc>
        <w:tc>
          <w:tcPr>
            <w:tcW w:w="5" w:type="pct"/>
            <w:shd w:val="clear" w:color="auto" w:fill="auto"/>
            <w:vAlign w:val="bottom"/>
          </w:tcPr>
          <w:p w14:paraId="6429798A" w14:textId="77777777" w:rsidR="007B6C97" w:rsidRDefault="007B6C97">
            <w:pPr>
              <w:rPr>
                <w:rFonts w:ascii="宋体"/>
              </w:rPr>
            </w:pPr>
          </w:p>
        </w:tc>
        <w:tc>
          <w:tcPr>
            <w:tcW w:w="5" w:type="pct"/>
            <w:shd w:val="clear" w:color="auto" w:fill="auto"/>
            <w:vAlign w:val="bottom"/>
          </w:tcPr>
          <w:p w14:paraId="6429798B" w14:textId="77777777" w:rsidR="007B6C97" w:rsidRDefault="007B6C97">
            <w:pPr>
              <w:rPr>
                <w:rFonts w:ascii="宋体"/>
              </w:rPr>
            </w:pPr>
          </w:p>
        </w:tc>
        <w:tc>
          <w:tcPr>
            <w:tcW w:w="19" w:type="pct"/>
            <w:shd w:val="clear" w:color="auto" w:fill="auto"/>
            <w:vAlign w:val="bottom"/>
          </w:tcPr>
          <w:p w14:paraId="6429798C" w14:textId="77777777" w:rsidR="007B6C97" w:rsidRDefault="007B6C97">
            <w:pPr>
              <w:rPr>
                <w:rFonts w:ascii="宋体"/>
              </w:rPr>
            </w:pPr>
          </w:p>
        </w:tc>
        <w:tc>
          <w:tcPr>
            <w:tcW w:w="5" w:type="pct"/>
            <w:shd w:val="clear" w:color="auto" w:fill="auto"/>
            <w:vAlign w:val="bottom"/>
          </w:tcPr>
          <w:p w14:paraId="6429798D" w14:textId="77777777" w:rsidR="007B6C97" w:rsidRDefault="007B6C97">
            <w:pPr>
              <w:rPr>
                <w:rFonts w:ascii="宋体"/>
              </w:rPr>
            </w:pPr>
          </w:p>
        </w:tc>
        <w:tc>
          <w:tcPr>
            <w:tcW w:w="50" w:type="pct"/>
            <w:shd w:val="clear" w:color="auto" w:fill="auto"/>
            <w:vAlign w:val="bottom"/>
          </w:tcPr>
          <w:p w14:paraId="6429798E" w14:textId="77777777" w:rsidR="007B6C97" w:rsidRDefault="007B6C97">
            <w:pPr>
              <w:rPr>
                <w:rFonts w:ascii="宋体"/>
              </w:rPr>
            </w:pPr>
          </w:p>
        </w:tc>
        <w:tc>
          <w:tcPr>
            <w:tcW w:w="757" w:type="pct"/>
            <w:shd w:val="clear" w:color="auto" w:fill="auto"/>
            <w:vAlign w:val="bottom"/>
          </w:tcPr>
          <w:p w14:paraId="6429798F" w14:textId="77777777" w:rsidR="007B6C97" w:rsidRDefault="007B6C97">
            <w:pPr>
              <w:rPr>
                <w:rFonts w:ascii="宋体"/>
              </w:rPr>
            </w:pPr>
          </w:p>
        </w:tc>
        <w:tc>
          <w:tcPr>
            <w:tcW w:w="5" w:type="pct"/>
            <w:shd w:val="clear" w:color="auto" w:fill="auto"/>
            <w:vAlign w:val="bottom"/>
          </w:tcPr>
          <w:p w14:paraId="64297990" w14:textId="77777777" w:rsidR="007B6C97" w:rsidRDefault="007B6C97">
            <w:pPr>
              <w:rPr>
                <w:rFonts w:ascii="宋体"/>
              </w:rPr>
            </w:pPr>
          </w:p>
        </w:tc>
        <w:tc>
          <w:tcPr>
            <w:tcW w:w="5" w:type="pct"/>
            <w:shd w:val="clear" w:color="auto" w:fill="auto"/>
            <w:vAlign w:val="bottom"/>
          </w:tcPr>
          <w:p w14:paraId="64297991" w14:textId="77777777" w:rsidR="007B6C97" w:rsidRDefault="007B6C97">
            <w:pPr>
              <w:rPr>
                <w:rFonts w:ascii="宋体"/>
              </w:rPr>
            </w:pPr>
          </w:p>
        </w:tc>
        <w:tc>
          <w:tcPr>
            <w:tcW w:w="19" w:type="pct"/>
            <w:shd w:val="clear" w:color="auto" w:fill="auto"/>
            <w:vAlign w:val="bottom"/>
          </w:tcPr>
          <w:p w14:paraId="64297992" w14:textId="77777777" w:rsidR="007B6C97" w:rsidRDefault="007B6C97">
            <w:pPr>
              <w:rPr>
                <w:rFonts w:ascii="宋体"/>
              </w:rPr>
            </w:pPr>
          </w:p>
        </w:tc>
        <w:tc>
          <w:tcPr>
            <w:tcW w:w="5" w:type="pct"/>
            <w:shd w:val="clear" w:color="auto" w:fill="auto"/>
            <w:vAlign w:val="bottom"/>
          </w:tcPr>
          <w:p w14:paraId="64297993" w14:textId="77777777" w:rsidR="007B6C97" w:rsidRDefault="007B6C97">
            <w:pPr>
              <w:rPr>
                <w:rFonts w:ascii="宋体"/>
              </w:rPr>
            </w:pPr>
          </w:p>
        </w:tc>
        <w:tc>
          <w:tcPr>
            <w:tcW w:w="50" w:type="pct"/>
            <w:shd w:val="clear" w:color="auto" w:fill="auto"/>
            <w:vAlign w:val="bottom"/>
          </w:tcPr>
          <w:p w14:paraId="64297994" w14:textId="77777777" w:rsidR="007B6C97" w:rsidRDefault="007B6C97">
            <w:pPr>
              <w:rPr>
                <w:rFonts w:ascii="宋体"/>
              </w:rPr>
            </w:pPr>
          </w:p>
        </w:tc>
        <w:tc>
          <w:tcPr>
            <w:tcW w:w="757" w:type="pct"/>
            <w:shd w:val="clear" w:color="auto" w:fill="auto"/>
            <w:vAlign w:val="bottom"/>
          </w:tcPr>
          <w:p w14:paraId="64297995" w14:textId="77777777" w:rsidR="007B6C97" w:rsidRDefault="007B6C97">
            <w:pPr>
              <w:rPr>
                <w:rFonts w:ascii="宋体"/>
              </w:rPr>
            </w:pPr>
          </w:p>
        </w:tc>
        <w:tc>
          <w:tcPr>
            <w:tcW w:w="5" w:type="pct"/>
            <w:shd w:val="clear" w:color="auto" w:fill="auto"/>
            <w:vAlign w:val="bottom"/>
          </w:tcPr>
          <w:p w14:paraId="64297996" w14:textId="77777777" w:rsidR="007B6C97" w:rsidRDefault="007B6C97">
            <w:pPr>
              <w:rPr>
                <w:rFonts w:ascii="宋体"/>
              </w:rPr>
            </w:pPr>
          </w:p>
        </w:tc>
        <w:tc>
          <w:tcPr>
            <w:tcW w:w="5" w:type="pct"/>
            <w:shd w:val="clear" w:color="auto" w:fill="auto"/>
            <w:vAlign w:val="bottom"/>
          </w:tcPr>
          <w:p w14:paraId="64297997" w14:textId="77777777" w:rsidR="007B6C97" w:rsidRDefault="007B6C97">
            <w:pPr>
              <w:rPr>
                <w:rFonts w:ascii="宋体"/>
              </w:rPr>
            </w:pPr>
          </w:p>
        </w:tc>
        <w:tc>
          <w:tcPr>
            <w:tcW w:w="19" w:type="pct"/>
            <w:shd w:val="clear" w:color="auto" w:fill="auto"/>
            <w:vAlign w:val="bottom"/>
          </w:tcPr>
          <w:p w14:paraId="64297998" w14:textId="77777777" w:rsidR="007B6C97" w:rsidRDefault="007B6C97">
            <w:pPr>
              <w:rPr>
                <w:rFonts w:ascii="宋体"/>
              </w:rPr>
            </w:pPr>
          </w:p>
        </w:tc>
        <w:tc>
          <w:tcPr>
            <w:tcW w:w="5" w:type="pct"/>
            <w:shd w:val="clear" w:color="auto" w:fill="auto"/>
            <w:vAlign w:val="bottom"/>
          </w:tcPr>
          <w:p w14:paraId="64297999" w14:textId="77777777" w:rsidR="007B6C97" w:rsidRDefault="007B6C97">
            <w:pPr>
              <w:rPr>
                <w:rFonts w:ascii="宋体"/>
              </w:rPr>
            </w:pPr>
          </w:p>
        </w:tc>
        <w:tc>
          <w:tcPr>
            <w:tcW w:w="50" w:type="pct"/>
            <w:shd w:val="clear" w:color="auto" w:fill="auto"/>
            <w:vAlign w:val="bottom"/>
          </w:tcPr>
          <w:p w14:paraId="6429799A" w14:textId="77777777" w:rsidR="007B6C97" w:rsidRDefault="007B6C97">
            <w:pPr>
              <w:rPr>
                <w:rFonts w:ascii="宋体"/>
              </w:rPr>
            </w:pPr>
          </w:p>
        </w:tc>
        <w:tc>
          <w:tcPr>
            <w:tcW w:w="757" w:type="pct"/>
            <w:shd w:val="clear" w:color="auto" w:fill="auto"/>
            <w:vAlign w:val="bottom"/>
          </w:tcPr>
          <w:p w14:paraId="6429799B" w14:textId="77777777" w:rsidR="007B6C97" w:rsidRDefault="007B6C97">
            <w:pPr>
              <w:rPr>
                <w:rFonts w:ascii="宋体"/>
              </w:rPr>
            </w:pPr>
          </w:p>
        </w:tc>
        <w:tc>
          <w:tcPr>
            <w:tcW w:w="5" w:type="pct"/>
            <w:shd w:val="clear" w:color="auto" w:fill="auto"/>
            <w:vAlign w:val="bottom"/>
          </w:tcPr>
          <w:p w14:paraId="6429799C" w14:textId="77777777" w:rsidR="007B6C97" w:rsidRDefault="007B6C97">
            <w:pPr>
              <w:rPr>
                <w:rFonts w:ascii="宋体"/>
              </w:rPr>
            </w:pPr>
          </w:p>
        </w:tc>
      </w:tr>
      <w:tr w:rsidR="007B6C97" w14:paraId="642979A2" w14:textId="77777777">
        <w:tc>
          <w:tcPr>
            <w:tcW w:w="0" w:type="auto"/>
            <w:gridSpan w:val="3"/>
            <w:shd w:val="clear" w:color="auto" w:fill="auto"/>
            <w:tcMar>
              <w:top w:w="0" w:type="dxa"/>
              <w:left w:w="20" w:type="dxa"/>
              <w:bottom w:w="0" w:type="dxa"/>
              <w:right w:w="20" w:type="dxa"/>
            </w:tcMar>
            <w:vAlign w:val="bottom"/>
          </w:tcPr>
          <w:p w14:paraId="6429799E"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99F" w14:textId="77777777" w:rsidR="007B6C97" w:rsidRDefault="00E426D1">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vAlign w:val="bottom"/>
          </w:tcPr>
          <w:p w14:paraId="642979A0"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9A1" w14:textId="77777777" w:rsidR="007B6C97" w:rsidRDefault="00E426D1">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7B6C97" w14:paraId="642979AB" w14:textId="77777777">
        <w:tc>
          <w:tcPr>
            <w:tcW w:w="0" w:type="auto"/>
            <w:gridSpan w:val="3"/>
            <w:shd w:val="clear" w:color="auto" w:fill="auto"/>
            <w:tcMar>
              <w:top w:w="0" w:type="dxa"/>
              <w:left w:w="20" w:type="dxa"/>
              <w:bottom w:w="0" w:type="dxa"/>
              <w:right w:w="20" w:type="dxa"/>
            </w:tcMar>
            <w:vAlign w:val="bottom"/>
          </w:tcPr>
          <w:p w14:paraId="642979A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A4"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9A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A6" w14:textId="77777777" w:rsidR="007B6C97" w:rsidRDefault="00E426D1">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42979A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A8"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9A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AA"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9B4" w14:textId="77777777">
        <w:tc>
          <w:tcPr>
            <w:tcW w:w="0" w:type="auto"/>
            <w:gridSpan w:val="3"/>
            <w:shd w:val="clear" w:color="auto" w:fill="D7E4BC"/>
            <w:tcMar>
              <w:top w:w="40" w:type="dxa"/>
              <w:left w:w="20" w:type="dxa"/>
              <w:bottom w:w="40" w:type="dxa"/>
              <w:right w:w="20" w:type="dxa"/>
            </w:tcMar>
            <w:vAlign w:val="bottom"/>
          </w:tcPr>
          <w:p w14:paraId="642979AC" w14:textId="77777777" w:rsidR="007B6C97" w:rsidRDefault="00E426D1">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A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AE"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A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B0"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B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B2"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B3" w14:textId="77777777" w:rsidR="007B6C97" w:rsidRDefault="007B6C97">
            <w:pPr>
              <w:rPr>
                <w:rFonts w:ascii="宋体"/>
              </w:rPr>
            </w:pPr>
          </w:p>
        </w:tc>
      </w:tr>
      <w:tr w:rsidR="007B6C97" w14:paraId="642979C5" w14:textId="77777777">
        <w:tc>
          <w:tcPr>
            <w:tcW w:w="0" w:type="auto"/>
            <w:gridSpan w:val="3"/>
            <w:shd w:val="clear" w:color="auto" w:fill="FFFFFF"/>
            <w:tcMar>
              <w:top w:w="40" w:type="dxa"/>
              <w:left w:w="155" w:type="dxa"/>
              <w:bottom w:w="40" w:type="dxa"/>
              <w:right w:w="20" w:type="dxa"/>
            </w:tcMar>
            <w:vAlign w:val="bottom"/>
          </w:tcPr>
          <w:p w14:paraId="642979B5" w14:textId="77777777" w:rsidR="007B6C97" w:rsidRDefault="00E426D1">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642979B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B7" w14:textId="77777777" w:rsidR="007B6C97" w:rsidRDefault="00E426D1">
            <w:pPr>
              <w:jc w:val="right"/>
              <w:textAlignment w:val="bottom"/>
            </w:pPr>
            <w:r>
              <w:rPr>
                <w:rFonts w:ascii="Times New Roman" w:eastAsia="宋体" w:hAnsi="Times New Roman"/>
                <w:color w:val="000000"/>
                <w:sz w:val="20"/>
                <w:szCs w:val="20"/>
              </w:rPr>
              <w:t>1,074.1 </w:t>
            </w:r>
          </w:p>
        </w:tc>
        <w:tc>
          <w:tcPr>
            <w:tcW w:w="0" w:type="auto"/>
            <w:shd w:val="clear" w:color="auto" w:fill="FFFFFF"/>
            <w:tcMar>
              <w:top w:w="40" w:type="dxa"/>
              <w:left w:w="0" w:type="dxa"/>
              <w:bottom w:w="40" w:type="dxa"/>
              <w:right w:w="20" w:type="dxa"/>
            </w:tcMar>
            <w:vAlign w:val="bottom"/>
          </w:tcPr>
          <w:p w14:paraId="642979B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9B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9B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BB" w14:textId="77777777" w:rsidR="007B6C97" w:rsidRDefault="00E426D1">
            <w:pPr>
              <w:jc w:val="right"/>
              <w:textAlignment w:val="bottom"/>
            </w:pPr>
            <w:r>
              <w:rPr>
                <w:rFonts w:ascii="Times New Roman" w:eastAsia="宋体" w:hAnsi="Times New Roman"/>
                <w:color w:val="000000"/>
                <w:sz w:val="20"/>
                <w:szCs w:val="20"/>
              </w:rPr>
              <w:t>771.7 </w:t>
            </w:r>
          </w:p>
        </w:tc>
        <w:tc>
          <w:tcPr>
            <w:tcW w:w="0" w:type="auto"/>
            <w:shd w:val="clear" w:color="auto" w:fill="FFFFFF"/>
            <w:tcMar>
              <w:top w:w="40" w:type="dxa"/>
              <w:left w:w="0" w:type="dxa"/>
              <w:bottom w:w="40" w:type="dxa"/>
              <w:right w:w="20" w:type="dxa"/>
            </w:tcMar>
            <w:vAlign w:val="bottom"/>
          </w:tcPr>
          <w:p w14:paraId="642979B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9B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9B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BF" w14:textId="77777777" w:rsidR="007B6C97" w:rsidRDefault="00E426D1">
            <w:pPr>
              <w:jc w:val="right"/>
              <w:textAlignment w:val="bottom"/>
            </w:pPr>
            <w:r>
              <w:rPr>
                <w:rFonts w:ascii="Times New Roman" w:eastAsia="宋体" w:hAnsi="Times New Roman"/>
                <w:color w:val="000000"/>
                <w:sz w:val="20"/>
                <w:szCs w:val="20"/>
              </w:rPr>
              <w:t>(25.9)</w:t>
            </w:r>
          </w:p>
        </w:tc>
        <w:tc>
          <w:tcPr>
            <w:tcW w:w="0" w:type="auto"/>
            <w:shd w:val="clear" w:color="auto" w:fill="FFFFFF"/>
            <w:tcMar>
              <w:top w:w="40" w:type="dxa"/>
              <w:left w:w="0" w:type="dxa"/>
              <w:bottom w:w="40" w:type="dxa"/>
              <w:right w:w="20" w:type="dxa"/>
            </w:tcMar>
            <w:vAlign w:val="bottom"/>
          </w:tcPr>
          <w:p w14:paraId="642979C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9C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9C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C3" w14:textId="77777777" w:rsidR="007B6C97" w:rsidRDefault="00E426D1">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642979C4" w14:textId="77777777" w:rsidR="007B6C97" w:rsidRDefault="007B6C97">
            <w:pPr>
              <w:jc w:val="right"/>
              <w:rPr>
                <w:rFonts w:ascii="宋体"/>
              </w:rPr>
            </w:pPr>
          </w:p>
        </w:tc>
      </w:tr>
    </w:tbl>
    <w:p w14:paraId="642979C6" w14:textId="77777777" w:rsidR="007B6C97" w:rsidRDefault="00E426D1">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105" w:anchor="ie38a2b375c9840e583a36769999bbee6_7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Equity.</w:t>
      </w:r>
    </w:p>
    <w:p w14:paraId="642979C7" w14:textId="77777777" w:rsidR="007B6C97" w:rsidRDefault="00E426D1">
      <w:pPr>
        <w:jc w:val="center"/>
      </w:pPr>
      <w:r>
        <w:rPr>
          <w:rFonts w:ascii="Times New Roman" w:eastAsia="宋体" w:hAnsi="Times New Roman"/>
          <w:color w:val="000000"/>
          <w:sz w:val="20"/>
          <w:szCs w:val="20"/>
        </w:rPr>
        <w:t>15</w:t>
      </w:r>
    </w:p>
    <w:p w14:paraId="642979C8" w14:textId="77777777" w:rsidR="007B6C97" w:rsidRDefault="00E426D1">
      <w:r>
        <w:pict w14:anchorId="642999E9">
          <v:rect id="_x0000_i1039" style="width:415.3pt;height:1.5pt" o:hralign="center" o:hrstd="t" o:hr="t" fillcolor="#a0a0a0" stroked="f"/>
        </w:pict>
      </w:r>
    </w:p>
    <w:p w14:paraId="642979C9" w14:textId="77777777" w:rsidR="007B6C97" w:rsidRDefault="00E426D1">
      <w:hyperlink r:id="rId106" w:anchor="ie38a2b375c9840e583a36769999bbee6_7" w:history="1">
        <w:r>
          <w:rPr>
            <w:rStyle w:val="a5"/>
            <w:rFonts w:ascii="Times New Roman" w:eastAsia="宋体" w:hAnsi="Times New Roman"/>
            <w:sz w:val="20"/>
            <w:szCs w:val="20"/>
          </w:rPr>
          <w:t>Table</w:t>
        </w:r>
      </w:hyperlink>
      <w:hyperlink r:id="rId107" w:anchor="ie38a2b375c9840e583a36769999bbee6_7" w:history="1">
        <w:r>
          <w:rPr>
            <w:rStyle w:val="a5"/>
            <w:rFonts w:ascii="Times New Roman" w:eastAsia="宋体" w:hAnsi="Times New Roman"/>
            <w:sz w:val="20"/>
            <w:szCs w:val="20"/>
          </w:rPr>
          <w:t xml:space="preserve"> of Contents</w:t>
        </w:r>
      </w:hyperlink>
    </w:p>
    <w:p w14:paraId="642979CA" w14:textId="77777777" w:rsidR="007B6C97" w:rsidRDefault="007B6C97">
      <w:pPr>
        <w:spacing w:before="120"/>
      </w:pPr>
    </w:p>
    <w:p w14:paraId="642979CB" w14:textId="77777777" w:rsidR="007B6C97" w:rsidRDefault="00E426D1">
      <w:pPr>
        <w:spacing w:before="120"/>
      </w:pPr>
      <w:r>
        <w:rPr>
          <w:rFonts w:ascii="Times New Roman" w:eastAsia="宋体" w:hAnsi="Times New Roman"/>
          <w:b/>
          <w:bCs/>
          <w:color w:val="000000"/>
          <w:sz w:val="20"/>
          <w:szCs w:val="20"/>
        </w:rPr>
        <w:t>Note 3: Fair Value Measurements</w:t>
      </w:r>
    </w:p>
    <w:p w14:paraId="642979CC" w14:textId="77777777" w:rsidR="007B6C97" w:rsidRDefault="00E426D1">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7B6C97" w14:paraId="642979E5" w14:textId="77777777">
        <w:tc>
          <w:tcPr>
            <w:tcW w:w="50" w:type="pct"/>
            <w:shd w:val="clear" w:color="auto" w:fill="auto"/>
            <w:vAlign w:val="bottom"/>
          </w:tcPr>
          <w:p w14:paraId="642979CD" w14:textId="77777777" w:rsidR="007B6C97" w:rsidRDefault="007B6C97">
            <w:pPr>
              <w:rPr>
                <w:rFonts w:ascii="宋体"/>
              </w:rPr>
            </w:pPr>
          </w:p>
        </w:tc>
        <w:tc>
          <w:tcPr>
            <w:tcW w:w="1606" w:type="pct"/>
            <w:shd w:val="clear" w:color="auto" w:fill="auto"/>
            <w:vAlign w:val="bottom"/>
          </w:tcPr>
          <w:p w14:paraId="642979CE" w14:textId="77777777" w:rsidR="007B6C97" w:rsidRDefault="007B6C97">
            <w:pPr>
              <w:rPr>
                <w:rFonts w:ascii="宋体"/>
              </w:rPr>
            </w:pPr>
          </w:p>
        </w:tc>
        <w:tc>
          <w:tcPr>
            <w:tcW w:w="5" w:type="pct"/>
            <w:shd w:val="clear" w:color="auto" w:fill="auto"/>
            <w:vAlign w:val="bottom"/>
          </w:tcPr>
          <w:p w14:paraId="642979CF" w14:textId="77777777" w:rsidR="007B6C97" w:rsidRDefault="007B6C97">
            <w:pPr>
              <w:rPr>
                <w:rFonts w:ascii="宋体"/>
              </w:rPr>
            </w:pPr>
          </w:p>
        </w:tc>
        <w:tc>
          <w:tcPr>
            <w:tcW w:w="50" w:type="pct"/>
            <w:shd w:val="clear" w:color="auto" w:fill="auto"/>
            <w:vAlign w:val="bottom"/>
          </w:tcPr>
          <w:p w14:paraId="642979D0" w14:textId="77777777" w:rsidR="007B6C97" w:rsidRDefault="007B6C97">
            <w:pPr>
              <w:rPr>
                <w:rFonts w:ascii="宋体"/>
              </w:rPr>
            </w:pPr>
          </w:p>
        </w:tc>
        <w:tc>
          <w:tcPr>
            <w:tcW w:w="757" w:type="pct"/>
            <w:shd w:val="clear" w:color="auto" w:fill="auto"/>
            <w:vAlign w:val="bottom"/>
          </w:tcPr>
          <w:p w14:paraId="642979D1" w14:textId="77777777" w:rsidR="007B6C97" w:rsidRDefault="007B6C97">
            <w:pPr>
              <w:rPr>
                <w:rFonts w:ascii="宋体"/>
              </w:rPr>
            </w:pPr>
          </w:p>
        </w:tc>
        <w:tc>
          <w:tcPr>
            <w:tcW w:w="5" w:type="pct"/>
            <w:shd w:val="clear" w:color="auto" w:fill="auto"/>
            <w:vAlign w:val="bottom"/>
          </w:tcPr>
          <w:p w14:paraId="642979D2" w14:textId="77777777" w:rsidR="007B6C97" w:rsidRDefault="007B6C97">
            <w:pPr>
              <w:rPr>
                <w:rFonts w:ascii="宋体"/>
              </w:rPr>
            </w:pPr>
          </w:p>
        </w:tc>
        <w:tc>
          <w:tcPr>
            <w:tcW w:w="5" w:type="pct"/>
            <w:shd w:val="clear" w:color="auto" w:fill="auto"/>
            <w:vAlign w:val="bottom"/>
          </w:tcPr>
          <w:p w14:paraId="642979D3" w14:textId="77777777" w:rsidR="007B6C97" w:rsidRDefault="007B6C97">
            <w:pPr>
              <w:rPr>
                <w:rFonts w:ascii="宋体"/>
              </w:rPr>
            </w:pPr>
          </w:p>
        </w:tc>
        <w:tc>
          <w:tcPr>
            <w:tcW w:w="19" w:type="pct"/>
            <w:shd w:val="clear" w:color="auto" w:fill="auto"/>
            <w:vAlign w:val="bottom"/>
          </w:tcPr>
          <w:p w14:paraId="642979D4" w14:textId="77777777" w:rsidR="007B6C97" w:rsidRDefault="007B6C97">
            <w:pPr>
              <w:rPr>
                <w:rFonts w:ascii="宋体"/>
              </w:rPr>
            </w:pPr>
          </w:p>
        </w:tc>
        <w:tc>
          <w:tcPr>
            <w:tcW w:w="5" w:type="pct"/>
            <w:shd w:val="clear" w:color="auto" w:fill="auto"/>
            <w:vAlign w:val="bottom"/>
          </w:tcPr>
          <w:p w14:paraId="642979D5" w14:textId="77777777" w:rsidR="007B6C97" w:rsidRDefault="007B6C97">
            <w:pPr>
              <w:rPr>
                <w:rFonts w:ascii="宋体"/>
              </w:rPr>
            </w:pPr>
          </w:p>
        </w:tc>
        <w:tc>
          <w:tcPr>
            <w:tcW w:w="50" w:type="pct"/>
            <w:shd w:val="clear" w:color="auto" w:fill="auto"/>
            <w:vAlign w:val="bottom"/>
          </w:tcPr>
          <w:p w14:paraId="642979D6" w14:textId="77777777" w:rsidR="007B6C97" w:rsidRDefault="007B6C97">
            <w:pPr>
              <w:rPr>
                <w:rFonts w:ascii="宋体"/>
              </w:rPr>
            </w:pPr>
          </w:p>
        </w:tc>
        <w:tc>
          <w:tcPr>
            <w:tcW w:w="757" w:type="pct"/>
            <w:shd w:val="clear" w:color="auto" w:fill="auto"/>
            <w:vAlign w:val="bottom"/>
          </w:tcPr>
          <w:p w14:paraId="642979D7" w14:textId="77777777" w:rsidR="007B6C97" w:rsidRDefault="007B6C97">
            <w:pPr>
              <w:rPr>
                <w:rFonts w:ascii="宋体"/>
              </w:rPr>
            </w:pPr>
          </w:p>
        </w:tc>
        <w:tc>
          <w:tcPr>
            <w:tcW w:w="5" w:type="pct"/>
            <w:shd w:val="clear" w:color="auto" w:fill="auto"/>
            <w:vAlign w:val="bottom"/>
          </w:tcPr>
          <w:p w14:paraId="642979D8" w14:textId="77777777" w:rsidR="007B6C97" w:rsidRDefault="007B6C97">
            <w:pPr>
              <w:rPr>
                <w:rFonts w:ascii="宋体"/>
              </w:rPr>
            </w:pPr>
          </w:p>
        </w:tc>
        <w:tc>
          <w:tcPr>
            <w:tcW w:w="5" w:type="pct"/>
            <w:shd w:val="clear" w:color="auto" w:fill="auto"/>
            <w:vAlign w:val="bottom"/>
          </w:tcPr>
          <w:p w14:paraId="642979D9" w14:textId="77777777" w:rsidR="007B6C97" w:rsidRDefault="007B6C97">
            <w:pPr>
              <w:rPr>
                <w:rFonts w:ascii="宋体"/>
              </w:rPr>
            </w:pPr>
          </w:p>
        </w:tc>
        <w:tc>
          <w:tcPr>
            <w:tcW w:w="19" w:type="pct"/>
            <w:shd w:val="clear" w:color="auto" w:fill="auto"/>
            <w:vAlign w:val="bottom"/>
          </w:tcPr>
          <w:p w14:paraId="642979DA" w14:textId="77777777" w:rsidR="007B6C97" w:rsidRDefault="007B6C97">
            <w:pPr>
              <w:rPr>
                <w:rFonts w:ascii="宋体"/>
              </w:rPr>
            </w:pPr>
          </w:p>
        </w:tc>
        <w:tc>
          <w:tcPr>
            <w:tcW w:w="5" w:type="pct"/>
            <w:shd w:val="clear" w:color="auto" w:fill="auto"/>
            <w:vAlign w:val="bottom"/>
          </w:tcPr>
          <w:p w14:paraId="642979DB" w14:textId="77777777" w:rsidR="007B6C97" w:rsidRDefault="007B6C97">
            <w:pPr>
              <w:rPr>
                <w:rFonts w:ascii="宋体"/>
              </w:rPr>
            </w:pPr>
          </w:p>
        </w:tc>
        <w:tc>
          <w:tcPr>
            <w:tcW w:w="50" w:type="pct"/>
            <w:shd w:val="clear" w:color="auto" w:fill="auto"/>
            <w:vAlign w:val="bottom"/>
          </w:tcPr>
          <w:p w14:paraId="642979DC" w14:textId="77777777" w:rsidR="007B6C97" w:rsidRDefault="007B6C97">
            <w:pPr>
              <w:rPr>
                <w:rFonts w:ascii="宋体"/>
              </w:rPr>
            </w:pPr>
          </w:p>
        </w:tc>
        <w:tc>
          <w:tcPr>
            <w:tcW w:w="757" w:type="pct"/>
            <w:shd w:val="clear" w:color="auto" w:fill="auto"/>
            <w:vAlign w:val="bottom"/>
          </w:tcPr>
          <w:p w14:paraId="642979DD" w14:textId="77777777" w:rsidR="007B6C97" w:rsidRDefault="007B6C97">
            <w:pPr>
              <w:rPr>
                <w:rFonts w:ascii="宋体"/>
              </w:rPr>
            </w:pPr>
          </w:p>
        </w:tc>
        <w:tc>
          <w:tcPr>
            <w:tcW w:w="5" w:type="pct"/>
            <w:shd w:val="clear" w:color="auto" w:fill="auto"/>
            <w:vAlign w:val="bottom"/>
          </w:tcPr>
          <w:p w14:paraId="642979DE" w14:textId="77777777" w:rsidR="007B6C97" w:rsidRDefault="007B6C97">
            <w:pPr>
              <w:rPr>
                <w:rFonts w:ascii="宋体"/>
              </w:rPr>
            </w:pPr>
          </w:p>
        </w:tc>
        <w:tc>
          <w:tcPr>
            <w:tcW w:w="5" w:type="pct"/>
            <w:shd w:val="clear" w:color="auto" w:fill="auto"/>
            <w:vAlign w:val="bottom"/>
          </w:tcPr>
          <w:p w14:paraId="642979DF" w14:textId="77777777" w:rsidR="007B6C97" w:rsidRDefault="007B6C97">
            <w:pPr>
              <w:rPr>
                <w:rFonts w:ascii="宋体"/>
              </w:rPr>
            </w:pPr>
          </w:p>
        </w:tc>
        <w:tc>
          <w:tcPr>
            <w:tcW w:w="19" w:type="pct"/>
            <w:shd w:val="clear" w:color="auto" w:fill="auto"/>
            <w:vAlign w:val="bottom"/>
          </w:tcPr>
          <w:p w14:paraId="642979E0" w14:textId="77777777" w:rsidR="007B6C97" w:rsidRDefault="007B6C97">
            <w:pPr>
              <w:rPr>
                <w:rFonts w:ascii="宋体"/>
              </w:rPr>
            </w:pPr>
          </w:p>
        </w:tc>
        <w:tc>
          <w:tcPr>
            <w:tcW w:w="5" w:type="pct"/>
            <w:shd w:val="clear" w:color="auto" w:fill="auto"/>
            <w:vAlign w:val="bottom"/>
          </w:tcPr>
          <w:p w14:paraId="642979E1" w14:textId="77777777" w:rsidR="007B6C97" w:rsidRDefault="007B6C97">
            <w:pPr>
              <w:rPr>
                <w:rFonts w:ascii="宋体"/>
              </w:rPr>
            </w:pPr>
          </w:p>
        </w:tc>
        <w:tc>
          <w:tcPr>
            <w:tcW w:w="50" w:type="pct"/>
            <w:shd w:val="clear" w:color="auto" w:fill="auto"/>
            <w:vAlign w:val="bottom"/>
          </w:tcPr>
          <w:p w14:paraId="642979E2" w14:textId="77777777" w:rsidR="007B6C97" w:rsidRDefault="007B6C97">
            <w:pPr>
              <w:rPr>
                <w:rFonts w:ascii="宋体"/>
              </w:rPr>
            </w:pPr>
          </w:p>
        </w:tc>
        <w:tc>
          <w:tcPr>
            <w:tcW w:w="757" w:type="pct"/>
            <w:shd w:val="clear" w:color="auto" w:fill="auto"/>
            <w:vAlign w:val="bottom"/>
          </w:tcPr>
          <w:p w14:paraId="642979E3" w14:textId="77777777" w:rsidR="007B6C97" w:rsidRDefault="007B6C97">
            <w:pPr>
              <w:rPr>
                <w:rFonts w:ascii="宋体"/>
              </w:rPr>
            </w:pPr>
          </w:p>
        </w:tc>
        <w:tc>
          <w:tcPr>
            <w:tcW w:w="5" w:type="pct"/>
            <w:shd w:val="clear" w:color="auto" w:fill="auto"/>
            <w:vAlign w:val="bottom"/>
          </w:tcPr>
          <w:p w14:paraId="642979E4" w14:textId="77777777" w:rsidR="007B6C97" w:rsidRDefault="007B6C97">
            <w:pPr>
              <w:rPr>
                <w:rFonts w:ascii="宋体"/>
              </w:rPr>
            </w:pPr>
          </w:p>
        </w:tc>
      </w:tr>
      <w:tr w:rsidR="007B6C97" w14:paraId="642979EA" w14:textId="77777777">
        <w:tc>
          <w:tcPr>
            <w:tcW w:w="0" w:type="auto"/>
            <w:gridSpan w:val="3"/>
            <w:shd w:val="clear" w:color="auto" w:fill="auto"/>
            <w:tcMar>
              <w:top w:w="40" w:type="dxa"/>
              <w:left w:w="20" w:type="dxa"/>
              <w:bottom w:w="40" w:type="dxa"/>
              <w:right w:w="20" w:type="dxa"/>
            </w:tcMar>
            <w:vAlign w:val="bottom"/>
          </w:tcPr>
          <w:p w14:paraId="642979E6"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2979E7"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79E8" w14:textId="77777777" w:rsidR="007B6C97" w:rsidRDefault="007B6C97">
            <w:pPr>
              <w:rPr>
                <w:rFonts w:ascii="宋体"/>
              </w:rPr>
            </w:pPr>
          </w:p>
        </w:tc>
        <w:tc>
          <w:tcPr>
            <w:tcW w:w="0" w:type="auto"/>
            <w:gridSpan w:val="15"/>
            <w:shd w:val="clear" w:color="auto" w:fill="00704A"/>
            <w:tcMar>
              <w:top w:w="40" w:type="dxa"/>
              <w:left w:w="20" w:type="dxa"/>
              <w:bottom w:w="40" w:type="dxa"/>
              <w:right w:w="20" w:type="dxa"/>
            </w:tcMar>
            <w:vAlign w:val="bottom"/>
          </w:tcPr>
          <w:p w14:paraId="642979E9" w14:textId="77777777" w:rsidR="007B6C97" w:rsidRDefault="00E426D1">
            <w:pPr>
              <w:jc w:val="center"/>
              <w:textAlignment w:val="bottom"/>
            </w:pPr>
            <w:r>
              <w:rPr>
                <w:rFonts w:ascii="Times New Roman" w:eastAsia="宋体" w:hAnsi="Times New Roman"/>
                <w:b/>
                <w:bCs/>
                <w:color w:val="FFFFFF"/>
                <w:sz w:val="16"/>
                <w:szCs w:val="16"/>
              </w:rPr>
              <w:t>Fair Value Measurements at Reporting Date Using</w:t>
            </w:r>
          </w:p>
        </w:tc>
      </w:tr>
      <w:tr w:rsidR="007B6C97" w14:paraId="642979F3" w14:textId="77777777">
        <w:tc>
          <w:tcPr>
            <w:tcW w:w="0" w:type="auto"/>
            <w:gridSpan w:val="3"/>
            <w:shd w:val="clear" w:color="auto" w:fill="auto"/>
            <w:tcMar>
              <w:top w:w="40" w:type="dxa"/>
              <w:left w:w="20" w:type="dxa"/>
              <w:bottom w:w="40" w:type="dxa"/>
              <w:right w:w="20" w:type="dxa"/>
            </w:tcMar>
            <w:vAlign w:val="bottom"/>
          </w:tcPr>
          <w:p w14:paraId="642979EB"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79EC" w14:textId="77777777" w:rsidR="007B6C97" w:rsidRDefault="00E426D1">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July 3, 2022</w:t>
            </w:r>
          </w:p>
        </w:tc>
        <w:tc>
          <w:tcPr>
            <w:tcW w:w="0" w:type="auto"/>
            <w:gridSpan w:val="3"/>
            <w:shd w:val="clear" w:color="auto" w:fill="auto"/>
            <w:tcMar>
              <w:top w:w="0" w:type="dxa"/>
              <w:left w:w="20" w:type="dxa"/>
              <w:bottom w:w="0" w:type="dxa"/>
              <w:right w:w="20" w:type="dxa"/>
            </w:tcMar>
            <w:vAlign w:val="bottom"/>
          </w:tcPr>
          <w:p w14:paraId="642979E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EE" w14:textId="77777777" w:rsidR="007B6C97" w:rsidRDefault="00E426D1">
            <w:pPr>
              <w:jc w:val="center"/>
              <w:textAlignment w:val="bottom"/>
            </w:pPr>
            <w:r>
              <w:rPr>
                <w:rFonts w:ascii="Times New Roman" w:eastAsia="宋体" w:hAnsi="Times New Roman"/>
                <w:b/>
                <w:bCs/>
                <w:color w:val="FFFFFF"/>
                <w:sz w:val="16"/>
                <w:szCs w:val="16"/>
              </w:rPr>
              <w:t xml:space="preserve">Quoted Prices in Active Markets for Identical Assets </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642979E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F0" w14:textId="77777777" w:rsidR="007B6C97" w:rsidRDefault="00E426D1">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642979F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9F2" w14:textId="77777777" w:rsidR="007B6C97" w:rsidRDefault="00E426D1">
            <w:pPr>
              <w:jc w:val="center"/>
              <w:textAlignment w:val="bottom"/>
            </w:pPr>
            <w:r>
              <w:rPr>
                <w:rFonts w:ascii="Times New Roman" w:eastAsia="宋体" w:hAnsi="Times New Roman"/>
                <w:b/>
                <w:bCs/>
                <w:color w:val="FFFFFF"/>
                <w:sz w:val="16"/>
                <w:szCs w:val="16"/>
              </w:rPr>
              <w:t xml:space="preserve">Significant </w:t>
            </w:r>
            <w:r>
              <w:rPr>
                <w:rFonts w:ascii="Times New Roman" w:eastAsia="宋体" w:hAnsi="Times New Roman"/>
                <w:b/>
                <w:bCs/>
                <w:color w:val="FFFFFF"/>
                <w:sz w:val="16"/>
                <w:szCs w:val="16"/>
              </w:rPr>
              <w:t>Unobservable  Inputs</w:t>
            </w:r>
            <w:r>
              <w:rPr>
                <w:rFonts w:ascii="Times New Roman" w:eastAsia="宋体" w:hAnsi="Times New Roman"/>
                <w:b/>
                <w:bCs/>
                <w:color w:val="FFFFFF"/>
                <w:sz w:val="16"/>
                <w:szCs w:val="16"/>
              </w:rPr>
              <w:br/>
              <w:t>(Level 3)</w:t>
            </w:r>
          </w:p>
        </w:tc>
      </w:tr>
      <w:tr w:rsidR="007B6C97" w14:paraId="642979FC" w14:textId="77777777">
        <w:tc>
          <w:tcPr>
            <w:tcW w:w="0" w:type="auto"/>
            <w:gridSpan w:val="3"/>
            <w:shd w:val="clear" w:color="auto" w:fill="D7E4BC"/>
            <w:tcMar>
              <w:top w:w="40" w:type="dxa"/>
              <w:left w:w="20" w:type="dxa"/>
              <w:bottom w:w="40" w:type="dxa"/>
              <w:right w:w="20" w:type="dxa"/>
            </w:tcMar>
          </w:tcPr>
          <w:p w14:paraId="642979F4" w14:textId="77777777" w:rsidR="007B6C97" w:rsidRDefault="00E426D1">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F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F6"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F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F8"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F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9FA"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9FB" w14:textId="77777777" w:rsidR="007B6C97" w:rsidRDefault="007B6C97">
            <w:pPr>
              <w:rPr>
                <w:rFonts w:ascii="宋体"/>
              </w:rPr>
            </w:pPr>
          </w:p>
        </w:tc>
      </w:tr>
      <w:tr w:rsidR="007B6C97" w14:paraId="64297A0D" w14:textId="77777777">
        <w:tc>
          <w:tcPr>
            <w:tcW w:w="0" w:type="auto"/>
            <w:gridSpan w:val="3"/>
            <w:shd w:val="clear" w:color="auto" w:fill="FFFFFF"/>
            <w:tcMar>
              <w:top w:w="40" w:type="dxa"/>
              <w:left w:w="20" w:type="dxa"/>
              <w:bottom w:w="40" w:type="dxa"/>
              <w:right w:w="20" w:type="dxa"/>
            </w:tcMar>
            <w:vAlign w:val="bottom"/>
          </w:tcPr>
          <w:p w14:paraId="642979FD" w14:textId="77777777" w:rsidR="007B6C97" w:rsidRDefault="00E426D1">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642979F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9FF" w14:textId="77777777" w:rsidR="007B6C97" w:rsidRDefault="00E426D1">
            <w:pPr>
              <w:jc w:val="right"/>
              <w:textAlignment w:val="bottom"/>
            </w:pPr>
            <w:r>
              <w:rPr>
                <w:rFonts w:ascii="Times New Roman" w:eastAsia="宋体" w:hAnsi="Times New Roman"/>
                <w:color w:val="000000"/>
                <w:sz w:val="20"/>
                <w:szCs w:val="20"/>
              </w:rPr>
              <w:t>3,177.5 </w:t>
            </w:r>
          </w:p>
        </w:tc>
        <w:tc>
          <w:tcPr>
            <w:tcW w:w="0" w:type="auto"/>
            <w:shd w:val="clear" w:color="auto" w:fill="FFFFFF"/>
            <w:tcMar>
              <w:top w:w="40" w:type="dxa"/>
              <w:left w:w="0" w:type="dxa"/>
              <w:bottom w:w="40" w:type="dxa"/>
              <w:right w:w="20" w:type="dxa"/>
            </w:tcMar>
            <w:vAlign w:val="bottom"/>
          </w:tcPr>
          <w:p w14:paraId="64297A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0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A0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A03" w14:textId="77777777" w:rsidR="007B6C97" w:rsidRDefault="00E426D1">
            <w:pPr>
              <w:jc w:val="right"/>
              <w:textAlignment w:val="bottom"/>
            </w:pPr>
            <w:r>
              <w:rPr>
                <w:rFonts w:ascii="Times New Roman" w:eastAsia="宋体" w:hAnsi="Times New Roman"/>
                <w:color w:val="000000"/>
                <w:sz w:val="20"/>
                <w:szCs w:val="20"/>
              </w:rPr>
              <w:t>3,177.5 </w:t>
            </w:r>
          </w:p>
        </w:tc>
        <w:tc>
          <w:tcPr>
            <w:tcW w:w="0" w:type="auto"/>
            <w:shd w:val="clear" w:color="auto" w:fill="FFFFFF"/>
            <w:tcMar>
              <w:top w:w="40" w:type="dxa"/>
              <w:left w:w="0" w:type="dxa"/>
              <w:bottom w:w="40" w:type="dxa"/>
              <w:right w:w="20" w:type="dxa"/>
            </w:tcMar>
            <w:vAlign w:val="bottom"/>
          </w:tcPr>
          <w:p w14:paraId="64297A0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05"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A0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A0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0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0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A0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A0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0C" w14:textId="77777777" w:rsidR="007B6C97" w:rsidRDefault="007B6C97">
            <w:pPr>
              <w:jc w:val="right"/>
              <w:rPr>
                <w:rFonts w:ascii="宋体"/>
              </w:rPr>
            </w:pPr>
          </w:p>
        </w:tc>
      </w:tr>
      <w:tr w:rsidR="007B6C97" w14:paraId="64297A16" w14:textId="77777777">
        <w:tc>
          <w:tcPr>
            <w:tcW w:w="0" w:type="auto"/>
            <w:gridSpan w:val="3"/>
            <w:shd w:val="clear" w:color="auto" w:fill="D7E4BC"/>
            <w:tcMar>
              <w:top w:w="40" w:type="dxa"/>
              <w:left w:w="20" w:type="dxa"/>
              <w:bottom w:w="40" w:type="dxa"/>
              <w:right w:w="20" w:type="dxa"/>
            </w:tcMar>
            <w:vAlign w:val="bottom"/>
          </w:tcPr>
          <w:p w14:paraId="64297A0E" w14:textId="77777777" w:rsidR="007B6C97" w:rsidRDefault="00E426D1">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64297A0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15" w14:textId="77777777" w:rsidR="007B6C97" w:rsidRDefault="007B6C97">
            <w:pPr>
              <w:rPr>
                <w:rFonts w:ascii="宋体"/>
              </w:rPr>
            </w:pPr>
          </w:p>
        </w:tc>
      </w:tr>
      <w:tr w:rsidR="007B6C97" w14:paraId="64297A1F" w14:textId="77777777">
        <w:tc>
          <w:tcPr>
            <w:tcW w:w="0" w:type="auto"/>
            <w:gridSpan w:val="3"/>
            <w:shd w:val="clear" w:color="auto" w:fill="FFFFFF"/>
            <w:tcMar>
              <w:top w:w="40" w:type="dxa"/>
              <w:left w:w="380" w:type="dxa"/>
              <w:bottom w:w="40" w:type="dxa"/>
              <w:right w:w="20" w:type="dxa"/>
            </w:tcMar>
            <w:vAlign w:val="bottom"/>
          </w:tcPr>
          <w:p w14:paraId="64297A17" w14:textId="77777777" w:rsidR="007B6C97" w:rsidRDefault="00E426D1">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4297A1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1E" w14:textId="77777777" w:rsidR="007B6C97" w:rsidRDefault="007B6C97">
            <w:pPr>
              <w:rPr>
                <w:rFonts w:ascii="宋体"/>
              </w:rPr>
            </w:pPr>
          </w:p>
        </w:tc>
      </w:tr>
      <w:tr w:rsidR="007B6C97" w14:paraId="64297A28" w14:textId="77777777">
        <w:trPr>
          <w:hidden/>
        </w:trPr>
        <w:tc>
          <w:tcPr>
            <w:tcW w:w="0" w:type="auto"/>
            <w:gridSpan w:val="3"/>
            <w:shd w:val="clear" w:color="auto" w:fill="auto"/>
            <w:vAlign w:val="bottom"/>
          </w:tcPr>
          <w:p w14:paraId="64297A20" w14:textId="77777777" w:rsidR="007B6C97" w:rsidRDefault="007B6C97">
            <w:pPr>
              <w:rPr>
                <w:rFonts w:ascii="宋体"/>
                <w:vanish/>
              </w:rPr>
            </w:pPr>
          </w:p>
        </w:tc>
        <w:tc>
          <w:tcPr>
            <w:tcW w:w="0" w:type="auto"/>
            <w:gridSpan w:val="3"/>
            <w:shd w:val="clear" w:color="auto" w:fill="auto"/>
            <w:vAlign w:val="bottom"/>
          </w:tcPr>
          <w:p w14:paraId="64297A21" w14:textId="77777777" w:rsidR="007B6C97" w:rsidRDefault="007B6C97">
            <w:pPr>
              <w:rPr>
                <w:rFonts w:ascii="宋体"/>
                <w:vanish/>
              </w:rPr>
            </w:pPr>
          </w:p>
        </w:tc>
        <w:tc>
          <w:tcPr>
            <w:tcW w:w="0" w:type="auto"/>
            <w:gridSpan w:val="3"/>
            <w:shd w:val="clear" w:color="auto" w:fill="auto"/>
            <w:vAlign w:val="bottom"/>
          </w:tcPr>
          <w:p w14:paraId="64297A22" w14:textId="77777777" w:rsidR="007B6C97" w:rsidRDefault="007B6C97">
            <w:pPr>
              <w:rPr>
                <w:rFonts w:ascii="宋体"/>
                <w:vanish/>
              </w:rPr>
            </w:pPr>
          </w:p>
        </w:tc>
        <w:tc>
          <w:tcPr>
            <w:tcW w:w="0" w:type="auto"/>
            <w:gridSpan w:val="3"/>
            <w:shd w:val="clear" w:color="auto" w:fill="auto"/>
            <w:vAlign w:val="bottom"/>
          </w:tcPr>
          <w:p w14:paraId="64297A23" w14:textId="77777777" w:rsidR="007B6C97" w:rsidRDefault="007B6C97">
            <w:pPr>
              <w:rPr>
                <w:rFonts w:ascii="宋体"/>
                <w:vanish/>
              </w:rPr>
            </w:pPr>
          </w:p>
        </w:tc>
        <w:tc>
          <w:tcPr>
            <w:tcW w:w="0" w:type="auto"/>
            <w:gridSpan w:val="3"/>
            <w:shd w:val="clear" w:color="auto" w:fill="auto"/>
            <w:vAlign w:val="bottom"/>
          </w:tcPr>
          <w:p w14:paraId="64297A24" w14:textId="77777777" w:rsidR="007B6C97" w:rsidRDefault="007B6C97">
            <w:pPr>
              <w:rPr>
                <w:rFonts w:ascii="宋体"/>
                <w:vanish/>
              </w:rPr>
            </w:pPr>
          </w:p>
        </w:tc>
        <w:tc>
          <w:tcPr>
            <w:tcW w:w="0" w:type="auto"/>
            <w:gridSpan w:val="3"/>
            <w:shd w:val="clear" w:color="auto" w:fill="auto"/>
            <w:vAlign w:val="bottom"/>
          </w:tcPr>
          <w:p w14:paraId="64297A25" w14:textId="77777777" w:rsidR="007B6C97" w:rsidRDefault="007B6C97">
            <w:pPr>
              <w:rPr>
                <w:rFonts w:ascii="宋体"/>
                <w:vanish/>
              </w:rPr>
            </w:pPr>
          </w:p>
        </w:tc>
        <w:tc>
          <w:tcPr>
            <w:tcW w:w="0" w:type="auto"/>
            <w:gridSpan w:val="3"/>
            <w:shd w:val="clear" w:color="auto" w:fill="auto"/>
            <w:vAlign w:val="bottom"/>
          </w:tcPr>
          <w:p w14:paraId="64297A26" w14:textId="77777777" w:rsidR="007B6C97" w:rsidRDefault="007B6C97">
            <w:pPr>
              <w:rPr>
                <w:rFonts w:ascii="宋体"/>
                <w:vanish/>
              </w:rPr>
            </w:pPr>
          </w:p>
        </w:tc>
        <w:tc>
          <w:tcPr>
            <w:tcW w:w="0" w:type="auto"/>
            <w:gridSpan w:val="3"/>
            <w:shd w:val="clear" w:color="auto" w:fill="auto"/>
            <w:vAlign w:val="bottom"/>
          </w:tcPr>
          <w:p w14:paraId="64297A27" w14:textId="77777777" w:rsidR="007B6C97" w:rsidRDefault="007B6C97">
            <w:pPr>
              <w:rPr>
                <w:rFonts w:ascii="宋体"/>
                <w:vanish/>
              </w:rPr>
            </w:pPr>
          </w:p>
        </w:tc>
      </w:tr>
      <w:tr w:rsidR="007B6C97" w14:paraId="64297A31" w14:textId="77777777">
        <w:trPr>
          <w:hidden/>
        </w:trPr>
        <w:tc>
          <w:tcPr>
            <w:tcW w:w="0" w:type="auto"/>
            <w:gridSpan w:val="3"/>
            <w:shd w:val="clear" w:color="auto" w:fill="auto"/>
            <w:vAlign w:val="bottom"/>
          </w:tcPr>
          <w:p w14:paraId="64297A29" w14:textId="77777777" w:rsidR="007B6C97" w:rsidRDefault="007B6C97">
            <w:pPr>
              <w:rPr>
                <w:rFonts w:ascii="宋体"/>
                <w:vanish/>
              </w:rPr>
            </w:pPr>
          </w:p>
        </w:tc>
        <w:tc>
          <w:tcPr>
            <w:tcW w:w="0" w:type="auto"/>
            <w:gridSpan w:val="3"/>
            <w:shd w:val="clear" w:color="auto" w:fill="auto"/>
            <w:vAlign w:val="bottom"/>
          </w:tcPr>
          <w:p w14:paraId="64297A2A" w14:textId="77777777" w:rsidR="007B6C97" w:rsidRDefault="007B6C97">
            <w:pPr>
              <w:rPr>
                <w:rFonts w:ascii="宋体"/>
                <w:vanish/>
              </w:rPr>
            </w:pPr>
          </w:p>
        </w:tc>
        <w:tc>
          <w:tcPr>
            <w:tcW w:w="0" w:type="auto"/>
            <w:gridSpan w:val="3"/>
            <w:shd w:val="clear" w:color="auto" w:fill="auto"/>
            <w:vAlign w:val="bottom"/>
          </w:tcPr>
          <w:p w14:paraId="64297A2B" w14:textId="77777777" w:rsidR="007B6C97" w:rsidRDefault="007B6C97">
            <w:pPr>
              <w:rPr>
                <w:rFonts w:ascii="宋体"/>
                <w:vanish/>
              </w:rPr>
            </w:pPr>
          </w:p>
        </w:tc>
        <w:tc>
          <w:tcPr>
            <w:tcW w:w="0" w:type="auto"/>
            <w:gridSpan w:val="3"/>
            <w:shd w:val="clear" w:color="auto" w:fill="auto"/>
            <w:vAlign w:val="bottom"/>
          </w:tcPr>
          <w:p w14:paraId="64297A2C" w14:textId="77777777" w:rsidR="007B6C97" w:rsidRDefault="007B6C97">
            <w:pPr>
              <w:rPr>
                <w:rFonts w:ascii="宋体"/>
                <w:vanish/>
              </w:rPr>
            </w:pPr>
          </w:p>
        </w:tc>
        <w:tc>
          <w:tcPr>
            <w:tcW w:w="0" w:type="auto"/>
            <w:gridSpan w:val="3"/>
            <w:shd w:val="clear" w:color="auto" w:fill="auto"/>
            <w:vAlign w:val="bottom"/>
          </w:tcPr>
          <w:p w14:paraId="64297A2D" w14:textId="77777777" w:rsidR="007B6C97" w:rsidRDefault="007B6C97">
            <w:pPr>
              <w:rPr>
                <w:rFonts w:ascii="宋体"/>
                <w:vanish/>
              </w:rPr>
            </w:pPr>
          </w:p>
        </w:tc>
        <w:tc>
          <w:tcPr>
            <w:tcW w:w="0" w:type="auto"/>
            <w:gridSpan w:val="3"/>
            <w:shd w:val="clear" w:color="auto" w:fill="auto"/>
            <w:vAlign w:val="bottom"/>
          </w:tcPr>
          <w:p w14:paraId="64297A2E" w14:textId="77777777" w:rsidR="007B6C97" w:rsidRDefault="007B6C97">
            <w:pPr>
              <w:rPr>
                <w:rFonts w:ascii="宋体"/>
                <w:vanish/>
              </w:rPr>
            </w:pPr>
          </w:p>
        </w:tc>
        <w:tc>
          <w:tcPr>
            <w:tcW w:w="0" w:type="auto"/>
            <w:gridSpan w:val="3"/>
            <w:shd w:val="clear" w:color="auto" w:fill="auto"/>
            <w:vAlign w:val="bottom"/>
          </w:tcPr>
          <w:p w14:paraId="64297A2F" w14:textId="77777777" w:rsidR="007B6C97" w:rsidRDefault="007B6C97">
            <w:pPr>
              <w:rPr>
                <w:rFonts w:ascii="宋体"/>
                <w:vanish/>
              </w:rPr>
            </w:pPr>
          </w:p>
        </w:tc>
        <w:tc>
          <w:tcPr>
            <w:tcW w:w="0" w:type="auto"/>
            <w:gridSpan w:val="3"/>
            <w:shd w:val="clear" w:color="auto" w:fill="auto"/>
            <w:vAlign w:val="bottom"/>
          </w:tcPr>
          <w:p w14:paraId="64297A30" w14:textId="77777777" w:rsidR="007B6C97" w:rsidRDefault="007B6C97">
            <w:pPr>
              <w:rPr>
                <w:rFonts w:ascii="宋体"/>
                <w:vanish/>
              </w:rPr>
            </w:pPr>
          </w:p>
        </w:tc>
      </w:tr>
      <w:tr w:rsidR="007B6C97" w14:paraId="64297A3E" w14:textId="77777777">
        <w:tc>
          <w:tcPr>
            <w:tcW w:w="0" w:type="auto"/>
            <w:gridSpan w:val="3"/>
            <w:shd w:val="clear" w:color="auto" w:fill="D7E4BC"/>
            <w:tcMar>
              <w:top w:w="40" w:type="dxa"/>
              <w:left w:w="740" w:type="dxa"/>
              <w:bottom w:w="40" w:type="dxa"/>
              <w:right w:w="20" w:type="dxa"/>
            </w:tcMar>
            <w:vAlign w:val="bottom"/>
          </w:tcPr>
          <w:p w14:paraId="64297A32" w14:textId="77777777" w:rsidR="007B6C97" w:rsidRDefault="00E426D1">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64297A33"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7A3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3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3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3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3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39"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7A3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3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3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3D" w14:textId="77777777" w:rsidR="007B6C97" w:rsidRDefault="007B6C97">
            <w:pPr>
              <w:jc w:val="right"/>
              <w:rPr>
                <w:rFonts w:ascii="宋体"/>
              </w:rPr>
            </w:pPr>
          </w:p>
        </w:tc>
      </w:tr>
      <w:tr w:rsidR="007B6C97" w14:paraId="64297A4B" w14:textId="77777777">
        <w:tc>
          <w:tcPr>
            <w:tcW w:w="0" w:type="auto"/>
            <w:gridSpan w:val="3"/>
            <w:shd w:val="clear" w:color="auto" w:fill="FFFFFF"/>
            <w:tcMar>
              <w:top w:w="40" w:type="dxa"/>
              <w:left w:w="740" w:type="dxa"/>
              <w:bottom w:w="40" w:type="dxa"/>
              <w:right w:w="20" w:type="dxa"/>
            </w:tcMar>
            <w:vAlign w:val="bottom"/>
          </w:tcPr>
          <w:p w14:paraId="64297A3F" w14:textId="77777777" w:rsidR="007B6C97" w:rsidRDefault="00E426D1">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4297A40" w14:textId="77777777" w:rsidR="007B6C97" w:rsidRDefault="00E426D1">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64297A4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4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4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4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4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46" w14:textId="77777777" w:rsidR="007B6C97" w:rsidRDefault="00E426D1">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64297A4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4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4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4A" w14:textId="77777777" w:rsidR="007B6C97" w:rsidRDefault="007B6C97">
            <w:pPr>
              <w:jc w:val="right"/>
              <w:rPr>
                <w:rFonts w:ascii="宋体"/>
              </w:rPr>
            </w:pPr>
          </w:p>
        </w:tc>
      </w:tr>
      <w:tr w:rsidR="007B6C97" w14:paraId="64297A58" w14:textId="77777777">
        <w:tc>
          <w:tcPr>
            <w:tcW w:w="0" w:type="auto"/>
            <w:gridSpan w:val="3"/>
            <w:shd w:val="clear" w:color="auto" w:fill="D7E4BC"/>
            <w:tcMar>
              <w:top w:w="40" w:type="dxa"/>
              <w:left w:w="740" w:type="dxa"/>
              <w:bottom w:w="40" w:type="dxa"/>
              <w:right w:w="20" w:type="dxa"/>
            </w:tcMar>
            <w:vAlign w:val="bottom"/>
          </w:tcPr>
          <w:p w14:paraId="64297A4C" w14:textId="77777777" w:rsidR="007B6C97" w:rsidRDefault="00E426D1">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64297A4D"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7A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4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50"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7A5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5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5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5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5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57" w14:textId="77777777" w:rsidR="007B6C97" w:rsidRDefault="007B6C97">
            <w:pPr>
              <w:jc w:val="right"/>
              <w:rPr>
                <w:rFonts w:ascii="宋体"/>
              </w:rPr>
            </w:pPr>
          </w:p>
        </w:tc>
      </w:tr>
      <w:tr w:rsidR="007B6C97" w14:paraId="64297A61" w14:textId="77777777">
        <w:trPr>
          <w:hidden/>
        </w:trPr>
        <w:tc>
          <w:tcPr>
            <w:tcW w:w="0" w:type="auto"/>
            <w:gridSpan w:val="3"/>
            <w:shd w:val="clear" w:color="auto" w:fill="auto"/>
            <w:vAlign w:val="bottom"/>
          </w:tcPr>
          <w:p w14:paraId="64297A59" w14:textId="77777777" w:rsidR="007B6C97" w:rsidRDefault="007B6C97">
            <w:pPr>
              <w:rPr>
                <w:rFonts w:ascii="宋体"/>
                <w:vanish/>
              </w:rPr>
            </w:pPr>
          </w:p>
        </w:tc>
        <w:tc>
          <w:tcPr>
            <w:tcW w:w="0" w:type="auto"/>
            <w:gridSpan w:val="3"/>
            <w:shd w:val="clear" w:color="auto" w:fill="auto"/>
            <w:vAlign w:val="bottom"/>
          </w:tcPr>
          <w:p w14:paraId="64297A5A" w14:textId="77777777" w:rsidR="007B6C97" w:rsidRDefault="007B6C97">
            <w:pPr>
              <w:rPr>
                <w:rFonts w:ascii="宋体"/>
                <w:vanish/>
              </w:rPr>
            </w:pPr>
          </w:p>
        </w:tc>
        <w:tc>
          <w:tcPr>
            <w:tcW w:w="0" w:type="auto"/>
            <w:gridSpan w:val="3"/>
            <w:shd w:val="clear" w:color="auto" w:fill="auto"/>
            <w:vAlign w:val="bottom"/>
          </w:tcPr>
          <w:p w14:paraId="64297A5B" w14:textId="77777777" w:rsidR="007B6C97" w:rsidRDefault="007B6C97">
            <w:pPr>
              <w:rPr>
                <w:rFonts w:ascii="宋体"/>
                <w:vanish/>
              </w:rPr>
            </w:pPr>
          </w:p>
        </w:tc>
        <w:tc>
          <w:tcPr>
            <w:tcW w:w="0" w:type="auto"/>
            <w:gridSpan w:val="3"/>
            <w:shd w:val="clear" w:color="auto" w:fill="auto"/>
            <w:vAlign w:val="bottom"/>
          </w:tcPr>
          <w:p w14:paraId="64297A5C" w14:textId="77777777" w:rsidR="007B6C97" w:rsidRDefault="007B6C97">
            <w:pPr>
              <w:rPr>
                <w:rFonts w:ascii="宋体"/>
                <w:vanish/>
              </w:rPr>
            </w:pPr>
          </w:p>
        </w:tc>
        <w:tc>
          <w:tcPr>
            <w:tcW w:w="0" w:type="auto"/>
            <w:gridSpan w:val="3"/>
            <w:shd w:val="clear" w:color="auto" w:fill="auto"/>
            <w:vAlign w:val="bottom"/>
          </w:tcPr>
          <w:p w14:paraId="64297A5D" w14:textId="77777777" w:rsidR="007B6C97" w:rsidRDefault="007B6C97">
            <w:pPr>
              <w:rPr>
                <w:rFonts w:ascii="宋体"/>
                <w:vanish/>
              </w:rPr>
            </w:pPr>
          </w:p>
        </w:tc>
        <w:tc>
          <w:tcPr>
            <w:tcW w:w="0" w:type="auto"/>
            <w:gridSpan w:val="3"/>
            <w:shd w:val="clear" w:color="auto" w:fill="auto"/>
            <w:vAlign w:val="bottom"/>
          </w:tcPr>
          <w:p w14:paraId="64297A5E" w14:textId="77777777" w:rsidR="007B6C97" w:rsidRDefault="007B6C97">
            <w:pPr>
              <w:rPr>
                <w:rFonts w:ascii="宋体"/>
                <w:vanish/>
              </w:rPr>
            </w:pPr>
          </w:p>
        </w:tc>
        <w:tc>
          <w:tcPr>
            <w:tcW w:w="0" w:type="auto"/>
            <w:gridSpan w:val="3"/>
            <w:shd w:val="clear" w:color="auto" w:fill="auto"/>
            <w:vAlign w:val="bottom"/>
          </w:tcPr>
          <w:p w14:paraId="64297A5F" w14:textId="77777777" w:rsidR="007B6C97" w:rsidRDefault="007B6C97">
            <w:pPr>
              <w:rPr>
                <w:rFonts w:ascii="宋体"/>
                <w:vanish/>
              </w:rPr>
            </w:pPr>
          </w:p>
        </w:tc>
        <w:tc>
          <w:tcPr>
            <w:tcW w:w="0" w:type="auto"/>
            <w:gridSpan w:val="3"/>
            <w:shd w:val="clear" w:color="auto" w:fill="auto"/>
            <w:vAlign w:val="bottom"/>
          </w:tcPr>
          <w:p w14:paraId="64297A60" w14:textId="77777777" w:rsidR="007B6C97" w:rsidRDefault="007B6C97">
            <w:pPr>
              <w:rPr>
                <w:rFonts w:ascii="宋体"/>
                <w:vanish/>
              </w:rPr>
            </w:pPr>
          </w:p>
        </w:tc>
      </w:tr>
      <w:tr w:rsidR="007B6C97" w14:paraId="64297A6A" w14:textId="77777777">
        <w:trPr>
          <w:hidden/>
        </w:trPr>
        <w:tc>
          <w:tcPr>
            <w:tcW w:w="0" w:type="auto"/>
            <w:gridSpan w:val="3"/>
            <w:shd w:val="clear" w:color="auto" w:fill="auto"/>
            <w:vAlign w:val="bottom"/>
          </w:tcPr>
          <w:p w14:paraId="64297A62" w14:textId="77777777" w:rsidR="007B6C97" w:rsidRDefault="007B6C97">
            <w:pPr>
              <w:rPr>
                <w:rFonts w:ascii="宋体"/>
                <w:vanish/>
              </w:rPr>
            </w:pPr>
          </w:p>
        </w:tc>
        <w:tc>
          <w:tcPr>
            <w:tcW w:w="0" w:type="auto"/>
            <w:gridSpan w:val="3"/>
            <w:shd w:val="clear" w:color="auto" w:fill="auto"/>
            <w:vAlign w:val="bottom"/>
          </w:tcPr>
          <w:p w14:paraId="64297A63" w14:textId="77777777" w:rsidR="007B6C97" w:rsidRDefault="007B6C97">
            <w:pPr>
              <w:rPr>
                <w:rFonts w:ascii="宋体"/>
                <w:vanish/>
              </w:rPr>
            </w:pPr>
          </w:p>
        </w:tc>
        <w:tc>
          <w:tcPr>
            <w:tcW w:w="0" w:type="auto"/>
            <w:gridSpan w:val="3"/>
            <w:shd w:val="clear" w:color="auto" w:fill="auto"/>
            <w:vAlign w:val="bottom"/>
          </w:tcPr>
          <w:p w14:paraId="64297A64" w14:textId="77777777" w:rsidR="007B6C97" w:rsidRDefault="007B6C97">
            <w:pPr>
              <w:rPr>
                <w:rFonts w:ascii="宋体"/>
                <w:vanish/>
              </w:rPr>
            </w:pPr>
          </w:p>
        </w:tc>
        <w:tc>
          <w:tcPr>
            <w:tcW w:w="0" w:type="auto"/>
            <w:gridSpan w:val="3"/>
            <w:shd w:val="clear" w:color="auto" w:fill="auto"/>
            <w:vAlign w:val="bottom"/>
          </w:tcPr>
          <w:p w14:paraId="64297A65" w14:textId="77777777" w:rsidR="007B6C97" w:rsidRDefault="007B6C97">
            <w:pPr>
              <w:rPr>
                <w:rFonts w:ascii="宋体"/>
                <w:vanish/>
              </w:rPr>
            </w:pPr>
          </w:p>
        </w:tc>
        <w:tc>
          <w:tcPr>
            <w:tcW w:w="0" w:type="auto"/>
            <w:gridSpan w:val="3"/>
            <w:shd w:val="clear" w:color="auto" w:fill="auto"/>
            <w:vAlign w:val="bottom"/>
          </w:tcPr>
          <w:p w14:paraId="64297A66" w14:textId="77777777" w:rsidR="007B6C97" w:rsidRDefault="007B6C97">
            <w:pPr>
              <w:rPr>
                <w:rFonts w:ascii="宋体"/>
                <w:vanish/>
              </w:rPr>
            </w:pPr>
          </w:p>
        </w:tc>
        <w:tc>
          <w:tcPr>
            <w:tcW w:w="0" w:type="auto"/>
            <w:gridSpan w:val="3"/>
            <w:shd w:val="clear" w:color="auto" w:fill="auto"/>
            <w:vAlign w:val="bottom"/>
          </w:tcPr>
          <w:p w14:paraId="64297A67" w14:textId="77777777" w:rsidR="007B6C97" w:rsidRDefault="007B6C97">
            <w:pPr>
              <w:rPr>
                <w:rFonts w:ascii="宋体"/>
                <w:vanish/>
              </w:rPr>
            </w:pPr>
          </w:p>
        </w:tc>
        <w:tc>
          <w:tcPr>
            <w:tcW w:w="0" w:type="auto"/>
            <w:gridSpan w:val="3"/>
            <w:shd w:val="clear" w:color="auto" w:fill="auto"/>
            <w:vAlign w:val="bottom"/>
          </w:tcPr>
          <w:p w14:paraId="64297A68" w14:textId="77777777" w:rsidR="007B6C97" w:rsidRDefault="007B6C97">
            <w:pPr>
              <w:rPr>
                <w:rFonts w:ascii="宋体"/>
                <w:vanish/>
              </w:rPr>
            </w:pPr>
          </w:p>
        </w:tc>
        <w:tc>
          <w:tcPr>
            <w:tcW w:w="0" w:type="auto"/>
            <w:gridSpan w:val="3"/>
            <w:shd w:val="clear" w:color="auto" w:fill="auto"/>
            <w:vAlign w:val="bottom"/>
          </w:tcPr>
          <w:p w14:paraId="64297A69" w14:textId="77777777" w:rsidR="007B6C97" w:rsidRDefault="007B6C97">
            <w:pPr>
              <w:rPr>
                <w:rFonts w:ascii="宋体"/>
                <w:vanish/>
              </w:rPr>
            </w:pPr>
          </w:p>
        </w:tc>
      </w:tr>
      <w:tr w:rsidR="007B6C97" w14:paraId="64297A73" w14:textId="77777777">
        <w:trPr>
          <w:hidden/>
        </w:trPr>
        <w:tc>
          <w:tcPr>
            <w:tcW w:w="0" w:type="auto"/>
            <w:gridSpan w:val="3"/>
            <w:shd w:val="clear" w:color="auto" w:fill="auto"/>
            <w:vAlign w:val="bottom"/>
          </w:tcPr>
          <w:p w14:paraId="64297A6B" w14:textId="77777777" w:rsidR="007B6C97" w:rsidRDefault="007B6C97">
            <w:pPr>
              <w:rPr>
                <w:rFonts w:ascii="宋体"/>
                <w:vanish/>
              </w:rPr>
            </w:pPr>
          </w:p>
        </w:tc>
        <w:tc>
          <w:tcPr>
            <w:tcW w:w="0" w:type="auto"/>
            <w:gridSpan w:val="3"/>
            <w:shd w:val="clear" w:color="auto" w:fill="auto"/>
            <w:vAlign w:val="bottom"/>
          </w:tcPr>
          <w:p w14:paraId="64297A6C" w14:textId="77777777" w:rsidR="007B6C97" w:rsidRDefault="007B6C97">
            <w:pPr>
              <w:rPr>
                <w:rFonts w:ascii="宋体"/>
                <w:vanish/>
              </w:rPr>
            </w:pPr>
          </w:p>
        </w:tc>
        <w:tc>
          <w:tcPr>
            <w:tcW w:w="0" w:type="auto"/>
            <w:gridSpan w:val="3"/>
            <w:shd w:val="clear" w:color="auto" w:fill="auto"/>
            <w:vAlign w:val="bottom"/>
          </w:tcPr>
          <w:p w14:paraId="64297A6D" w14:textId="77777777" w:rsidR="007B6C97" w:rsidRDefault="007B6C97">
            <w:pPr>
              <w:rPr>
                <w:rFonts w:ascii="宋体"/>
                <w:vanish/>
              </w:rPr>
            </w:pPr>
          </w:p>
        </w:tc>
        <w:tc>
          <w:tcPr>
            <w:tcW w:w="0" w:type="auto"/>
            <w:gridSpan w:val="3"/>
            <w:shd w:val="clear" w:color="auto" w:fill="auto"/>
            <w:vAlign w:val="bottom"/>
          </w:tcPr>
          <w:p w14:paraId="64297A6E" w14:textId="77777777" w:rsidR="007B6C97" w:rsidRDefault="007B6C97">
            <w:pPr>
              <w:rPr>
                <w:rFonts w:ascii="宋体"/>
                <w:vanish/>
              </w:rPr>
            </w:pPr>
          </w:p>
        </w:tc>
        <w:tc>
          <w:tcPr>
            <w:tcW w:w="0" w:type="auto"/>
            <w:gridSpan w:val="3"/>
            <w:shd w:val="clear" w:color="auto" w:fill="auto"/>
            <w:vAlign w:val="bottom"/>
          </w:tcPr>
          <w:p w14:paraId="64297A6F" w14:textId="77777777" w:rsidR="007B6C97" w:rsidRDefault="007B6C97">
            <w:pPr>
              <w:rPr>
                <w:rFonts w:ascii="宋体"/>
                <w:vanish/>
              </w:rPr>
            </w:pPr>
          </w:p>
        </w:tc>
        <w:tc>
          <w:tcPr>
            <w:tcW w:w="0" w:type="auto"/>
            <w:gridSpan w:val="3"/>
            <w:shd w:val="clear" w:color="auto" w:fill="auto"/>
            <w:vAlign w:val="bottom"/>
          </w:tcPr>
          <w:p w14:paraId="64297A70" w14:textId="77777777" w:rsidR="007B6C97" w:rsidRDefault="007B6C97">
            <w:pPr>
              <w:rPr>
                <w:rFonts w:ascii="宋体"/>
                <w:vanish/>
              </w:rPr>
            </w:pPr>
          </w:p>
        </w:tc>
        <w:tc>
          <w:tcPr>
            <w:tcW w:w="0" w:type="auto"/>
            <w:gridSpan w:val="3"/>
            <w:shd w:val="clear" w:color="auto" w:fill="auto"/>
            <w:vAlign w:val="bottom"/>
          </w:tcPr>
          <w:p w14:paraId="64297A71" w14:textId="77777777" w:rsidR="007B6C97" w:rsidRDefault="007B6C97">
            <w:pPr>
              <w:rPr>
                <w:rFonts w:ascii="宋体"/>
                <w:vanish/>
              </w:rPr>
            </w:pPr>
          </w:p>
        </w:tc>
        <w:tc>
          <w:tcPr>
            <w:tcW w:w="0" w:type="auto"/>
            <w:gridSpan w:val="3"/>
            <w:shd w:val="clear" w:color="auto" w:fill="auto"/>
            <w:vAlign w:val="bottom"/>
          </w:tcPr>
          <w:p w14:paraId="64297A72" w14:textId="77777777" w:rsidR="007B6C97" w:rsidRDefault="007B6C97">
            <w:pPr>
              <w:rPr>
                <w:rFonts w:ascii="宋体"/>
                <w:vanish/>
              </w:rPr>
            </w:pPr>
          </w:p>
        </w:tc>
      </w:tr>
      <w:tr w:rsidR="007B6C97" w14:paraId="64297A7C" w14:textId="77777777">
        <w:trPr>
          <w:hidden/>
        </w:trPr>
        <w:tc>
          <w:tcPr>
            <w:tcW w:w="0" w:type="auto"/>
            <w:gridSpan w:val="3"/>
            <w:shd w:val="clear" w:color="auto" w:fill="auto"/>
            <w:vAlign w:val="bottom"/>
          </w:tcPr>
          <w:p w14:paraId="64297A74" w14:textId="77777777" w:rsidR="007B6C97" w:rsidRDefault="007B6C97">
            <w:pPr>
              <w:rPr>
                <w:rFonts w:ascii="宋体"/>
                <w:vanish/>
              </w:rPr>
            </w:pPr>
          </w:p>
        </w:tc>
        <w:tc>
          <w:tcPr>
            <w:tcW w:w="0" w:type="auto"/>
            <w:gridSpan w:val="3"/>
            <w:shd w:val="clear" w:color="auto" w:fill="auto"/>
            <w:vAlign w:val="bottom"/>
          </w:tcPr>
          <w:p w14:paraId="64297A75" w14:textId="77777777" w:rsidR="007B6C97" w:rsidRDefault="007B6C97">
            <w:pPr>
              <w:rPr>
                <w:rFonts w:ascii="宋体"/>
                <w:vanish/>
              </w:rPr>
            </w:pPr>
          </w:p>
        </w:tc>
        <w:tc>
          <w:tcPr>
            <w:tcW w:w="0" w:type="auto"/>
            <w:gridSpan w:val="3"/>
            <w:shd w:val="clear" w:color="auto" w:fill="auto"/>
            <w:vAlign w:val="bottom"/>
          </w:tcPr>
          <w:p w14:paraId="64297A76" w14:textId="77777777" w:rsidR="007B6C97" w:rsidRDefault="007B6C97">
            <w:pPr>
              <w:rPr>
                <w:rFonts w:ascii="宋体"/>
                <w:vanish/>
              </w:rPr>
            </w:pPr>
          </w:p>
        </w:tc>
        <w:tc>
          <w:tcPr>
            <w:tcW w:w="0" w:type="auto"/>
            <w:gridSpan w:val="3"/>
            <w:shd w:val="clear" w:color="auto" w:fill="auto"/>
            <w:vAlign w:val="bottom"/>
          </w:tcPr>
          <w:p w14:paraId="64297A77" w14:textId="77777777" w:rsidR="007B6C97" w:rsidRDefault="007B6C97">
            <w:pPr>
              <w:rPr>
                <w:rFonts w:ascii="宋体"/>
                <w:vanish/>
              </w:rPr>
            </w:pPr>
          </w:p>
        </w:tc>
        <w:tc>
          <w:tcPr>
            <w:tcW w:w="0" w:type="auto"/>
            <w:gridSpan w:val="3"/>
            <w:shd w:val="clear" w:color="auto" w:fill="auto"/>
            <w:vAlign w:val="bottom"/>
          </w:tcPr>
          <w:p w14:paraId="64297A78" w14:textId="77777777" w:rsidR="007B6C97" w:rsidRDefault="007B6C97">
            <w:pPr>
              <w:rPr>
                <w:rFonts w:ascii="宋体"/>
                <w:vanish/>
              </w:rPr>
            </w:pPr>
          </w:p>
        </w:tc>
        <w:tc>
          <w:tcPr>
            <w:tcW w:w="0" w:type="auto"/>
            <w:gridSpan w:val="3"/>
            <w:shd w:val="clear" w:color="auto" w:fill="auto"/>
            <w:vAlign w:val="bottom"/>
          </w:tcPr>
          <w:p w14:paraId="64297A79" w14:textId="77777777" w:rsidR="007B6C97" w:rsidRDefault="007B6C97">
            <w:pPr>
              <w:rPr>
                <w:rFonts w:ascii="宋体"/>
                <w:vanish/>
              </w:rPr>
            </w:pPr>
          </w:p>
        </w:tc>
        <w:tc>
          <w:tcPr>
            <w:tcW w:w="0" w:type="auto"/>
            <w:gridSpan w:val="3"/>
            <w:shd w:val="clear" w:color="auto" w:fill="auto"/>
            <w:vAlign w:val="bottom"/>
          </w:tcPr>
          <w:p w14:paraId="64297A7A" w14:textId="77777777" w:rsidR="007B6C97" w:rsidRDefault="007B6C97">
            <w:pPr>
              <w:rPr>
                <w:rFonts w:ascii="宋体"/>
                <w:vanish/>
              </w:rPr>
            </w:pPr>
          </w:p>
        </w:tc>
        <w:tc>
          <w:tcPr>
            <w:tcW w:w="0" w:type="auto"/>
            <w:gridSpan w:val="3"/>
            <w:shd w:val="clear" w:color="auto" w:fill="auto"/>
            <w:vAlign w:val="bottom"/>
          </w:tcPr>
          <w:p w14:paraId="64297A7B" w14:textId="77777777" w:rsidR="007B6C97" w:rsidRDefault="007B6C97">
            <w:pPr>
              <w:rPr>
                <w:rFonts w:ascii="宋体"/>
                <w:vanish/>
              </w:rPr>
            </w:pPr>
          </w:p>
        </w:tc>
      </w:tr>
      <w:tr w:rsidR="007B6C97" w14:paraId="64297A89" w14:textId="77777777">
        <w:tc>
          <w:tcPr>
            <w:tcW w:w="0" w:type="auto"/>
            <w:gridSpan w:val="3"/>
            <w:shd w:val="clear" w:color="auto" w:fill="FFFFFF"/>
            <w:tcMar>
              <w:top w:w="40" w:type="dxa"/>
              <w:left w:w="380" w:type="dxa"/>
              <w:bottom w:w="40" w:type="dxa"/>
              <w:right w:w="20" w:type="dxa"/>
            </w:tcMar>
            <w:vAlign w:val="bottom"/>
          </w:tcPr>
          <w:p w14:paraId="64297A7D" w14:textId="77777777" w:rsidR="007B6C97" w:rsidRDefault="00E426D1">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7E" w14:textId="77777777" w:rsidR="007B6C97" w:rsidRDefault="00E426D1">
            <w:pPr>
              <w:jc w:val="right"/>
              <w:textAlignment w:val="bottom"/>
            </w:pPr>
            <w:r>
              <w:rPr>
                <w:rFonts w:ascii="Times New Roman" w:eastAsia="宋体" w:hAnsi="Times New Roman"/>
                <w:color w:val="000000"/>
                <w:sz w:val="20"/>
                <w:szCs w:val="20"/>
              </w:rPr>
              <w:t>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7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80"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81" w14:textId="77777777" w:rsidR="007B6C97" w:rsidRDefault="00E426D1">
            <w:pPr>
              <w:jc w:val="right"/>
              <w:textAlignment w:val="bottom"/>
            </w:pPr>
            <w:r>
              <w:rPr>
                <w:rFonts w:ascii="Times New Roman" w:eastAsia="宋体" w:hAnsi="Times New Roman"/>
                <w:color w:val="000000"/>
                <w:sz w:val="20"/>
                <w:szCs w:val="20"/>
              </w:rPr>
              <w:t>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8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83"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84" w14:textId="77777777" w:rsidR="007B6C97" w:rsidRDefault="00E426D1">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8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86"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87"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88" w14:textId="77777777" w:rsidR="007B6C97" w:rsidRDefault="007B6C97">
            <w:pPr>
              <w:jc w:val="right"/>
              <w:rPr>
                <w:rFonts w:ascii="宋体"/>
              </w:rPr>
            </w:pPr>
          </w:p>
        </w:tc>
      </w:tr>
      <w:tr w:rsidR="007B6C97" w14:paraId="64297A96" w14:textId="77777777">
        <w:tc>
          <w:tcPr>
            <w:tcW w:w="0" w:type="auto"/>
            <w:gridSpan w:val="3"/>
            <w:shd w:val="clear" w:color="auto" w:fill="D7E4BC"/>
            <w:tcMar>
              <w:top w:w="40" w:type="dxa"/>
              <w:left w:w="740" w:type="dxa"/>
              <w:bottom w:w="40" w:type="dxa"/>
              <w:right w:w="20" w:type="dxa"/>
            </w:tcMar>
            <w:vAlign w:val="bottom"/>
          </w:tcPr>
          <w:p w14:paraId="64297A8A" w14:textId="77777777" w:rsidR="007B6C97" w:rsidRDefault="00E426D1">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64297A8B" w14:textId="77777777" w:rsidR="007B6C97" w:rsidRDefault="00E426D1">
            <w:pPr>
              <w:jc w:val="right"/>
              <w:textAlignment w:val="bottom"/>
            </w:pPr>
            <w:r>
              <w:rPr>
                <w:rFonts w:ascii="Times New Roman" w:eastAsia="宋体" w:hAnsi="Times New Roman"/>
                <w:color w:val="000000"/>
                <w:sz w:val="20"/>
                <w:szCs w:val="20"/>
              </w:rPr>
              <w:t>61.8 </w:t>
            </w:r>
          </w:p>
        </w:tc>
        <w:tc>
          <w:tcPr>
            <w:tcW w:w="0" w:type="auto"/>
            <w:shd w:val="clear" w:color="auto" w:fill="D7E4BC"/>
            <w:tcMar>
              <w:top w:w="40" w:type="dxa"/>
              <w:left w:w="0" w:type="dxa"/>
              <w:bottom w:w="40" w:type="dxa"/>
              <w:right w:w="20" w:type="dxa"/>
            </w:tcMar>
            <w:vAlign w:val="bottom"/>
          </w:tcPr>
          <w:p w14:paraId="64297A8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8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8E" w14:textId="77777777" w:rsidR="007B6C97" w:rsidRDefault="00E426D1">
            <w:pPr>
              <w:jc w:val="right"/>
              <w:textAlignment w:val="bottom"/>
            </w:pPr>
            <w:r>
              <w:rPr>
                <w:rFonts w:ascii="Times New Roman" w:eastAsia="宋体" w:hAnsi="Times New Roman"/>
                <w:color w:val="000000"/>
                <w:sz w:val="20"/>
                <w:szCs w:val="20"/>
              </w:rPr>
              <w:t>61.8 </w:t>
            </w:r>
          </w:p>
        </w:tc>
        <w:tc>
          <w:tcPr>
            <w:tcW w:w="0" w:type="auto"/>
            <w:shd w:val="clear" w:color="auto" w:fill="D7E4BC"/>
            <w:tcMar>
              <w:top w:w="40" w:type="dxa"/>
              <w:left w:w="0" w:type="dxa"/>
              <w:bottom w:w="40" w:type="dxa"/>
              <w:right w:w="20" w:type="dxa"/>
            </w:tcMar>
            <w:vAlign w:val="bottom"/>
          </w:tcPr>
          <w:p w14:paraId="64297A8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9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9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9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95" w14:textId="77777777" w:rsidR="007B6C97" w:rsidRDefault="007B6C97">
            <w:pPr>
              <w:jc w:val="right"/>
              <w:rPr>
                <w:rFonts w:ascii="宋体"/>
              </w:rPr>
            </w:pPr>
          </w:p>
        </w:tc>
      </w:tr>
      <w:tr w:rsidR="007B6C97" w14:paraId="64297AA3" w14:textId="77777777">
        <w:tc>
          <w:tcPr>
            <w:tcW w:w="0" w:type="auto"/>
            <w:gridSpan w:val="3"/>
            <w:shd w:val="clear" w:color="auto" w:fill="FFFFFF"/>
            <w:tcMar>
              <w:top w:w="40" w:type="dxa"/>
              <w:left w:w="20" w:type="dxa"/>
              <w:bottom w:w="40" w:type="dxa"/>
              <w:right w:w="20" w:type="dxa"/>
            </w:tcMar>
            <w:vAlign w:val="bottom"/>
          </w:tcPr>
          <w:p w14:paraId="64297A97" w14:textId="77777777" w:rsidR="007B6C97" w:rsidRDefault="00E426D1">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98" w14:textId="77777777" w:rsidR="007B6C97" w:rsidRDefault="00E426D1">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9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9A"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9B" w14:textId="77777777" w:rsidR="007B6C97" w:rsidRDefault="00E426D1">
            <w:pPr>
              <w:jc w:val="right"/>
              <w:textAlignment w:val="bottom"/>
            </w:pPr>
            <w:r>
              <w:rPr>
                <w:rFonts w:ascii="Times New Roman" w:eastAsia="宋体" w:hAnsi="Times New Roman"/>
                <w:color w:val="000000"/>
                <w:sz w:val="20"/>
                <w:szCs w:val="20"/>
              </w:rPr>
              <w:t>62.0 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9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9D"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9E" w14:textId="77777777" w:rsidR="007B6C97" w:rsidRDefault="00E426D1">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9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A0"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AA1"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AA2" w14:textId="77777777" w:rsidR="007B6C97" w:rsidRDefault="007B6C97">
            <w:pPr>
              <w:jc w:val="right"/>
              <w:rPr>
                <w:rFonts w:ascii="宋体"/>
              </w:rPr>
            </w:pPr>
          </w:p>
        </w:tc>
      </w:tr>
      <w:tr w:rsidR="007B6C97" w14:paraId="64297AAC" w14:textId="77777777">
        <w:tc>
          <w:tcPr>
            <w:tcW w:w="0" w:type="auto"/>
            <w:gridSpan w:val="3"/>
            <w:shd w:val="clear" w:color="auto" w:fill="D7E4BC"/>
            <w:tcMar>
              <w:top w:w="40" w:type="dxa"/>
              <w:left w:w="20" w:type="dxa"/>
              <w:bottom w:w="40" w:type="dxa"/>
              <w:right w:w="20" w:type="dxa"/>
            </w:tcMar>
            <w:vAlign w:val="bottom"/>
          </w:tcPr>
          <w:p w14:paraId="64297AA4" w14:textId="77777777" w:rsidR="007B6C97" w:rsidRDefault="00E426D1">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4297AA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AB" w14:textId="77777777" w:rsidR="007B6C97" w:rsidRDefault="007B6C97">
            <w:pPr>
              <w:rPr>
                <w:rFonts w:ascii="宋体"/>
              </w:rPr>
            </w:pPr>
          </w:p>
        </w:tc>
      </w:tr>
      <w:tr w:rsidR="007B6C97" w14:paraId="64297AB9" w14:textId="77777777">
        <w:tc>
          <w:tcPr>
            <w:tcW w:w="0" w:type="auto"/>
            <w:gridSpan w:val="3"/>
            <w:shd w:val="clear" w:color="auto" w:fill="FFFFFF"/>
            <w:tcMar>
              <w:top w:w="40" w:type="dxa"/>
              <w:left w:w="380" w:type="dxa"/>
              <w:bottom w:w="40" w:type="dxa"/>
              <w:right w:w="20" w:type="dxa"/>
            </w:tcMar>
            <w:vAlign w:val="bottom"/>
          </w:tcPr>
          <w:p w14:paraId="64297AAD" w14:textId="77777777" w:rsidR="007B6C97" w:rsidRDefault="00E426D1">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4297AAE" w14:textId="77777777" w:rsidR="007B6C97" w:rsidRDefault="00E426D1">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64297AA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B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B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B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B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B4" w14:textId="77777777" w:rsidR="007B6C97" w:rsidRDefault="00E426D1">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64297AB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B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B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B8" w14:textId="77777777" w:rsidR="007B6C97" w:rsidRDefault="007B6C97">
            <w:pPr>
              <w:jc w:val="right"/>
              <w:rPr>
                <w:rFonts w:ascii="宋体"/>
              </w:rPr>
            </w:pPr>
          </w:p>
        </w:tc>
      </w:tr>
      <w:tr w:rsidR="007B6C97" w14:paraId="64297AC2" w14:textId="77777777">
        <w:tc>
          <w:tcPr>
            <w:tcW w:w="0" w:type="auto"/>
            <w:gridSpan w:val="3"/>
            <w:shd w:val="clear" w:color="auto" w:fill="D7E4BC"/>
            <w:tcMar>
              <w:top w:w="40" w:type="dxa"/>
              <w:left w:w="20" w:type="dxa"/>
              <w:bottom w:w="40" w:type="dxa"/>
              <w:right w:w="20" w:type="dxa"/>
            </w:tcMar>
            <w:vAlign w:val="bottom"/>
          </w:tcPr>
          <w:p w14:paraId="64297ABA" w14:textId="77777777" w:rsidR="007B6C97" w:rsidRDefault="00E426D1">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64297AB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B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B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B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B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C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AC1" w14:textId="77777777" w:rsidR="007B6C97" w:rsidRDefault="007B6C97">
            <w:pPr>
              <w:rPr>
                <w:rFonts w:ascii="宋体"/>
              </w:rPr>
            </w:pPr>
          </w:p>
        </w:tc>
      </w:tr>
      <w:tr w:rsidR="007B6C97" w14:paraId="64297ACB" w14:textId="77777777">
        <w:tc>
          <w:tcPr>
            <w:tcW w:w="0" w:type="auto"/>
            <w:gridSpan w:val="3"/>
            <w:shd w:val="clear" w:color="auto" w:fill="FFFFFF"/>
            <w:tcMar>
              <w:top w:w="40" w:type="dxa"/>
              <w:left w:w="380" w:type="dxa"/>
              <w:bottom w:w="40" w:type="dxa"/>
              <w:right w:w="20" w:type="dxa"/>
            </w:tcMar>
            <w:vAlign w:val="bottom"/>
          </w:tcPr>
          <w:p w14:paraId="64297AC3" w14:textId="77777777" w:rsidR="007B6C97" w:rsidRDefault="00E426D1">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4297AC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ACA" w14:textId="77777777" w:rsidR="007B6C97" w:rsidRDefault="007B6C97">
            <w:pPr>
              <w:rPr>
                <w:rFonts w:ascii="宋体"/>
              </w:rPr>
            </w:pPr>
          </w:p>
        </w:tc>
      </w:tr>
      <w:tr w:rsidR="007B6C97" w14:paraId="64297AD4" w14:textId="77777777">
        <w:trPr>
          <w:hidden/>
        </w:trPr>
        <w:tc>
          <w:tcPr>
            <w:tcW w:w="0" w:type="auto"/>
            <w:gridSpan w:val="3"/>
            <w:shd w:val="clear" w:color="auto" w:fill="auto"/>
            <w:vAlign w:val="bottom"/>
          </w:tcPr>
          <w:p w14:paraId="64297ACC" w14:textId="77777777" w:rsidR="007B6C97" w:rsidRDefault="007B6C97">
            <w:pPr>
              <w:rPr>
                <w:rFonts w:ascii="宋体"/>
                <w:vanish/>
              </w:rPr>
            </w:pPr>
          </w:p>
        </w:tc>
        <w:tc>
          <w:tcPr>
            <w:tcW w:w="0" w:type="auto"/>
            <w:gridSpan w:val="3"/>
            <w:shd w:val="clear" w:color="auto" w:fill="auto"/>
            <w:vAlign w:val="bottom"/>
          </w:tcPr>
          <w:p w14:paraId="64297ACD" w14:textId="77777777" w:rsidR="007B6C97" w:rsidRDefault="007B6C97">
            <w:pPr>
              <w:rPr>
                <w:rFonts w:ascii="宋体"/>
                <w:vanish/>
              </w:rPr>
            </w:pPr>
          </w:p>
        </w:tc>
        <w:tc>
          <w:tcPr>
            <w:tcW w:w="0" w:type="auto"/>
            <w:gridSpan w:val="3"/>
            <w:shd w:val="clear" w:color="auto" w:fill="auto"/>
            <w:vAlign w:val="bottom"/>
          </w:tcPr>
          <w:p w14:paraId="64297ACE" w14:textId="77777777" w:rsidR="007B6C97" w:rsidRDefault="007B6C97">
            <w:pPr>
              <w:rPr>
                <w:rFonts w:ascii="宋体"/>
                <w:vanish/>
              </w:rPr>
            </w:pPr>
          </w:p>
        </w:tc>
        <w:tc>
          <w:tcPr>
            <w:tcW w:w="0" w:type="auto"/>
            <w:gridSpan w:val="3"/>
            <w:shd w:val="clear" w:color="auto" w:fill="auto"/>
            <w:vAlign w:val="bottom"/>
          </w:tcPr>
          <w:p w14:paraId="64297ACF" w14:textId="77777777" w:rsidR="007B6C97" w:rsidRDefault="007B6C97">
            <w:pPr>
              <w:rPr>
                <w:rFonts w:ascii="宋体"/>
                <w:vanish/>
              </w:rPr>
            </w:pPr>
          </w:p>
        </w:tc>
        <w:tc>
          <w:tcPr>
            <w:tcW w:w="0" w:type="auto"/>
            <w:gridSpan w:val="3"/>
            <w:shd w:val="clear" w:color="auto" w:fill="auto"/>
            <w:vAlign w:val="bottom"/>
          </w:tcPr>
          <w:p w14:paraId="64297AD0" w14:textId="77777777" w:rsidR="007B6C97" w:rsidRDefault="007B6C97">
            <w:pPr>
              <w:rPr>
                <w:rFonts w:ascii="宋体"/>
                <w:vanish/>
              </w:rPr>
            </w:pPr>
          </w:p>
        </w:tc>
        <w:tc>
          <w:tcPr>
            <w:tcW w:w="0" w:type="auto"/>
            <w:gridSpan w:val="3"/>
            <w:shd w:val="clear" w:color="auto" w:fill="auto"/>
            <w:vAlign w:val="bottom"/>
          </w:tcPr>
          <w:p w14:paraId="64297AD1" w14:textId="77777777" w:rsidR="007B6C97" w:rsidRDefault="007B6C97">
            <w:pPr>
              <w:rPr>
                <w:rFonts w:ascii="宋体"/>
                <w:vanish/>
              </w:rPr>
            </w:pPr>
          </w:p>
        </w:tc>
        <w:tc>
          <w:tcPr>
            <w:tcW w:w="0" w:type="auto"/>
            <w:gridSpan w:val="3"/>
            <w:shd w:val="clear" w:color="auto" w:fill="auto"/>
            <w:vAlign w:val="bottom"/>
          </w:tcPr>
          <w:p w14:paraId="64297AD2" w14:textId="77777777" w:rsidR="007B6C97" w:rsidRDefault="007B6C97">
            <w:pPr>
              <w:rPr>
                <w:rFonts w:ascii="宋体"/>
                <w:vanish/>
              </w:rPr>
            </w:pPr>
          </w:p>
        </w:tc>
        <w:tc>
          <w:tcPr>
            <w:tcW w:w="0" w:type="auto"/>
            <w:gridSpan w:val="3"/>
            <w:shd w:val="clear" w:color="auto" w:fill="auto"/>
            <w:vAlign w:val="bottom"/>
          </w:tcPr>
          <w:p w14:paraId="64297AD3" w14:textId="77777777" w:rsidR="007B6C97" w:rsidRDefault="007B6C97">
            <w:pPr>
              <w:rPr>
                <w:rFonts w:ascii="宋体"/>
                <w:vanish/>
              </w:rPr>
            </w:pPr>
          </w:p>
        </w:tc>
      </w:tr>
      <w:tr w:rsidR="007B6C97" w14:paraId="64297ADD" w14:textId="77777777">
        <w:trPr>
          <w:hidden/>
        </w:trPr>
        <w:tc>
          <w:tcPr>
            <w:tcW w:w="0" w:type="auto"/>
            <w:gridSpan w:val="3"/>
            <w:shd w:val="clear" w:color="auto" w:fill="auto"/>
            <w:vAlign w:val="bottom"/>
          </w:tcPr>
          <w:p w14:paraId="64297AD5" w14:textId="77777777" w:rsidR="007B6C97" w:rsidRDefault="007B6C97">
            <w:pPr>
              <w:rPr>
                <w:rFonts w:ascii="宋体"/>
                <w:vanish/>
              </w:rPr>
            </w:pPr>
          </w:p>
        </w:tc>
        <w:tc>
          <w:tcPr>
            <w:tcW w:w="0" w:type="auto"/>
            <w:gridSpan w:val="3"/>
            <w:shd w:val="clear" w:color="auto" w:fill="auto"/>
            <w:vAlign w:val="bottom"/>
          </w:tcPr>
          <w:p w14:paraId="64297AD6" w14:textId="77777777" w:rsidR="007B6C97" w:rsidRDefault="007B6C97">
            <w:pPr>
              <w:rPr>
                <w:rFonts w:ascii="宋体"/>
                <w:vanish/>
              </w:rPr>
            </w:pPr>
          </w:p>
        </w:tc>
        <w:tc>
          <w:tcPr>
            <w:tcW w:w="0" w:type="auto"/>
            <w:gridSpan w:val="3"/>
            <w:shd w:val="clear" w:color="auto" w:fill="auto"/>
            <w:vAlign w:val="bottom"/>
          </w:tcPr>
          <w:p w14:paraId="64297AD7" w14:textId="77777777" w:rsidR="007B6C97" w:rsidRDefault="007B6C97">
            <w:pPr>
              <w:rPr>
                <w:rFonts w:ascii="宋体"/>
                <w:vanish/>
              </w:rPr>
            </w:pPr>
          </w:p>
        </w:tc>
        <w:tc>
          <w:tcPr>
            <w:tcW w:w="0" w:type="auto"/>
            <w:gridSpan w:val="3"/>
            <w:shd w:val="clear" w:color="auto" w:fill="auto"/>
            <w:vAlign w:val="bottom"/>
          </w:tcPr>
          <w:p w14:paraId="64297AD8" w14:textId="77777777" w:rsidR="007B6C97" w:rsidRDefault="007B6C97">
            <w:pPr>
              <w:rPr>
                <w:rFonts w:ascii="宋体"/>
                <w:vanish/>
              </w:rPr>
            </w:pPr>
          </w:p>
        </w:tc>
        <w:tc>
          <w:tcPr>
            <w:tcW w:w="0" w:type="auto"/>
            <w:gridSpan w:val="3"/>
            <w:shd w:val="clear" w:color="auto" w:fill="auto"/>
            <w:vAlign w:val="bottom"/>
          </w:tcPr>
          <w:p w14:paraId="64297AD9" w14:textId="77777777" w:rsidR="007B6C97" w:rsidRDefault="007B6C97">
            <w:pPr>
              <w:rPr>
                <w:rFonts w:ascii="宋体"/>
                <w:vanish/>
              </w:rPr>
            </w:pPr>
          </w:p>
        </w:tc>
        <w:tc>
          <w:tcPr>
            <w:tcW w:w="0" w:type="auto"/>
            <w:gridSpan w:val="3"/>
            <w:shd w:val="clear" w:color="auto" w:fill="auto"/>
            <w:vAlign w:val="bottom"/>
          </w:tcPr>
          <w:p w14:paraId="64297ADA" w14:textId="77777777" w:rsidR="007B6C97" w:rsidRDefault="007B6C97">
            <w:pPr>
              <w:rPr>
                <w:rFonts w:ascii="宋体"/>
                <w:vanish/>
              </w:rPr>
            </w:pPr>
          </w:p>
        </w:tc>
        <w:tc>
          <w:tcPr>
            <w:tcW w:w="0" w:type="auto"/>
            <w:gridSpan w:val="3"/>
            <w:shd w:val="clear" w:color="auto" w:fill="auto"/>
            <w:vAlign w:val="bottom"/>
          </w:tcPr>
          <w:p w14:paraId="64297ADB" w14:textId="77777777" w:rsidR="007B6C97" w:rsidRDefault="007B6C97">
            <w:pPr>
              <w:rPr>
                <w:rFonts w:ascii="宋体"/>
                <w:vanish/>
              </w:rPr>
            </w:pPr>
          </w:p>
        </w:tc>
        <w:tc>
          <w:tcPr>
            <w:tcW w:w="0" w:type="auto"/>
            <w:gridSpan w:val="3"/>
            <w:shd w:val="clear" w:color="auto" w:fill="auto"/>
            <w:vAlign w:val="bottom"/>
          </w:tcPr>
          <w:p w14:paraId="64297ADC" w14:textId="77777777" w:rsidR="007B6C97" w:rsidRDefault="007B6C97">
            <w:pPr>
              <w:rPr>
                <w:rFonts w:ascii="宋体"/>
                <w:vanish/>
              </w:rPr>
            </w:pPr>
          </w:p>
        </w:tc>
      </w:tr>
      <w:tr w:rsidR="007B6C97" w14:paraId="64297AE6" w14:textId="77777777">
        <w:trPr>
          <w:hidden/>
        </w:trPr>
        <w:tc>
          <w:tcPr>
            <w:tcW w:w="0" w:type="auto"/>
            <w:gridSpan w:val="3"/>
            <w:shd w:val="clear" w:color="auto" w:fill="auto"/>
            <w:vAlign w:val="bottom"/>
          </w:tcPr>
          <w:p w14:paraId="64297ADE" w14:textId="77777777" w:rsidR="007B6C97" w:rsidRDefault="007B6C97">
            <w:pPr>
              <w:rPr>
                <w:rFonts w:ascii="宋体"/>
                <w:vanish/>
              </w:rPr>
            </w:pPr>
          </w:p>
        </w:tc>
        <w:tc>
          <w:tcPr>
            <w:tcW w:w="0" w:type="auto"/>
            <w:gridSpan w:val="3"/>
            <w:shd w:val="clear" w:color="auto" w:fill="auto"/>
            <w:vAlign w:val="bottom"/>
          </w:tcPr>
          <w:p w14:paraId="64297ADF" w14:textId="77777777" w:rsidR="007B6C97" w:rsidRDefault="007B6C97">
            <w:pPr>
              <w:rPr>
                <w:rFonts w:ascii="宋体"/>
                <w:vanish/>
              </w:rPr>
            </w:pPr>
          </w:p>
        </w:tc>
        <w:tc>
          <w:tcPr>
            <w:tcW w:w="0" w:type="auto"/>
            <w:gridSpan w:val="3"/>
            <w:shd w:val="clear" w:color="auto" w:fill="auto"/>
            <w:vAlign w:val="bottom"/>
          </w:tcPr>
          <w:p w14:paraId="64297AE0" w14:textId="77777777" w:rsidR="007B6C97" w:rsidRDefault="007B6C97">
            <w:pPr>
              <w:rPr>
                <w:rFonts w:ascii="宋体"/>
                <w:vanish/>
              </w:rPr>
            </w:pPr>
          </w:p>
        </w:tc>
        <w:tc>
          <w:tcPr>
            <w:tcW w:w="0" w:type="auto"/>
            <w:gridSpan w:val="3"/>
            <w:shd w:val="clear" w:color="auto" w:fill="auto"/>
            <w:vAlign w:val="bottom"/>
          </w:tcPr>
          <w:p w14:paraId="64297AE1" w14:textId="77777777" w:rsidR="007B6C97" w:rsidRDefault="007B6C97">
            <w:pPr>
              <w:rPr>
                <w:rFonts w:ascii="宋体"/>
                <w:vanish/>
              </w:rPr>
            </w:pPr>
          </w:p>
        </w:tc>
        <w:tc>
          <w:tcPr>
            <w:tcW w:w="0" w:type="auto"/>
            <w:gridSpan w:val="3"/>
            <w:shd w:val="clear" w:color="auto" w:fill="auto"/>
            <w:vAlign w:val="bottom"/>
          </w:tcPr>
          <w:p w14:paraId="64297AE2" w14:textId="77777777" w:rsidR="007B6C97" w:rsidRDefault="007B6C97">
            <w:pPr>
              <w:rPr>
                <w:rFonts w:ascii="宋体"/>
                <w:vanish/>
              </w:rPr>
            </w:pPr>
          </w:p>
        </w:tc>
        <w:tc>
          <w:tcPr>
            <w:tcW w:w="0" w:type="auto"/>
            <w:gridSpan w:val="3"/>
            <w:shd w:val="clear" w:color="auto" w:fill="auto"/>
            <w:vAlign w:val="bottom"/>
          </w:tcPr>
          <w:p w14:paraId="64297AE3" w14:textId="77777777" w:rsidR="007B6C97" w:rsidRDefault="007B6C97">
            <w:pPr>
              <w:rPr>
                <w:rFonts w:ascii="宋体"/>
                <w:vanish/>
              </w:rPr>
            </w:pPr>
          </w:p>
        </w:tc>
        <w:tc>
          <w:tcPr>
            <w:tcW w:w="0" w:type="auto"/>
            <w:gridSpan w:val="3"/>
            <w:shd w:val="clear" w:color="auto" w:fill="auto"/>
            <w:vAlign w:val="bottom"/>
          </w:tcPr>
          <w:p w14:paraId="64297AE4" w14:textId="77777777" w:rsidR="007B6C97" w:rsidRDefault="007B6C97">
            <w:pPr>
              <w:rPr>
                <w:rFonts w:ascii="宋体"/>
                <w:vanish/>
              </w:rPr>
            </w:pPr>
          </w:p>
        </w:tc>
        <w:tc>
          <w:tcPr>
            <w:tcW w:w="0" w:type="auto"/>
            <w:gridSpan w:val="3"/>
            <w:shd w:val="clear" w:color="auto" w:fill="auto"/>
            <w:vAlign w:val="bottom"/>
          </w:tcPr>
          <w:p w14:paraId="64297AE5" w14:textId="77777777" w:rsidR="007B6C97" w:rsidRDefault="007B6C97">
            <w:pPr>
              <w:rPr>
                <w:rFonts w:ascii="宋体"/>
                <w:vanish/>
              </w:rPr>
            </w:pPr>
          </w:p>
        </w:tc>
      </w:tr>
      <w:tr w:rsidR="007B6C97" w14:paraId="64297AF3" w14:textId="77777777">
        <w:tc>
          <w:tcPr>
            <w:tcW w:w="0" w:type="auto"/>
            <w:gridSpan w:val="3"/>
            <w:shd w:val="clear" w:color="auto" w:fill="D7E4BC"/>
            <w:tcMar>
              <w:top w:w="40" w:type="dxa"/>
              <w:left w:w="740" w:type="dxa"/>
              <w:bottom w:w="40" w:type="dxa"/>
              <w:right w:w="20" w:type="dxa"/>
            </w:tcMar>
            <w:vAlign w:val="bottom"/>
          </w:tcPr>
          <w:p w14:paraId="64297AE7" w14:textId="77777777" w:rsidR="007B6C97" w:rsidRDefault="00E426D1">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64297AE8" w14:textId="77777777" w:rsidR="007B6C97" w:rsidRDefault="00E426D1">
            <w:pPr>
              <w:jc w:val="right"/>
              <w:textAlignment w:val="bottom"/>
            </w:pPr>
            <w:r>
              <w:rPr>
                <w:rFonts w:ascii="Times New Roman" w:eastAsia="宋体" w:hAnsi="Times New Roman"/>
                <w:color w:val="000000"/>
                <w:sz w:val="20"/>
                <w:szCs w:val="20"/>
              </w:rPr>
              <w:t>145.0 </w:t>
            </w:r>
          </w:p>
        </w:tc>
        <w:tc>
          <w:tcPr>
            <w:tcW w:w="0" w:type="auto"/>
            <w:shd w:val="clear" w:color="auto" w:fill="D7E4BC"/>
            <w:tcMar>
              <w:top w:w="40" w:type="dxa"/>
              <w:left w:w="0" w:type="dxa"/>
              <w:bottom w:w="40" w:type="dxa"/>
              <w:right w:w="20" w:type="dxa"/>
            </w:tcMar>
            <w:vAlign w:val="bottom"/>
          </w:tcPr>
          <w:p w14:paraId="64297AE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E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E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E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E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EE" w14:textId="77777777" w:rsidR="007B6C97" w:rsidRDefault="00E426D1">
            <w:pPr>
              <w:jc w:val="right"/>
              <w:textAlignment w:val="bottom"/>
            </w:pPr>
            <w:r>
              <w:rPr>
                <w:rFonts w:ascii="Times New Roman" w:eastAsia="宋体" w:hAnsi="Times New Roman"/>
                <w:color w:val="000000"/>
                <w:sz w:val="20"/>
                <w:szCs w:val="20"/>
              </w:rPr>
              <w:t>145.0 </w:t>
            </w:r>
          </w:p>
        </w:tc>
        <w:tc>
          <w:tcPr>
            <w:tcW w:w="0" w:type="auto"/>
            <w:shd w:val="clear" w:color="auto" w:fill="D7E4BC"/>
            <w:tcMar>
              <w:top w:w="40" w:type="dxa"/>
              <w:left w:w="0" w:type="dxa"/>
              <w:bottom w:w="40" w:type="dxa"/>
              <w:right w:w="20" w:type="dxa"/>
            </w:tcMar>
            <w:vAlign w:val="bottom"/>
          </w:tcPr>
          <w:p w14:paraId="64297AE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AF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AF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AF2" w14:textId="77777777" w:rsidR="007B6C97" w:rsidRDefault="007B6C97">
            <w:pPr>
              <w:jc w:val="right"/>
              <w:rPr>
                <w:rFonts w:ascii="宋体"/>
              </w:rPr>
            </w:pPr>
          </w:p>
        </w:tc>
      </w:tr>
      <w:tr w:rsidR="007B6C97" w14:paraId="64297B00" w14:textId="77777777">
        <w:tc>
          <w:tcPr>
            <w:tcW w:w="0" w:type="auto"/>
            <w:gridSpan w:val="3"/>
            <w:shd w:val="clear" w:color="auto" w:fill="FFFFFF"/>
            <w:tcMar>
              <w:top w:w="40" w:type="dxa"/>
              <w:left w:w="740" w:type="dxa"/>
              <w:bottom w:w="40" w:type="dxa"/>
              <w:right w:w="20" w:type="dxa"/>
            </w:tcMar>
            <w:vAlign w:val="bottom"/>
          </w:tcPr>
          <w:p w14:paraId="64297AF4" w14:textId="77777777" w:rsidR="007B6C97" w:rsidRDefault="00E426D1">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64297AF5" w14:textId="77777777" w:rsidR="007B6C97" w:rsidRDefault="00E426D1">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4297A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F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F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F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FB" w14:textId="77777777" w:rsidR="007B6C97" w:rsidRDefault="00E426D1">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4297A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AF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AF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AFF" w14:textId="77777777" w:rsidR="007B6C97" w:rsidRDefault="007B6C97">
            <w:pPr>
              <w:jc w:val="right"/>
              <w:rPr>
                <w:rFonts w:ascii="宋体"/>
              </w:rPr>
            </w:pPr>
          </w:p>
        </w:tc>
      </w:tr>
      <w:tr w:rsidR="007B6C97" w14:paraId="64297B0D" w14:textId="77777777">
        <w:tc>
          <w:tcPr>
            <w:tcW w:w="0" w:type="auto"/>
            <w:gridSpan w:val="3"/>
            <w:shd w:val="clear" w:color="auto" w:fill="D7E4BC"/>
            <w:tcMar>
              <w:top w:w="40" w:type="dxa"/>
              <w:left w:w="740" w:type="dxa"/>
              <w:bottom w:w="40" w:type="dxa"/>
              <w:right w:w="20" w:type="dxa"/>
            </w:tcMar>
            <w:vAlign w:val="bottom"/>
          </w:tcPr>
          <w:p w14:paraId="64297B01" w14:textId="77777777" w:rsidR="007B6C97" w:rsidRDefault="00E426D1">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64297B02" w14:textId="77777777" w:rsidR="007B6C97" w:rsidRDefault="00E426D1">
            <w:pPr>
              <w:jc w:val="right"/>
              <w:textAlignment w:val="bottom"/>
            </w:pPr>
            <w:r>
              <w:rPr>
                <w:rFonts w:ascii="Times New Roman" w:eastAsia="宋体" w:hAnsi="Times New Roman"/>
                <w:color w:val="000000"/>
                <w:sz w:val="20"/>
                <w:szCs w:val="20"/>
              </w:rPr>
              <w:t>56.8 </w:t>
            </w:r>
          </w:p>
        </w:tc>
        <w:tc>
          <w:tcPr>
            <w:tcW w:w="0" w:type="auto"/>
            <w:shd w:val="clear" w:color="auto" w:fill="D7E4BC"/>
            <w:tcMar>
              <w:top w:w="40" w:type="dxa"/>
              <w:left w:w="0" w:type="dxa"/>
              <w:bottom w:w="40" w:type="dxa"/>
              <w:right w:w="20" w:type="dxa"/>
            </w:tcMar>
            <w:vAlign w:val="bottom"/>
          </w:tcPr>
          <w:p w14:paraId="64297B0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0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0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0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0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08" w14:textId="77777777" w:rsidR="007B6C97" w:rsidRDefault="00E426D1">
            <w:pPr>
              <w:jc w:val="right"/>
              <w:textAlignment w:val="bottom"/>
            </w:pPr>
            <w:r>
              <w:rPr>
                <w:rFonts w:ascii="Times New Roman" w:eastAsia="宋体" w:hAnsi="Times New Roman"/>
                <w:color w:val="000000"/>
                <w:sz w:val="20"/>
                <w:szCs w:val="20"/>
              </w:rPr>
              <w:t>56.8 </w:t>
            </w:r>
          </w:p>
        </w:tc>
        <w:tc>
          <w:tcPr>
            <w:tcW w:w="0" w:type="auto"/>
            <w:shd w:val="clear" w:color="auto" w:fill="D7E4BC"/>
            <w:tcMar>
              <w:top w:w="40" w:type="dxa"/>
              <w:left w:w="0" w:type="dxa"/>
              <w:bottom w:w="40" w:type="dxa"/>
              <w:right w:w="20" w:type="dxa"/>
            </w:tcMar>
            <w:vAlign w:val="bottom"/>
          </w:tcPr>
          <w:p w14:paraId="64297B0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0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0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0C" w14:textId="77777777" w:rsidR="007B6C97" w:rsidRDefault="007B6C97">
            <w:pPr>
              <w:jc w:val="right"/>
              <w:rPr>
                <w:rFonts w:ascii="宋体"/>
              </w:rPr>
            </w:pPr>
          </w:p>
        </w:tc>
      </w:tr>
      <w:tr w:rsidR="007B6C97" w14:paraId="64297B1A" w14:textId="77777777">
        <w:tc>
          <w:tcPr>
            <w:tcW w:w="0" w:type="auto"/>
            <w:gridSpan w:val="3"/>
            <w:shd w:val="clear" w:color="auto" w:fill="FFFFFF"/>
            <w:tcMar>
              <w:top w:w="40" w:type="dxa"/>
              <w:left w:w="740" w:type="dxa"/>
              <w:bottom w:w="40" w:type="dxa"/>
              <w:right w:w="20" w:type="dxa"/>
            </w:tcMar>
            <w:vAlign w:val="bottom"/>
          </w:tcPr>
          <w:p w14:paraId="64297B0E" w14:textId="77777777" w:rsidR="007B6C97" w:rsidRDefault="00E426D1">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64297B0F"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4297B1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1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1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1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1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15"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4297B1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1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1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19" w14:textId="77777777" w:rsidR="007B6C97" w:rsidRDefault="007B6C97">
            <w:pPr>
              <w:jc w:val="right"/>
              <w:rPr>
                <w:rFonts w:ascii="宋体"/>
              </w:rPr>
            </w:pPr>
          </w:p>
        </w:tc>
      </w:tr>
      <w:tr w:rsidR="007B6C97" w14:paraId="64297B27" w14:textId="77777777">
        <w:tc>
          <w:tcPr>
            <w:tcW w:w="0" w:type="auto"/>
            <w:gridSpan w:val="3"/>
            <w:shd w:val="clear" w:color="auto" w:fill="D7E4BC"/>
            <w:tcMar>
              <w:top w:w="40" w:type="dxa"/>
              <w:left w:w="740" w:type="dxa"/>
              <w:bottom w:w="40" w:type="dxa"/>
              <w:right w:w="20" w:type="dxa"/>
            </w:tcMar>
            <w:vAlign w:val="bottom"/>
          </w:tcPr>
          <w:p w14:paraId="64297B1B" w14:textId="77777777" w:rsidR="007B6C97" w:rsidRDefault="00E426D1">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64297B1C" w14:textId="77777777" w:rsidR="007B6C97" w:rsidRDefault="00E426D1">
            <w:pPr>
              <w:jc w:val="right"/>
              <w:textAlignment w:val="bottom"/>
            </w:pPr>
            <w:r>
              <w:rPr>
                <w:rFonts w:ascii="Times New Roman" w:eastAsia="宋体" w:hAnsi="Times New Roman"/>
                <w:color w:val="000000"/>
                <w:sz w:val="20"/>
                <w:szCs w:val="20"/>
              </w:rPr>
              <w:t>85.5 </w:t>
            </w:r>
          </w:p>
        </w:tc>
        <w:tc>
          <w:tcPr>
            <w:tcW w:w="0" w:type="auto"/>
            <w:shd w:val="clear" w:color="auto" w:fill="D7E4BC"/>
            <w:tcMar>
              <w:top w:w="40" w:type="dxa"/>
              <w:left w:w="0" w:type="dxa"/>
              <w:bottom w:w="40" w:type="dxa"/>
              <w:right w:w="20" w:type="dxa"/>
            </w:tcMar>
            <w:vAlign w:val="bottom"/>
          </w:tcPr>
          <w:p w14:paraId="64297B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1F" w14:textId="77777777" w:rsidR="007B6C97" w:rsidRDefault="00E426D1">
            <w:pPr>
              <w:jc w:val="right"/>
              <w:textAlignment w:val="bottom"/>
            </w:pPr>
            <w:r>
              <w:rPr>
                <w:rFonts w:ascii="Times New Roman" w:eastAsia="宋体" w:hAnsi="Times New Roman"/>
                <w:color w:val="000000"/>
                <w:sz w:val="20"/>
                <w:szCs w:val="20"/>
              </w:rPr>
              <w:t>85.5 </w:t>
            </w:r>
          </w:p>
        </w:tc>
        <w:tc>
          <w:tcPr>
            <w:tcW w:w="0" w:type="auto"/>
            <w:shd w:val="clear" w:color="auto" w:fill="D7E4BC"/>
            <w:tcMar>
              <w:top w:w="40" w:type="dxa"/>
              <w:left w:w="0" w:type="dxa"/>
              <w:bottom w:w="40" w:type="dxa"/>
              <w:right w:w="20" w:type="dxa"/>
            </w:tcMar>
            <w:vAlign w:val="bottom"/>
          </w:tcPr>
          <w:p w14:paraId="64297B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2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2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2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2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26" w14:textId="77777777" w:rsidR="007B6C97" w:rsidRDefault="007B6C97">
            <w:pPr>
              <w:jc w:val="right"/>
              <w:rPr>
                <w:rFonts w:ascii="宋体"/>
              </w:rPr>
            </w:pPr>
          </w:p>
        </w:tc>
      </w:tr>
      <w:tr w:rsidR="007B6C97" w14:paraId="64297B34" w14:textId="77777777">
        <w:tc>
          <w:tcPr>
            <w:tcW w:w="0" w:type="auto"/>
            <w:gridSpan w:val="3"/>
            <w:shd w:val="clear" w:color="auto" w:fill="FFFFFF"/>
            <w:tcMar>
              <w:top w:w="40" w:type="dxa"/>
              <w:left w:w="20" w:type="dxa"/>
              <w:bottom w:w="40" w:type="dxa"/>
              <w:right w:w="20" w:type="dxa"/>
            </w:tcMar>
            <w:vAlign w:val="bottom"/>
          </w:tcPr>
          <w:p w14:paraId="64297B28" w14:textId="77777777" w:rsidR="007B6C97" w:rsidRDefault="00E426D1">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B29" w14:textId="77777777" w:rsidR="007B6C97" w:rsidRDefault="00E426D1">
            <w:pPr>
              <w:jc w:val="right"/>
              <w:textAlignment w:val="bottom"/>
            </w:pPr>
            <w:r>
              <w:rPr>
                <w:rFonts w:ascii="Times New Roman" w:eastAsia="宋体" w:hAnsi="Times New Roman"/>
                <w:color w:val="000000"/>
                <w:sz w:val="20"/>
                <w:szCs w:val="20"/>
              </w:rPr>
              <w:t>292.5 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2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2B"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B2C" w14:textId="77777777" w:rsidR="007B6C97" w:rsidRDefault="00E426D1">
            <w:pPr>
              <w:jc w:val="right"/>
              <w:textAlignment w:val="bottom"/>
            </w:pPr>
            <w:r>
              <w:rPr>
                <w:rFonts w:ascii="Times New Roman" w:eastAsia="宋体" w:hAnsi="Times New Roman"/>
                <w:color w:val="000000"/>
                <w:sz w:val="20"/>
                <w:szCs w:val="20"/>
              </w:rPr>
              <w:t>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2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2E"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B2F" w14:textId="77777777" w:rsidR="007B6C97" w:rsidRDefault="00E426D1">
            <w:pPr>
              <w:jc w:val="right"/>
              <w:textAlignment w:val="bottom"/>
            </w:pPr>
            <w:r>
              <w:rPr>
                <w:rFonts w:ascii="Times New Roman" w:eastAsia="宋体" w:hAnsi="Times New Roman"/>
                <w:color w:val="000000"/>
                <w:sz w:val="20"/>
                <w:szCs w:val="20"/>
              </w:rPr>
              <w:t>207.0 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31"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B32"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33" w14:textId="77777777" w:rsidR="007B6C97" w:rsidRDefault="007B6C97">
            <w:pPr>
              <w:jc w:val="right"/>
              <w:rPr>
                <w:rFonts w:ascii="宋体"/>
              </w:rPr>
            </w:pPr>
          </w:p>
        </w:tc>
      </w:tr>
      <w:tr w:rsidR="007B6C97" w14:paraId="64297B3D" w14:textId="77777777">
        <w:tc>
          <w:tcPr>
            <w:tcW w:w="0" w:type="auto"/>
            <w:gridSpan w:val="3"/>
            <w:shd w:val="clear" w:color="auto" w:fill="D7E4BC"/>
            <w:tcMar>
              <w:top w:w="40" w:type="dxa"/>
              <w:left w:w="20" w:type="dxa"/>
              <w:bottom w:w="40" w:type="dxa"/>
              <w:right w:w="20" w:type="dxa"/>
            </w:tcMar>
            <w:vAlign w:val="bottom"/>
          </w:tcPr>
          <w:p w14:paraId="64297B35" w14:textId="77777777" w:rsidR="007B6C97" w:rsidRDefault="00E426D1">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64297B3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3C" w14:textId="77777777" w:rsidR="007B6C97" w:rsidRDefault="007B6C97">
            <w:pPr>
              <w:rPr>
                <w:rFonts w:ascii="宋体"/>
              </w:rPr>
            </w:pPr>
          </w:p>
        </w:tc>
      </w:tr>
      <w:tr w:rsidR="007B6C97" w14:paraId="64297B4A" w14:textId="77777777">
        <w:tc>
          <w:tcPr>
            <w:tcW w:w="0" w:type="auto"/>
            <w:gridSpan w:val="3"/>
            <w:shd w:val="clear" w:color="auto" w:fill="FFFFFF"/>
            <w:tcMar>
              <w:top w:w="40" w:type="dxa"/>
              <w:left w:w="380" w:type="dxa"/>
              <w:bottom w:w="40" w:type="dxa"/>
              <w:right w:w="20" w:type="dxa"/>
            </w:tcMar>
          </w:tcPr>
          <w:p w14:paraId="64297B3E" w14:textId="77777777" w:rsidR="007B6C97" w:rsidRDefault="00E426D1">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4297B3F" w14:textId="77777777" w:rsidR="007B6C97" w:rsidRDefault="00E426D1">
            <w:pPr>
              <w:jc w:val="right"/>
              <w:textAlignment w:val="bottom"/>
            </w:pPr>
            <w:r>
              <w:rPr>
                <w:rFonts w:ascii="Times New Roman" w:eastAsia="宋体" w:hAnsi="Times New Roman"/>
                <w:color w:val="000000"/>
                <w:sz w:val="20"/>
                <w:szCs w:val="20"/>
              </w:rPr>
              <w:t>191.3 </w:t>
            </w:r>
          </w:p>
        </w:tc>
        <w:tc>
          <w:tcPr>
            <w:tcW w:w="0" w:type="auto"/>
            <w:shd w:val="clear" w:color="auto" w:fill="FFFFFF"/>
            <w:tcMar>
              <w:top w:w="40" w:type="dxa"/>
              <w:left w:w="0" w:type="dxa"/>
              <w:bottom w:w="40" w:type="dxa"/>
              <w:right w:w="20" w:type="dxa"/>
            </w:tcMar>
            <w:vAlign w:val="bottom"/>
          </w:tcPr>
          <w:p w14:paraId="64297B4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4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4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4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4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45" w14:textId="77777777" w:rsidR="007B6C97" w:rsidRDefault="00E426D1">
            <w:pPr>
              <w:jc w:val="right"/>
              <w:textAlignment w:val="bottom"/>
            </w:pPr>
            <w:r>
              <w:rPr>
                <w:rFonts w:ascii="Times New Roman" w:eastAsia="宋体" w:hAnsi="Times New Roman"/>
                <w:color w:val="000000"/>
                <w:sz w:val="20"/>
                <w:szCs w:val="20"/>
              </w:rPr>
              <w:t>191.3 </w:t>
            </w:r>
          </w:p>
        </w:tc>
        <w:tc>
          <w:tcPr>
            <w:tcW w:w="0" w:type="auto"/>
            <w:shd w:val="clear" w:color="auto" w:fill="FFFFFF"/>
            <w:tcMar>
              <w:top w:w="40" w:type="dxa"/>
              <w:left w:w="0" w:type="dxa"/>
              <w:bottom w:w="40" w:type="dxa"/>
              <w:right w:w="20" w:type="dxa"/>
            </w:tcMar>
            <w:vAlign w:val="bottom"/>
          </w:tcPr>
          <w:p w14:paraId="64297B4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4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B4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49" w14:textId="77777777" w:rsidR="007B6C97" w:rsidRDefault="007B6C97">
            <w:pPr>
              <w:jc w:val="right"/>
              <w:rPr>
                <w:rFonts w:ascii="宋体"/>
              </w:rPr>
            </w:pPr>
          </w:p>
        </w:tc>
      </w:tr>
      <w:tr w:rsidR="007B6C97" w14:paraId="64297B57" w14:textId="77777777">
        <w:tc>
          <w:tcPr>
            <w:tcW w:w="0" w:type="auto"/>
            <w:gridSpan w:val="3"/>
            <w:shd w:val="clear" w:color="auto" w:fill="D7E4BC"/>
            <w:tcMar>
              <w:top w:w="40" w:type="dxa"/>
              <w:left w:w="380" w:type="dxa"/>
              <w:bottom w:w="40" w:type="dxa"/>
              <w:right w:w="20" w:type="dxa"/>
            </w:tcMar>
            <w:vAlign w:val="bottom"/>
          </w:tcPr>
          <w:p w14:paraId="64297B4B" w14:textId="77777777" w:rsidR="007B6C97" w:rsidRDefault="00E426D1">
            <w:pPr>
              <w:textAlignment w:val="bottom"/>
            </w:pPr>
            <w:r>
              <w:rPr>
                <w:rFonts w:ascii="Times New Roman" w:eastAsia="宋体" w:hAnsi="Times New Roman"/>
                <w:color w:val="000000"/>
                <w:sz w:val="20"/>
                <w:szCs w:val="20"/>
              </w:rPr>
              <w:t>Structured Deposit</w:t>
            </w:r>
          </w:p>
        </w:tc>
        <w:tc>
          <w:tcPr>
            <w:tcW w:w="0" w:type="auto"/>
            <w:gridSpan w:val="2"/>
            <w:shd w:val="clear" w:color="auto" w:fill="D7E4BC"/>
            <w:tcMar>
              <w:top w:w="40" w:type="dxa"/>
              <w:left w:w="20" w:type="dxa"/>
              <w:bottom w:w="40" w:type="dxa"/>
              <w:right w:w="0" w:type="dxa"/>
            </w:tcMar>
            <w:vAlign w:val="bottom"/>
          </w:tcPr>
          <w:p w14:paraId="64297B4C" w14:textId="77777777" w:rsidR="007B6C97" w:rsidRDefault="00E426D1">
            <w:pPr>
              <w:jc w:val="right"/>
              <w:textAlignment w:val="bottom"/>
            </w:pPr>
            <w:r>
              <w:rPr>
                <w:rFonts w:ascii="Times New Roman" w:eastAsia="宋体" w:hAnsi="Times New Roman"/>
                <w:color w:val="000000"/>
                <w:sz w:val="20"/>
                <w:szCs w:val="20"/>
              </w:rPr>
              <w:t>29.9 </w:t>
            </w:r>
          </w:p>
        </w:tc>
        <w:tc>
          <w:tcPr>
            <w:tcW w:w="0" w:type="auto"/>
            <w:shd w:val="clear" w:color="auto" w:fill="D7E4BC"/>
            <w:tcMar>
              <w:top w:w="40" w:type="dxa"/>
              <w:left w:w="0" w:type="dxa"/>
              <w:bottom w:w="40" w:type="dxa"/>
              <w:right w:w="20" w:type="dxa"/>
            </w:tcMar>
            <w:vAlign w:val="bottom"/>
          </w:tcPr>
          <w:p w14:paraId="64297B4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4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4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5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52" w14:textId="77777777" w:rsidR="007B6C97" w:rsidRDefault="00E426D1">
            <w:pPr>
              <w:jc w:val="right"/>
              <w:textAlignment w:val="bottom"/>
            </w:pPr>
            <w:r>
              <w:rPr>
                <w:rFonts w:ascii="Times New Roman" w:eastAsia="宋体" w:hAnsi="Times New Roman"/>
                <w:color w:val="000000"/>
                <w:sz w:val="20"/>
                <w:szCs w:val="20"/>
              </w:rPr>
              <w:t>29.9 </w:t>
            </w:r>
          </w:p>
        </w:tc>
        <w:tc>
          <w:tcPr>
            <w:tcW w:w="0" w:type="auto"/>
            <w:shd w:val="clear" w:color="auto" w:fill="D7E4BC"/>
            <w:tcMar>
              <w:top w:w="40" w:type="dxa"/>
              <w:left w:w="0" w:type="dxa"/>
              <w:bottom w:w="40" w:type="dxa"/>
              <w:right w:w="20" w:type="dxa"/>
            </w:tcMar>
            <w:vAlign w:val="bottom"/>
          </w:tcPr>
          <w:p w14:paraId="64297B5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5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5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56" w14:textId="77777777" w:rsidR="007B6C97" w:rsidRDefault="007B6C97">
            <w:pPr>
              <w:jc w:val="right"/>
              <w:rPr>
                <w:rFonts w:ascii="宋体"/>
              </w:rPr>
            </w:pPr>
          </w:p>
        </w:tc>
      </w:tr>
      <w:tr w:rsidR="007B6C97" w14:paraId="64297B68" w14:textId="77777777">
        <w:tc>
          <w:tcPr>
            <w:tcW w:w="0" w:type="auto"/>
            <w:gridSpan w:val="3"/>
            <w:shd w:val="clear" w:color="auto" w:fill="FFFFFF"/>
            <w:tcMar>
              <w:top w:w="40" w:type="dxa"/>
              <w:left w:w="20" w:type="dxa"/>
              <w:bottom w:w="40" w:type="dxa"/>
              <w:right w:w="20" w:type="dxa"/>
            </w:tcMar>
            <w:vAlign w:val="bottom"/>
          </w:tcPr>
          <w:p w14:paraId="64297B58" w14:textId="77777777" w:rsidR="007B6C97" w:rsidRDefault="00E426D1">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7B5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B5A" w14:textId="77777777" w:rsidR="007B6C97" w:rsidRDefault="00E426D1">
            <w:pPr>
              <w:jc w:val="right"/>
              <w:textAlignment w:val="bottom"/>
            </w:pPr>
            <w:r>
              <w:rPr>
                <w:rFonts w:ascii="Times New Roman" w:eastAsia="宋体" w:hAnsi="Times New Roman"/>
                <w:color w:val="000000"/>
                <w:sz w:val="20"/>
                <w:szCs w:val="20"/>
              </w:rPr>
              <w:t>3,815.2 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5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5C"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B5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B5E" w14:textId="77777777" w:rsidR="007B6C97" w:rsidRDefault="00E426D1">
            <w:pPr>
              <w:jc w:val="right"/>
              <w:textAlignment w:val="bottom"/>
            </w:pPr>
            <w:r>
              <w:rPr>
                <w:rFonts w:ascii="Times New Roman" w:eastAsia="宋体" w:hAnsi="Times New Roman"/>
                <w:color w:val="000000"/>
                <w:sz w:val="20"/>
                <w:szCs w:val="20"/>
              </w:rPr>
              <w:t>3,325.0 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5F" w14:textId="77777777" w:rsidR="007B6C97" w:rsidRDefault="007B6C97">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7B6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B6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B62" w14:textId="77777777" w:rsidR="007B6C97" w:rsidRDefault="00E426D1">
            <w:pPr>
              <w:jc w:val="right"/>
              <w:textAlignment w:val="bottom"/>
            </w:pPr>
            <w:r>
              <w:rPr>
                <w:rFonts w:ascii="Times New Roman" w:eastAsia="宋体" w:hAnsi="Times New Roman"/>
                <w:color w:val="000000"/>
                <w:sz w:val="20"/>
                <w:szCs w:val="20"/>
              </w:rPr>
              <w:t>490.2 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63" w14:textId="77777777" w:rsidR="007B6C97" w:rsidRDefault="007B6C97">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7B64"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B6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B66"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B67" w14:textId="77777777" w:rsidR="007B6C97" w:rsidRDefault="007B6C97">
            <w:pPr>
              <w:jc w:val="right"/>
              <w:rPr>
                <w:rFonts w:ascii="宋体"/>
              </w:rPr>
            </w:pPr>
          </w:p>
        </w:tc>
      </w:tr>
      <w:tr w:rsidR="007B6C97" w14:paraId="64297B71" w14:textId="77777777">
        <w:tc>
          <w:tcPr>
            <w:tcW w:w="0" w:type="auto"/>
            <w:gridSpan w:val="3"/>
            <w:shd w:val="clear" w:color="auto" w:fill="D7E4BC"/>
            <w:tcMar>
              <w:top w:w="40" w:type="dxa"/>
              <w:left w:w="20" w:type="dxa"/>
              <w:bottom w:w="40" w:type="dxa"/>
              <w:right w:w="20" w:type="dxa"/>
            </w:tcMar>
            <w:vAlign w:val="bottom"/>
          </w:tcPr>
          <w:p w14:paraId="64297B69" w14:textId="77777777" w:rsidR="007B6C97" w:rsidRDefault="00E426D1">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B6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6B"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B6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6D"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B6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6F"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B70" w14:textId="77777777" w:rsidR="007B6C97" w:rsidRDefault="007B6C97">
            <w:pPr>
              <w:rPr>
                <w:rFonts w:ascii="宋体"/>
              </w:rPr>
            </w:pPr>
          </w:p>
        </w:tc>
      </w:tr>
      <w:tr w:rsidR="007B6C97" w14:paraId="64297B7A" w14:textId="77777777">
        <w:tc>
          <w:tcPr>
            <w:tcW w:w="0" w:type="auto"/>
            <w:gridSpan w:val="3"/>
            <w:shd w:val="clear" w:color="auto" w:fill="FFFFFF"/>
            <w:tcMar>
              <w:top w:w="40" w:type="dxa"/>
              <w:left w:w="20" w:type="dxa"/>
              <w:bottom w:w="40" w:type="dxa"/>
              <w:right w:w="20" w:type="dxa"/>
            </w:tcMar>
            <w:vAlign w:val="bottom"/>
          </w:tcPr>
          <w:p w14:paraId="64297B72"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64297B7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79" w14:textId="77777777" w:rsidR="007B6C97" w:rsidRDefault="007B6C97">
            <w:pPr>
              <w:rPr>
                <w:rFonts w:ascii="宋体"/>
              </w:rPr>
            </w:pPr>
          </w:p>
        </w:tc>
      </w:tr>
      <w:tr w:rsidR="007B6C97" w14:paraId="64297B8B" w14:textId="77777777">
        <w:tc>
          <w:tcPr>
            <w:tcW w:w="0" w:type="auto"/>
            <w:gridSpan w:val="3"/>
            <w:shd w:val="clear" w:color="auto" w:fill="D7E4BC"/>
            <w:tcMar>
              <w:top w:w="40" w:type="dxa"/>
              <w:left w:w="380" w:type="dxa"/>
              <w:bottom w:w="40" w:type="dxa"/>
              <w:right w:w="20" w:type="dxa"/>
            </w:tcMar>
            <w:vAlign w:val="bottom"/>
          </w:tcPr>
          <w:p w14:paraId="64297B7B" w14:textId="77777777" w:rsidR="007B6C97" w:rsidRDefault="00E426D1">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64297B7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B7D" w14:textId="77777777" w:rsidR="007B6C97" w:rsidRDefault="00E426D1">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64297B7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7F"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B8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B8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8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83"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B8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B85" w14:textId="77777777" w:rsidR="007B6C97" w:rsidRDefault="00E426D1">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64297B8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87"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B88"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B8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8A" w14:textId="77777777" w:rsidR="007B6C97" w:rsidRDefault="007B6C97">
            <w:pPr>
              <w:jc w:val="right"/>
              <w:rPr>
                <w:rFonts w:ascii="宋体"/>
              </w:rPr>
            </w:pPr>
          </w:p>
        </w:tc>
      </w:tr>
      <w:tr w:rsidR="007B6C97" w14:paraId="64297B94" w14:textId="77777777">
        <w:tc>
          <w:tcPr>
            <w:tcW w:w="0" w:type="auto"/>
            <w:gridSpan w:val="3"/>
            <w:shd w:val="clear" w:color="auto" w:fill="FFFFFF"/>
            <w:tcMar>
              <w:top w:w="40" w:type="dxa"/>
              <w:left w:w="20" w:type="dxa"/>
              <w:bottom w:w="40" w:type="dxa"/>
              <w:right w:w="20" w:type="dxa"/>
            </w:tcMar>
            <w:vAlign w:val="bottom"/>
          </w:tcPr>
          <w:p w14:paraId="64297B8C" w14:textId="77777777" w:rsidR="007B6C97" w:rsidRDefault="00E426D1">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64297B8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8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8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9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9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9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B93" w14:textId="77777777" w:rsidR="007B6C97" w:rsidRDefault="007B6C97">
            <w:pPr>
              <w:rPr>
                <w:rFonts w:ascii="宋体"/>
              </w:rPr>
            </w:pPr>
          </w:p>
        </w:tc>
      </w:tr>
      <w:tr w:rsidR="007B6C97" w14:paraId="64297BA1" w14:textId="77777777">
        <w:tc>
          <w:tcPr>
            <w:tcW w:w="0" w:type="auto"/>
            <w:gridSpan w:val="3"/>
            <w:shd w:val="clear" w:color="auto" w:fill="D7E4BC"/>
            <w:tcMar>
              <w:top w:w="40" w:type="dxa"/>
              <w:left w:w="380" w:type="dxa"/>
              <w:bottom w:w="40" w:type="dxa"/>
              <w:right w:w="20" w:type="dxa"/>
            </w:tcMar>
            <w:vAlign w:val="bottom"/>
          </w:tcPr>
          <w:p w14:paraId="64297B95" w14:textId="77777777" w:rsidR="007B6C97" w:rsidRDefault="00E426D1">
            <w:pPr>
              <w:textAlignment w:val="bottom"/>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64297B96" w14:textId="77777777" w:rsidR="007B6C97" w:rsidRDefault="00E426D1">
            <w:pPr>
              <w:jc w:val="right"/>
              <w:textAlignment w:val="bottom"/>
            </w:pPr>
            <w:r>
              <w:rPr>
                <w:rFonts w:ascii="Times New Roman" w:eastAsia="宋体" w:hAnsi="Times New Roman"/>
                <w:color w:val="000000"/>
                <w:sz w:val="20"/>
                <w:szCs w:val="20"/>
              </w:rPr>
              <w:t>17.8 </w:t>
            </w:r>
          </w:p>
        </w:tc>
        <w:tc>
          <w:tcPr>
            <w:tcW w:w="0" w:type="auto"/>
            <w:shd w:val="clear" w:color="auto" w:fill="D7E4BC"/>
            <w:tcMar>
              <w:top w:w="40" w:type="dxa"/>
              <w:left w:w="0" w:type="dxa"/>
              <w:bottom w:w="40" w:type="dxa"/>
              <w:right w:w="20" w:type="dxa"/>
            </w:tcMar>
            <w:vAlign w:val="bottom"/>
          </w:tcPr>
          <w:p w14:paraId="64297B9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9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9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9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9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9C" w14:textId="77777777" w:rsidR="007B6C97" w:rsidRDefault="00E426D1">
            <w:pPr>
              <w:jc w:val="right"/>
              <w:textAlignment w:val="bottom"/>
            </w:pPr>
            <w:r>
              <w:rPr>
                <w:rFonts w:ascii="Times New Roman" w:eastAsia="宋体" w:hAnsi="Times New Roman"/>
                <w:color w:val="000000"/>
                <w:sz w:val="20"/>
                <w:szCs w:val="20"/>
              </w:rPr>
              <w:t>17.8 </w:t>
            </w:r>
          </w:p>
        </w:tc>
        <w:tc>
          <w:tcPr>
            <w:tcW w:w="0" w:type="auto"/>
            <w:shd w:val="clear" w:color="auto" w:fill="D7E4BC"/>
            <w:tcMar>
              <w:top w:w="40" w:type="dxa"/>
              <w:left w:w="0" w:type="dxa"/>
              <w:bottom w:w="40" w:type="dxa"/>
              <w:right w:w="20" w:type="dxa"/>
            </w:tcMar>
            <w:vAlign w:val="bottom"/>
          </w:tcPr>
          <w:p w14:paraId="64297B9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B9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B9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BA0" w14:textId="77777777" w:rsidR="007B6C97" w:rsidRDefault="007B6C97">
            <w:pPr>
              <w:jc w:val="right"/>
              <w:rPr>
                <w:rFonts w:ascii="宋体"/>
              </w:rPr>
            </w:pPr>
          </w:p>
        </w:tc>
      </w:tr>
      <w:tr w:rsidR="007B6C97" w14:paraId="64297BB2" w14:textId="77777777">
        <w:tc>
          <w:tcPr>
            <w:tcW w:w="0" w:type="auto"/>
            <w:gridSpan w:val="3"/>
            <w:shd w:val="clear" w:color="auto" w:fill="FFFFFF"/>
            <w:tcMar>
              <w:top w:w="40" w:type="dxa"/>
              <w:left w:w="20" w:type="dxa"/>
              <w:bottom w:w="40" w:type="dxa"/>
              <w:right w:w="20" w:type="dxa"/>
            </w:tcMar>
            <w:vAlign w:val="bottom"/>
          </w:tcPr>
          <w:p w14:paraId="64297BA2" w14:textId="77777777" w:rsidR="007B6C97" w:rsidRDefault="00E426D1">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BA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BA4" w14:textId="77777777" w:rsidR="007B6C97" w:rsidRDefault="00E426D1">
            <w:pPr>
              <w:jc w:val="right"/>
              <w:textAlignment w:val="bottom"/>
            </w:pPr>
            <w:r>
              <w:rPr>
                <w:rFonts w:ascii="Times New Roman" w:eastAsia="宋体" w:hAnsi="Times New Roman"/>
                <w:color w:val="000000"/>
                <w:sz w:val="20"/>
                <w:szCs w:val="20"/>
              </w:rPr>
              <w:t>21.9 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BA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A6"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BA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BA8"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BA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AA"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BA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BAC" w14:textId="77777777" w:rsidR="007B6C97" w:rsidRDefault="00E426D1">
            <w:pPr>
              <w:jc w:val="right"/>
              <w:textAlignment w:val="bottom"/>
            </w:pPr>
            <w:r>
              <w:rPr>
                <w:rFonts w:ascii="Times New Roman" w:eastAsia="宋体" w:hAnsi="Times New Roman"/>
                <w:color w:val="000000"/>
                <w:sz w:val="20"/>
                <w:szCs w:val="20"/>
              </w:rPr>
              <w:t>21.9 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BA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AE"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BA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BB0"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BB1" w14:textId="77777777" w:rsidR="007B6C97" w:rsidRDefault="007B6C97">
            <w:pPr>
              <w:jc w:val="right"/>
              <w:rPr>
                <w:rFonts w:ascii="宋体"/>
              </w:rPr>
            </w:pPr>
          </w:p>
        </w:tc>
      </w:tr>
    </w:tbl>
    <w:p w14:paraId="64297BB3" w14:textId="77777777" w:rsidR="007B6C97" w:rsidRDefault="00E426D1">
      <w:pPr>
        <w:jc w:val="center"/>
      </w:pPr>
      <w:r>
        <w:rPr>
          <w:rFonts w:ascii="Times New Roman" w:eastAsia="宋体" w:hAnsi="Times New Roman"/>
          <w:color w:val="000000"/>
          <w:sz w:val="20"/>
          <w:szCs w:val="20"/>
        </w:rPr>
        <w:t>16</w:t>
      </w:r>
    </w:p>
    <w:p w14:paraId="64297BB4" w14:textId="77777777" w:rsidR="007B6C97" w:rsidRDefault="00E426D1">
      <w:r>
        <w:pict w14:anchorId="642999EA">
          <v:rect id="_x0000_i1040" style="width:415.3pt;height:1.5pt" o:hralign="center" o:hrstd="t" o:hr="t" fillcolor="#a0a0a0" stroked="f"/>
        </w:pict>
      </w:r>
    </w:p>
    <w:p w14:paraId="64297BB5" w14:textId="77777777" w:rsidR="007B6C97" w:rsidRDefault="00E426D1">
      <w:hyperlink r:id="rId108" w:anchor="ie38a2b375c9840e583a36769999bbee6_7" w:history="1">
        <w:r>
          <w:rPr>
            <w:rStyle w:val="a5"/>
            <w:rFonts w:ascii="Times New Roman" w:eastAsia="宋体" w:hAnsi="Times New Roman"/>
            <w:sz w:val="20"/>
            <w:szCs w:val="20"/>
          </w:rPr>
          <w:t>Table</w:t>
        </w:r>
      </w:hyperlink>
      <w:hyperlink r:id="rId109" w:anchor="ie38a2b375c9840e583a36769999bbee6_7" w:history="1">
        <w:r>
          <w:rPr>
            <w:rStyle w:val="a5"/>
            <w:rFonts w:ascii="Times New Roman" w:eastAsia="宋体" w:hAnsi="Times New Roman"/>
            <w:sz w:val="20"/>
            <w:szCs w:val="20"/>
          </w:rPr>
          <w:t xml:space="preserv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7B6C97" w14:paraId="64297BCE" w14:textId="77777777">
        <w:tc>
          <w:tcPr>
            <w:tcW w:w="50" w:type="pct"/>
            <w:shd w:val="clear" w:color="auto" w:fill="auto"/>
            <w:vAlign w:val="bottom"/>
          </w:tcPr>
          <w:p w14:paraId="64297BB6" w14:textId="77777777" w:rsidR="007B6C97" w:rsidRDefault="007B6C97">
            <w:pPr>
              <w:rPr>
                <w:rFonts w:ascii="宋体"/>
              </w:rPr>
            </w:pPr>
          </w:p>
        </w:tc>
        <w:tc>
          <w:tcPr>
            <w:tcW w:w="1606" w:type="pct"/>
            <w:shd w:val="clear" w:color="auto" w:fill="auto"/>
            <w:vAlign w:val="bottom"/>
          </w:tcPr>
          <w:p w14:paraId="64297BB7" w14:textId="77777777" w:rsidR="007B6C97" w:rsidRDefault="007B6C97">
            <w:pPr>
              <w:rPr>
                <w:rFonts w:ascii="宋体"/>
              </w:rPr>
            </w:pPr>
          </w:p>
        </w:tc>
        <w:tc>
          <w:tcPr>
            <w:tcW w:w="5" w:type="pct"/>
            <w:shd w:val="clear" w:color="auto" w:fill="auto"/>
            <w:vAlign w:val="bottom"/>
          </w:tcPr>
          <w:p w14:paraId="64297BB8" w14:textId="77777777" w:rsidR="007B6C97" w:rsidRDefault="007B6C97">
            <w:pPr>
              <w:rPr>
                <w:rFonts w:ascii="宋体"/>
              </w:rPr>
            </w:pPr>
          </w:p>
        </w:tc>
        <w:tc>
          <w:tcPr>
            <w:tcW w:w="50" w:type="pct"/>
            <w:shd w:val="clear" w:color="auto" w:fill="auto"/>
            <w:vAlign w:val="bottom"/>
          </w:tcPr>
          <w:p w14:paraId="64297BB9" w14:textId="77777777" w:rsidR="007B6C97" w:rsidRDefault="007B6C97">
            <w:pPr>
              <w:rPr>
                <w:rFonts w:ascii="宋体"/>
              </w:rPr>
            </w:pPr>
          </w:p>
        </w:tc>
        <w:tc>
          <w:tcPr>
            <w:tcW w:w="757" w:type="pct"/>
            <w:shd w:val="clear" w:color="auto" w:fill="auto"/>
            <w:vAlign w:val="bottom"/>
          </w:tcPr>
          <w:p w14:paraId="64297BBA" w14:textId="77777777" w:rsidR="007B6C97" w:rsidRDefault="007B6C97">
            <w:pPr>
              <w:rPr>
                <w:rFonts w:ascii="宋体"/>
              </w:rPr>
            </w:pPr>
          </w:p>
        </w:tc>
        <w:tc>
          <w:tcPr>
            <w:tcW w:w="5" w:type="pct"/>
            <w:shd w:val="clear" w:color="auto" w:fill="auto"/>
            <w:vAlign w:val="bottom"/>
          </w:tcPr>
          <w:p w14:paraId="64297BBB" w14:textId="77777777" w:rsidR="007B6C97" w:rsidRDefault="007B6C97">
            <w:pPr>
              <w:rPr>
                <w:rFonts w:ascii="宋体"/>
              </w:rPr>
            </w:pPr>
          </w:p>
        </w:tc>
        <w:tc>
          <w:tcPr>
            <w:tcW w:w="5" w:type="pct"/>
            <w:shd w:val="clear" w:color="auto" w:fill="auto"/>
            <w:vAlign w:val="bottom"/>
          </w:tcPr>
          <w:p w14:paraId="64297BBC" w14:textId="77777777" w:rsidR="007B6C97" w:rsidRDefault="007B6C97">
            <w:pPr>
              <w:rPr>
                <w:rFonts w:ascii="宋体"/>
              </w:rPr>
            </w:pPr>
          </w:p>
        </w:tc>
        <w:tc>
          <w:tcPr>
            <w:tcW w:w="19" w:type="pct"/>
            <w:shd w:val="clear" w:color="auto" w:fill="auto"/>
            <w:vAlign w:val="bottom"/>
          </w:tcPr>
          <w:p w14:paraId="64297BBD" w14:textId="77777777" w:rsidR="007B6C97" w:rsidRDefault="007B6C97">
            <w:pPr>
              <w:rPr>
                <w:rFonts w:ascii="宋体"/>
              </w:rPr>
            </w:pPr>
          </w:p>
        </w:tc>
        <w:tc>
          <w:tcPr>
            <w:tcW w:w="5" w:type="pct"/>
            <w:shd w:val="clear" w:color="auto" w:fill="auto"/>
            <w:vAlign w:val="bottom"/>
          </w:tcPr>
          <w:p w14:paraId="64297BBE" w14:textId="77777777" w:rsidR="007B6C97" w:rsidRDefault="007B6C97">
            <w:pPr>
              <w:rPr>
                <w:rFonts w:ascii="宋体"/>
              </w:rPr>
            </w:pPr>
          </w:p>
        </w:tc>
        <w:tc>
          <w:tcPr>
            <w:tcW w:w="50" w:type="pct"/>
            <w:shd w:val="clear" w:color="auto" w:fill="auto"/>
            <w:vAlign w:val="bottom"/>
          </w:tcPr>
          <w:p w14:paraId="64297BBF" w14:textId="77777777" w:rsidR="007B6C97" w:rsidRDefault="007B6C97">
            <w:pPr>
              <w:rPr>
                <w:rFonts w:ascii="宋体"/>
              </w:rPr>
            </w:pPr>
          </w:p>
        </w:tc>
        <w:tc>
          <w:tcPr>
            <w:tcW w:w="757" w:type="pct"/>
            <w:shd w:val="clear" w:color="auto" w:fill="auto"/>
            <w:vAlign w:val="bottom"/>
          </w:tcPr>
          <w:p w14:paraId="64297BC0" w14:textId="77777777" w:rsidR="007B6C97" w:rsidRDefault="007B6C97">
            <w:pPr>
              <w:rPr>
                <w:rFonts w:ascii="宋体"/>
              </w:rPr>
            </w:pPr>
          </w:p>
        </w:tc>
        <w:tc>
          <w:tcPr>
            <w:tcW w:w="5" w:type="pct"/>
            <w:shd w:val="clear" w:color="auto" w:fill="auto"/>
            <w:vAlign w:val="bottom"/>
          </w:tcPr>
          <w:p w14:paraId="64297BC1" w14:textId="77777777" w:rsidR="007B6C97" w:rsidRDefault="007B6C97">
            <w:pPr>
              <w:rPr>
                <w:rFonts w:ascii="宋体"/>
              </w:rPr>
            </w:pPr>
          </w:p>
        </w:tc>
        <w:tc>
          <w:tcPr>
            <w:tcW w:w="5" w:type="pct"/>
            <w:shd w:val="clear" w:color="auto" w:fill="auto"/>
            <w:vAlign w:val="bottom"/>
          </w:tcPr>
          <w:p w14:paraId="64297BC2" w14:textId="77777777" w:rsidR="007B6C97" w:rsidRDefault="007B6C97">
            <w:pPr>
              <w:rPr>
                <w:rFonts w:ascii="宋体"/>
              </w:rPr>
            </w:pPr>
          </w:p>
        </w:tc>
        <w:tc>
          <w:tcPr>
            <w:tcW w:w="19" w:type="pct"/>
            <w:shd w:val="clear" w:color="auto" w:fill="auto"/>
            <w:vAlign w:val="bottom"/>
          </w:tcPr>
          <w:p w14:paraId="64297BC3" w14:textId="77777777" w:rsidR="007B6C97" w:rsidRDefault="007B6C97">
            <w:pPr>
              <w:rPr>
                <w:rFonts w:ascii="宋体"/>
              </w:rPr>
            </w:pPr>
          </w:p>
        </w:tc>
        <w:tc>
          <w:tcPr>
            <w:tcW w:w="5" w:type="pct"/>
            <w:shd w:val="clear" w:color="auto" w:fill="auto"/>
            <w:vAlign w:val="bottom"/>
          </w:tcPr>
          <w:p w14:paraId="64297BC4" w14:textId="77777777" w:rsidR="007B6C97" w:rsidRDefault="007B6C97">
            <w:pPr>
              <w:rPr>
                <w:rFonts w:ascii="宋体"/>
              </w:rPr>
            </w:pPr>
          </w:p>
        </w:tc>
        <w:tc>
          <w:tcPr>
            <w:tcW w:w="50" w:type="pct"/>
            <w:shd w:val="clear" w:color="auto" w:fill="auto"/>
            <w:vAlign w:val="bottom"/>
          </w:tcPr>
          <w:p w14:paraId="64297BC5" w14:textId="77777777" w:rsidR="007B6C97" w:rsidRDefault="007B6C97">
            <w:pPr>
              <w:rPr>
                <w:rFonts w:ascii="宋体"/>
              </w:rPr>
            </w:pPr>
          </w:p>
        </w:tc>
        <w:tc>
          <w:tcPr>
            <w:tcW w:w="757" w:type="pct"/>
            <w:shd w:val="clear" w:color="auto" w:fill="auto"/>
            <w:vAlign w:val="bottom"/>
          </w:tcPr>
          <w:p w14:paraId="64297BC6" w14:textId="77777777" w:rsidR="007B6C97" w:rsidRDefault="007B6C97">
            <w:pPr>
              <w:rPr>
                <w:rFonts w:ascii="宋体"/>
              </w:rPr>
            </w:pPr>
          </w:p>
        </w:tc>
        <w:tc>
          <w:tcPr>
            <w:tcW w:w="5" w:type="pct"/>
            <w:shd w:val="clear" w:color="auto" w:fill="auto"/>
            <w:vAlign w:val="bottom"/>
          </w:tcPr>
          <w:p w14:paraId="64297BC7" w14:textId="77777777" w:rsidR="007B6C97" w:rsidRDefault="007B6C97">
            <w:pPr>
              <w:rPr>
                <w:rFonts w:ascii="宋体"/>
              </w:rPr>
            </w:pPr>
          </w:p>
        </w:tc>
        <w:tc>
          <w:tcPr>
            <w:tcW w:w="5" w:type="pct"/>
            <w:shd w:val="clear" w:color="auto" w:fill="auto"/>
            <w:vAlign w:val="bottom"/>
          </w:tcPr>
          <w:p w14:paraId="64297BC8" w14:textId="77777777" w:rsidR="007B6C97" w:rsidRDefault="007B6C97">
            <w:pPr>
              <w:rPr>
                <w:rFonts w:ascii="宋体"/>
              </w:rPr>
            </w:pPr>
          </w:p>
        </w:tc>
        <w:tc>
          <w:tcPr>
            <w:tcW w:w="19" w:type="pct"/>
            <w:shd w:val="clear" w:color="auto" w:fill="auto"/>
            <w:vAlign w:val="bottom"/>
          </w:tcPr>
          <w:p w14:paraId="64297BC9" w14:textId="77777777" w:rsidR="007B6C97" w:rsidRDefault="007B6C97">
            <w:pPr>
              <w:rPr>
                <w:rFonts w:ascii="宋体"/>
              </w:rPr>
            </w:pPr>
          </w:p>
        </w:tc>
        <w:tc>
          <w:tcPr>
            <w:tcW w:w="5" w:type="pct"/>
            <w:shd w:val="clear" w:color="auto" w:fill="auto"/>
            <w:vAlign w:val="bottom"/>
          </w:tcPr>
          <w:p w14:paraId="64297BCA" w14:textId="77777777" w:rsidR="007B6C97" w:rsidRDefault="007B6C97">
            <w:pPr>
              <w:rPr>
                <w:rFonts w:ascii="宋体"/>
              </w:rPr>
            </w:pPr>
          </w:p>
        </w:tc>
        <w:tc>
          <w:tcPr>
            <w:tcW w:w="50" w:type="pct"/>
            <w:shd w:val="clear" w:color="auto" w:fill="auto"/>
            <w:vAlign w:val="bottom"/>
          </w:tcPr>
          <w:p w14:paraId="64297BCB" w14:textId="77777777" w:rsidR="007B6C97" w:rsidRDefault="007B6C97">
            <w:pPr>
              <w:rPr>
                <w:rFonts w:ascii="宋体"/>
              </w:rPr>
            </w:pPr>
          </w:p>
        </w:tc>
        <w:tc>
          <w:tcPr>
            <w:tcW w:w="757" w:type="pct"/>
            <w:shd w:val="clear" w:color="auto" w:fill="auto"/>
            <w:vAlign w:val="bottom"/>
          </w:tcPr>
          <w:p w14:paraId="64297BCC" w14:textId="77777777" w:rsidR="007B6C97" w:rsidRDefault="007B6C97">
            <w:pPr>
              <w:rPr>
                <w:rFonts w:ascii="宋体"/>
              </w:rPr>
            </w:pPr>
          </w:p>
        </w:tc>
        <w:tc>
          <w:tcPr>
            <w:tcW w:w="5" w:type="pct"/>
            <w:shd w:val="clear" w:color="auto" w:fill="auto"/>
            <w:vAlign w:val="bottom"/>
          </w:tcPr>
          <w:p w14:paraId="64297BCD" w14:textId="77777777" w:rsidR="007B6C97" w:rsidRDefault="007B6C97">
            <w:pPr>
              <w:rPr>
                <w:rFonts w:ascii="宋体"/>
              </w:rPr>
            </w:pPr>
          </w:p>
        </w:tc>
      </w:tr>
      <w:tr w:rsidR="007B6C97" w14:paraId="64297BD3" w14:textId="77777777">
        <w:tc>
          <w:tcPr>
            <w:tcW w:w="0" w:type="auto"/>
            <w:gridSpan w:val="3"/>
            <w:shd w:val="clear" w:color="auto" w:fill="auto"/>
            <w:tcMar>
              <w:top w:w="40" w:type="dxa"/>
              <w:left w:w="20" w:type="dxa"/>
              <w:bottom w:w="40" w:type="dxa"/>
              <w:right w:w="20" w:type="dxa"/>
            </w:tcMar>
            <w:vAlign w:val="bottom"/>
          </w:tcPr>
          <w:p w14:paraId="64297BCF"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297BD0"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7BD1" w14:textId="77777777" w:rsidR="007B6C97" w:rsidRDefault="007B6C97">
            <w:pPr>
              <w:rPr>
                <w:rFonts w:ascii="宋体"/>
              </w:rPr>
            </w:pPr>
          </w:p>
        </w:tc>
        <w:tc>
          <w:tcPr>
            <w:tcW w:w="0" w:type="auto"/>
            <w:gridSpan w:val="15"/>
            <w:shd w:val="clear" w:color="auto" w:fill="00704A"/>
            <w:tcMar>
              <w:top w:w="40" w:type="dxa"/>
              <w:left w:w="20" w:type="dxa"/>
              <w:bottom w:w="40" w:type="dxa"/>
              <w:right w:w="20" w:type="dxa"/>
            </w:tcMar>
            <w:vAlign w:val="bottom"/>
          </w:tcPr>
          <w:p w14:paraId="64297BD2" w14:textId="77777777" w:rsidR="007B6C97" w:rsidRDefault="00E426D1">
            <w:pPr>
              <w:jc w:val="center"/>
              <w:textAlignment w:val="bottom"/>
            </w:pPr>
            <w:r>
              <w:rPr>
                <w:rFonts w:ascii="Times New Roman" w:eastAsia="宋体" w:hAnsi="Times New Roman"/>
                <w:b/>
                <w:bCs/>
                <w:color w:val="FFFFFF"/>
                <w:sz w:val="16"/>
                <w:szCs w:val="16"/>
              </w:rPr>
              <w:t>Fair Value Measurements at Reporting Date Using</w:t>
            </w:r>
          </w:p>
        </w:tc>
      </w:tr>
      <w:tr w:rsidR="007B6C97" w14:paraId="64297BDE" w14:textId="77777777">
        <w:tc>
          <w:tcPr>
            <w:tcW w:w="0" w:type="auto"/>
            <w:gridSpan w:val="3"/>
            <w:shd w:val="clear" w:color="auto" w:fill="auto"/>
            <w:tcMar>
              <w:top w:w="40" w:type="dxa"/>
              <w:left w:w="20" w:type="dxa"/>
              <w:bottom w:w="40" w:type="dxa"/>
              <w:right w:w="20" w:type="dxa"/>
            </w:tcMar>
            <w:vAlign w:val="bottom"/>
          </w:tcPr>
          <w:p w14:paraId="64297BD4"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7BD5" w14:textId="77777777" w:rsidR="007B6C97" w:rsidRDefault="00E426D1">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October 3, 2021</w:t>
            </w:r>
          </w:p>
        </w:tc>
        <w:tc>
          <w:tcPr>
            <w:tcW w:w="0" w:type="auto"/>
            <w:gridSpan w:val="3"/>
            <w:shd w:val="clear" w:color="auto" w:fill="auto"/>
            <w:tcMar>
              <w:top w:w="0" w:type="dxa"/>
              <w:left w:w="20" w:type="dxa"/>
              <w:bottom w:w="0" w:type="dxa"/>
              <w:right w:w="20" w:type="dxa"/>
            </w:tcMar>
            <w:vAlign w:val="bottom"/>
          </w:tcPr>
          <w:p w14:paraId="64297BD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BD7" w14:textId="77777777" w:rsidR="007B6C97" w:rsidRDefault="00E426D1">
            <w:pPr>
              <w:jc w:val="center"/>
              <w:textAlignment w:val="bottom"/>
            </w:pPr>
            <w:r>
              <w:rPr>
                <w:rFonts w:ascii="Times New Roman" w:eastAsia="宋体" w:hAnsi="Times New Roman"/>
                <w:b/>
                <w:bCs/>
                <w:color w:val="FFFFFF"/>
                <w:sz w:val="16"/>
                <w:szCs w:val="16"/>
              </w:rPr>
              <w:t xml:space="preserve">Quoted Prices in Active </w:t>
            </w:r>
            <w:r>
              <w:rPr>
                <w:rFonts w:ascii="Times New Roman" w:eastAsia="宋体" w:hAnsi="Times New Roman"/>
                <w:b/>
                <w:bCs/>
                <w:color w:val="FFFFFF"/>
                <w:sz w:val="16"/>
                <w:szCs w:val="16"/>
              </w:rPr>
              <w:t>Markets for Identical Assets</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64297BD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BD9" w14:textId="77777777" w:rsidR="007B6C97" w:rsidRDefault="00E426D1">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64297BD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BDB"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Significant</w:t>
            </w:r>
          </w:p>
          <w:p w14:paraId="64297BD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Unobservable  Inputs</w:t>
            </w:r>
          </w:p>
          <w:p w14:paraId="64297BDD"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(Level 3)</w:t>
            </w:r>
          </w:p>
        </w:tc>
      </w:tr>
      <w:tr w:rsidR="007B6C97" w14:paraId="64297BE7" w14:textId="77777777">
        <w:tc>
          <w:tcPr>
            <w:tcW w:w="0" w:type="auto"/>
            <w:gridSpan w:val="3"/>
            <w:shd w:val="clear" w:color="auto" w:fill="D7E4BC"/>
            <w:tcMar>
              <w:top w:w="40" w:type="dxa"/>
              <w:left w:w="20" w:type="dxa"/>
              <w:bottom w:w="40" w:type="dxa"/>
              <w:right w:w="20" w:type="dxa"/>
            </w:tcMar>
          </w:tcPr>
          <w:p w14:paraId="64297BDF" w14:textId="77777777" w:rsidR="007B6C97" w:rsidRDefault="00E426D1">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BE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E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BE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E3"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BE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E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BE6" w14:textId="77777777" w:rsidR="007B6C97" w:rsidRDefault="007B6C97">
            <w:pPr>
              <w:rPr>
                <w:rFonts w:ascii="宋体"/>
              </w:rPr>
            </w:pPr>
          </w:p>
        </w:tc>
      </w:tr>
      <w:tr w:rsidR="007B6C97" w14:paraId="64297BF8" w14:textId="77777777">
        <w:tc>
          <w:tcPr>
            <w:tcW w:w="0" w:type="auto"/>
            <w:gridSpan w:val="3"/>
            <w:shd w:val="clear" w:color="auto" w:fill="FFFFFF"/>
            <w:tcMar>
              <w:top w:w="40" w:type="dxa"/>
              <w:left w:w="20" w:type="dxa"/>
              <w:bottom w:w="40" w:type="dxa"/>
              <w:right w:w="20" w:type="dxa"/>
            </w:tcMar>
            <w:vAlign w:val="bottom"/>
          </w:tcPr>
          <w:p w14:paraId="64297BE8" w14:textId="77777777" w:rsidR="007B6C97" w:rsidRDefault="00E426D1">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64297BE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BEA" w14:textId="77777777" w:rsidR="007B6C97" w:rsidRDefault="00E426D1">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64297B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E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BE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BEE" w14:textId="77777777" w:rsidR="007B6C97" w:rsidRDefault="00E426D1">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64297B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F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BF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BF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BF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BF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BF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BF7" w14:textId="77777777" w:rsidR="007B6C97" w:rsidRDefault="007B6C97">
            <w:pPr>
              <w:jc w:val="right"/>
              <w:rPr>
                <w:rFonts w:ascii="宋体"/>
              </w:rPr>
            </w:pPr>
          </w:p>
        </w:tc>
      </w:tr>
      <w:tr w:rsidR="007B6C97" w14:paraId="64297C01" w14:textId="77777777">
        <w:tc>
          <w:tcPr>
            <w:tcW w:w="0" w:type="auto"/>
            <w:gridSpan w:val="3"/>
            <w:shd w:val="clear" w:color="auto" w:fill="D7E4BC"/>
            <w:tcMar>
              <w:top w:w="40" w:type="dxa"/>
              <w:left w:w="20" w:type="dxa"/>
              <w:bottom w:w="40" w:type="dxa"/>
              <w:right w:w="20" w:type="dxa"/>
            </w:tcMar>
            <w:vAlign w:val="bottom"/>
          </w:tcPr>
          <w:p w14:paraId="64297BF9" w14:textId="77777777" w:rsidR="007B6C97" w:rsidRDefault="00E426D1">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64297BF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F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F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F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F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BF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00" w14:textId="77777777" w:rsidR="007B6C97" w:rsidRDefault="007B6C97">
            <w:pPr>
              <w:rPr>
                <w:rFonts w:ascii="宋体"/>
              </w:rPr>
            </w:pPr>
          </w:p>
        </w:tc>
      </w:tr>
      <w:tr w:rsidR="007B6C97" w14:paraId="64297C0A" w14:textId="77777777">
        <w:tc>
          <w:tcPr>
            <w:tcW w:w="0" w:type="auto"/>
            <w:gridSpan w:val="3"/>
            <w:shd w:val="clear" w:color="auto" w:fill="FFFFFF"/>
            <w:tcMar>
              <w:top w:w="40" w:type="dxa"/>
              <w:left w:w="380" w:type="dxa"/>
              <w:bottom w:w="40" w:type="dxa"/>
              <w:right w:w="20" w:type="dxa"/>
            </w:tcMar>
            <w:vAlign w:val="bottom"/>
          </w:tcPr>
          <w:p w14:paraId="64297C02" w14:textId="77777777" w:rsidR="007B6C97" w:rsidRDefault="00E426D1">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4297C0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09" w14:textId="77777777" w:rsidR="007B6C97" w:rsidRDefault="007B6C97">
            <w:pPr>
              <w:rPr>
                <w:rFonts w:ascii="宋体"/>
              </w:rPr>
            </w:pPr>
          </w:p>
        </w:tc>
      </w:tr>
      <w:tr w:rsidR="007B6C97" w14:paraId="64297C13" w14:textId="77777777">
        <w:trPr>
          <w:hidden/>
        </w:trPr>
        <w:tc>
          <w:tcPr>
            <w:tcW w:w="0" w:type="auto"/>
            <w:gridSpan w:val="3"/>
            <w:shd w:val="clear" w:color="auto" w:fill="auto"/>
            <w:vAlign w:val="bottom"/>
          </w:tcPr>
          <w:p w14:paraId="64297C0B" w14:textId="77777777" w:rsidR="007B6C97" w:rsidRDefault="007B6C97">
            <w:pPr>
              <w:rPr>
                <w:rFonts w:ascii="宋体"/>
                <w:vanish/>
              </w:rPr>
            </w:pPr>
          </w:p>
        </w:tc>
        <w:tc>
          <w:tcPr>
            <w:tcW w:w="0" w:type="auto"/>
            <w:gridSpan w:val="3"/>
            <w:shd w:val="clear" w:color="auto" w:fill="auto"/>
            <w:vAlign w:val="bottom"/>
          </w:tcPr>
          <w:p w14:paraId="64297C0C" w14:textId="77777777" w:rsidR="007B6C97" w:rsidRDefault="007B6C97">
            <w:pPr>
              <w:rPr>
                <w:rFonts w:ascii="宋体"/>
                <w:vanish/>
              </w:rPr>
            </w:pPr>
          </w:p>
        </w:tc>
        <w:tc>
          <w:tcPr>
            <w:tcW w:w="0" w:type="auto"/>
            <w:gridSpan w:val="3"/>
            <w:shd w:val="clear" w:color="auto" w:fill="auto"/>
            <w:vAlign w:val="bottom"/>
          </w:tcPr>
          <w:p w14:paraId="64297C0D" w14:textId="77777777" w:rsidR="007B6C97" w:rsidRDefault="007B6C97">
            <w:pPr>
              <w:rPr>
                <w:rFonts w:ascii="宋体"/>
                <w:vanish/>
              </w:rPr>
            </w:pPr>
          </w:p>
        </w:tc>
        <w:tc>
          <w:tcPr>
            <w:tcW w:w="0" w:type="auto"/>
            <w:gridSpan w:val="3"/>
            <w:shd w:val="clear" w:color="auto" w:fill="auto"/>
            <w:vAlign w:val="bottom"/>
          </w:tcPr>
          <w:p w14:paraId="64297C0E" w14:textId="77777777" w:rsidR="007B6C97" w:rsidRDefault="007B6C97">
            <w:pPr>
              <w:rPr>
                <w:rFonts w:ascii="宋体"/>
                <w:vanish/>
              </w:rPr>
            </w:pPr>
          </w:p>
        </w:tc>
        <w:tc>
          <w:tcPr>
            <w:tcW w:w="0" w:type="auto"/>
            <w:gridSpan w:val="3"/>
            <w:shd w:val="clear" w:color="auto" w:fill="auto"/>
            <w:vAlign w:val="bottom"/>
          </w:tcPr>
          <w:p w14:paraId="64297C0F" w14:textId="77777777" w:rsidR="007B6C97" w:rsidRDefault="007B6C97">
            <w:pPr>
              <w:rPr>
                <w:rFonts w:ascii="宋体"/>
                <w:vanish/>
              </w:rPr>
            </w:pPr>
          </w:p>
        </w:tc>
        <w:tc>
          <w:tcPr>
            <w:tcW w:w="0" w:type="auto"/>
            <w:gridSpan w:val="3"/>
            <w:shd w:val="clear" w:color="auto" w:fill="auto"/>
            <w:vAlign w:val="bottom"/>
          </w:tcPr>
          <w:p w14:paraId="64297C10" w14:textId="77777777" w:rsidR="007B6C97" w:rsidRDefault="007B6C97">
            <w:pPr>
              <w:rPr>
                <w:rFonts w:ascii="宋体"/>
                <w:vanish/>
              </w:rPr>
            </w:pPr>
          </w:p>
        </w:tc>
        <w:tc>
          <w:tcPr>
            <w:tcW w:w="0" w:type="auto"/>
            <w:gridSpan w:val="3"/>
            <w:shd w:val="clear" w:color="auto" w:fill="auto"/>
            <w:vAlign w:val="bottom"/>
          </w:tcPr>
          <w:p w14:paraId="64297C11" w14:textId="77777777" w:rsidR="007B6C97" w:rsidRDefault="007B6C97">
            <w:pPr>
              <w:rPr>
                <w:rFonts w:ascii="宋体"/>
                <w:vanish/>
              </w:rPr>
            </w:pPr>
          </w:p>
        </w:tc>
        <w:tc>
          <w:tcPr>
            <w:tcW w:w="0" w:type="auto"/>
            <w:gridSpan w:val="3"/>
            <w:shd w:val="clear" w:color="auto" w:fill="auto"/>
            <w:vAlign w:val="bottom"/>
          </w:tcPr>
          <w:p w14:paraId="64297C12" w14:textId="77777777" w:rsidR="007B6C97" w:rsidRDefault="007B6C97">
            <w:pPr>
              <w:rPr>
                <w:rFonts w:ascii="宋体"/>
                <w:vanish/>
              </w:rPr>
            </w:pPr>
          </w:p>
        </w:tc>
      </w:tr>
      <w:tr w:rsidR="007B6C97" w14:paraId="64297C20" w14:textId="77777777">
        <w:tc>
          <w:tcPr>
            <w:tcW w:w="0" w:type="auto"/>
            <w:gridSpan w:val="3"/>
            <w:shd w:val="clear" w:color="auto" w:fill="D7E4BC"/>
            <w:tcMar>
              <w:top w:w="40" w:type="dxa"/>
              <w:left w:w="740" w:type="dxa"/>
              <w:bottom w:w="40" w:type="dxa"/>
              <w:right w:w="20" w:type="dxa"/>
            </w:tcMar>
            <w:vAlign w:val="bottom"/>
          </w:tcPr>
          <w:p w14:paraId="64297C14" w14:textId="77777777" w:rsidR="007B6C97" w:rsidRDefault="00E426D1">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64297C15" w14:textId="77777777" w:rsidR="007B6C97" w:rsidRDefault="00E426D1">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64297C1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1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1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1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1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1B" w14:textId="77777777" w:rsidR="007B6C97" w:rsidRDefault="00E426D1">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64297C1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1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1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1F" w14:textId="77777777" w:rsidR="007B6C97" w:rsidRDefault="007B6C97">
            <w:pPr>
              <w:jc w:val="right"/>
              <w:rPr>
                <w:rFonts w:ascii="宋体"/>
              </w:rPr>
            </w:pPr>
          </w:p>
        </w:tc>
      </w:tr>
      <w:tr w:rsidR="007B6C97" w14:paraId="64297C2D" w14:textId="77777777">
        <w:tc>
          <w:tcPr>
            <w:tcW w:w="0" w:type="auto"/>
            <w:gridSpan w:val="3"/>
            <w:shd w:val="clear" w:color="auto" w:fill="FFFFFF"/>
            <w:tcMar>
              <w:top w:w="40" w:type="dxa"/>
              <w:left w:w="740" w:type="dxa"/>
              <w:bottom w:w="40" w:type="dxa"/>
              <w:right w:w="20" w:type="dxa"/>
            </w:tcMar>
            <w:vAlign w:val="bottom"/>
          </w:tcPr>
          <w:p w14:paraId="64297C21" w14:textId="77777777" w:rsidR="007B6C97" w:rsidRDefault="00E426D1">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4297C22" w14:textId="77777777" w:rsidR="007B6C97" w:rsidRDefault="00E426D1">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64297C2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2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2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2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2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28" w14:textId="77777777" w:rsidR="007B6C97" w:rsidRDefault="00E426D1">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64297C2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2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2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2C" w14:textId="77777777" w:rsidR="007B6C97" w:rsidRDefault="007B6C97">
            <w:pPr>
              <w:jc w:val="right"/>
              <w:rPr>
                <w:rFonts w:ascii="宋体"/>
              </w:rPr>
            </w:pPr>
          </w:p>
        </w:tc>
      </w:tr>
      <w:tr w:rsidR="007B6C97" w14:paraId="64297C36" w14:textId="77777777">
        <w:trPr>
          <w:hidden/>
        </w:trPr>
        <w:tc>
          <w:tcPr>
            <w:tcW w:w="0" w:type="auto"/>
            <w:gridSpan w:val="3"/>
            <w:shd w:val="clear" w:color="auto" w:fill="auto"/>
            <w:vAlign w:val="bottom"/>
          </w:tcPr>
          <w:p w14:paraId="64297C2E" w14:textId="77777777" w:rsidR="007B6C97" w:rsidRDefault="007B6C97">
            <w:pPr>
              <w:rPr>
                <w:rFonts w:ascii="宋体"/>
                <w:vanish/>
              </w:rPr>
            </w:pPr>
          </w:p>
        </w:tc>
        <w:tc>
          <w:tcPr>
            <w:tcW w:w="0" w:type="auto"/>
            <w:gridSpan w:val="3"/>
            <w:shd w:val="clear" w:color="auto" w:fill="auto"/>
            <w:vAlign w:val="bottom"/>
          </w:tcPr>
          <w:p w14:paraId="64297C2F" w14:textId="77777777" w:rsidR="007B6C97" w:rsidRDefault="007B6C97">
            <w:pPr>
              <w:rPr>
                <w:rFonts w:ascii="宋体"/>
                <w:vanish/>
              </w:rPr>
            </w:pPr>
          </w:p>
        </w:tc>
        <w:tc>
          <w:tcPr>
            <w:tcW w:w="0" w:type="auto"/>
            <w:gridSpan w:val="3"/>
            <w:shd w:val="clear" w:color="auto" w:fill="auto"/>
            <w:vAlign w:val="bottom"/>
          </w:tcPr>
          <w:p w14:paraId="64297C30" w14:textId="77777777" w:rsidR="007B6C97" w:rsidRDefault="007B6C97">
            <w:pPr>
              <w:rPr>
                <w:rFonts w:ascii="宋体"/>
                <w:vanish/>
              </w:rPr>
            </w:pPr>
          </w:p>
        </w:tc>
        <w:tc>
          <w:tcPr>
            <w:tcW w:w="0" w:type="auto"/>
            <w:gridSpan w:val="3"/>
            <w:shd w:val="clear" w:color="auto" w:fill="auto"/>
            <w:vAlign w:val="bottom"/>
          </w:tcPr>
          <w:p w14:paraId="64297C31" w14:textId="77777777" w:rsidR="007B6C97" w:rsidRDefault="007B6C97">
            <w:pPr>
              <w:rPr>
                <w:rFonts w:ascii="宋体"/>
                <w:vanish/>
              </w:rPr>
            </w:pPr>
          </w:p>
        </w:tc>
        <w:tc>
          <w:tcPr>
            <w:tcW w:w="0" w:type="auto"/>
            <w:gridSpan w:val="3"/>
            <w:shd w:val="clear" w:color="auto" w:fill="auto"/>
            <w:vAlign w:val="bottom"/>
          </w:tcPr>
          <w:p w14:paraId="64297C32" w14:textId="77777777" w:rsidR="007B6C97" w:rsidRDefault="007B6C97">
            <w:pPr>
              <w:rPr>
                <w:rFonts w:ascii="宋体"/>
                <w:vanish/>
              </w:rPr>
            </w:pPr>
          </w:p>
        </w:tc>
        <w:tc>
          <w:tcPr>
            <w:tcW w:w="0" w:type="auto"/>
            <w:gridSpan w:val="3"/>
            <w:shd w:val="clear" w:color="auto" w:fill="auto"/>
            <w:vAlign w:val="bottom"/>
          </w:tcPr>
          <w:p w14:paraId="64297C33" w14:textId="77777777" w:rsidR="007B6C97" w:rsidRDefault="007B6C97">
            <w:pPr>
              <w:rPr>
                <w:rFonts w:ascii="宋体"/>
                <w:vanish/>
              </w:rPr>
            </w:pPr>
          </w:p>
        </w:tc>
        <w:tc>
          <w:tcPr>
            <w:tcW w:w="0" w:type="auto"/>
            <w:gridSpan w:val="3"/>
            <w:shd w:val="clear" w:color="auto" w:fill="auto"/>
            <w:vAlign w:val="bottom"/>
          </w:tcPr>
          <w:p w14:paraId="64297C34" w14:textId="77777777" w:rsidR="007B6C97" w:rsidRDefault="007B6C97">
            <w:pPr>
              <w:rPr>
                <w:rFonts w:ascii="宋体"/>
                <w:vanish/>
              </w:rPr>
            </w:pPr>
          </w:p>
        </w:tc>
        <w:tc>
          <w:tcPr>
            <w:tcW w:w="0" w:type="auto"/>
            <w:gridSpan w:val="3"/>
            <w:shd w:val="clear" w:color="auto" w:fill="auto"/>
            <w:vAlign w:val="bottom"/>
          </w:tcPr>
          <w:p w14:paraId="64297C35" w14:textId="77777777" w:rsidR="007B6C97" w:rsidRDefault="007B6C97">
            <w:pPr>
              <w:rPr>
                <w:rFonts w:ascii="宋体"/>
                <w:vanish/>
              </w:rPr>
            </w:pPr>
          </w:p>
        </w:tc>
      </w:tr>
      <w:tr w:rsidR="007B6C97" w14:paraId="64297C43" w14:textId="77777777">
        <w:tc>
          <w:tcPr>
            <w:tcW w:w="0" w:type="auto"/>
            <w:gridSpan w:val="3"/>
            <w:shd w:val="clear" w:color="auto" w:fill="D7E4BC"/>
            <w:tcMar>
              <w:top w:w="40" w:type="dxa"/>
              <w:left w:w="740" w:type="dxa"/>
              <w:bottom w:w="40" w:type="dxa"/>
              <w:right w:w="20" w:type="dxa"/>
            </w:tcMar>
            <w:vAlign w:val="bottom"/>
          </w:tcPr>
          <w:p w14:paraId="64297C37" w14:textId="77777777" w:rsidR="007B6C97" w:rsidRDefault="00E426D1">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64297C38"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7C3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3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3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3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3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3E"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7C3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4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4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42" w14:textId="77777777" w:rsidR="007B6C97" w:rsidRDefault="007B6C97">
            <w:pPr>
              <w:jc w:val="right"/>
              <w:rPr>
                <w:rFonts w:ascii="宋体"/>
              </w:rPr>
            </w:pPr>
          </w:p>
        </w:tc>
      </w:tr>
      <w:tr w:rsidR="007B6C97" w14:paraId="64297C50" w14:textId="77777777">
        <w:tc>
          <w:tcPr>
            <w:tcW w:w="0" w:type="auto"/>
            <w:gridSpan w:val="3"/>
            <w:shd w:val="clear" w:color="auto" w:fill="FFFFFF"/>
            <w:tcMar>
              <w:top w:w="40" w:type="dxa"/>
              <w:left w:w="380" w:type="dxa"/>
              <w:bottom w:w="40" w:type="dxa"/>
              <w:right w:w="20" w:type="dxa"/>
            </w:tcMar>
            <w:vAlign w:val="bottom"/>
          </w:tcPr>
          <w:p w14:paraId="64297C44" w14:textId="77777777" w:rsidR="007B6C97" w:rsidRDefault="00E426D1">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45" w14:textId="77777777" w:rsidR="007B6C97" w:rsidRDefault="00E426D1">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4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47"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48"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4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4A"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4B" w14:textId="77777777" w:rsidR="007B6C97" w:rsidRDefault="00E426D1">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4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4D"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4E"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4F" w14:textId="77777777" w:rsidR="007B6C97" w:rsidRDefault="007B6C97">
            <w:pPr>
              <w:jc w:val="right"/>
              <w:rPr>
                <w:rFonts w:ascii="宋体"/>
              </w:rPr>
            </w:pPr>
          </w:p>
        </w:tc>
      </w:tr>
      <w:tr w:rsidR="007B6C97" w14:paraId="64297C5D" w14:textId="77777777">
        <w:tc>
          <w:tcPr>
            <w:tcW w:w="0" w:type="auto"/>
            <w:gridSpan w:val="3"/>
            <w:shd w:val="clear" w:color="auto" w:fill="D7E4BC"/>
            <w:tcMar>
              <w:top w:w="40" w:type="dxa"/>
              <w:left w:w="740" w:type="dxa"/>
              <w:bottom w:w="40" w:type="dxa"/>
              <w:right w:w="20" w:type="dxa"/>
            </w:tcMar>
            <w:vAlign w:val="bottom"/>
          </w:tcPr>
          <w:p w14:paraId="64297C51" w14:textId="77777777" w:rsidR="007B6C97" w:rsidRDefault="00E426D1">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64297C52" w14:textId="77777777" w:rsidR="007B6C97" w:rsidRDefault="00E426D1">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4297C5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5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55" w14:textId="77777777" w:rsidR="007B6C97" w:rsidRDefault="00E426D1">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4297C5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5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5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5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5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5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5C" w14:textId="77777777" w:rsidR="007B6C97" w:rsidRDefault="007B6C97">
            <w:pPr>
              <w:jc w:val="right"/>
              <w:rPr>
                <w:rFonts w:ascii="宋体"/>
              </w:rPr>
            </w:pPr>
          </w:p>
        </w:tc>
      </w:tr>
      <w:tr w:rsidR="007B6C97" w14:paraId="64297C6A" w14:textId="77777777">
        <w:tc>
          <w:tcPr>
            <w:tcW w:w="0" w:type="auto"/>
            <w:gridSpan w:val="3"/>
            <w:shd w:val="clear" w:color="auto" w:fill="FFFFFF"/>
            <w:tcMar>
              <w:top w:w="40" w:type="dxa"/>
              <w:left w:w="20" w:type="dxa"/>
              <w:bottom w:w="40" w:type="dxa"/>
              <w:right w:w="20" w:type="dxa"/>
            </w:tcMar>
            <w:vAlign w:val="bottom"/>
          </w:tcPr>
          <w:p w14:paraId="64297C5E" w14:textId="77777777" w:rsidR="007B6C97" w:rsidRDefault="00E426D1">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5F" w14:textId="77777777" w:rsidR="007B6C97" w:rsidRDefault="00E426D1">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61"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62" w14:textId="77777777" w:rsidR="007B6C97" w:rsidRDefault="00E426D1">
            <w:pPr>
              <w:jc w:val="right"/>
              <w:textAlignment w:val="bottom"/>
            </w:pPr>
            <w:r>
              <w:rPr>
                <w:rFonts w:ascii="Times New Roman" w:eastAsia="宋体" w:hAnsi="Times New Roman"/>
                <w:color w:val="000000"/>
                <w:sz w:val="20"/>
                <w:szCs w:val="20"/>
              </w:rPr>
              <w:t>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64"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C65" w14:textId="77777777" w:rsidR="007B6C97" w:rsidRDefault="00E426D1">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C6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67"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4297C68" w14:textId="77777777" w:rsidR="007B6C97" w:rsidRDefault="00E426D1">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tcPr>
          <w:p w14:paraId="64297C69" w14:textId="77777777" w:rsidR="007B6C97" w:rsidRDefault="007B6C97">
            <w:pPr>
              <w:jc w:val="right"/>
              <w:rPr>
                <w:rFonts w:ascii="宋体"/>
              </w:rPr>
            </w:pPr>
          </w:p>
        </w:tc>
      </w:tr>
      <w:tr w:rsidR="007B6C97" w14:paraId="64297C73" w14:textId="77777777">
        <w:tc>
          <w:tcPr>
            <w:tcW w:w="0" w:type="auto"/>
            <w:gridSpan w:val="3"/>
            <w:shd w:val="clear" w:color="auto" w:fill="D7E4BC"/>
            <w:tcMar>
              <w:top w:w="40" w:type="dxa"/>
              <w:left w:w="20" w:type="dxa"/>
              <w:bottom w:w="40" w:type="dxa"/>
              <w:right w:w="20" w:type="dxa"/>
            </w:tcMar>
            <w:vAlign w:val="bottom"/>
          </w:tcPr>
          <w:p w14:paraId="64297C6B" w14:textId="77777777" w:rsidR="007B6C97" w:rsidRDefault="00E426D1">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4297C6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6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6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6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7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7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72" w14:textId="77777777" w:rsidR="007B6C97" w:rsidRDefault="007B6C97">
            <w:pPr>
              <w:rPr>
                <w:rFonts w:ascii="宋体"/>
              </w:rPr>
            </w:pPr>
          </w:p>
        </w:tc>
      </w:tr>
      <w:tr w:rsidR="007B6C97" w14:paraId="64297C80" w14:textId="77777777">
        <w:tc>
          <w:tcPr>
            <w:tcW w:w="0" w:type="auto"/>
            <w:gridSpan w:val="3"/>
            <w:shd w:val="clear" w:color="auto" w:fill="FFFFFF"/>
            <w:tcMar>
              <w:top w:w="40" w:type="dxa"/>
              <w:left w:w="380" w:type="dxa"/>
              <w:bottom w:w="40" w:type="dxa"/>
              <w:right w:w="20" w:type="dxa"/>
            </w:tcMar>
            <w:vAlign w:val="bottom"/>
          </w:tcPr>
          <w:p w14:paraId="64297C74" w14:textId="77777777" w:rsidR="007B6C97" w:rsidRDefault="00E426D1">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4297C75" w14:textId="77777777" w:rsidR="007B6C97" w:rsidRDefault="00E426D1">
            <w:pPr>
              <w:jc w:val="right"/>
              <w:textAlignment w:val="bottom"/>
            </w:pPr>
            <w:r>
              <w:rPr>
                <w:rFonts w:ascii="Times New Roman" w:eastAsia="宋体" w:hAnsi="Times New Roman"/>
                <w:color w:val="000000"/>
                <w:sz w:val="20"/>
                <w:szCs w:val="20"/>
              </w:rPr>
              <w:t>147.6 </w:t>
            </w:r>
          </w:p>
        </w:tc>
        <w:tc>
          <w:tcPr>
            <w:tcW w:w="0" w:type="auto"/>
            <w:shd w:val="clear" w:color="auto" w:fill="FFFFFF"/>
            <w:tcMar>
              <w:top w:w="40" w:type="dxa"/>
              <w:left w:w="0" w:type="dxa"/>
              <w:bottom w:w="40" w:type="dxa"/>
              <w:right w:w="20" w:type="dxa"/>
            </w:tcMar>
            <w:vAlign w:val="bottom"/>
          </w:tcPr>
          <w:p w14:paraId="64297C7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7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7C78" w14:textId="77777777" w:rsidR="007B6C97" w:rsidRDefault="00E426D1">
            <w:pPr>
              <w:jc w:val="right"/>
              <w:textAlignment w:val="top"/>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tcPr>
          <w:p w14:paraId="64297C7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7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7B" w14:textId="77777777" w:rsidR="007B6C97" w:rsidRDefault="00E426D1">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64297C7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7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7C7E" w14:textId="77777777" w:rsidR="007B6C97" w:rsidRDefault="00E426D1">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64297C7F" w14:textId="77777777" w:rsidR="007B6C97" w:rsidRDefault="007B6C97">
            <w:pPr>
              <w:jc w:val="right"/>
              <w:rPr>
                <w:rFonts w:ascii="宋体"/>
              </w:rPr>
            </w:pPr>
          </w:p>
        </w:tc>
      </w:tr>
      <w:tr w:rsidR="007B6C97" w14:paraId="64297C89" w14:textId="77777777">
        <w:tc>
          <w:tcPr>
            <w:tcW w:w="0" w:type="auto"/>
            <w:gridSpan w:val="3"/>
            <w:shd w:val="clear" w:color="auto" w:fill="D7E4BC"/>
            <w:tcMar>
              <w:top w:w="40" w:type="dxa"/>
              <w:left w:w="20" w:type="dxa"/>
              <w:bottom w:w="40" w:type="dxa"/>
              <w:right w:w="20" w:type="dxa"/>
            </w:tcMar>
            <w:vAlign w:val="bottom"/>
          </w:tcPr>
          <w:p w14:paraId="64297C81" w14:textId="77777777" w:rsidR="007B6C97" w:rsidRDefault="00E426D1">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64297C8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C88" w14:textId="77777777" w:rsidR="007B6C97" w:rsidRDefault="007B6C97">
            <w:pPr>
              <w:rPr>
                <w:rFonts w:ascii="宋体"/>
              </w:rPr>
            </w:pPr>
          </w:p>
        </w:tc>
      </w:tr>
      <w:tr w:rsidR="007B6C97" w14:paraId="64297C92" w14:textId="77777777">
        <w:tc>
          <w:tcPr>
            <w:tcW w:w="0" w:type="auto"/>
            <w:gridSpan w:val="3"/>
            <w:shd w:val="clear" w:color="auto" w:fill="FFFFFF"/>
            <w:tcMar>
              <w:top w:w="40" w:type="dxa"/>
              <w:left w:w="380" w:type="dxa"/>
              <w:bottom w:w="40" w:type="dxa"/>
              <w:right w:w="20" w:type="dxa"/>
            </w:tcMar>
            <w:vAlign w:val="bottom"/>
          </w:tcPr>
          <w:p w14:paraId="64297C8A" w14:textId="77777777" w:rsidR="007B6C97" w:rsidRDefault="00E426D1">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4297C8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8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8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8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8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9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C91" w14:textId="77777777" w:rsidR="007B6C97" w:rsidRDefault="007B6C97">
            <w:pPr>
              <w:rPr>
                <w:rFonts w:ascii="宋体"/>
              </w:rPr>
            </w:pPr>
          </w:p>
        </w:tc>
      </w:tr>
      <w:tr w:rsidR="007B6C97" w14:paraId="64297C9B" w14:textId="77777777">
        <w:trPr>
          <w:hidden/>
        </w:trPr>
        <w:tc>
          <w:tcPr>
            <w:tcW w:w="0" w:type="auto"/>
            <w:gridSpan w:val="3"/>
            <w:shd w:val="clear" w:color="auto" w:fill="auto"/>
            <w:vAlign w:val="bottom"/>
          </w:tcPr>
          <w:p w14:paraId="64297C93" w14:textId="77777777" w:rsidR="007B6C97" w:rsidRDefault="007B6C97">
            <w:pPr>
              <w:rPr>
                <w:rFonts w:ascii="宋体"/>
                <w:vanish/>
              </w:rPr>
            </w:pPr>
          </w:p>
        </w:tc>
        <w:tc>
          <w:tcPr>
            <w:tcW w:w="0" w:type="auto"/>
            <w:gridSpan w:val="3"/>
            <w:shd w:val="clear" w:color="auto" w:fill="auto"/>
            <w:vAlign w:val="bottom"/>
          </w:tcPr>
          <w:p w14:paraId="64297C94" w14:textId="77777777" w:rsidR="007B6C97" w:rsidRDefault="007B6C97">
            <w:pPr>
              <w:rPr>
                <w:rFonts w:ascii="宋体"/>
                <w:vanish/>
              </w:rPr>
            </w:pPr>
          </w:p>
        </w:tc>
        <w:tc>
          <w:tcPr>
            <w:tcW w:w="0" w:type="auto"/>
            <w:gridSpan w:val="3"/>
            <w:shd w:val="clear" w:color="auto" w:fill="auto"/>
            <w:vAlign w:val="bottom"/>
          </w:tcPr>
          <w:p w14:paraId="64297C95" w14:textId="77777777" w:rsidR="007B6C97" w:rsidRDefault="007B6C97">
            <w:pPr>
              <w:rPr>
                <w:rFonts w:ascii="宋体"/>
                <w:vanish/>
              </w:rPr>
            </w:pPr>
          </w:p>
        </w:tc>
        <w:tc>
          <w:tcPr>
            <w:tcW w:w="0" w:type="auto"/>
            <w:gridSpan w:val="3"/>
            <w:shd w:val="clear" w:color="auto" w:fill="auto"/>
            <w:vAlign w:val="bottom"/>
          </w:tcPr>
          <w:p w14:paraId="64297C96" w14:textId="77777777" w:rsidR="007B6C97" w:rsidRDefault="007B6C97">
            <w:pPr>
              <w:rPr>
                <w:rFonts w:ascii="宋体"/>
                <w:vanish/>
              </w:rPr>
            </w:pPr>
          </w:p>
        </w:tc>
        <w:tc>
          <w:tcPr>
            <w:tcW w:w="0" w:type="auto"/>
            <w:gridSpan w:val="3"/>
            <w:shd w:val="clear" w:color="auto" w:fill="auto"/>
            <w:vAlign w:val="bottom"/>
          </w:tcPr>
          <w:p w14:paraId="64297C97" w14:textId="77777777" w:rsidR="007B6C97" w:rsidRDefault="007B6C97">
            <w:pPr>
              <w:rPr>
                <w:rFonts w:ascii="宋体"/>
                <w:vanish/>
              </w:rPr>
            </w:pPr>
          </w:p>
        </w:tc>
        <w:tc>
          <w:tcPr>
            <w:tcW w:w="0" w:type="auto"/>
            <w:gridSpan w:val="3"/>
            <w:shd w:val="clear" w:color="auto" w:fill="auto"/>
            <w:vAlign w:val="bottom"/>
          </w:tcPr>
          <w:p w14:paraId="64297C98" w14:textId="77777777" w:rsidR="007B6C97" w:rsidRDefault="007B6C97">
            <w:pPr>
              <w:rPr>
                <w:rFonts w:ascii="宋体"/>
                <w:vanish/>
              </w:rPr>
            </w:pPr>
          </w:p>
        </w:tc>
        <w:tc>
          <w:tcPr>
            <w:tcW w:w="0" w:type="auto"/>
            <w:gridSpan w:val="3"/>
            <w:shd w:val="clear" w:color="auto" w:fill="auto"/>
            <w:vAlign w:val="bottom"/>
          </w:tcPr>
          <w:p w14:paraId="64297C99" w14:textId="77777777" w:rsidR="007B6C97" w:rsidRDefault="007B6C97">
            <w:pPr>
              <w:rPr>
                <w:rFonts w:ascii="宋体"/>
                <w:vanish/>
              </w:rPr>
            </w:pPr>
          </w:p>
        </w:tc>
        <w:tc>
          <w:tcPr>
            <w:tcW w:w="0" w:type="auto"/>
            <w:gridSpan w:val="3"/>
            <w:shd w:val="clear" w:color="auto" w:fill="auto"/>
            <w:vAlign w:val="bottom"/>
          </w:tcPr>
          <w:p w14:paraId="64297C9A" w14:textId="77777777" w:rsidR="007B6C97" w:rsidRDefault="007B6C97">
            <w:pPr>
              <w:rPr>
                <w:rFonts w:ascii="宋体"/>
                <w:vanish/>
              </w:rPr>
            </w:pPr>
          </w:p>
        </w:tc>
      </w:tr>
      <w:tr w:rsidR="007B6C97" w14:paraId="64297CA8" w14:textId="77777777">
        <w:tc>
          <w:tcPr>
            <w:tcW w:w="0" w:type="auto"/>
            <w:gridSpan w:val="3"/>
            <w:shd w:val="clear" w:color="auto" w:fill="D7E4BC"/>
            <w:tcMar>
              <w:top w:w="40" w:type="dxa"/>
              <w:left w:w="740" w:type="dxa"/>
              <w:bottom w:w="40" w:type="dxa"/>
              <w:right w:w="20" w:type="dxa"/>
            </w:tcMar>
            <w:vAlign w:val="bottom"/>
          </w:tcPr>
          <w:p w14:paraId="64297C9C" w14:textId="77777777" w:rsidR="007B6C97" w:rsidRDefault="00E426D1">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64297C9D" w14:textId="77777777" w:rsidR="007B6C97" w:rsidRDefault="00E426D1">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64297C9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9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A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A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A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A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A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A6" w14:textId="77777777" w:rsidR="007B6C97" w:rsidRDefault="00E426D1">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64297CA7" w14:textId="77777777" w:rsidR="007B6C97" w:rsidRDefault="007B6C97">
            <w:pPr>
              <w:jc w:val="right"/>
              <w:rPr>
                <w:rFonts w:ascii="宋体"/>
              </w:rPr>
            </w:pPr>
          </w:p>
        </w:tc>
      </w:tr>
      <w:tr w:rsidR="007B6C97" w14:paraId="64297CB1" w14:textId="77777777">
        <w:trPr>
          <w:hidden/>
        </w:trPr>
        <w:tc>
          <w:tcPr>
            <w:tcW w:w="0" w:type="auto"/>
            <w:gridSpan w:val="3"/>
            <w:shd w:val="clear" w:color="auto" w:fill="auto"/>
            <w:vAlign w:val="bottom"/>
          </w:tcPr>
          <w:p w14:paraId="64297CA9" w14:textId="77777777" w:rsidR="007B6C97" w:rsidRDefault="007B6C97">
            <w:pPr>
              <w:rPr>
                <w:rFonts w:ascii="宋体"/>
                <w:vanish/>
              </w:rPr>
            </w:pPr>
          </w:p>
        </w:tc>
        <w:tc>
          <w:tcPr>
            <w:tcW w:w="0" w:type="auto"/>
            <w:gridSpan w:val="3"/>
            <w:shd w:val="clear" w:color="auto" w:fill="auto"/>
            <w:vAlign w:val="bottom"/>
          </w:tcPr>
          <w:p w14:paraId="64297CAA" w14:textId="77777777" w:rsidR="007B6C97" w:rsidRDefault="007B6C97">
            <w:pPr>
              <w:rPr>
                <w:rFonts w:ascii="宋体"/>
                <w:vanish/>
              </w:rPr>
            </w:pPr>
          </w:p>
        </w:tc>
        <w:tc>
          <w:tcPr>
            <w:tcW w:w="0" w:type="auto"/>
            <w:gridSpan w:val="3"/>
            <w:shd w:val="clear" w:color="auto" w:fill="auto"/>
            <w:vAlign w:val="bottom"/>
          </w:tcPr>
          <w:p w14:paraId="64297CAB" w14:textId="77777777" w:rsidR="007B6C97" w:rsidRDefault="007B6C97">
            <w:pPr>
              <w:rPr>
                <w:rFonts w:ascii="宋体"/>
                <w:vanish/>
              </w:rPr>
            </w:pPr>
          </w:p>
        </w:tc>
        <w:tc>
          <w:tcPr>
            <w:tcW w:w="0" w:type="auto"/>
            <w:gridSpan w:val="3"/>
            <w:shd w:val="clear" w:color="auto" w:fill="auto"/>
            <w:vAlign w:val="bottom"/>
          </w:tcPr>
          <w:p w14:paraId="64297CAC" w14:textId="77777777" w:rsidR="007B6C97" w:rsidRDefault="007B6C97">
            <w:pPr>
              <w:rPr>
                <w:rFonts w:ascii="宋体"/>
                <w:vanish/>
              </w:rPr>
            </w:pPr>
          </w:p>
        </w:tc>
        <w:tc>
          <w:tcPr>
            <w:tcW w:w="0" w:type="auto"/>
            <w:gridSpan w:val="3"/>
            <w:shd w:val="clear" w:color="auto" w:fill="auto"/>
            <w:vAlign w:val="bottom"/>
          </w:tcPr>
          <w:p w14:paraId="64297CAD" w14:textId="77777777" w:rsidR="007B6C97" w:rsidRDefault="007B6C97">
            <w:pPr>
              <w:rPr>
                <w:rFonts w:ascii="宋体"/>
                <w:vanish/>
              </w:rPr>
            </w:pPr>
          </w:p>
        </w:tc>
        <w:tc>
          <w:tcPr>
            <w:tcW w:w="0" w:type="auto"/>
            <w:gridSpan w:val="3"/>
            <w:shd w:val="clear" w:color="auto" w:fill="auto"/>
            <w:vAlign w:val="bottom"/>
          </w:tcPr>
          <w:p w14:paraId="64297CAE" w14:textId="77777777" w:rsidR="007B6C97" w:rsidRDefault="007B6C97">
            <w:pPr>
              <w:rPr>
                <w:rFonts w:ascii="宋体"/>
                <w:vanish/>
              </w:rPr>
            </w:pPr>
          </w:p>
        </w:tc>
        <w:tc>
          <w:tcPr>
            <w:tcW w:w="0" w:type="auto"/>
            <w:gridSpan w:val="3"/>
            <w:shd w:val="clear" w:color="auto" w:fill="auto"/>
            <w:vAlign w:val="bottom"/>
          </w:tcPr>
          <w:p w14:paraId="64297CAF" w14:textId="77777777" w:rsidR="007B6C97" w:rsidRDefault="007B6C97">
            <w:pPr>
              <w:rPr>
                <w:rFonts w:ascii="宋体"/>
                <w:vanish/>
              </w:rPr>
            </w:pPr>
          </w:p>
        </w:tc>
        <w:tc>
          <w:tcPr>
            <w:tcW w:w="0" w:type="auto"/>
            <w:gridSpan w:val="3"/>
            <w:shd w:val="clear" w:color="auto" w:fill="auto"/>
            <w:vAlign w:val="bottom"/>
          </w:tcPr>
          <w:p w14:paraId="64297CB0" w14:textId="77777777" w:rsidR="007B6C97" w:rsidRDefault="007B6C97">
            <w:pPr>
              <w:rPr>
                <w:rFonts w:ascii="宋体"/>
                <w:vanish/>
              </w:rPr>
            </w:pPr>
          </w:p>
        </w:tc>
      </w:tr>
      <w:tr w:rsidR="007B6C97" w14:paraId="64297CBE" w14:textId="77777777">
        <w:tc>
          <w:tcPr>
            <w:tcW w:w="0" w:type="auto"/>
            <w:gridSpan w:val="3"/>
            <w:shd w:val="clear" w:color="auto" w:fill="FFFFFF"/>
            <w:tcMar>
              <w:top w:w="40" w:type="dxa"/>
              <w:left w:w="740" w:type="dxa"/>
              <w:bottom w:w="40" w:type="dxa"/>
              <w:right w:w="20" w:type="dxa"/>
            </w:tcMar>
            <w:vAlign w:val="bottom"/>
          </w:tcPr>
          <w:p w14:paraId="64297CB2" w14:textId="77777777" w:rsidR="007B6C97" w:rsidRDefault="00E426D1">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4297CB3" w14:textId="77777777" w:rsidR="007B6C97" w:rsidRDefault="00E426D1">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64297C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B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B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B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B9" w14:textId="77777777" w:rsidR="007B6C97" w:rsidRDefault="00E426D1">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64297C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B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B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BD" w14:textId="77777777" w:rsidR="007B6C97" w:rsidRDefault="007B6C97">
            <w:pPr>
              <w:jc w:val="right"/>
              <w:rPr>
                <w:rFonts w:ascii="宋体"/>
              </w:rPr>
            </w:pPr>
          </w:p>
        </w:tc>
      </w:tr>
      <w:tr w:rsidR="007B6C97" w14:paraId="64297CCB" w14:textId="77777777">
        <w:tc>
          <w:tcPr>
            <w:tcW w:w="0" w:type="auto"/>
            <w:gridSpan w:val="3"/>
            <w:shd w:val="clear" w:color="auto" w:fill="D7E4BC"/>
            <w:tcMar>
              <w:top w:w="40" w:type="dxa"/>
              <w:left w:w="740" w:type="dxa"/>
              <w:bottom w:w="40" w:type="dxa"/>
              <w:right w:w="20" w:type="dxa"/>
            </w:tcMar>
            <w:vAlign w:val="bottom"/>
          </w:tcPr>
          <w:p w14:paraId="64297CBF" w14:textId="77777777" w:rsidR="007B6C97" w:rsidRDefault="00E426D1">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64297CC0"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4297CC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C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C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C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C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C6"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4297C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C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C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CA" w14:textId="77777777" w:rsidR="007B6C97" w:rsidRDefault="007B6C97">
            <w:pPr>
              <w:jc w:val="right"/>
              <w:rPr>
                <w:rFonts w:ascii="宋体"/>
              </w:rPr>
            </w:pPr>
          </w:p>
        </w:tc>
      </w:tr>
      <w:tr w:rsidR="007B6C97" w14:paraId="64297CD8" w14:textId="77777777">
        <w:tc>
          <w:tcPr>
            <w:tcW w:w="0" w:type="auto"/>
            <w:gridSpan w:val="3"/>
            <w:shd w:val="clear" w:color="auto" w:fill="FFFFFF"/>
            <w:tcMar>
              <w:top w:w="40" w:type="dxa"/>
              <w:left w:w="740" w:type="dxa"/>
              <w:bottom w:w="40" w:type="dxa"/>
              <w:right w:w="20" w:type="dxa"/>
            </w:tcMar>
            <w:vAlign w:val="bottom"/>
          </w:tcPr>
          <w:p w14:paraId="64297CCC" w14:textId="77777777" w:rsidR="007B6C97" w:rsidRDefault="00E426D1">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64297CCD" w14:textId="77777777" w:rsidR="007B6C97" w:rsidRDefault="00E426D1">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64297CC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C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D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D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D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D3" w14:textId="77777777" w:rsidR="007B6C97" w:rsidRDefault="00E426D1">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64297CD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D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D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D7" w14:textId="77777777" w:rsidR="007B6C97" w:rsidRDefault="007B6C97">
            <w:pPr>
              <w:jc w:val="right"/>
              <w:rPr>
                <w:rFonts w:ascii="宋体"/>
              </w:rPr>
            </w:pPr>
          </w:p>
        </w:tc>
      </w:tr>
      <w:tr w:rsidR="007B6C97" w14:paraId="64297CE5" w14:textId="77777777">
        <w:tc>
          <w:tcPr>
            <w:tcW w:w="0" w:type="auto"/>
            <w:gridSpan w:val="3"/>
            <w:shd w:val="clear" w:color="auto" w:fill="D7E4BC"/>
            <w:tcMar>
              <w:top w:w="40" w:type="dxa"/>
              <w:left w:w="740" w:type="dxa"/>
              <w:bottom w:w="40" w:type="dxa"/>
              <w:right w:w="20" w:type="dxa"/>
            </w:tcMar>
            <w:vAlign w:val="bottom"/>
          </w:tcPr>
          <w:p w14:paraId="64297CD9" w14:textId="77777777" w:rsidR="007B6C97" w:rsidRDefault="00E426D1">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64297CDA"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4297CD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D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D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D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D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E0"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4297CE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E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CE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CE4" w14:textId="77777777" w:rsidR="007B6C97" w:rsidRDefault="007B6C97">
            <w:pPr>
              <w:jc w:val="right"/>
              <w:rPr>
                <w:rFonts w:ascii="宋体"/>
              </w:rPr>
            </w:pPr>
          </w:p>
        </w:tc>
      </w:tr>
      <w:tr w:rsidR="007B6C97" w14:paraId="64297CF2" w14:textId="77777777">
        <w:tc>
          <w:tcPr>
            <w:tcW w:w="0" w:type="auto"/>
            <w:gridSpan w:val="3"/>
            <w:shd w:val="clear" w:color="auto" w:fill="FFFFFF"/>
            <w:tcMar>
              <w:top w:w="40" w:type="dxa"/>
              <w:left w:w="740" w:type="dxa"/>
              <w:bottom w:w="40" w:type="dxa"/>
              <w:right w:w="20" w:type="dxa"/>
            </w:tcMar>
            <w:vAlign w:val="bottom"/>
          </w:tcPr>
          <w:p w14:paraId="64297CE6" w14:textId="77777777" w:rsidR="007B6C97" w:rsidRDefault="00E426D1">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64297CE7" w14:textId="77777777" w:rsidR="007B6C97" w:rsidRDefault="00E426D1">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64297CE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E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EA" w14:textId="77777777" w:rsidR="007B6C97" w:rsidRDefault="00E426D1">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64297C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E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E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E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CE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CF0"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7CF1" w14:textId="77777777" w:rsidR="007B6C97" w:rsidRDefault="007B6C97">
            <w:pPr>
              <w:jc w:val="right"/>
              <w:rPr>
                <w:rFonts w:ascii="宋体"/>
              </w:rPr>
            </w:pPr>
          </w:p>
        </w:tc>
      </w:tr>
      <w:tr w:rsidR="007B6C97" w14:paraId="64297CFF" w14:textId="77777777">
        <w:tc>
          <w:tcPr>
            <w:tcW w:w="0" w:type="auto"/>
            <w:gridSpan w:val="3"/>
            <w:shd w:val="clear" w:color="auto" w:fill="D7E4BC"/>
            <w:tcMar>
              <w:top w:w="40" w:type="dxa"/>
              <w:left w:w="20" w:type="dxa"/>
              <w:bottom w:w="40" w:type="dxa"/>
              <w:right w:w="20" w:type="dxa"/>
            </w:tcMar>
            <w:vAlign w:val="bottom"/>
          </w:tcPr>
          <w:p w14:paraId="64297CF3" w14:textId="77777777" w:rsidR="007B6C97" w:rsidRDefault="00E426D1">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7CF4" w14:textId="77777777" w:rsidR="007B6C97" w:rsidRDefault="00E426D1">
            <w:pPr>
              <w:jc w:val="right"/>
              <w:textAlignment w:val="bottom"/>
            </w:pPr>
            <w:r>
              <w:rPr>
                <w:rFonts w:ascii="Times New Roman" w:eastAsia="宋体" w:hAnsi="Times New Roman"/>
                <w:color w:val="000000"/>
                <w:sz w:val="20"/>
                <w:szCs w:val="20"/>
              </w:rPr>
              <w:t>281.7 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CF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F6"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7CF7" w14:textId="77777777" w:rsidR="007B6C97" w:rsidRDefault="00E426D1">
            <w:pPr>
              <w:jc w:val="right"/>
              <w:textAlignment w:val="bottom"/>
            </w:pPr>
            <w:r>
              <w:rPr>
                <w:rFonts w:ascii="Times New Roman" w:eastAsia="宋体" w:hAnsi="Times New Roman"/>
                <w:color w:val="000000"/>
                <w:sz w:val="20"/>
                <w:szCs w:val="20"/>
              </w:rPr>
              <w:t>76.3 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CF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F9"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7CFA" w14:textId="77777777" w:rsidR="007B6C97" w:rsidRDefault="00E426D1">
            <w:pPr>
              <w:jc w:val="right"/>
              <w:textAlignment w:val="bottom"/>
            </w:pPr>
            <w:r>
              <w:rPr>
                <w:rFonts w:ascii="Times New Roman" w:eastAsia="宋体" w:hAnsi="Times New Roman"/>
                <w:color w:val="000000"/>
                <w:sz w:val="20"/>
                <w:szCs w:val="20"/>
              </w:rPr>
              <w:t>199.4 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CF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CFC"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7CFD" w14:textId="77777777" w:rsidR="007B6C97" w:rsidRDefault="00E426D1">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CFE" w14:textId="77777777" w:rsidR="007B6C97" w:rsidRDefault="007B6C97">
            <w:pPr>
              <w:jc w:val="right"/>
              <w:rPr>
                <w:rFonts w:ascii="宋体"/>
              </w:rPr>
            </w:pPr>
          </w:p>
        </w:tc>
      </w:tr>
      <w:tr w:rsidR="007B6C97" w14:paraId="64297D08" w14:textId="77777777">
        <w:tc>
          <w:tcPr>
            <w:tcW w:w="0" w:type="auto"/>
            <w:gridSpan w:val="3"/>
            <w:shd w:val="clear" w:color="auto" w:fill="FFFFFF"/>
            <w:tcMar>
              <w:top w:w="40" w:type="dxa"/>
              <w:left w:w="20" w:type="dxa"/>
              <w:bottom w:w="40" w:type="dxa"/>
              <w:right w:w="20" w:type="dxa"/>
            </w:tcMar>
            <w:vAlign w:val="bottom"/>
          </w:tcPr>
          <w:p w14:paraId="64297D00" w14:textId="77777777" w:rsidR="007B6C97" w:rsidRDefault="00E426D1">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64297D0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07" w14:textId="77777777" w:rsidR="007B6C97" w:rsidRDefault="007B6C97">
            <w:pPr>
              <w:rPr>
                <w:rFonts w:ascii="宋体"/>
              </w:rPr>
            </w:pPr>
          </w:p>
        </w:tc>
      </w:tr>
      <w:tr w:rsidR="007B6C97" w14:paraId="64297D15" w14:textId="77777777">
        <w:tc>
          <w:tcPr>
            <w:tcW w:w="0" w:type="auto"/>
            <w:gridSpan w:val="3"/>
            <w:shd w:val="clear" w:color="auto" w:fill="D7E4BC"/>
            <w:tcMar>
              <w:top w:w="40" w:type="dxa"/>
              <w:left w:w="380" w:type="dxa"/>
              <w:bottom w:w="40" w:type="dxa"/>
              <w:right w:w="20" w:type="dxa"/>
            </w:tcMar>
            <w:vAlign w:val="bottom"/>
          </w:tcPr>
          <w:p w14:paraId="64297D09" w14:textId="77777777" w:rsidR="007B6C97" w:rsidRDefault="00E426D1">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64297D0A" w14:textId="77777777" w:rsidR="007B6C97" w:rsidRDefault="00E426D1">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64297D0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0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0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D0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0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10" w14:textId="77777777" w:rsidR="007B6C97" w:rsidRDefault="00E426D1">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64297D1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1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1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D14" w14:textId="77777777" w:rsidR="007B6C97" w:rsidRDefault="007B6C97">
            <w:pPr>
              <w:jc w:val="right"/>
              <w:rPr>
                <w:rFonts w:ascii="宋体"/>
              </w:rPr>
            </w:pPr>
          </w:p>
        </w:tc>
      </w:tr>
      <w:tr w:rsidR="007B6C97" w14:paraId="64297D26" w14:textId="77777777">
        <w:tc>
          <w:tcPr>
            <w:tcW w:w="0" w:type="auto"/>
            <w:gridSpan w:val="3"/>
            <w:shd w:val="clear" w:color="auto" w:fill="FFFFFF"/>
            <w:tcMar>
              <w:top w:w="40" w:type="dxa"/>
              <w:left w:w="20" w:type="dxa"/>
              <w:bottom w:w="40" w:type="dxa"/>
              <w:right w:w="20" w:type="dxa"/>
            </w:tcMar>
            <w:vAlign w:val="bottom"/>
          </w:tcPr>
          <w:p w14:paraId="64297D16" w14:textId="77777777" w:rsidR="007B6C97" w:rsidRDefault="00E426D1">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7D1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D18" w14:textId="77777777" w:rsidR="007B6C97" w:rsidRDefault="00E426D1">
            <w:pPr>
              <w:jc w:val="right"/>
              <w:textAlignment w:val="bottom"/>
            </w:pPr>
            <w:r>
              <w:rPr>
                <w:rFonts w:ascii="Times New Roman" w:eastAsia="宋体" w:hAnsi="Times New Roman"/>
                <w:color w:val="000000"/>
                <w:sz w:val="20"/>
                <w:szCs w:val="20"/>
              </w:rPr>
              <w:t>7,131.5 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D1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1A"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D1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D1C" w14:textId="77777777" w:rsidR="007B6C97" w:rsidRDefault="00E426D1">
            <w:pPr>
              <w:jc w:val="right"/>
              <w:textAlignment w:val="bottom"/>
            </w:pPr>
            <w:r>
              <w:rPr>
                <w:rFonts w:ascii="Times New Roman" w:eastAsia="宋体" w:hAnsi="Times New Roman"/>
                <w:color w:val="000000"/>
                <w:sz w:val="20"/>
                <w:szCs w:val="20"/>
              </w:rPr>
              <w:t>6,737.5 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D1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1E"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D1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D20" w14:textId="77777777" w:rsidR="007B6C97" w:rsidRDefault="00E426D1">
            <w:pPr>
              <w:jc w:val="right"/>
              <w:textAlignment w:val="bottom"/>
            </w:pPr>
            <w:r>
              <w:rPr>
                <w:rFonts w:ascii="Times New Roman" w:eastAsia="宋体" w:hAnsi="Times New Roman"/>
                <w:color w:val="000000"/>
                <w:sz w:val="20"/>
                <w:szCs w:val="20"/>
              </w:rPr>
              <w:t>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D2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22"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7D2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7D24" w14:textId="77777777" w:rsidR="007B6C97" w:rsidRDefault="00E426D1">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D25" w14:textId="77777777" w:rsidR="007B6C97" w:rsidRDefault="007B6C97">
            <w:pPr>
              <w:jc w:val="right"/>
              <w:rPr>
                <w:rFonts w:ascii="宋体"/>
              </w:rPr>
            </w:pPr>
          </w:p>
        </w:tc>
      </w:tr>
      <w:tr w:rsidR="007B6C97" w14:paraId="64297D2F" w14:textId="77777777">
        <w:tc>
          <w:tcPr>
            <w:tcW w:w="0" w:type="auto"/>
            <w:gridSpan w:val="3"/>
            <w:shd w:val="clear" w:color="auto" w:fill="D7E4BC"/>
            <w:tcMar>
              <w:top w:w="40" w:type="dxa"/>
              <w:left w:w="20" w:type="dxa"/>
              <w:bottom w:w="40" w:type="dxa"/>
              <w:right w:w="20" w:type="dxa"/>
            </w:tcMar>
          </w:tcPr>
          <w:p w14:paraId="64297D27" w14:textId="77777777" w:rsidR="007B6C97" w:rsidRDefault="00E426D1">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D2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D29"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D2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D2B"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D2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D2D" w14:textId="77777777" w:rsidR="007B6C97" w:rsidRDefault="007B6C97">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4297D2E" w14:textId="77777777" w:rsidR="007B6C97" w:rsidRDefault="007B6C97">
            <w:pPr>
              <w:rPr>
                <w:rFonts w:ascii="宋体"/>
              </w:rPr>
            </w:pPr>
          </w:p>
        </w:tc>
      </w:tr>
      <w:tr w:rsidR="007B6C97" w14:paraId="64297D38" w14:textId="77777777">
        <w:tc>
          <w:tcPr>
            <w:tcW w:w="0" w:type="auto"/>
            <w:gridSpan w:val="3"/>
            <w:shd w:val="clear" w:color="auto" w:fill="FFFFFF"/>
            <w:tcMar>
              <w:top w:w="40" w:type="dxa"/>
              <w:left w:w="20" w:type="dxa"/>
              <w:bottom w:w="40" w:type="dxa"/>
              <w:right w:w="20" w:type="dxa"/>
            </w:tcMar>
            <w:vAlign w:val="bottom"/>
          </w:tcPr>
          <w:p w14:paraId="64297D30" w14:textId="77777777" w:rsidR="007B6C97" w:rsidRDefault="00E426D1">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64297D3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37" w14:textId="77777777" w:rsidR="007B6C97" w:rsidRDefault="007B6C97">
            <w:pPr>
              <w:rPr>
                <w:rFonts w:ascii="宋体"/>
              </w:rPr>
            </w:pPr>
          </w:p>
        </w:tc>
      </w:tr>
      <w:tr w:rsidR="007B6C97" w14:paraId="64297D49" w14:textId="77777777">
        <w:tc>
          <w:tcPr>
            <w:tcW w:w="0" w:type="auto"/>
            <w:gridSpan w:val="3"/>
            <w:shd w:val="clear" w:color="auto" w:fill="D7E4BC"/>
            <w:tcMar>
              <w:top w:w="40" w:type="dxa"/>
              <w:left w:w="380" w:type="dxa"/>
              <w:bottom w:w="40" w:type="dxa"/>
              <w:right w:w="20" w:type="dxa"/>
            </w:tcMar>
            <w:vAlign w:val="bottom"/>
          </w:tcPr>
          <w:p w14:paraId="64297D39" w14:textId="77777777" w:rsidR="007B6C97" w:rsidRDefault="00E426D1">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64297D3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D3B" w14:textId="77777777" w:rsidR="007B6C97" w:rsidRDefault="00E426D1">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64297D3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3D"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D3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D3F" w14:textId="77777777" w:rsidR="007B6C97" w:rsidRDefault="00E426D1">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64297D4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41"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D4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D43" w14:textId="77777777" w:rsidR="007B6C97" w:rsidRDefault="00E426D1">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64297D4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45"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7D4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7D4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D48" w14:textId="77777777" w:rsidR="007B6C97" w:rsidRDefault="007B6C97">
            <w:pPr>
              <w:jc w:val="right"/>
              <w:rPr>
                <w:rFonts w:ascii="宋体"/>
              </w:rPr>
            </w:pPr>
          </w:p>
        </w:tc>
      </w:tr>
      <w:tr w:rsidR="007B6C97" w14:paraId="64297D52" w14:textId="77777777">
        <w:tc>
          <w:tcPr>
            <w:tcW w:w="0" w:type="auto"/>
            <w:gridSpan w:val="3"/>
            <w:shd w:val="clear" w:color="auto" w:fill="FFFFFF"/>
            <w:tcMar>
              <w:top w:w="40" w:type="dxa"/>
              <w:left w:w="20" w:type="dxa"/>
              <w:bottom w:w="40" w:type="dxa"/>
              <w:right w:w="20" w:type="dxa"/>
            </w:tcMar>
            <w:vAlign w:val="center"/>
          </w:tcPr>
          <w:p w14:paraId="64297D4A" w14:textId="77777777" w:rsidR="007B6C97" w:rsidRDefault="00E426D1">
            <w:pPr>
              <w:textAlignment w:val="center"/>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64297D4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4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4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4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4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5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7D51" w14:textId="77777777" w:rsidR="007B6C97" w:rsidRDefault="007B6C97">
            <w:pPr>
              <w:rPr>
                <w:rFonts w:ascii="宋体"/>
              </w:rPr>
            </w:pPr>
          </w:p>
        </w:tc>
      </w:tr>
      <w:tr w:rsidR="007B6C97" w14:paraId="64297D5F" w14:textId="77777777">
        <w:tc>
          <w:tcPr>
            <w:tcW w:w="0" w:type="auto"/>
            <w:gridSpan w:val="3"/>
            <w:shd w:val="clear" w:color="auto" w:fill="D7E4BC"/>
            <w:tcMar>
              <w:top w:w="40" w:type="dxa"/>
              <w:left w:w="380" w:type="dxa"/>
              <w:bottom w:w="40" w:type="dxa"/>
              <w:right w:w="20" w:type="dxa"/>
            </w:tcMar>
            <w:vAlign w:val="center"/>
          </w:tcPr>
          <w:p w14:paraId="64297D53" w14:textId="77777777" w:rsidR="007B6C97" w:rsidRDefault="00E426D1">
            <w:pPr>
              <w:textAlignment w:val="center"/>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64297D54" w14:textId="77777777" w:rsidR="007B6C97" w:rsidRDefault="00E426D1">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4297D5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5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5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D5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5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5A" w14:textId="77777777" w:rsidR="007B6C97" w:rsidRDefault="00E426D1">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4297D5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5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5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D5E" w14:textId="77777777" w:rsidR="007B6C97" w:rsidRDefault="007B6C97">
            <w:pPr>
              <w:jc w:val="right"/>
              <w:rPr>
                <w:rFonts w:ascii="宋体"/>
              </w:rPr>
            </w:pPr>
          </w:p>
        </w:tc>
      </w:tr>
      <w:tr w:rsidR="007B6C97" w14:paraId="64297D70" w14:textId="77777777">
        <w:tc>
          <w:tcPr>
            <w:tcW w:w="0" w:type="auto"/>
            <w:gridSpan w:val="3"/>
            <w:shd w:val="clear" w:color="auto" w:fill="FFFFFF"/>
            <w:tcMar>
              <w:top w:w="40" w:type="dxa"/>
              <w:left w:w="20" w:type="dxa"/>
              <w:bottom w:w="40" w:type="dxa"/>
              <w:right w:w="20" w:type="dxa"/>
            </w:tcMar>
            <w:vAlign w:val="center"/>
          </w:tcPr>
          <w:p w14:paraId="64297D60" w14:textId="77777777" w:rsidR="007B6C97" w:rsidRDefault="00E426D1">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6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62" w14:textId="77777777" w:rsidR="007B6C97" w:rsidRDefault="00E426D1">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64"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6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66" w14:textId="77777777" w:rsidR="007B6C97" w:rsidRDefault="00E426D1">
            <w:pPr>
              <w:jc w:val="right"/>
              <w:textAlignment w:val="bottom"/>
            </w:pPr>
            <w:r>
              <w:rPr>
                <w:rFonts w:ascii="Times New Roman" w:eastAsia="宋体" w:hAnsi="Times New Roman"/>
                <w:color w:val="000000"/>
                <w:sz w:val="20"/>
                <w:szCs w:val="20"/>
              </w:rPr>
              <w:t>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6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68"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6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6A" w14:textId="77777777" w:rsidR="007B6C97" w:rsidRDefault="00E426D1">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6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6C"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6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6E"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6F" w14:textId="77777777" w:rsidR="007B6C97" w:rsidRDefault="007B6C97">
            <w:pPr>
              <w:jc w:val="right"/>
              <w:rPr>
                <w:rFonts w:ascii="宋体"/>
              </w:rPr>
            </w:pPr>
          </w:p>
        </w:tc>
      </w:tr>
    </w:tbl>
    <w:p w14:paraId="64297D71" w14:textId="77777777" w:rsidR="007B6C97" w:rsidRDefault="00E426D1">
      <w:pPr>
        <w:spacing w:before="100"/>
      </w:pPr>
      <w:r>
        <w:rPr>
          <w:rFonts w:ascii="Times New Roman" w:eastAsia="宋体" w:hAnsi="Times New Roman"/>
          <w:color w:val="000000"/>
          <w:sz w:val="20"/>
          <w:szCs w:val="20"/>
        </w:rPr>
        <w:t>There were no material transfers between levels and there was no significant activity within Level 3 instrum</w:t>
      </w:r>
      <w:r>
        <w:rPr>
          <w:rFonts w:ascii="Times New Roman" w:eastAsia="宋体" w:hAnsi="Times New Roman"/>
          <w:color w:val="000000"/>
          <w:sz w:val="20"/>
          <w:szCs w:val="20"/>
        </w:rPr>
        <w:t>ents during the periods presented. The fair values of any financial instruments presented above exclude the impact of netting assets and liabilities when a legally enforceable master netting agreement exists.</w:t>
      </w:r>
    </w:p>
    <w:p w14:paraId="64297D72" w14:textId="77777777" w:rsidR="007B6C97" w:rsidRDefault="00E426D1">
      <w:pPr>
        <w:spacing w:before="100"/>
      </w:pPr>
      <w:r>
        <w:rPr>
          <w:rFonts w:ascii="Times New Roman" w:eastAsia="宋体" w:hAnsi="Times New Roman"/>
          <w:color w:val="000000"/>
          <w:sz w:val="20"/>
          <w:szCs w:val="20"/>
        </w:rPr>
        <w:t>Gross unrealized holding gains and losses on av</w:t>
      </w:r>
      <w:r>
        <w:rPr>
          <w:rFonts w:ascii="Times New Roman" w:eastAsia="宋体" w:hAnsi="Times New Roman"/>
          <w:color w:val="000000"/>
          <w:sz w:val="20"/>
          <w:szCs w:val="20"/>
        </w:rPr>
        <w:t xml:space="preserve">ailable-for-sale debt securities and marketable equity securities were not material as of July 3, 2022 and October 3, 2021. </w:t>
      </w:r>
    </w:p>
    <w:p w14:paraId="64297D73" w14:textId="77777777" w:rsidR="007B6C97" w:rsidRDefault="00E426D1">
      <w:pPr>
        <w:spacing w:before="180"/>
      </w:pPr>
      <w:r>
        <w:rPr>
          <w:rFonts w:ascii="Times New Roman" w:eastAsia="宋体" w:hAnsi="Times New Roman"/>
          <w:b/>
          <w:bCs/>
          <w:i/>
          <w:iCs/>
          <w:color w:val="000000"/>
          <w:sz w:val="20"/>
          <w:szCs w:val="20"/>
        </w:rPr>
        <w:t xml:space="preserve">Assets and Liabilities Measured at Fair Value on a Nonrecurring Basis </w:t>
      </w:r>
    </w:p>
    <w:p w14:paraId="64297D74" w14:textId="77777777" w:rsidR="007B6C97" w:rsidRDefault="00E426D1">
      <w:pPr>
        <w:spacing w:before="100"/>
      </w:pPr>
      <w:r>
        <w:rPr>
          <w:rFonts w:ascii="Times New Roman" w:eastAsia="宋体" w:hAnsi="Times New Roman"/>
          <w:color w:val="000000"/>
          <w:sz w:val="20"/>
          <w:szCs w:val="20"/>
        </w:rPr>
        <w:t>Assets and liabilities recognized or disclosed at fair value</w:t>
      </w:r>
      <w:r>
        <w:rPr>
          <w:rFonts w:ascii="Times New Roman" w:eastAsia="宋体" w:hAnsi="Times New Roman"/>
          <w:color w:val="000000"/>
          <w:sz w:val="20"/>
          <w:szCs w:val="20"/>
        </w:rPr>
        <w:t xml:space="preserve"> on the consolidated financial statements on a nonrecurring basis include items such as property, plant and equipment, ROU assets, goodwill and other intangible assets and other assets. These assets are measured at fair value if determined to be impaired.</w:t>
      </w:r>
    </w:p>
    <w:p w14:paraId="64297D75" w14:textId="77777777" w:rsidR="007B6C97" w:rsidRDefault="00E426D1">
      <w:pPr>
        <w:jc w:val="center"/>
      </w:pPr>
      <w:r>
        <w:rPr>
          <w:rFonts w:ascii="Times New Roman" w:eastAsia="宋体" w:hAnsi="Times New Roman"/>
          <w:color w:val="000000"/>
          <w:sz w:val="20"/>
          <w:szCs w:val="20"/>
        </w:rPr>
        <w:t>17</w:t>
      </w:r>
    </w:p>
    <w:p w14:paraId="64297D76" w14:textId="77777777" w:rsidR="007B6C97" w:rsidRDefault="00E426D1">
      <w:r>
        <w:pict w14:anchorId="642999EB">
          <v:rect id="_x0000_i1041" style="width:415.3pt;height:1.5pt" o:hralign="center" o:hrstd="t" o:hr="t" fillcolor="#a0a0a0" stroked="f"/>
        </w:pict>
      </w:r>
    </w:p>
    <w:p w14:paraId="64297D77" w14:textId="77777777" w:rsidR="007B6C97" w:rsidRDefault="00E426D1">
      <w:hyperlink r:id="rId110" w:anchor="ie38a2b375c9840e583a36769999bbee6_7" w:history="1">
        <w:r>
          <w:rPr>
            <w:rStyle w:val="a5"/>
            <w:rFonts w:ascii="Times New Roman" w:eastAsia="宋体" w:hAnsi="Times New Roman"/>
            <w:sz w:val="20"/>
            <w:szCs w:val="20"/>
          </w:rPr>
          <w:t>Table</w:t>
        </w:r>
      </w:hyperlink>
      <w:hyperlink r:id="rId111" w:anchor="ie38a2b375c9840e583a36769999bbee6_7" w:history="1">
        <w:r>
          <w:rPr>
            <w:rStyle w:val="a5"/>
            <w:rFonts w:ascii="Times New Roman" w:eastAsia="宋体" w:hAnsi="Times New Roman"/>
            <w:sz w:val="20"/>
            <w:szCs w:val="20"/>
          </w:rPr>
          <w:t xml:space="preserve"> of Contents</w:t>
        </w:r>
      </w:hyperlink>
    </w:p>
    <w:p w14:paraId="64297D78" w14:textId="77777777" w:rsidR="007B6C97" w:rsidRDefault="00E426D1">
      <w:pPr>
        <w:spacing w:before="180"/>
      </w:pPr>
      <w:r>
        <w:rPr>
          <w:rFonts w:ascii="Times New Roman" w:eastAsia="宋体" w:hAnsi="Times New Roman"/>
          <w:color w:val="000000"/>
          <w:sz w:val="20"/>
          <w:szCs w:val="20"/>
        </w:rPr>
        <w:t xml:space="preserve">The estimated fair value of our long-term debt based on the quoted market price (Level 2) </w:t>
      </w:r>
      <w:r>
        <w:rPr>
          <w:rFonts w:ascii="Times New Roman" w:eastAsia="宋体" w:hAnsi="Times New Roman"/>
          <w:color w:val="000000"/>
          <w:sz w:val="20"/>
          <w:szCs w:val="20"/>
        </w:rPr>
        <w:t xml:space="preserve">is included at </w:t>
      </w:r>
      <w:hyperlink r:id="rId112" w:anchor="ie38a2b375c9840e583a36769999bbee6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There were no material fair value adjustments during the three quarters e</w:t>
      </w:r>
      <w:r>
        <w:rPr>
          <w:rFonts w:ascii="Times New Roman" w:eastAsia="宋体" w:hAnsi="Times New Roman"/>
          <w:color w:val="000000"/>
          <w:sz w:val="20"/>
          <w:szCs w:val="20"/>
        </w:rPr>
        <w:t>nded July 3, 2022 and June 27, 2021.</w:t>
      </w:r>
    </w:p>
    <w:p w14:paraId="64297D79" w14:textId="77777777" w:rsidR="007B6C97" w:rsidRDefault="00E426D1">
      <w:pPr>
        <w:spacing w:before="120"/>
      </w:pPr>
      <w:r>
        <w:rPr>
          <w:rFonts w:ascii="Times New Roman" w:eastAsia="宋体" w:hAnsi="Times New Roman"/>
          <w:b/>
          <w:bCs/>
          <w:color w:val="000000"/>
          <w:sz w:val="20"/>
          <w:szCs w:val="20"/>
        </w:rPr>
        <w:t>Note 4: 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246"/>
        <w:gridCol w:w="36"/>
        <w:gridCol w:w="120"/>
        <w:gridCol w:w="1304"/>
        <w:gridCol w:w="36"/>
        <w:gridCol w:w="36"/>
        <w:gridCol w:w="36"/>
        <w:gridCol w:w="36"/>
        <w:gridCol w:w="120"/>
        <w:gridCol w:w="1292"/>
        <w:gridCol w:w="36"/>
      </w:tblGrid>
      <w:tr w:rsidR="007B6C97" w14:paraId="64297D86" w14:textId="77777777">
        <w:tc>
          <w:tcPr>
            <w:tcW w:w="50" w:type="pct"/>
            <w:shd w:val="clear" w:color="auto" w:fill="auto"/>
            <w:vAlign w:val="bottom"/>
          </w:tcPr>
          <w:p w14:paraId="64297D7A" w14:textId="77777777" w:rsidR="007B6C97" w:rsidRDefault="007B6C97">
            <w:pPr>
              <w:rPr>
                <w:rFonts w:ascii="宋体"/>
              </w:rPr>
            </w:pPr>
          </w:p>
        </w:tc>
        <w:tc>
          <w:tcPr>
            <w:tcW w:w="3183" w:type="pct"/>
            <w:shd w:val="clear" w:color="auto" w:fill="auto"/>
            <w:vAlign w:val="bottom"/>
          </w:tcPr>
          <w:p w14:paraId="64297D7B" w14:textId="77777777" w:rsidR="007B6C97" w:rsidRDefault="007B6C97">
            <w:pPr>
              <w:rPr>
                <w:rFonts w:ascii="宋体"/>
              </w:rPr>
            </w:pPr>
          </w:p>
        </w:tc>
        <w:tc>
          <w:tcPr>
            <w:tcW w:w="5" w:type="pct"/>
            <w:shd w:val="clear" w:color="auto" w:fill="auto"/>
            <w:vAlign w:val="bottom"/>
          </w:tcPr>
          <w:p w14:paraId="64297D7C" w14:textId="77777777" w:rsidR="007B6C97" w:rsidRDefault="007B6C97">
            <w:pPr>
              <w:rPr>
                <w:rFonts w:ascii="宋体"/>
              </w:rPr>
            </w:pPr>
          </w:p>
        </w:tc>
        <w:tc>
          <w:tcPr>
            <w:tcW w:w="50" w:type="pct"/>
            <w:shd w:val="clear" w:color="auto" w:fill="auto"/>
            <w:vAlign w:val="bottom"/>
          </w:tcPr>
          <w:p w14:paraId="64297D7D" w14:textId="77777777" w:rsidR="007B6C97" w:rsidRDefault="007B6C97">
            <w:pPr>
              <w:rPr>
                <w:rFonts w:ascii="宋体"/>
              </w:rPr>
            </w:pPr>
          </w:p>
        </w:tc>
        <w:tc>
          <w:tcPr>
            <w:tcW w:w="814" w:type="pct"/>
            <w:shd w:val="clear" w:color="auto" w:fill="auto"/>
            <w:vAlign w:val="bottom"/>
          </w:tcPr>
          <w:p w14:paraId="64297D7E" w14:textId="77777777" w:rsidR="007B6C97" w:rsidRDefault="007B6C97">
            <w:pPr>
              <w:rPr>
                <w:rFonts w:ascii="宋体"/>
              </w:rPr>
            </w:pPr>
          </w:p>
        </w:tc>
        <w:tc>
          <w:tcPr>
            <w:tcW w:w="5" w:type="pct"/>
            <w:shd w:val="clear" w:color="auto" w:fill="auto"/>
            <w:vAlign w:val="bottom"/>
          </w:tcPr>
          <w:p w14:paraId="64297D7F" w14:textId="77777777" w:rsidR="007B6C97" w:rsidRDefault="007B6C97">
            <w:pPr>
              <w:rPr>
                <w:rFonts w:ascii="宋体"/>
              </w:rPr>
            </w:pPr>
          </w:p>
        </w:tc>
        <w:tc>
          <w:tcPr>
            <w:tcW w:w="5" w:type="pct"/>
            <w:shd w:val="clear" w:color="auto" w:fill="auto"/>
            <w:vAlign w:val="bottom"/>
          </w:tcPr>
          <w:p w14:paraId="64297D80" w14:textId="77777777" w:rsidR="007B6C97" w:rsidRDefault="007B6C97">
            <w:pPr>
              <w:rPr>
                <w:rFonts w:ascii="宋体"/>
              </w:rPr>
            </w:pPr>
          </w:p>
        </w:tc>
        <w:tc>
          <w:tcPr>
            <w:tcW w:w="19" w:type="pct"/>
            <w:shd w:val="clear" w:color="auto" w:fill="auto"/>
            <w:vAlign w:val="bottom"/>
          </w:tcPr>
          <w:p w14:paraId="64297D81" w14:textId="77777777" w:rsidR="007B6C97" w:rsidRDefault="007B6C97">
            <w:pPr>
              <w:rPr>
                <w:rFonts w:ascii="宋体"/>
              </w:rPr>
            </w:pPr>
          </w:p>
        </w:tc>
        <w:tc>
          <w:tcPr>
            <w:tcW w:w="5" w:type="pct"/>
            <w:shd w:val="clear" w:color="auto" w:fill="auto"/>
            <w:vAlign w:val="bottom"/>
          </w:tcPr>
          <w:p w14:paraId="64297D82" w14:textId="77777777" w:rsidR="007B6C97" w:rsidRDefault="007B6C97">
            <w:pPr>
              <w:rPr>
                <w:rFonts w:ascii="宋体"/>
              </w:rPr>
            </w:pPr>
          </w:p>
        </w:tc>
        <w:tc>
          <w:tcPr>
            <w:tcW w:w="50" w:type="pct"/>
            <w:shd w:val="clear" w:color="auto" w:fill="auto"/>
            <w:vAlign w:val="bottom"/>
          </w:tcPr>
          <w:p w14:paraId="64297D83" w14:textId="77777777" w:rsidR="007B6C97" w:rsidRDefault="007B6C97">
            <w:pPr>
              <w:rPr>
                <w:rFonts w:ascii="宋体"/>
              </w:rPr>
            </w:pPr>
          </w:p>
        </w:tc>
        <w:tc>
          <w:tcPr>
            <w:tcW w:w="807" w:type="pct"/>
            <w:shd w:val="clear" w:color="auto" w:fill="auto"/>
            <w:vAlign w:val="bottom"/>
          </w:tcPr>
          <w:p w14:paraId="64297D84" w14:textId="77777777" w:rsidR="007B6C97" w:rsidRDefault="007B6C97">
            <w:pPr>
              <w:rPr>
                <w:rFonts w:ascii="宋体"/>
              </w:rPr>
            </w:pPr>
          </w:p>
        </w:tc>
        <w:tc>
          <w:tcPr>
            <w:tcW w:w="5" w:type="pct"/>
            <w:shd w:val="clear" w:color="auto" w:fill="auto"/>
            <w:vAlign w:val="bottom"/>
          </w:tcPr>
          <w:p w14:paraId="64297D85" w14:textId="77777777" w:rsidR="007B6C97" w:rsidRDefault="007B6C97">
            <w:pPr>
              <w:rPr>
                <w:rFonts w:ascii="宋体"/>
              </w:rPr>
            </w:pPr>
          </w:p>
        </w:tc>
      </w:tr>
      <w:tr w:rsidR="007B6C97" w14:paraId="64297D8B" w14:textId="77777777">
        <w:tc>
          <w:tcPr>
            <w:tcW w:w="0" w:type="auto"/>
            <w:gridSpan w:val="3"/>
            <w:shd w:val="clear" w:color="auto" w:fill="auto"/>
            <w:tcMar>
              <w:top w:w="0" w:type="dxa"/>
              <w:left w:w="20" w:type="dxa"/>
              <w:bottom w:w="0" w:type="dxa"/>
              <w:right w:w="20" w:type="dxa"/>
            </w:tcMar>
            <w:vAlign w:val="bottom"/>
          </w:tcPr>
          <w:p w14:paraId="64297D8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D88"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D8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D8A"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D90" w14:textId="77777777">
        <w:tc>
          <w:tcPr>
            <w:tcW w:w="0" w:type="auto"/>
            <w:gridSpan w:val="3"/>
            <w:shd w:val="clear" w:color="auto" w:fill="D7E4BC"/>
            <w:tcMar>
              <w:top w:w="40" w:type="dxa"/>
              <w:left w:w="20" w:type="dxa"/>
              <w:bottom w:w="40" w:type="dxa"/>
              <w:right w:w="20" w:type="dxa"/>
            </w:tcMar>
          </w:tcPr>
          <w:p w14:paraId="64297D8C" w14:textId="77777777" w:rsidR="007B6C97" w:rsidRDefault="00E426D1">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D8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7D8E"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7D8F" w14:textId="77777777" w:rsidR="007B6C97" w:rsidRDefault="007B6C97">
            <w:pPr>
              <w:rPr>
                <w:rFonts w:ascii="宋体"/>
              </w:rPr>
            </w:pPr>
          </w:p>
        </w:tc>
      </w:tr>
      <w:tr w:rsidR="007B6C97" w14:paraId="64297D99" w14:textId="77777777">
        <w:tc>
          <w:tcPr>
            <w:tcW w:w="0" w:type="auto"/>
            <w:gridSpan w:val="3"/>
            <w:shd w:val="clear" w:color="auto" w:fill="FFFFFF"/>
            <w:tcMar>
              <w:top w:w="40" w:type="dxa"/>
              <w:left w:w="380" w:type="dxa"/>
              <w:bottom w:w="40" w:type="dxa"/>
              <w:right w:w="20" w:type="dxa"/>
            </w:tcMar>
          </w:tcPr>
          <w:p w14:paraId="64297D91" w14:textId="77777777" w:rsidR="007B6C97" w:rsidRDefault="00E426D1">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64297D9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D93" w14:textId="77777777" w:rsidR="007B6C97" w:rsidRDefault="00E426D1">
            <w:pPr>
              <w:jc w:val="right"/>
              <w:textAlignment w:val="bottom"/>
            </w:pPr>
            <w:r>
              <w:rPr>
                <w:rFonts w:ascii="Times New Roman" w:eastAsia="宋体" w:hAnsi="Times New Roman"/>
                <w:color w:val="000000"/>
                <w:sz w:val="20"/>
                <w:szCs w:val="20"/>
              </w:rPr>
              <w:t>1,046.7 </w:t>
            </w:r>
          </w:p>
        </w:tc>
        <w:tc>
          <w:tcPr>
            <w:tcW w:w="0" w:type="auto"/>
            <w:shd w:val="clear" w:color="auto" w:fill="FFFFFF"/>
            <w:tcMar>
              <w:top w:w="40" w:type="dxa"/>
              <w:left w:w="0" w:type="dxa"/>
              <w:bottom w:w="40" w:type="dxa"/>
              <w:right w:w="20" w:type="dxa"/>
            </w:tcMar>
            <w:vAlign w:val="bottom"/>
          </w:tcPr>
          <w:p w14:paraId="64297D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95"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7D9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7D97" w14:textId="77777777" w:rsidR="007B6C97" w:rsidRDefault="00E426D1">
            <w:pPr>
              <w:jc w:val="right"/>
              <w:textAlignment w:val="bottom"/>
            </w:pPr>
            <w:r>
              <w:rPr>
                <w:rFonts w:ascii="Times New Roman" w:eastAsia="宋体" w:hAnsi="Times New Roman"/>
                <w:color w:val="000000"/>
                <w:sz w:val="20"/>
                <w:szCs w:val="20"/>
              </w:rPr>
              <w:t>670.3 </w:t>
            </w:r>
          </w:p>
        </w:tc>
        <w:tc>
          <w:tcPr>
            <w:tcW w:w="0" w:type="auto"/>
            <w:shd w:val="clear" w:color="auto" w:fill="FFFFFF"/>
            <w:tcMar>
              <w:top w:w="40" w:type="dxa"/>
              <w:left w:w="0" w:type="dxa"/>
              <w:bottom w:w="40" w:type="dxa"/>
              <w:right w:w="20" w:type="dxa"/>
            </w:tcMar>
            <w:vAlign w:val="bottom"/>
          </w:tcPr>
          <w:p w14:paraId="64297D98" w14:textId="77777777" w:rsidR="007B6C97" w:rsidRDefault="007B6C97">
            <w:pPr>
              <w:jc w:val="right"/>
              <w:rPr>
                <w:rFonts w:ascii="宋体"/>
              </w:rPr>
            </w:pPr>
          </w:p>
        </w:tc>
      </w:tr>
      <w:tr w:rsidR="007B6C97" w14:paraId="64297DA0" w14:textId="77777777">
        <w:tc>
          <w:tcPr>
            <w:tcW w:w="0" w:type="auto"/>
            <w:gridSpan w:val="3"/>
            <w:shd w:val="clear" w:color="auto" w:fill="D7E4BC"/>
            <w:tcMar>
              <w:top w:w="40" w:type="dxa"/>
              <w:left w:w="380" w:type="dxa"/>
              <w:bottom w:w="40" w:type="dxa"/>
              <w:right w:w="20" w:type="dxa"/>
            </w:tcMar>
          </w:tcPr>
          <w:p w14:paraId="64297D9A" w14:textId="77777777" w:rsidR="007B6C97" w:rsidRDefault="00E426D1">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64297D9B" w14:textId="77777777" w:rsidR="007B6C97" w:rsidRDefault="00E426D1">
            <w:pPr>
              <w:jc w:val="right"/>
              <w:textAlignment w:val="bottom"/>
            </w:pPr>
            <w:r>
              <w:rPr>
                <w:rFonts w:ascii="Times New Roman" w:eastAsia="宋体" w:hAnsi="Times New Roman"/>
                <w:color w:val="000000"/>
                <w:sz w:val="20"/>
                <w:szCs w:val="20"/>
              </w:rPr>
              <w:t>295.4 </w:t>
            </w:r>
          </w:p>
        </w:tc>
        <w:tc>
          <w:tcPr>
            <w:tcW w:w="0" w:type="auto"/>
            <w:shd w:val="clear" w:color="auto" w:fill="D7E4BC"/>
            <w:tcMar>
              <w:top w:w="40" w:type="dxa"/>
              <w:left w:w="0" w:type="dxa"/>
              <w:bottom w:w="40" w:type="dxa"/>
              <w:right w:w="20" w:type="dxa"/>
            </w:tcMar>
            <w:vAlign w:val="bottom"/>
          </w:tcPr>
          <w:p w14:paraId="64297D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9E" w14:textId="77777777" w:rsidR="007B6C97" w:rsidRDefault="00E426D1">
            <w:pPr>
              <w:jc w:val="right"/>
              <w:textAlignment w:val="bottom"/>
            </w:pPr>
            <w:r>
              <w:rPr>
                <w:rFonts w:ascii="Times New Roman" w:eastAsia="宋体" w:hAnsi="Times New Roman"/>
                <w:color w:val="000000"/>
                <w:sz w:val="20"/>
                <w:szCs w:val="20"/>
              </w:rPr>
              <w:t>233.5 </w:t>
            </w:r>
          </w:p>
        </w:tc>
        <w:tc>
          <w:tcPr>
            <w:tcW w:w="0" w:type="auto"/>
            <w:shd w:val="clear" w:color="auto" w:fill="D7E4BC"/>
            <w:tcMar>
              <w:top w:w="40" w:type="dxa"/>
              <w:left w:w="0" w:type="dxa"/>
              <w:bottom w:w="40" w:type="dxa"/>
              <w:right w:w="20" w:type="dxa"/>
            </w:tcMar>
            <w:vAlign w:val="bottom"/>
          </w:tcPr>
          <w:p w14:paraId="64297D9F" w14:textId="77777777" w:rsidR="007B6C97" w:rsidRDefault="007B6C97">
            <w:pPr>
              <w:jc w:val="right"/>
              <w:rPr>
                <w:rFonts w:ascii="宋体"/>
              </w:rPr>
            </w:pPr>
          </w:p>
        </w:tc>
      </w:tr>
      <w:tr w:rsidR="007B6C97" w14:paraId="64297DA7" w14:textId="77777777">
        <w:tc>
          <w:tcPr>
            <w:tcW w:w="0" w:type="auto"/>
            <w:gridSpan w:val="3"/>
            <w:shd w:val="clear" w:color="auto" w:fill="FFFFFF"/>
            <w:tcMar>
              <w:top w:w="40" w:type="dxa"/>
              <w:left w:w="20" w:type="dxa"/>
              <w:bottom w:w="40" w:type="dxa"/>
              <w:right w:w="20" w:type="dxa"/>
            </w:tcMar>
          </w:tcPr>
          <w:p w14:paraId="64297DA1" w14:textId="77777777" w:rsidR="007B6C97" w:rsidRDefault="00E426D1">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64297DA2" w14:textId="77777777" w:rsidR="007B6C97" w:rsidRDefault="00E426D1">
            <w:pPr>
              <w:jc w:val="right"/>
              <w:textAlignment w:val="bottom"/>
            </w:pPr>
            <w:r>
              <w:rPr>
                <w:rFonts w:ascii="Times New Roman" w:eastAsia="宋体" w:hAnsi="Times New Roman"/>
                <w:color w:val="000000"/>
                <w:sz w:val="20"/>
                <w:szCs w:val="20"/>
              </w:rPr>
              <w:t>373.6 </w:t>
            </w:r>
          </w:p>
        </w:tc>
        <w:tc>
          <w:tcPr>
            <w:tcW w:w="0" w:type="auto"/>
            <w:shd w:val="clear" w:color="auto" w:fill="FFFFFF"/>
            <w:tcMar>
              <w:top w:w="40" w:type="dxa"/>
              <w:left w:w="0" w:type="dxa"/>
              <w:bottom w:w="40" w:type="dxa"/>
              <w:right w:w="20" w:type="dxa"/>
            </w:tcMar>
            <w:vAlign w:val="bottom"/>
          </w:tcPr>
          <w:p w14:paraId="64297DA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A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DA5" w14:textId="77777777" w:rsidR="007B6C97" w:rsidRDefault="00E426D1">
            <w:pPr>
              <w:jc w:val="right"/>
              <w:textAlignment w:val="bottom"/>
            </w:pPr>
            <w:r>
              <w:rPr>
                <w:rFonts w:ascii="Times New Roman" w:eastAsia="宋体" w:hAnsi="Times New Roman"/>
                <w:color w:val="000000"/>
                <w:sz w:val="20"/>
                <w:szCs w:val="20"/>
              </w:rPr>
              <w:t>329.3 </w:t>
            </w:r>
          </w:p>
        </w:tc>
        <w:tc>
          <w:tcPr>
            <w:tcW w:w="0" w:type="auto"/>
            <w:shd w:val="clear" w:color="auto" w:fill="FFFFFF"/>
            <w:tcMar>
              <w:top w:w="40" w:type="dxa"/>
              <w:left w:w="0" w:type="dxa"/>
              <w:bottom w:w="40" w:type="dxa"/>
              <w:right w:w="20" w:type="dxa"/>
            </w:tcMar>
            <w:vAlign w:val="bottom"/>
          </w:tcPr>
          <w:p w14:paraId="64297DA6" w14:textId="77777777" w:rsidR="007B6C97" w:rsidRDefault="007B6C97">
            <w:pPr>
              <w:jc w:val="right"/>
              <w:rPr>
                <w:rFonts w:ascii="宋体"/>
              </w:rPr>
            </w:pPr>
          </w:p>
        </w:tc>
      </w:tr>
      <w:tr w:rsidR="007B6C97" w14:paraId="64297DAE" w14:textId="77777777">
        <w:tc>
          <w:tcPr>
            <w:tcW w:w="0" w:type="auto"/>
            <w:gridSpan w:val="3"/>
            <w:shd w:val="clear" w:color="auto" w:fill="D7E4BC"/>
            <w:tcMar>
              <w:top w:w="40" w:type="dxa"/>
              <w:left w:w="20" w:type="dxa"/>
              <w:bottom w:w="40" w:type="dxa"/>
              <w:right w:w="20" w:type="dxa"/>
            </w:tcMar>
          </w:tcPr>
          <w:p w14:paraId="64297DA8" w14:textId="77777777" w:rsidR="007B6C97" w:rsidRDefault="00E426D1">
            <w:pPr>
              <w:textAlignment w:val="top"/>
            </w:pPr>
            <w:r>
              <w:rPr>
                <w:rFonts w:ascii="Times New Roman" w:eastAsia="宋体" w:hAnsi="Times New Roman"/>
                <w:color w:val="000000"/>
                <w:sz w:val="20"/>
                <w:szCs w:val="20"/>
              </w:rPr>
              <w:t xml:space="preserve">Packaging and </w:t>
            </w:r>
            <w:r>
              <w:rPr>
                <w:rFonts w:ascii="Times New Roman" w:eastAsia="宋体" w:hAnsi="Times New Roman"/>
                <w:color w:val="000000"/>
                <w:sz w:val="20"/>
                <w:szCs w:val="20"/>
              </w:rPr>
              <w:t>other supplies</w:t>
            </w:r>
          </w:p>
        </w:tc>
        <w:tc>
          <w:tcPr>
            <w:tcW w:w="0" w:type="auto"/>
            <w:gridSpan w:val="2"/>
            <w:shd w:val="clear" w:color="auto" w:fill="D7E4BC"/>
            <w:tcMar>
              <w:top w:w="40" w:type="dxa"/>
              <w:left w:w="20" w:type="dxa"/>
              <w:bottom w:w="40" w:type="dxa"/>
              <w:right w:w="0" w:type="dxa"/>
            </w:tcMar>
            <w:vAlign w:val="bottom"/>
          </w:tcPr>
          <w:p w14:paraId="64297DA9" w14:textId="77777777" w:rsidR="007B6C97" w:rsidRDefault="00E426D1">
            <w:pPr>
              <w:jc w:val="right"/>
              <w:textAlignment w:val="bottom"/>
            </w:pPr>
            <w:r>
              <w:rPr>
                <w:rFonts w:ascii="Times New Roman" w:eastAsia="宋体" w:hAnsi="Times New Roman"/>
                <w:color w:val="000000"/>
                <w:sz w:val="20"/>
                <w:szCs w:val="20"/>
              </w:rPr>
              <w:t>417.2 </w:t>
            </w:r>
          </w:p>
        </w:tc>
        <w:tc>
          <w:tcPr>
            <w:tcW w:w="0" w:type="auto"/>
            <w:shd w:val="clear" w:color="auto" w:fill="D7E4BC"/>
            <w:tcMar>
              <w:top w:w="40" w:type="dxa"/>
              <w:left w:w="0" w:type="dxa"/>
              <w:bottom w:w="40" w:type="dxa"/>
              <w:right w:w="20" w:type="dxa"/>
            </w:tcMar>
            <w:vAlign w:val="bottom"/>
          </w:tcPr>
          <w:p w14:paraId="64297DA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A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AC" w14:textId="77777777" w:rsidR="007B6C97" w:rsidRDefault="00E426D1">
            <w:pPr>
              <w:jc w:val="right"/>
              <w:textAlignment w:val="bottom"/>
            </w:pPr>
            <w:r>
              <w:rPr>
                <w:rFonts w:ascii="Times New Roman" w:eastAsia="宋体" w:hAnsi="Times New Roman"/>
                <w:color w:val="000000"/>
                <w:sz w:val="20"/>
                <w:szCs w:val="20"/>
              </w:rPr>
              <w:t>370.8 </w:t>
            </w:r>
          </w:p>
        </w:tc>
        <w:tc>
          <w:tcPr>
            <w:tcW w:w="0" w:type="auto"/>
            <w:shd w:val="clear" w:color="auto" w:fill="D7E4BC"/>
            <w:tcMar>
              <w:top w:w="40" w:type="dxa"/>
              <w:left w:w="0" w:type="dxa"/>
              <w:bottom w:w="40" w:type="dxa"/>
              <w:right w:w="20" w:type="dxa"/>
            </w:tcMar>
            <w:vAlign w:val="bottom"/>
          </w:tcPr>
          <w:p w14:paraId="64297DAD" w14:textId="77777777" w:rsidR="007B6C97" w:rsidRDefault="007B6C97">
            <w:pPr>
              <w:jc w:val="right"/>
              <w:rPr>
                <w:rFonts w:ascii="宋体"/>
              </w:rPr>
            </w:pPr>
          </w:p>
        </w:tc>
      </w:tr>
      <w:tr w:rsidR="007B6C97" w14:paraId="64297DB7" w14:textId="77777777">
        <w:tc>
          <w:tcPr>
            <w:tcW w:w="0" w:type="auto"/>
            <w:gridSpan w:val="3"/>
            <w:shd w:val="clear" w:color="auto" w:fill="FFFFFF"/>
            <w:tcMar>
              <w:top w:w="40" w:type="dxa"/>
              <w:left w:w="20" w:type="dxa"/>
              <w:bottom w:w="40" w:type="dxa"/>
              <w:right w:w="20" w:type="dxa"/>
            </w:tcMar>
          </w:tcPr>
          <w:p w14:paraId="64297DAF" w14:textId="77777777" w:rsidR="007B6C97" w:rsidRDefault="00E426D1">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B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B1" w14:textId="77777777" w:rsidR="007B6C97" w:rsidRDefault="00E426D1">
            <w:pPr>
              <w:jc w:val="right"/>
              <w:textAlignment w:val="bottom"/>
            </w:pPr>
            <w:r>
              <w:rPr>
                <w:rFonts w:ascii="Times New Roman" w:eastAsia="宋体" w:hAnsi="Times New Roman"/>
                <w:color w:val="000000"/>
                <w:sz w:val="20"/>
                <w:szCs w:val="20"/>
              </w:rPr>
              <w:t>2,132.9 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B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B3"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B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B5" w14:textId="77777777" w:rsidR="007B6C97" w:rsidRDefault="00E426D1">
            <w:pPr>
              <w:jc w:val="right"/>
              <w:textAlignment w:val="bottom"/>
            </w:pPr>
            <w:r>
              <w:rPr>
                <w:rFonts w:ascii="Times New Roman" w:eastAsia="宋体" w:hAnsi="Times New Roman"/>
                <w:color w:val="000000"/>
                <w:sz w:val="20"/>
                <w:szCs w:val="20"/>
              </w:rPr>
              <w:t>1,603.9 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B6" w14:textId="77777777" w:rsidR="007B6C97" w:rsidRDefault="007B6C97">
            <w:pPr>
              <w:jc w:val="right"/>
              <w:rPr>
                <w:rFonts w:ascii="宋体"/>
              </w:rPr>
            </w:pPr>
          </w:p>
        </w:tc>
      </w:tr>
    </w:tbl>
    <w:p w14:paraId="64297DB8" w14:textId="77777777" w:rsidR="007B6C97" w:rsidRDefault="00E426D1">
      <w:pPr>
        <w:spacing w:before="120"/>
      </w:pPr>
      <w:r>
        <w:rPr>
          <w:rFonts w:ascii="Times New Roman" w:eastAsia="宋体" w:hAnsi="Times New Roman"/>
          <w:color w:val="000000"/>
          <w:sz w:val="20"/>
          <w:szCs w:val="20"/>
        </w:rPr>
        <w:t>Other merchandise held for sale includes, among other items, serveware, food and tea. Inventory levels vary due to seasonality, commodity market supply and price fluctuations.</w:t>
      </w:r>
    </w:p>
    <w:p w14:paraId="64297DB9" w14:textId="77777777" w:rsidR="007B6C97" w:rsidRDefault="00E426D1">
      <w:pPr>
        <w:spacing w:before="120"/>
      </w:pPr>
      <w:r>
        <w:rPr>
          <w:rFonts w:ascii="Times New Roman" w:eastAsia="宋体" w:hAnsi="Times New Roman"/>
          <w:color w:val="000000"/>
          <w:sz w:val="20"/>
          <w:szCs w:val="20"/>
        </w:rPr>
        <w:t>As of July 3, 2022, we had committed to purchasing green coffee totaling $483 million under fixed-price contracts and an estimated $1.2 billion under price-to-be-fixed contracts. A portion of our price-to-be-fixed contracts are effectively fixed through th</w:t>
      </w:r>
      <w:r>
        <w:rPr>
          <w:rFonts w:ascii="Times New Roman" w:eastAsia="宋体" w:hAnsi="Times New Roman"/>
          <w:color w:val="000000"/>
          <w:sz w:val="20"/>
          <w:szCs w:val="20"/>
        </w:rPr>
        <w:t xml:space="preserve">e use of futures. See </w:t>
      </w:r>
      <w:hyperlink r:id="rId113" w:anchor="ie38a2b375c9840e583a36769999bbee6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 further discussion. Price-to-be-fi</w:t>
      </w:r>
      <w:r>
        <w:rPr>
          <w:rFonts w:ascii="Times New Roman" w:eastAsia="宋体" w:hAnsi="Times New Roman"/>
          <w:color w:val="000000"/>
          <w:sz w:val="20"/>
          <w:szCs w:val="20"/>
        </w:rPr>
        <w:t>xed contracts are purchase commitments whereby the quality, quantity, delivery period and other negotiated terms are agreed upon, but the date, and therefore the price, at which the base “C” coffee commodity price component will be fixed has not yet been e</w:t>
      </w:r>
      <w:r>
        <w:rPr>
          <w:rFonts w:ascii="Times New Roman" w:eastAsia="宋体" w:hAnsi="Times New Roman"/>
          <w:color w:val="000000"/>
          <w:sz w:val="20"/>
          <w:szCs w:val="20"/>
        </w:rPr>
        <w:t>stablished. For most contracts, either Starbucks or the seller has the option to “fix” the base “C” coffee commodity price prior to the delivery date. For other contracts, Starbucks and the seller may agree upon pricing parameters determined by the base “C</w:t>
      </w:r>
      <w:r>
        <w:rPr>
          <w:rFonts w:ascii="Times New Roman" w:eastAsia="宋体" w:hAnsi="Times New Roman"/>
          <w:color w:val="000000"/>
          <w:sz w:val="20"/>
          <w:szCs w:val="20"/>
        </w:rPr>
        <w:t xml:space="preserve">” coffee commodity price. Until prices are fixed, we estimate the total cost of these purchase commitments. We believe, based on established relationships with our suppliers and continuous monitoring, the risk of non-delivery on these purchase commitments </w:t>
      </w:r>
      <w:r>
        <w:rPr>
          <w:rFonts w:ascii="Times New Roman" w:eastAsia="宋体" w:hAnsi="Times New Roman"/>
          <w:color w:val="000000"/>
          <w:sz w:val="20"/>
          <w:szCs w:val="20"/>
        </w:rPr>
        <w:t>is remote.</w:t>
      </w:r>
    </w:p>
    <w:p w14:paraId="64297DBA" w14:textId="77777777" w:rsidR="007B6C97" w:rsidRDefault="007B6C97">
      <w:pPr>
        <w:spacing w:before="120"/>
      </w:pPr>
    </w:p>
    <w:p w14:paraId="64297DBB" w14:textId="77777777" w:rsidR="007B6C97" w:rsidRDefault="00E426D1">
      <w:pPr>
        <w:spacing w:before="120"/>
      </w:pPr>
      <w:r>
        <w:rPr>
          <w:rFonts w:ascii="Times New Roman" w:eastAsia="宋体" w:hAnsi="Times New Roman"/>
          <w:b/>
          <w:bCs/>
          <w:color w:val="000000"/>
          <w:sz w:val="20"/>
          <w:szCs w:val="20"/>
        </w:rPr>
        <w:t>Note 5: Supplemental Balance Sheet and Statement of Earnings Information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b/>
          <w:bCs/>
          <w:color w:val="000000"/>
          <w:sz w:val="20"/>
          <w:szCs w:val="20"/>
        </w:rPr>
        <w:t>:</w:t>
      </w:r>
    </w:p>
    <w:p w14:paraId="64297DBC" w14:textId="77777777" w:rsidR="007B6C97" w:rsidRDefault="00E426D1">
      <w:pPr>
        <w:spacing w:before="120"/>
      </w:pPr>
      <w:r>
        <w:rPr>
          <w:rFonts w:ascii="Times New Roman" w:eastAsia="宋体" w:hAnsi="Times New Roman"/>
          <w:b/>
          <w:bCs/>
          <w:i/>
          <w:iCs/>
          <w:color w:val="000000"/>
          <w:sz w:val="20"/>
          <w:szCs w:val="20"/>
        </w:rPr>
        <w:t>Prepaid Expenses and Other Current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7B6C97" w14:paraId="64297DC9" w14:textId="77777777">
        <w:tc>
          <w:tcPr>
            <w:tcW w:w="50" w:type="pct"/>
            <w:shd w:val="clear" w:color="auto" w:fill="auto"/>
            <w:vAlign w:val="bottom"/>
          </w:tcPr>
          <w:p w14:paraId="64297DBD" w14:textId="77777777" w:rsidR="007B6C97" w:rsidRDefault="007B6C97">
            <w:pPr>
              <w:rPr>
                <w:rFonts w:ascii="宋体"/>
              </w:rPr>
            </w:pPr>
          </w:p>
        </w:tc>
        <w:tc>
          <w:tcPr>
            <w:tcW w:w="3187" w:type="pct"/>
            <w:shd w:val="clear" w:color="auto" w:fill="auto"/>
            <w:vAlign w:val="bottom"/>
          </w:tcPr>
          <w:p w14:paraId="64297DBE" w14:textId="77777777" w:rsidR="007B6C97" w:rsidRDefault="007B6C97">
            <w:pPr>
              <w:rPr>
                <w:rFonts w:ascii="宋体"/>
              </w:rPr>
            </w:pPr>
          </w:p>
        </w:tc>
        <w:tc>
          <w:tcPr>
            <w:tcW w:w="5" w:type="pct"/>
            <w:shd w:val="clear" w:color="auto" w:fill="auto"/>
            <w:vAlign w:val="bottom"/>
          </w:tcPr>
          <w:p w14:paraId="64297DBF" w14:textId="77777777" w:rsidR="007B6C97" w:rsidRDefault="007B6C97">
            <w:pPr>
              <w:rPr>
                <w:rFonts w:ascii="宋体"/>
              </w:rPr>
            </w:pPr>
          </w:p>
        </w:tc>
        <w:tc>
          <w:tcPr>
            <w:tcW w:w="50" w:type="pct"/>
            <w:shd w:val="clear" w:color="auto" w:fill="auto"/>
            <w:vAlign w:val="bottom"/>
          </w:tcPr>
          <w:p w14:paraId="64297DC0" w14:textId="77777777" w:rsidR="007B6C97" w:rsidRDefault="007B6C97">
            <w:pPr>
              <w:rPr>
                <w:rFonts w:ascii="宋体"/>
              </w:rPr>
            </w:pPr>
          </w:p>
        </w:tc>
        <w:tc>
          <w:tcPr>
            <w:tcW w:w="808" w:type="pct"/>
            <w:shd w:val="clear" w:color="auto" w:fill="auto"/>
            <w:vAlign w:val="bottom"/>
          </w:tcPr>
          <w:p w14:paraId="64297DC1" w14:textId="77777777" w:rsidR="007B6C97" w:rsidRDefault="007B6C97">
            <w:pPr>
              <w:rPr>
                <w:rFonts w:ascii="宋体"/>
              </w:rPr>
            </w:pPr>
          </w:p>
        </w:tc>
        <w:tc>
          <w:tcPr>
            <w:tcW w:w="5" w:type="pct"/>
            <w:shd w:val="clear" w:color="auto" w:fill="auto"/>
            <w:vAlign w:val="bottom"/>
          </w:tcPr>
          <w:p w14:paraId="64297DC2" w14:textId="77777777" w:rsidR="007B6C97" w:rsidRDefault="007B6C97">
            <w:pPr>
              <w:rPr>
                <w:rFonts w:ascii="宋体"/>
              </w:rPr>
            </w:pPr>
          </w:p>
        </w:tc>
        <w:tc>
          <w:tcPr>
            <w:tcW w:w="5" w:type="pct"/>
            <w:shd w:val="clear" w:color="auto" w:fill="auto"/>
            <w:vAlign w:val="bottom"/>
          </w:tcPr>
          <w:p w14:paraId="64297DC3" w14:textId="77777777" w:rsidR="007B6C97" w:rsidRDefault="007B6C97">
            <w:pPr>
              <w:rPr>
                <w:rFonts w:ascii="宋体"/>
              </w:rPr>
            </w:pPr>
          </w:p>
        </w:tc>
        <w:tc>
          <w:tcPr>
            <w:tcW w:w="19" w:type="pct"/>
            <w:shd w:val="clear" w:color="auto" w:fill="auto"/>
            <w:vAlign w:val="bottom"/>
          </w:tcPr>
          <w:p w14:paraId="64297DC4" w14:textId="77777777" w:rsidR="007B6C97" w:rsidRDefault="007B6C97">
            <w:pPr>
              <w:rPr>
                <w:rFonts w:ascii="宋体"/>
              </w:rPr>
            </w:pPr>
          </w:p>
        </w:tc>
        <w:tc>
          <w:tcPr>
            <w:tcW w:w="5" w:type="pct"/>
            <w:shd w:val="clear" w:color="auto" w:fill="auto"/>
            <w:vAlign w:val="bottom"/>
          </w:tcPr>
          <w:p w14:paraId="64297DC5" w14:textId="77777777" w:rsidR="007B6C97" w:rsidRDefault="007B6C97">
            <w:pPr>
              <w:rPr>
                <w:rFonts w:ascii="宋体"/>
              </w:rPr>
            </w:pPr>
          </w:p>
        </w:tc>
        <w:tc>
          <w:tcPr>
            <w:tcW w:w="50" w:type="pct"/>
            <w:shd w:val="clear" w:color="auto" w:fill="auto"/>
            <w:vAlign w:val="bottom"/>
          </w:tcPr>
          <w:p w14:paraId="64297DC6" w14:textId="77777777" w:rsidR="007B6C97" w:rsidRDefault="007B6C97">
            <w:pPr>
              <w:rPr>
                <w:rFonts w:ascii="宋体"/>
              </w:rPr>
            </w:pPr>
          </w:p>
        </w:tc>
        <w:tc>
          <w:tcPr>
            <w:tcW w:w="808" w:type="pct"/>
            <w:shd w:val="clear" w:color="auto" w:fill="auto"/>
            <w:vAlign w:val="bottom"/>
          </w:tcPr>
          <w:p w14:paraId="64297DC7" w14:textId="77777777" w:rsidR="007B6C97" w:rsidRDefault="007B6C97">
            <w:pPr>
              <w:rPr>
                <w:rFonts w:ascii="宋体"/>
              </w:rPr>
            </w:pPr>
          </w:p>
        </w:tc>
        <w:tc>
          <w:tcPr>
            <w:tcW w:w="5" w:type="pct"/>
            <w:shd w:val="clear" w:color="auto" w:fill="auto"/>
            <w:vAlign w:val="bottom"/>
          </w:tcPr>
          <w:p w14:paraId="64297DC8" w14:textId="77777777" w:rsidR="007B6C97" w:rsidRDefault="007B6C97">
            <w:pPr>
              <w:rPr>
                <w:rFonts w:ascii="宋体"/>
              </w:rPr>
            </w:pPr>
          </w:p>
        </w:tc>
      </w:tr>
      <w:tr w:rsidR="007B6C97" w14:paraId="64297DCE" w14:textId="77777777">
        <w:tc>
          <w:tcPr>
            <w:tcW w:w="0" w:type="auto"/>
            <w:gridSpan w:val="3"/>
            <w:shd w:val="clear" w:color="auto" w:fill="auto"/>
            <w:tcMar>
              <w:top w:w="0" w:type="dxa"/>
              <w:left w:w="20" w:type="dxa"/>
              <w:bottom w:w="0" w:type="dxa"/>
              <w:right w:w="20" w:type="dxa"/>
            </w:tcMar>
            <w:vAlign w:val="bottom"/>
          </w:tcPr>
          <w:p w14:paraId="64297DC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DCB"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DC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DCD"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DD7" w14:textId="77777777">
        <w:tc>
          <w:tcPr>
            <w:tcW w:w="0" w:type="auto"/>
            <w:gridSpan w:val="3"/>
            <w:shd w:val="clear" w:color="auto" w:fill="D7E4BC"/>
            <w:tcMar>
              <w:top w:w="40" w:type="dxa"/>
              <w:left w:w="20" w:type="dxa"/>
              <w:bottom w:w="40" w:type="dxa"/>
              <w:right w:w="20" w:type="dxa"/>
            </w:tcMar>
          </w:tcPr>
          <w:p w14:paraId="64297DCF" w14:textId="77777777" w:rsidR="007B6C97" w:rsidRDefault="00E426D1">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DD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DD1" w14:textId="77777777" w:rsidR="007B6C97" w:rsidRDefault="00E426D1">
            <w:pPr>
              <w:jc w:val="right"/>
              <w:textAlignment w:val="bottom"/>
            </w:pPr>
            <w:r>
              <w:rPr>
                <w:rFonts w:ascii="Times New Roman" w:eastAsia="宋体" w:hAnsi="Times New Roman"/>
                <w:color w:val="000000"/>
                <w:sz w:val="20"/>
                <w:szCs w:val="20"/>
              </w:rPr>
              <w:t>73.1 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DD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D3"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DD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DD5" w14:textId="77777777" w:rsidR="007B6C97" w:rsidRDefault="00E426D1">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DD6" w14:textId="77777777" w:rsidR="007B6C97" w:rsidRDefault="007B6C97">
            <w:pPr>
              <w:jc w:val="right"/>
              <w:rPr>
                <w:rFonts w:ascii="宋体"/>
              </w:rPr>
            </w:pPr>
          </w:p>
        </w:tc>
      </w:tr>
      <w:tr w:rsidR="007B6C97" w14:paraId="64297DDE" w14:textId="77777777">
        <w:tc>
          <w:tcPr>
            <w:tcW w:w="0" w:type="auto"/>
            <w:gridSpan w:val="3"/>
            <w:shd w:val="clear" w:color="auto" w:fill="FFFFFF"/>
            <w:tcMar>
              <w:top w:w="40" w:type="dxa"/>
              <w:left w:w="20" w:type="dxa"/>
              <w:bottom w:w="40" w:type="dxa"/>
              <w:right w:w="20" w:type="dxa"/>
            </w:tcMar>
          </w:tcPr>
          <w:p w14:paraId="64297DD8" w14:textId="77777777" w:rsidR="007B6C97" w:rsidRDefault="00E426D1">
            <w:pPr>
              <w:textAlignment w:val="top"/>
            </w:pPr>
            <w:r>
              <w:rPr>
                <w:rFonts w:ascii="Times New Roman" w:eastAsia="宋体" w:hAnsi="Times New Roman"/>
                <w:color w:val="000000"/>
                <w:sz w:val="20"/>
                <w:szCs w:val="20"/>
              </w:rPr>
              <w:t xml:space="preserve">Government subsidies </w:t>
            </w:r>
            <w:r>
              <w:rPr>
                <w:rFonts w:ascii="Times New Roman" w:eastAsia="宋体" w:hAnsi="Times New Roman"/>
                <w:color w:val="000000"/>
                <w:sz w:val="20"/>
                <w:szCs w:val="20"/>
              </w:rPr>
              <w:t>receivable</w:t>
            </w:r>
          </w:p>
        </w:tc>
        <w:tc>
          <w:tcPr>
            <w:tcW w:w="0" w:type="auto"/>
            <w:gridSpan w:val="2"/>
            <w:shd w:val="clear" w:color="auto" w:fill="FFFFFF"/>
            <w:tcMar>
              <w:top w:w="40" w:type="dxa"/>
              <w:left w:w="20" w:type="dxa"/>
              <w:bottom w:w="40" w:type="dxa"/>
              <w:right w:w="0" w:type="dxa"/>
            </w:tcMar>
            <w:vAlign w:val="bottom"/>
          </w:tcPr>
          <w:p w14:paraId="64297DD9" w14:textId="77777777" w:rsidR="007B6C97" w:rsidRDefault="00E426D1">
            <w:pPr>
              <w:jc w:val="right"/>
              <w:textAlignment w:val="bottom"/>
            </w:pPr>
            <w:r>
              <w:rPr>
                <w:rFonts w:ascii="Times New Roman" w:eastAsia="宋体" w:hAnsi="Times New Roman"/>
                <w:color w:val="000000"/>
                <w:sz w:val="20"/>
                <w:szCs w:val="20"/>
              </w:rPr>
              <w:t>81.2 </w:t>
            </w:r>
          </w:p>
        </w:tc>
        <w:tc>
          <w:tcPr>
            <w:tcW w:w="0" w:type="auto"/>
            <w:shd w:val="clear" w:color="auto" w:fill="FFFFFF"/>
            <w:tcMar>
              <w:top w:w="40" w:type="dxa"/>
              <w:left w:w="0" w:type="dxa"/>
              <w:bottom w:w="40" w:type="dxa"/>
              <w:right w:w="20" w:type="dxa"/>
            </w:tcMar>
            <w:vAlign w:val="bottom"/>
          </w:tcPr>
          <w:p w14:paraId="64297DD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D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DDC" w14:textId="77777777" w:rsidR="007B6C97" w:rsidRDefault="00E426D1">
            <w:pPr>
              <w:jc w:val="right"/>
              <w:textAlignment w:val="bottom"/>
            </w:pPr>
            <w:r>
              <w:rPr>
                <w:rFonts w:ascii="Times New Roman" w:eastAsia="宋体" w:hAnsi="Times New Roman"/>
                <w:color w:val="000000"/>
                <w:sz w:val="20"/>
                <w:szCs w:val="20"/>
              </w:rPr>
              <w:t>172.4 </w:t>
            </w:r>
          </w:p>
        </w:tc>
        <w:tc>
          <w:tcPr>
            <w:tcW w:w="0" w:type="auto"/>
            <w:shd w:val="clear" w:color="auto" w:fill="FFFFFF"/>
            <w:tcMar>
              <w:top w:w="40" w:type="dxa"/>
              <w:left w:w="0" w:type="dxa"/>
              <w:bottom w:w="40" w:type="dxa"/>
              <w:right w:w="20" w:type="dxa"/>
            </w:tcMar>
            <w:vAlign w:val="bottom"/>
          </w:tcPr>
          <w:p w14:paraId="64297DDD" w14:textId="77777777" w:rsidR="007B6C97" w:rsidRDefault="007B6C97">
            <w:pPr>
              <w:jc w:val="right"/>
              <w:rPr>
                <w:rFonts w:ascii="宋体"/>
              </w:rPr>
            </w:pPr>
          </w:p>
        </w:tc>
      </w:tr>
      <w:tr w:rsidR="007B6C97" w14:paraId="64297DE5" w14:textId="77777777">
        <w:tc>
          <w:tcPr>
            <w:tcW w:w="0" w:type="auto"/>
            <w:gridSpan w:val="3"/>
            <w:shd w:val="clear" w:color="auto" w:fill="D7E4BC"/>
            <w:tcMar>
              <w:top w:w="40" w:type="dxa"/>
              <w:left w:w="20" w:type="dxa"/>
              <w:bottom w:w="40" w:type="dxa"/>
              <w:right w:w="20" w:type="dxa"/>
            </w:tcMar>
          </w:tcPr>
          <w:p w14:paraId="64297DDF" w14:textId="77777777" w:rsidR="007B6C97" w:rsidRDefault="00E426D1">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64297DE0" w14:textId="77777777" w:rsidR="007B6C97" w:rsidRDefault="00E426D1">
            <w:pPr>
              <w:jc w:val="right"/>
              <w:textAlignment w:val="bottom"/>
            </w:pPr>
            <w:r>
              <w:rPr>
                <w:rFonts w:ascii="Times New Roman" w:eastAsia="宋体" w:hAnsi="Times New Roman"/>
                <w:color w:val="000000"/>
                <w:sz w:val="20"/>
                <w:szCs w:val="20"/>
              </w:rPr>
              <w:t>379.8 </w:t>
            </w:r>
          </w:p>
        </w:tc>
        <w:tc>
          <w:tcPr>
            <w:tcW w:w="0" w:type="auto"/>
            <w:shd w:val="clear" w:color="auto" w:fill="D7E4BC"/>
            <w:tcMar>
              <w:top w:w="40" w:type="dxa"/>
              <w:left w:w="0" w:type="dxa"/>
              <w:bottom w:w="40" w:type="dxa"/>
              <w:right w:w="20" w:type="dxa"/>
            </w:tcMar>
            <w:vAlign w:val="bottom"/>
          </w:tcPr>
          <w:p w14:paraId="64297DE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DE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DE3" w14:textId="77777777" w:rsidR="007B6C97" w:rsidRDefault="00E426D1">
            <w:pPr>
              <w:jc w:val="right"/>
              <w:textAlignment w:val="bottom"/>
            </w:pPr>
            <w:r>
              <w:rPr>
                <w:rFonts w:ascii="Times New Roman" w:eastAsia="宋体" w:hAnsi="Times New Roman"/>
                <w:color w:val="000000"/>
                <w:sz w:val="20"/>
                <w:szCs w:val="20"/>
              </w:rPr>
              <w:t>401.5 </w:t>
            </w:r>
          </w:p>
        </w:tc>
        <w:tc>
          <w:tcPr>
            <w:tcW w:w="0" w:type="auto"/>
            <w:shd w:val="clear" w:color="auto" w:fill="D7E4BC"/>
            <w:tcMar>
              <w:top w:w="40" w:type="dxa"/>
              <w:left w:w="0" w:type="dxa"/>
              <w:bottom w:w="40" w:type="dxa"/>
              <w:right w:w="20" w:type="dxa"/>
            </w:tcMar>
            <w:vAlign w:val="bottom"/>
          </w:tcPr>
          <w:p w14:paraId="64297DE4" w14:textId="77777777" w:rsidR="007B6C97" w:rsidRDefault="007B6C97">
            <w:pPr>
              <w:jc w:val="right"/>
              <w:rPr>
                <w:rFonts w:ascii="宋体"/>
              </w:rPr>
            </w:pPr>
          </w:p>
        </w:tc>
      </w:tr>
      <w:tr w:rsidR="007B6C97" w14:paraId="64297DEE" w14:textId="77777777">
        <w:tc>
          <w:tcPr>
            <w:tcW w:w="0" w:type="auto"/>
            <w:gridSpan w:val="3"/>
            <w:shd w:val="clear" w:color="auto" w:fill="FFFFFF"/>
            <w:tcMar>
              <w:top w:w="40" w:type="dxa"/>
              <w:left w:w="20" w:type="dxa"/>
              <w:bottom w:w="40" w:type="dxa"/>
              <w:right w:w="20" w:type="dxa"/>
            </w:tcMar>
          </w:tcPr>
          <w:p w14:paraId="64297DE6" w14:textId="77777777" w:rsidR="007B6C97" w:rsidRDefault="00E426D1">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E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E8" w14:textId="77777777" w:rsidR="007B6C97" w:rsidRDefault="00E426D1">
            <w:pPr>
              <w:jc w:val="right"/>
              <w:textAlignment w:val="bottom"/>
            </w:pPr>
            <w:r>
              <w:rPr>
                <w:rFonts w:ascii="Times New Roman" w:eastAsia="宋体" w:hAnsi="Times New Roman"/>
                <w:color w:val="000000"/>
                <w:sz w:val="20"/>
                <w:szCs w:val="20"/>
              </w:rPr>
              <w:t>534.1 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E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DEA"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DE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DEC" w14:textId="77777777" w:rsidR="007B6C97" w:rsidRDefault="00E426D1">
            <w:pPr>
              <w:jc w:val="right"/>
              <w:textAlignment w:val="bottom"/>
            </w:pPr>
            <w:r>
              <w:rPr>
                <w:rFonts w:ascii="Times New Roman" w:eastAsia="宋体" w:hAnsi="Times New Roman"/>
                <w:color w:val="000000"/>
                <w:sz w:val="20"/>
                <w:szCs w:val="20"/>
              </w:rPr>
              <w:t>594.6 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DED" w14:textId="77777777" w:rsidR="007B6C97" w:rsidRDefault="007B6C97">
            <w:pPr>
              <w:jc w:val="right"/>
              <w:rPr>
                <w:rFonts w:ascii="宋体"/>
              </w:rPr>
            </w:pPr>
          </w:p>
        </w:tc>
      </w:tr>
    </w:tbl>
    <w:p w14:paraId="64297DEF" w14:textId="77777777" w:rsidR="007B6C97" w:rsidRDefault="007B6C97">
      <w:pPr>
        <w:spacing w:before="120"/>
      </w:pPr>
    </w:p>
    <w:p w14:paraId="64297DF0" w14:textId="77777777" w:rsidR="007B6C97" w:rsidRDefault="00E426D1">
      <w:pPr>
        <w:jc w:val="center"/>
      </w:pPr>
      <w:r>
        <w:rPr>
          <w:rFonts w:ascii="Times New Roman" w:eastAsia="宋体" w:hAnsi="Times New Roman"/>
          <w:color w:val="000000"/>
          <w:sz w:val="20"/>
          <w:szCs w:val="20"/>
        </w:rPr>
        <w:t>18</w:t>
      </w:r>
    </w:p>
    <w:p w14:paraId="64297DF1" w14:textId="77777777" w:rsidR="007B6C97" w:rsidRDefault="00E426D1">
      <w:r>
        <w:pict w14:anchorId="642999EC">
          <v:rect id="_x0000_i1042" style="width:415.3pt;height:1.5pt" o:hralign="center" o:hrstd="t" o:hr="t" fillcolor="#a0a0a0" stroked="f"/>
        </w:pict>
      </w:r>
    </w:p>
    <w:p w14:paraId="64297DF2" w14:textId="77777777" w:rsidR="007B6C97" w:rsidRDefault="00E426D1">
      <w:hyperlink r:id="rId114" w:anchor="ie38a2b375c9840e583a36769999bbee6_7" w:history="1">
        <w:r>
          <w:rPr>
            <w:rStyle w:val="a5"/>
            <w:rFonts w:ascii="Times New Roman" w:eastAsia="宋体" w:hAnsi="Times New Roman"/>
            <w:sz w:val="20"/>
            <w:szCs w:val="20"/>
          </w:rPr>
          <w:t>Table</w:t>
        </w:r>
      </w:hyperlink>
      <w:hyperlink r:id="rId115" w:anchor="ie38a2b375c9840e583a36769999bbee6_7" w:history="1">
        <w:r>
          <w:rPr>
            <w:rStyle w:val="a5"/>
            <w:rFonts w:ascii="Times New Roman" w:eastAsia="宋体" w:hAnsi="Times New Roman"/>
            <w:sz w:val="20"/>
            <w:szCs w:val="20"/>
          </w:rPr>
          <w:t xml:space="preserve"> of Contents</w:t>
        </w:r>
      </w:hyperlink>
    </w:p>
    <w:p w14:paraId="64297DF3" w14:textId="77777777" w:rsidR="007B6C97" w:rsidRDefault="00E426D1">
      <w:pPr>
        <w:spacing w:before="120"/>
      </w:pPr>
      <w:r>
        <w:rPr>
          <w:rFonts w:ascii="Times New Roman" w:eastAsia="宋体" w:hAnsi="Times New Roman"/>
          <w:b/>
          <w:bCs/>
          <w:i/>
          <w:iCs/>
          <w:color w:val="000000"/>
          <w:sz w:val="20"/>
          <w:szCs w:val="20"/>
        </w:rPr>
        <w:t>Property, Plant and Equipment, net</w:t>
      </w:r>
    </w:p>
    <w:tbl>
      <w:tblPr>
        <w:tblW w:w="4993" w:type="pct"/>
        <w:tblCellMar>
          <w:top w:w="15" w:type="dxa"/>
          <w:left w:w="15" w:type="dxa"/>
          <w:bottom w:w="15" w:type="dxa"/>
          <w:right w:w="15" w:type="dxa"/>
        </w:tblCellMar>
        <w:tblLook w:val="04A0" w:firstRow="1" w:lastRow="0" w:firstColumn="1" w:lastColumn="0" w:noHBand="0" w:noVBand="1"/>
      </w:tblPr>
      <w:tblGrid>
        <w:gridCol w:w="39"/>
        <w:gridCol w:w="5245"/>
        <w:gridCol w:w="36"/>
        <w:gridCol w:w="120"/>
        <w:gridCol w:w="1292"/>
        <w:gridCol w:w="36"/>
        <w:gridCol w:w="36"/>
        <w:gridCol w:w="36"/>
        <w:gridCol w:w="36"/>
        <w:gridCol w:w="120"/>
        <w:gridCol w:w="1292"/>
        <w:gridCol w:w="36"/>
      </w:tblGrid>
      <w:tr w:rsidR="007B6C97" w14:paraId="64297E00" w14:textId="77777777">
        <w:tc>
          <w:tcPr>
            <w:tcW w:w="50" w:type="pct"/>
            <w:shd w:val="clear" w:color="auto" w:fill="auto"/>
            <w:vAlign w:val="bottom"/>
          </w:tcPr>
          <w:p w14:paraId="64297DF4" w14:textId="77777777" w:rsidR="007B6C97" w:rsidRDefault="007B6C97">
            <w:pPr>
              <w:rPr>
                <w:rFonts w:ascii="宋体"/>
              </w:rPr>
            </w:pPr>
          </w:p>
        </w:tc>
        <w:tc>
          <w:tcPr>
            <w:tcW w:w="3187" w:type="pct"/>
            <w:shd w:val="clear" w:color="auto" w:fill="auto"/>
            <w:vAlign w:val="bottom"/>
          </w:tcPr>
          <w:p w14:paraId="64297DF5" w14:textId="77777777" w:rsidR="007B6C97" w:rsidRDefault="007B6C97">
            <w:pPr>
              <w:rPr>
                <w:rFonts w:ascii="宋体"/>
              </w:rPr>
            </w:pPr>
          </w:p>
        </w:tc>
        <w:tc>
          <w:tcPr>
            <w:tcW w:w="5" w:type="pct"/>
            <w:shd w:val="clear" w:color="auto" w:fill="auto"/>
            <w:vAlign w:val="bottom"/>
          </w:tcPr>
          <w:p w14:paraId="64297DF6" w14:textId="77777777" w:rsidR="007B6C97" w:rsidRDefault="007B6C97">
            <w:pPr>
              <w:rPr>
                <w:rFonts w:ascii="宋体"/>
              </w:rPr>
            </w:pPr>
          </w:p>
        </w:tc>
        <w:tc>
          <w:tcPr>
            <w:tcW w:w="50" w:type="pct"/>
            <w:shd w:val="clear" w:color="auto" w:fill="auto"/>
            <w:vAlign w:val="bottom"/>
          </w:tcPr>
          <w:p w14:paraId="64297DF7" w14:textId="77777777" w:rsidR="007B6C97" w:rsidRDefault="007B6C97">
            <w:pPr>
              <w:rPr>
                <w:rFonts w:ascii="宋体"/>
              </w:rPr>
            </w:pPr>
          </w:p>
        </w:tc>
        <w:tc>
          <w:tcPr>
            <w:tcW w:w="808" w:type="pct"/>
            <w:shd w:val="clear" w:color="auto" w:fill="auto"/>
            <w:vAlign w:val="bottom"/>
          </w:tcPr>
          <w:p w14:paraId="64297DF8" w14:textId="77777777" w:rsidR="007B6C97" w:rsidRDefault="007B6C97">
            <w:pPr>
              <w:rPr>
                <w:rFonts w:ascii="宋体"/>
              </w:rPr>
            </w:pPr>
          </w:p>
        </w:tc>
        <w:tc>
          <w:tcPr>
            <w:tcW w:w="5" w:type="pct"/>
            <w:shd w:val="clear" w:color="auto" w:fill="auto"/>
            <w:vAlign w:val="bottom"/>
          </w:tcPr>
          <w:p w14:paraId="64297DF9" w14:textId="77777777" w:rsidR="007B6C97" w:rsidRDefault="007B6C97">
            <w:pPr>
              <w:rPr>
                <w:rFonts w:ascii="宋体"/>
              </w:rPr>
            </w:pPr>
          </w:p>
        </w:tc>
        <w:tc>
          <w:tcPr>
            <w:tcW w:w="5" w:type="pct"/>
            <w:shd w:val="clear" w:color="auto" w:fill="auto"/>
            <w:vAlign w:val="bottom"/>
          </w:tcPr>
          <w:p w14:paraId="64297DFA" w14:textId="77777777" w:rsidR="007B6C97" w:rsidRDefault="007B6C97">
            <w:pPr>
              <w:rPr>
                <w:rFonts w:ascii="宋体"/>
              </w:rPr>
            </w:pPr>
          </w:p>
        </w:tc>
        <w:tc>
          <w:tcPr>
            <w:tcW w:w="19" w:type="pct"/>
            <w:shd w:val="clear" w:color="auto" w:fill="auto"/>
            <w:vAlign w:val="bottom"/>
          </w:tcPr>
          <w:p w14:paraId="64297DFB" w14:textId="77777777" w:rsidR="007B6C97" w:rsidRDefault="007B6C97">
            <w:pPr>
              <w:rPr>
                <w:rFonts w:ascii="宋体"/>
              </w:rPr>
            </w:pPr>
          </w:p>
        </w:tc>
        <w:tc>
          <w:tcPr>
            <w:tcW w:w="5" w:type="pct"/>
            <w:shd w:val="clear" w:color="auto" w:fill="auto"/>
            <w:vAlign w:val="bottom"/>
          </w:tcPr>
          <w:p w14:paraId="64297DFC" w14:textId="77777777" w:rsidR="007B6C97" w:rsidRDefault="007B6C97">
            <w:pPr>
              <w:rPr>
                <w:rFonts w:ascii="宋体"/>
              </w:rPr>
            </w:pPr>
          </w:p>
        </w:tc>
        <w:tc>
          <w:tcPr>
            <w:tcW w:w="50" w:type="pct"/>
            <w:shd w:val="clear" w:color="auto" w:fill="auto"/>
            <w:vAlign w:val="bottom"/>
          </w:tcPr>
          <w:p w14:paraId="64297DFD" w14:textId="77777777" w:rsidR="007B6C97" w:rsidRDefault="007B6C97">
            <w:pPr>
              <w:rPr>
                <w:rFonts w:ascii="宋体"/>
              </w:rPr>
            </w:pPr>
          </w:p>
        </w:tc>
        <w:tc>
          <w:tcPr>
            <w:tcW w:w="808" w:type="pct"/>
            <w:shd w:val="clear" w:color="auto" w:fill="auto"/>
            <w:vAlign w:val="bottom"/>
          </w:tcPr>
          <w:p w14:paraId="64297DFE" w14:textId="77777777" w:rsidR="007B6C97" w:rsidRDefault="007B6C97">
            <w:pPr>
              <w:rPr>
                <w:rFonts w:ascii="宋体"/>
              </w:rPr>
            </w:pPr>
          </w:p>
        </w:tc>
        <w:tc>
          <w:tcPr>
            <w:tcW w:w="5" w:type="pct"/>
            <w:shd w:val="clear" w:color="auto" w:fill="auto"/>
            <w:vAlign w:val="bottom"/>
          </w:tcPr>
          <w:p w14:paraId="64297DFF" w14:textId="77777777" w:rsidR="007B6C97" w:rsidRDefault="007B6C97">
            <w:pPr>
              <w:rPr>
                <w:rFonts w:ascii="宋体"/>
              </w:rPr>
            </w:pPr>
          </w:p>
        </w:tc>
      </w:tr>
      <w:tr w:rsidR="007B6C97" w14:paraId="64297E05" w14:textId="77777777">
        <w:tc>
          <w:tcPr>
            <w:tcW w:w="0" w:type="auto"/>
            <w:gridSpan w:val="3"/>
            <w:shd w:val="clear" w:color="auto" w:fill="auto"/>
            <w:tcMar>
              <w:top w:w="0" w:type="dxa"/>
              <w:left w:w="20" w:type="dxa"/>
              <w:bottom w:w="0" w:type="dxa"/>
              <w:right w:w="20" w:type="dxa"/>
            </w:tcMar>
            <w:vAlign w:val="bottom"/>
          </w:tcPr>
          <w:p w14:paraId="64297E0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02"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E0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04"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E0E" w14:textId="77777777">
        <w:tc>
          <w:tcPr>
            <w:tcW w:w="0" w:type="auto"/>
            <w:gridSpan w:val="3"/>
            <w:shd w:val="clear" w:color="auto" w:fill="D7E4BC"/>
            <w:tcMar>
              <w:top w:w="40" w:type="dxa"/>
              <w:left w:w="20" w:type="dxa"/>
              <w:bottom w:w="40" w:type="dxa"/>
              <w:right w:w="20" w:type="dxa"/>
            </w:tcMar>
          </w:tcPr>
          <w:p w14:paraId="64297E06" w14:textId="77777777" w:rsidR="007B6C97" w:rsidRDefault="00E426D1">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E0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08" w14:textId="77777777" w:rsidR="007B6C97" w:rsidRDefault="00E426D1">
            <w:pPr>
              <w:jc w:val="right"/>
              <w:textAlignment w:val="bottom"/>
            </w:pPr>
            <w:r>
              <w:rPr>
                <w:rFonts w:ascii="Times New Roman" w:eastAsia="宋体" w:hAnsi="Times New Roman"/>
                <w:color w:val="000000"/>
                <w:sz w:val="20"/>
                <w:szCs w:val="20"/>
              </w:rPr>
              <w:t>46.1 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0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0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E0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0C" w14:textId="77777777" w:rsidR="007B6C97" w:rsidRDefault="00E426D1">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0D" w14:textId="77777777" w:rsidR="007B6C97" w:rsidRDefault="007B6C97">
            <w:pPr>
              <w:jc w:val="right"/>
              <w:rPr>
                <w:rFonts w:ascii="宋体"/>
              </w:rPr>
            </w:pPr>
          </w:p>
        </w:tc>
      </w:tr>
      <w:tr w:rsidR="007B6C97" w14:paraId="64297E15" w14:textId="77777777">
        <w:tc>
          <w:tcPr>
            <w:tcW w:w="0" w:type="auto"/>
            <w:gridSpan w:val="3"/>
            <w:shd w:val="clear" w:color="auto" w:fill="FFFFFF"/>
            <w:tcMar>
              <w:top w:w="40" w:type="dxa"/>
              <w:left w:w="20" w:type="dxa"/>
              <w:bottom w:w="40" w:type="dxa"/>
              <w:right w:w="20" w:type="dxa"/>
            </w:tcMar>
          </w:tcPr>
          <w:p w14:paraId="64297E0F" w14:textId="77777777" w:rsidR="007B6C97" w:rsidRDefault="00E426D1">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64297E10" w14:textId="77777777" w:rsidR="007B6C97" w:rsidRDefault="00E426D1">
            <w:pPr>
              <w:jc w:val="right"/>
              <w:textAlignment w:val="bottom"/>
            </w:pPr>
            <w:r>
              <w:rPr>
                <w:rFonts w:ascii="Times New Roman" w:eastAsia="宋体" w:hAnsi="Times New Roman"/>
                <w:color w:val="000000"/>
                <w:sz w:val="20"/>
                <w:szCs w:val="20"/>
              </w:rPr>
              <w:t>562.8 </w:t>
            </w:r>
          </w:p>
        </w:tc>
        <w:tc>
          <w:tcPr>
            <w:tcW w:w="0" w:type="auto"/>
            <w:shd w:val="clear" w:color="auto" w:fill="FFFFFF"/>
            <w:tcMar>
              <w:top w:w="40" w:type="dxa"/>
              <w:left w:w="0" w:type="dxa"/>
              <w:bottom w:w="40" w:type="dxa"/>
              <w:right w:w="20" w:type="dxa"/>
            </w:tcMar>
            <w:vAlign w:val="bottom"/>
          </w:tcPr>
          <w:p w14:paraId="64297E1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1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13" w14:textId="77777777" w:rsidR="007B6C97" w:rsidRDefault="00E426D1">
            <w:pPr>
              <w:jc w:val="right"/>
              <w:textAlignment w:val="bottom"/>
            </w:pPr>
            <w:r>
              <w:rPr>
                <w:rFonts w:ascii="Times New Roman" w:eastAsia="宋体" w:hAnsi="Times New Roman"/>
                <w:color w:val="000000"/>
                <w:sz w:val="20"/>
                <w:szCs w:val="20"/>
              </w:rPr>
              <w:t>587.6 </w:t>
            </w:r>
          </w:p>
        </w:tc>
        <w:tc>
          <w:tcPr>
            <w:tcW w:w="0" w:type="auto"/>
            <w:shd w:val="clear" w:color="auto" w:fill="FFFFFF"/>
            <w:tcMar>
              <w:top w:w="40" w:type="dxa"/>
              <w:left w:w="0" w:type="dxa"/>
              <w:bottom w:w="40" w:type="dxa"/>
              <w:right w:w="20" w:type="dxa"/>
            </w:tcMar>
            <w:vAlign w:val="bottom"/>
          </w:tcPr>
          <w:p w14:paraId="64297E14" w14:textId="77777777" w:rsidR="007B6C97" w:rsidRDefault="007B6C97">
            <w:pPr>
              <w:jc w:val="right"/>
              <w:rPr>
                <w:rFonts w:ascii="宋体"/>
              </w:rPr>
            </w:pPr>
          </w:p>
        </w:tc>
      </w:tr>
      <w:tr w:rsidR="007B6C97" w14:paraId="64297E1C" w14:textId="77777777">
        <w:tc>
          <w:tcPr>
            <w:tcW w:w="0" w:type="auto"/>
            <w:gridSpan w:val="3"/>
            <w:shd w:val="clear" w:color="auto" w:fill="D7E4BC"/>
            <w:tcMar>
              <w:top w:w="40" w:type="dxa"/>
              <w:left w:w="20" w:type="dxa"/>
              <w:bottom w:w="40" w:type="dxa"/>
              <w:right w:w="20" w:type="dxa"/>
            </w:tcMar>
          </w:tcPr>
          <w:p w14:paraId="64297E16" w14:textId="77777777" w:rsidR="007B6C97" w:rsidRDefault="00E426D1">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64297E17" w14:textId="77777777" w:rsidR="007B6C97" w:rsidRDefault="00E426D1">
            <w:pPr>
              <w:jc w:val="right"/>
              <w:textAlignment w:val="bottom"/>
            </w:pPr>
            <w:r>
              <w:rPr>
                <w:rFonts w:ascii="Times New Roman" w:eastAsia="宋体" w:hAnsi="Times New Roman"/>
                <w:color w:val="000000"/>
                <w:sz w:val="20"/>
                <w:szCs w:val="20"/>
              </w:rPr>
              <w:t>8,882.1 </w:t>
            </w:r>
          </w:p>
        </w:tc>
        <w:tc>
          <w:tcPr>
            <w:tcW w:w="0" w:type="auto"/>
            <w:shd w:val="clear" w:color="auto" w:fill="D7E4BC"/>
            <w:tcMar>
              <w:top w:w="40" w:type="dxa"/>
              <w:left w:w="0" w:type="dxa"/>
              <w:bottom w:w="40" w:type="dxa"/>
              <w:right w:w="20" w:type="dxa"/>
            </w:tcMar>
            <w:vAlign w:val="bottom"/>
          </w:tcPr>
          <w:p w14:paraId="64297E1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1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1A" w14:textId="77777777" w:rsidR="007B6C97" w:rsidRDefault="00E426D1">
            <w:pPr>
              <w:jc w:val="right"/>
              <w:textAlignment w:val="bottom"/>
            </w:pPr>
            <w:r>
              <w:rPr>
                <w:rFonts w:ascii="Times New Roman" w:eastAsia="宋体" w:hAnsi="Times New Roman"/>
                <w:color w:val="000000"/>
                <w:sz w:val="20"/>
                <w:szCs w:val="20"/>
              </w:rPr>
              <w:t>8,637.6 </w:t>
            </w:r>
          </w:p>
        </w:tc>
        <w:tc>
          <w:tcPr>
            <w:tcW w:w="0" w:type="auto"/>
            <w:shd w:val="clear" w:color="auto" w:fill="D7E4BC"/>
            <w:tcMar>
              <w:top w:w="40" w:type="dxa"/>
              <w:left w:w="0" w:type="dxa"/>
              <w:bottom w:w="40" w:type="dxa"/>
              <w:right w:w="20" w:type="dxa"/>
            </w:tcMar>
            <w:vAlign w:val="bottom"/>
          </w:tcPr>
          <w:p w14:paraId="64297E1B" w14:textId="77777777" w:rsidR="007B6C97" w:rsidRDefault="007B6C97">
            <w:pPr>
              <w:jc w:val="right"/>
              <w:rPr>
                <w:rFonts w:ascii="宋体"/>
              </w:rPr>
            </w:pPr>
          </w:p>
        </w:tc>
      </w:tr>
      <w:tr w:rsidR="007B6C97" w14:paraId="64297E23" w14:textId="77777777">
        <w:tc>
          <w:tcPr>
            <w:tcW w:w="0" w:type="auto"/>
            <w:gridSpan w:val="3"/>
            <w:shd w:val="clear" w:color="auto" w:fill="FFFFFF"/>
            <w:tcMar>
              <w:top w:w="40" w:type="dxa"/>
              <w:left w:w="20" w:type="dxa"/>
              <w:bottom w:w="40" w:type="dxa"/>
              <w:right w:w="20" w:type="dxa"/>
            </w:tcMar>
          </w:tcPr>
          <w:p w14:paraId="64297E1D" w14:textId="77777777" w:rsidR="007B6C97" w:rsidRDefault="00E426D1">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64297E1E" w14:textId="77777777" w:rsidR="007B6C97" w:rsidRDefault="00E426D1">
            <w:pPr>
              <w:jc w:val="right"/>
              <w:textAlignment w:val="bottom"/>
            </w:pPr>
            <w:r>
              <w:rPr>
                <w:rFonts w:ascii="Times New Roman" w:eastAsia="宋体" w:hAnsi="Times New Roman"/>
                <w:color w:val="000000"/>
                <w:sz w:val="20"/>
                <w:szCs w:val="20"/>
              </w:rPr>
              <w:t>2,953.6 </w:t>
            </w:r>
          </w:p>
        </w:tc>
        <w:tc>
          <w:tcPr>
            <w:tcW w:w="0" w:type="auto"/>
            <w:shd w:val="clear" w:color="auto" w:fill="FFFFFF"/>
            <w:tcMar>
              <w:top w:w="40" w:type="dxa"/>
              <w:left w:w="0" w:type="dxa"/>
              <w:bottom w:w="40" w:type="dxa"/>
              <w:right w:w="20" w:type="dxa"/>
            </w:tcMar>
            <w:vAlign w:val="bottom"/>
          </w:tcPr>
          <w:p w14:paraId="64297E1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2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21" w14:textId="77777777" w:rsidR="007B6C97" w:rsidRDefault="00E426D1">
            <w:pPr>
              <w:jc w:val="right"/>
              <w:textAlignment w:val="bottom"/>
            </w:pPr>
            <w:r>
              <w:rPr>
                <w:rFonts w:ascii="Times New Roman" w:eastAsia="宋体" w:hAnsi="Times New Roman"/>
                <w:color w:val="000000"/>
                <w:sz w:val="20"/>
                <w:szCs w:val="20"/>
              </w:rPr>
              <w:t>2,934.1 </w:t>
            </w:r>
          </w:p>
        </w:tc>
        <w:tc>
          <w:tcPr>
            <w:tcW w:w="0" w:type="auto"/>
            <w:shd w:val="clear" w:color="auto" w:fill="FFFFFF"/>
            <w:tcMar>
              <w:top w:w="40" w:type="dxa"/>
              <w:left w:w="0" w:type="dxa"/>
              <w:bottom w:w="40" w:type="dxa"/>
              <w:right w:w="20" w:type="dxa"/>
            </w:tcMar>
            <w:vAlign w:val="bottom"/>
          </w:tcPr>
          <w:p w14:paraId="64297E22" w14:textId="77777777" w:rsidR="007B6C97" w:rsidRDefault="007B6C97">
            <w:pPr>
              <w:jc w:val="right"/>
              <w:rPr>
                <w:rFonts w:ascii="宋体"/>
              </w:rPr>
            </w:pPr>
          </w:p>
        </w:tc>
      </w:tr>
      <w:tr w:rsidR="007B6C97" w14:paraId="64297E2A" w14:textId="77777777">
        <w:tc>
          <w:tcPr>
            <w:tcW w:w="0" w:type="auto"/>
            <w:gridSpan w:val="3"/>
            <w:shd w:val="clear" w:color="auto" w:fill="D7E4BC"/>
            <w:tcMar>
              <w:top w:w="40" w:type="dxa"/>
              <w:left w:w="20" w:type="dxa"/>
              <w:bottom w:w="40" w:type="dxa"/>
              <w:right w:w="20" w:type="dxa"/>
            </w:tcMar>
          </w:tcPr>
          <w:p w14:paraId="64297E24" w14:textId="77777777" w:rsidR="007B6C97" w:rsidRDefault="00E426D1">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64297E25" w14:textId="77777777" w:rsidR="007B6C97" w:rsidRDefault="00E426D1">
            <w:pPr>
              <w:jc w:val="right"/>
              <w:textAlignment w:val="bottom"/>
            </w:pPr>
            <w:r>
              <w:rPr>
                <w:rFonts w:ascii="Times New Roman" w:eastAsia="宋体" w:hAnsi="Times New Roman"/>
                <w:color w:val="000000"/>
                <w:sz w:val="20"/>
                <w:szCs w:val="20"/>
              </w:rPr>
              <w:t>892.2 </w:t>
            </w:r>
          </w:p>
        </w:tc>
        <w:tc>
          <w:tcPr>
            <w:tcW w:w="0" w:type="auto"/>
            <w:shd w:val="clear" w:color="auto" w:fill="D7E4BC"/>
            <w:tcMar>
              <w:top w:w="40" w:type="dxa"/>
              <w:left w:w="0" w:type="dxa"/>
              <w:bottom w:w="40" w:type="dxa"/>
              <w:right w:w="20" w:type="dxa"/>
            </w:tcMar>
            <w:vAlign w:val="bottom"/>
          </w:tcPr>
          <w:p w14:paraId="64297E2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2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28" w14:textId="77777777" w:rsidR="007B6C97" w:rsidRDefault="00E426D1">
            <w:pPr>
              <w:jc w:val="right"/>
              <w:textAlignment w:val="bottom"/>
            </w:pPr>
            <w:r>
              <w:rPr>
                <w:rFonts w:ascii="Times New Roman" w:eastAsia="宋体" w:hAnsi="Times New Roman"/>
                <w:color w:val="000000"/>
                <w:sz w:val="20"/>
                <w:szCs w:val="20"/>
              </w:rPr>
              <w:t>857.2 </w:t>
            </w:r>
          </w:p>
        </w:tc>
        <w:tc>
          <w:tcPr>
            <w:tcW w:w="0" w:type="auto"/>
            <w:shd w:val="clear" w:color="auto" w:fill="D7E4BC"/>
            <w:tcMar>
              <w:top w:w="40" w:type="dxa"/>
              <w:left w:w="0" w:type="dxa"/>
              <w:bottom w:w="40" w:type="dxa"/>
              <w:right w:w="20" w:type="dxa"/>
            </w:tcMar>
            <w:vAlign w:val="bottom"/>
          </w:tcPr>
          <w:p w14:paraId="64297E29" w14:textId="77777777" w:rsidR="007B6C97" w:rsidRDefault="007B6C97">
            <w:pPr>
              <w:jc w:val="right"/>
              <w:rPr>
                <w:rFonts w:ascii="宋体"/>
              </w:rPr>
            </w:pPr>
          </w:p>
        </w:tc>
      </w:tr>
      <w:tr w:rsidR="007B6C97" w14:paraId="64297E31" w14:textId="77777777">
        <w:tc>
          <w:tcPr>
            <w:tcW w:w="0" w:type="auto"/>
            <w:gridSpan w:val="3"/>
            <w:shd w:val="clear" w:color="auto" w:fill="FFFFFF"/>
            <w:tcMar>
              <w:top w:w="40" w:type="dxa"/>
              <w:left w:w="20" w:type="dxa"/>
              <w:bottom w:w="40" w:type="dxa"/>
              <w:right w:w="20" w:type="dxa"/>
            </w:tcMar>
          </w:tcPr>
          <w:p w14:paraId="64297E2B" w14:textId="77777777" w:rsidR="007B6C97" w:rsidRDefault="00E426D1">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64297E2C" w14:textId="77777777" w:rsidR="007B6C97" w:rsidRDefault="00E426D1">
            <w:pPr>
              <w:jc w:val="right"/>
              <w:textAlignment w:val="bottom"/>
            </w:pPr>
            <w:r>
              <w:rPr>
                <w:rFonts w:ascii="Times New Roman" w:eastAsia="宋体" w:hAnsi="Times New Roman"/>
                <w:color w:val="000000"/>
                <w:sz w:val="20"/>
                <w:szCs w:val="20"/>
              </w:rPr>
              <w:t>1,464.3 </w:t>
            </w:r>
          </w:p>
        </w:tc>
        <w:tc>
          <w:tcPr>
            <w:tcW w:w="0" w:type="auto"/>
            <w:shd w:val="clear" w:color="auto" w:fill="FFFFFF"/>
            <w:tcMar>
              <w:top w:w="40" w:type="dxa"/>
              <w:left w:w="0" w:type="dxa"/>
              <w:bottom w:w="40" w:type="dxa"/>
              <w:right w:w="20" w:type="dxa"/>
            </w:tcMar>
            <w:vAlign w:val="bottom"/>
          </w:tcPr>
          <w:p w14:paraId="64297E2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2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2F" w14:textId="77777777" w:rsidR="007B6C97" w:rsidRDefault="00E426D1">
            <w:pPr>
              <w:jc w:val="right"/>
              <w:textAlignment w:val="bottom"/>
            </w:pPr>
            <w:r>
              <w:rPr>
                <w:rFonts w:ascii="Times New Roman" w:eastAsia="宋体" w:hAnsi="Times New Roman"/>
                <w:color w:val="000000"/>
                <w:sz w:val="20"/>
                <w:szCs w:val="20"/>
              </w:rPr>
              <w:t>1,392.0 </w:t>
            </w:r>
          </w:p>
        </w:tc>
        <w:tc>
          <w:tcPr>
            <w:tcW w:w="0" w:type="auto"/>
            <w:shd w:val="clear" w:color="auto" w:fill="FFFFFF"/>
            <w:tcMar>
              <w:top w:w="40" w:type="dxa"/>
              <w:left w:w="0" w:type="dxa"/>
              <w:bottom w:w="40" w:type="dxa"/>
              <w:right w:w="20" w:type="dxa"/>
            </w:tcMar>
            <w:vAlign w:val="bottom"/>
          </w:tcPr>
          <w:p w14:paraId="64297E30" w14:textId="77777777" w:rsidR="007B6C97" w:rsidRDefault="007B6C97">
            <w:pPr>
              <w:jc w:val="right"/>
              <w:rPr>
                <w:rFonts w:ascii="宋体"/>
              </w:rPr>
            </w:pPr>
          </w:p>
        </w:tc>
      </w:tr>
      <w:tr w:rsidR="007B6C97" w14:paraId="64297E38" w14:textId="77777777">
        <w:tc>
          <w:tcPr>
            <w:tcW w:w="0" w:type="auto"/>
            <w:gridSpan w:val="3"/>
            <w:shd w:val="clear" w:color="auto" w:fill="D7E4BC"/>
            <w:tcMar>
              <w:top w:w="40" w:type="dxa"/>
              <w:left w:w="20" w:type="dxa"/>
              <w:bottom w:w="40" w:type="dxa"/>
              <w:right w:w="20" w:type="dxa"/>
            </w:tcMar>
          </w:tcPr>
          <w:p w14:paraId="64297E32" w14:textId="77777777" w:rsidR="007B6C97" w:rsidRDefault="00E426D1">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64297E33" w14:textId="77777777" w:rsidR="007B6C97" w:rsidRDefault="00E426D1">
            <w:pPr>
              <w:jc w:val="right"/>
              <w:textAlignment w:val="bottom"/>
            </w:pPr>
            <w:r>
              <w:rPr>
                <w:rFonts w:ascii="Times New Roman" w:eastAsia="宋体" w:hAnsi="Times New Roman"/>
                <w:color w:val="000000"/>
                <w:sz w:val="20"/>
                <w:szCs w:val="20"/>
              </w:rPr>
              <w:t>578.9 </w:t>
            </w:r>
          </w:p>
        </w:tc>
        <w:tc>
          <w:tcPr>
            <w:tcW w:w="0" w:type="auto"/>
            <w:shd w:val="clear" w:color="auto" w:fill="D7E4BC"/>
            <w:tcMar>
              <w:top w:w="40" w:type="dxa"/>
              <w:left w:w="0" w:type="dxa"/>
              <w:bottom w:w="40" w:type="dxa"/>
              <w:right w:w="20" w:type="dxa"/>
            </w:tcMar>
            <w:vAlign w:val="bottom"/>
          </w:tcPr>
          <w:p w14:paraId="64297E3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3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36" w14:textId="77777777" w:rsidR="007B6C97" w:rsidRDefault="00E426D1">
            <w:pPr>
              <w:jc w:val="right"/>
              <w:textAlignment w:val="bottom"/>
            </w:pPr>
            <w:r>
              <w:rPr>
                <w:rFonts w:ascii="Times New Roman" w:eastAsia="宋体" w:hAnsi="Times New Roman"/>
                <w:color w:val="000000"/>
                <w:sz w:val="20"/>
                <w:szCs w:val="20"/>
              </w:rPr>
              <w:t>374.1 </w:t>
            </w:r>
          </w:p>
        </w:tc>
        <w:tc>
          <w:tcPr>
            <w:tcW w:w="0" w:type="auto"/>
            <w:shd w:val="clear" w:color="auto" w:fill="D7E4BC"/>
            <w:tcMar>
              <w:top w:w="40" w:type="dxa"/>
              <w:left w:w="0" w:type="dxa"/>
              <w:bottom w:w="40" w:type="dxa"/>
              <w:right w:w="20" w:type="dxa"/>
            </w:tcMar>
            <w:vAlign w:val="bottom"/>
          </w:tcPr>
          <w:p w14:paraId="64297E37" w14:textId="77777777" w:rsidR="007B6C97" w:rsidRDefault="007B6C97">
            <w:pPr>
              <w:jc w:val="right"/>
              <w:rPr>
                <w:rFonts w:ascii="宋体"/>
              </w:rPr>
            </w:pPr>
          </w:p>
        </w:tc>
      </w:tr>
      <w:tr w:rsidR="007B6C97" w14:paraId="64297E3F" w14:textId="77777777">
        <w:tc>
          <w:tcPr>
            <w:tcW w:w="0" w:type="auto"/>
            <w:gridSpan w:val="3"/>
            <w:shd w:val="clear" w:color="auto" w:fill="FFFFFF"/>
            <w:tcMar>
              <w:top w:w="40" w:type="dxa"/>
              <w:left w:w="20" w:type="dxa"/>
              <w:bottom w:w="40" w:type="dxa"/>
              <w:right w:w="20" w:type="dxa"/>
            </w:tcMar>
          </w:tcPr>
          <w:p w14:paraId="64297E39" w14:textId="77777777" w:rsidR="007B6C97" w:rsidRDefault="00E426D1">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E3A" w14:textId="77777777" w:rsidR="007B6C97" w:rsidRDefault="00E426D1">
            <w:pPr>
              <w:jc w:val="right"/>
              <w:textAlignment w:val="bottom"/>
            </w:pPr>
            <w:r>
              <w:rPr>
                <w:rFonts w:ascii="Times New Roman" w:eastAsia="宋体" w:hAnsi="Times New Roman"/>
                <w:color w:val="000000"/>
                <w:sz w:val="20"/>
                <w:szCs w:val="20"/>
              </w:rPr>
              <w:t>15,380.0 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E3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3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7E3D" w14:textId="77777777" w:rsidR="007B6C97" w:rsidRDefault="00E426D1">
            <w:pPr>
              <w:jc w:val="right"/>
              <w:textAlignment w:val="bottom"/>
            </w:pPr>
            <w:r>
              <w:rPr>
                <w:rFonts w:ascii="Times New Roman" w:eastAsia="宋体" w:hAnsi="Times New Roman"/>
                <w:color w:val="000000"/>
                <w:sz w:val="20"/>
                <w:szCs w:val="20"/>
              </w:rPr>
              <w:t>14,828.8 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7E3E" w14:textId="77777777" w:rsidR="007B6C97" w:rsidRDefault="007B6C97">
            <w:pPr>
              <w:jc w:val="right"/>
              <w:rPr>
                <w:rFonts w:ascii="宋体"/>
              </w:rPr>
            </w:pPr>
          </w:p>
        </w:tc>
      </w:tr>
      <w:tr w:rsidR="007B6C97" w14:paraId="64297E46" w14:textId="77777777">
        <w:tc>
          <w:tcPr>
            <w:tcW w:w="0" w:type="auto"/>
            <w:gridSpan w:val="3"/>
            <w:shd w:val="clear" w:color="auto" w:fill="D7E4BC"/>
            <w:tcMar>
              <w:top w:w="40" w:type="dxa"/>
              <w:left w:w="20" w:type="dxa"/>
              <w:bottom w:w="40" w:type="dxa"/>
              <w:right w:w="20" w:type="dxa"/>
            </w:tcMar>
          </w:tcPr>
          <w:p w14:paraId="64297E40" w14:textId="77777777" w:rsidR="007B6C97" w:rsidRDefault="00E426D1">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64297E41" w14:textId="77777777" w:rsidR="007B6C97" w:rsidRDefault="00E426D1">
            <w:pPr>
              <w:jc w:val="right"/>
              <w:textAlignment w:val="bottom"/>
            </w:pPr>
            <w:r>
              <w:rPr>
                <w:rFonts w:ascii="Times New Roman" w:eastAsia="宋体" w:hAnsi="Times New Roman"/>
                <w:color w:val="000000"/>
                <w:sz w:val="20"/>
                <w:szCs w:val="20"/>
              </w:rPr>
              <w:t>(8,971.8)</w:t>
            </w:r>
          </w:p>
        </w:tc>
        <w:tc>
          <w:tcPr>
            <w:tcW w:w="0" w:type="auto"/>
            <w:shd w:val="clear" w:color="auto" w:fill="D7E4BC"/>
            <w:tcMar>
              <w:top w:w="40" w:type="dxa"/>
              <w:left w:w="0" w:type="dxa"/>
              <w:bottom w:w="40" w:type="dxa"/>
              <w:right w:w="20" w:type="dxa"/>
            </w:tcMar>
            <w:vAlign w:val="bottom"/>
          </w:tcPr>
          <w:p w14:paraId="64297E4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4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44" w14:textId="77777777" w:rsidR="007B6C97" w:rsidRDefault="00E426D1">
            <w:pPr>
              <w:jc w:val="right"/>
              <w:textAlignment w:val="bottom"/>
            </w:pPr>
            <w:r>
              <w:rPr>
                <w:rFonts w:ascii="Times New Roman" w:eastAsia="宋体" w:hAnsi="Times New Roman"/>
                <w:color w:val="000000"/>
                <w:sz w:val="20"/>
                <w:szCs w:val="20"/>
              </w:rPr>
              <w:t>(8,459.3)</w:t>
            </w:r>
          </w:p>
        </w:tc>
        <w:tc>
          <w:tcPr>
            <w:tcW w:w="0" w:type="auto"/>
            <w:shd w:val="clear" w:color="auto" w:fill="D7E4BC"/>
            <w:tcMar>
              <w:top w:w="40" w:type="dxa"/>
              <w:left w:w="0" w:type="dxa"/>
              <w:bottom w:w="40" w:type="dxa"/>
              <w:right w:w="20" w:type="dxa"/>
            </w:tcMar>
            <w:vAlign w:val="bottom"/>
          </w:tcPr>
          <w:p w14:paraId="64297E45" w14:textId="77777777" w:rsidR="007B6C97" w:rsidRDefault="007B6C97">
            <w:pPr>
              <w:jc w:val="right"/>
              <w:rPr>
                <w:rFonts w:ascii="宋体"/>
              </w:rPr>
            </w:pPr>
          </w:p>
        </w:tc>
      </w:tr>
      <w:tr w:rsidR="007B6C97" w14:paraId="64297E4F" w14:textId="77777777">
        <w:tc>
          <w:tcPr>
            <w:tcW w:w="0" w:type="auto"/>
            <w:gridSpan w:val="3"/>
            <w:shd w:val="clear" w:color="auto" w:fill="FFFFFF"/>
            <w:tcMar>
              <w:top w:w="40" w:type="dxa"/>
              <w:left w:w="20" w:type="dxa"/>
              <w:bottom w:w="40" w:type="dxa"/>
              <w:right w:w="20" w:type="dxa"/>
            </w:tcMar>
          </w:tcPr>
          <w:p w14:paraId="64297E47" w14:textId="77777777" w:rsidR="007B6C97" w:rsidRDefault="00E426D1">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4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49" w14:textId="77777777" w:rsidR="007B6C97" w:rsidRDefault="00E426D1">
            <w:pPr>
              <w:jc w:val="right"/>
              <w:textAlignment w:val="bottom"/>
            </w:pPr>
            <w:r>
              <w:rPr>
                <w:rFonts w:ascii="Times New Roman" w:eastAsia="宋体" w:hAnsi="Times New Roman"/>
                <w:color w:val="000000"/>
                <w:sz w:val="20"/>
                <w:szCs w:val="20"/>
              </w:rPr>
              <w:t>6,408.2 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4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4B"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4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4D" w14:textId="77777777" w:rsidR="007B6C97" w:rsidRDefault="00E426D1">
            <w:pPr>
              <w:jc w:val="right"/>
              <w:textAlignment w:val="bottom"/>
            </w:pPr>
            <w:r>
              <w:rPr>
                <w:rFonts w:ascii="Times New Roman" w:eastAsia="宋体" w:hAnsi="Times New Roman"/>
                <w:color w:val="000000"/>
                <w:sz w:val="20"/>
                <w:szCs w:val="20"/>
              </w:rPr>
              <w:t>6,369.5 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4E" w14:textId="77777777" w:rsidR="007B6C97" w:rsidRDefault="007B6C97">
            <w:pPr>
              <w:jc w:val="right"/>
              <w:rPr>
                <w:rFonts w:ascii="宋体"/>
              </w:rPr>
            </w:pPr>
          </w:p>
        </w:tc>
      </w:tr>
    </w:tbl>
    <w:p w14:paraId="64297E50" w14:textId="77777777" w:rsidR="007B6C97" w:rsidRDefault="00E426D1">
      <w:pPr>
        <w:spacing w:before="120"/>
      </w:pPr>
      <w:r>
        <w:rPr>
          <w:rFonts w:ascii="Times New Roman" w:eastAsia="宋体" w:hAnsi="Times New Roman"/>
          <w:b/>
          <w:bCs/>
          <w:i/>
          <w:iCs/>
          <w:color w:val="000000"/>
          <w:sz w:val="20"/>
          <w:szCs w:val="20"/>
        </w:rPr>
        <w:t>Accrued Liabilities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31"/>
        <w:gridCol w:w="38"/>
        <w:gridCol w:w="120"/>
        <w:gridCol w:w="1303"/>
        <w:gridCol w:w="36"/>
        <w:gridCol w:w="36"/>
        <w:gridCol w:w="36"/>
        <w:gridCol w:w="36"/>
        <w:gridCol w:w="120"/>
        <w:gridCol w:w="1305"/>
        <w:gridCol w:w="36"/>
      </w:tblGrid>
      <w:tr w:rsidR="007B6C97" w14:paraId="64297E5D" w14:textId="77777777">
        <w:tc>
          <w:tcPr>
            <w:tcW w:w="50" w:type="pct"/>
            <w:shd w:val="clear" w:color="auto" w:fill="auto"/>
            <w:vAlign w:val="bottom"/>
          </w:tcPr>
          <w:p w14:paraId="64297E51" w14:textId="77777777" w:rsidR="007B6C97" w:rsidRDefault="007B6C97">
            <w:pPr>
              <w:rPr>
                <w:rFonts w:ascii="宋体"/>
              </w:rPr>
            </w:pPr>
          </w:p>
        </w:tc>
        <w:tc>
          <w:tcPr>
            <w:tcW w:w="3175" w:type="pct"/>
            <w:shd w:val="clear" w:color="auto" w:fill="auto"/>
            <w:vAlign w:val="bottom"/>
          </w:tcPr>
          <w:p w14:paraId="64297E52" w14:textId="77777777" w:rsidR="007B6C97" w:rsidRDefault="007B6C97">
            <w:pPr>
              <w:rPr>
                <w:rFonts w:ascii="宋体"/>
              </w:rPr>
            </w:pPr>
          </w:p>
        </w:tc>
        <w:tc>
          <w:tcPr>
            <w:tcW w:w="5" w:type="pct"/>
            <w:shd w:val="clear" w:color="auto" w:fill="auto"/>
            <w:vAlign w:val="bottom"/>
          </w:tcPr>
          <w:p w14:paraId="64297E53" w14:textId="77777777" w:rsidR="007B6C97" w:rsidRDefault="007B6C97">
            <w:pPr>
              <w:rPr>
                <w:rFonts w:ascii="宋体"/>
              </w:rPr>
            </w:pPr>
          </w:p>
        </w:tc>
        <w:tc>
          <w:tcPr>
            <w:tcW w:w="50" w:type="pct"/>
            <w:shd w:val="clear" w:color="auto" w:fill="auto"/>
            <w:vAlign w:val="bottom"/>
          </w:tcPr>
          <w:p w14:paraId="64297E54" w14:textId="77777777" w:rsidR="007B6C97" w:rsidRDefault="007B6C97">
            <w:pPr>
              <w:rPr>
                <w:rFonts w:ascii="宋体"/>
              </w:rPr>
            </w:pPr>
          </w:p>
        </w:tc>
        <w:tc>
          <w:tcPr>
            <w:tcW w:w="814" w:type="pct"/>
            <w:shd w:val="clear" w:color="auto" w:fill="auto"/>
            <w:vAlign w:val="bottom"/>
          </w:tcPr>
          <w:p w14:paraId="64297E55" w14:textId="77777777" w:rsidR="007B6C97" w:rsidRDefault="007B6C97">
            <w:pPr>
              <w:rPr>
                <w:rFonts w:ascii="宋体"/>
              </w:rPr>
            </w:pPr>
          </w:p>
        </w:tc>
        <w:tc>
          <w:tcPr>
            <w:tcW w:w="5" w:type="pct"/>
            <w:shd w:val="clear" w:color="auto" w:fill="auto"/>
            <w:vAlign w:val="bottom"/>
          </w:tcPr>
          <w:p w14:paraId="64297E56" w14:textId="77777777" w:rsidR="007B6C97" w:rsidRDefault="007B6C97">
            <w:pPr>
              <w:rPr>
                <w:rFonts w:ascii="宋体"/>
              </w:rPr>
            </w:pPr>
          </w:p>
        </w:tc>
        <w:tc>
          <w:tcPr>
            <w:tcW w:w="5" w:type="pct"/>
            <w:shd w:val="clear" w:color="auto" w:fill="auto"/>
            <w:vAlign w:val="bottom"/>
          </w:tcPr>
          <w:p w14:paraId="64297E57" w14:textId="77777777" w:rsidR="007B6C97" w:rsidRDefault="007B6C97">
            <w:pPr>
              <w:rPr>
                <w:rFonts w:ascii="宋体"/>
              </w:rPr>
            </w:pPr>
          </w:p>
        </w:tc>
        <w:tc>
          <w:tcPr>
            <w:tcW w:w="19" w:type="pct"/>
            <w:shd w:val="clear" w:color="auto" w:fill="auto"/>
            <w:vAlign w:val="bottom"/>
          </w:tcPr>
          <w:p w14:paraId="64297E58" w14:textId="77777777" w:rsidR="007B6C97" w:rsidRDefault="007B6C97">
            <w:pPr>
              <w:rPr>
                <w:rFonts w:ascii="宋体"/>
              </w:rPr>
            </w:pPr>
          </w:p>
        </w:tc>
        <w:tc>
          <w:tcPr>
            <w:tcW w:w="5" w:type="pct"/>
            <w:shd w:val="clear" w:color="auto" w:fill="auto"/>
            <w:vAlign w:val="bottom"/>
          </w:tcPr>
          <w:p w14:paraId="64297E59" w14:textId="77777777" w:rsidR="007B6C97" w:rsidRDefault="007B6C97">
            <w:pPr>
              <w:rPr>
                <w:rFonts w:ascii="宋体"/>
              </w:rPr>
            </w:pPr>
          </w:p>
        </w:tc>
        <w:tc>
          <w:tcPr>
            <w:tcW w:w="50" w:type="pct"/>
            <w:shd w:val="clear" w:color="auto" w:fill="auto"/>
            <w:vAlign w:val="bottom"/>
          </w:tcPr>
          <w:p w14:paraId="64297E5A" w14:textId="77777777" w:rsidR="007B6C97" w:rsidRDefault="007B6C97">
            <w:pPr>
              <w:rPr>
                <w:rFonts w:ascii="宋体"/>
              </w:rPr>
            </w:pPr>
          </w:p>
        </w:tc>
        <w:tc>
          <w:tcPr>
            <w:tcW w:w="815" w:type="pct"/>
            <w:shd w:val="clear" w:color="auto" w:fill="auto"/>
            <w:vAlign w:val="bottom"/>
          </w:tcPr>
          <w:p w14:paraId="64297E5B" w14:textId="77777777" w:rsidR="007B6C97" w:rsidRDefault="007B6C97">
            <w:pPr>
              <w:rPr>
                <w:rFonts w:ascii="宋体"/>
              </w:rPr>
            </w:pPr>
          </w:p>
        </w:tc>
        <w:tc>
          <w:tcPr>
            <w:tcW w:w="5" w:type="pct"/>
            <w:shd w:val="clear" w:color="auto" w:fill="auto"/>
            <w:vAlign w:val="bottom"/>
          </w:tcPr>
          <w:p w14:paraId="64297E5C" w14:textId="77777777" w:rsidR="007B6C97" w:rsidRDefault="007B6C97">
            <w:pPr>
              <w:rPr>
                <w:rFonts w:ascii="宋体"/>
              </w:rPr>
            </w:pPr>
          </w:p>
        </w:tc>
      </w:tr>
      <w:tr w:rsidR="007B6C97" w14:paraId="64297E62" w14:textId="77777777">
        <w:tc>
          <w:tcPr>
            <w:tcW w:w="0" w:type="auto"/>
            <w:gridSpan w:val="3"/>
            <w:shd w:val="clear" w:color="auto" w:fill="FFFFFF"/>
            <w:tcMar>
              <w:top w:w="0" w:type="dxa"/>
              <w:left w:w="20" w:type="dxa"/>
              <w:bottom w:w="0" w:type="dxa"/>
              <w:right w:w="20" w:type="dxa"/>
            </w:tcMar>
            <w:vAlign w:val="bottom"/>
          </w:tcPr>
          <w:p w14:paraId="64297E5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5F"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7E6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61"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E6B" w14:textId="77777777">
        <w:tc>
          <w:tcPr>
            <w:tcW w:w="0" w:type="auto"/>
            <w:gridSpan w:val="3"/>
            <w:shd w:val="clear" w:color="auto" w:fill="D7E4BC"/>
            <w:tcMar>
              <w:top w:w="40" w:type="dxa"/>
              <w:left w:w="20" w:type="dxa"/>
              <w:bottom w:w="40" w:type="dxa"/>
              <w:right w:w="20" w:type="dxa"/>
            </w:tcMar>
          </w:tcPr>
          <w:p w14:paraId="64297E63" w14:textId="77777777" w:rsidR="007B6C97" w:rsidRDefault="00E426D1">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E6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65" w14:textId="77777777" w:rsidR="007B6C97" w:rsidRDefault="00E426D1">
            <w:pPr>
              <w:jc w:val="right"/>
              <w:textAlignment w:val="bottom"/>
            </w:pPr>
            <w:r>
              <w:rPr>
                <w:rFonts w:ascii="Times New Roman" w:eastAsia="宋体" w:hAnsi="Times New Roman"/>
                <w:color w:val="000000"/>
                <w:sz w:val="20"/>
                <w:szCs w:val="20"/>
              </w:rPr>
              <w:t>86.3 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6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67"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E6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69" w14:textId="77777777" w:rsidR="007B6C97" w:rsidRDefault="00E426D1">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6A" w14:textId="77777777" w:rsidR="007B6C97" w:rsidRDefault="007B6C97">
            <w:pPr>
              <w:jc w:val="right"/>
              <w:rPr>
                <w:rFonts w:ascii="宋体"/>
              </w:rPr>
            </w:pPr>
          </w:p>
        </w:tc>
      </w:tr>
      <w:tr w:rsidR="007B6C97" w14:paraId="64297E72" w14:textId="77777777">
        <w:tc>
          <w:tcPr>
            <w:tcW w:w="0" w:type="auto"/>
            <w:gridSpan w:val="3"/>
            <w:shd w:val="clear" w:color="auto" w:fill="FFFFFF"/>
            <w:tcMar>
              <w:top w:w="40" w:type="dxa"/>
              <w:left w:w="20" w:type="dxa"/>
              <w:bottom w:w="40" w:type="dxa"/>
              <w:right w:w="20" w:type="dxa"/>
            </w:tcMar>
          </w:tcPr>
          <w:p w14:paraId="64297E6C" w14:textId="77777777" w:rsidR="007B6C97" w:rsidRDefault="00E426D1">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64297E6D" w14:textId="77777777" w:rsidR="007B6C97" w:rsidRDefault="00E426D1">
            <w:pPr>
              <w:jc w:val="right"/>
              <w:textAlignment w:val="bottom"/>
            </w:pPr>
            <w:r>
              <w:rPr>
                <w:rFonts w:ascii="Times New Roman" w:eastAsia="宋体" w:hAnsi="Times New Roman"/>
                <w:color w:val="000000"/>
                <w:sz w:val="20"/>
                <w:szCs w:val="20"/>
              </w:rPr>
              <w:t>562.1 </w:t>
            </w:r>
          </w:p>
        </w:tc>
        <w:tc>
          <w:tcPr>
            <w:tcW w:w="0" w:type="auto"/>
            <w:shd w:val="clear" w:color="auto" w:fill="FFFFFF"/>
            <w:tcMar>
              <w:top w:w="40" w:type="dxa"/>
              <w:left w:w="0" w:type="dxa"/>
              <w:bottom w:w="40" w:type="dxa"/>
              <w:right w:w="20" w:type="dxa"/>
            </w:tcMar>
            <w:vAlign w:val="bottom"/>
          </w:tcPr>
          <w:p w14:paraId="64297E6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6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70" w14:textId="77777777" w:rsidR="007B6C97" w:rsidRDefault="00E426D1">
            <w:pPr>
              <w:jc w:val="right"/>
              <w:textAlignment w:val="bottom"/>
            </w:pPr>
            <w:r>
              <w:rPr>
                <w:rFonts w:ascii="Times New Roman" w:eastAsia="宋体" w:hAnsi="Times New Roman"/>
                <w:color w:val="000000"/>
                <w:sz w:val="20"/>
                <w:szCs w:val="20"/>
              </w:rPr>
              <w:t>578.1 </w:t>
            </w:r>
          </w:p>
        </w:tc>
        <w:tc>
          <w:tcPr>
            <w:tcW w:w="0" w:type="auto"/>
            <w:shd w:val="clear" w:color="auto" w:fill="FFFFFF"/>
            <w:tcMar>
              <w:top w:w="40" w:type="dxa"/>
              <w:left w:w="0" w:type="dxa"/>
              <w:bottom w:w="40" w:type="dxa"/>
              <w:right w:w="20" w:type="dxa"/>
            </w:tcMar>
            <w:vAlign w:val="bottom"/>
          </w:tcPr>
          <w:p w14:paraId="64297E71" w14:textId="77777777" w:rsidR="007B6C97" w:rsidRDefault="007B6C97">
            <w:pPr>
              <w:jc w:val="right"/>
              <w:rPr>
                <w:rFonts w:ascii="宋体"/>
              </w:rPr>
            </w:pPr>
          </w:p>
        </w:tc>
      </w:tr>
      <w:tr w:rsidR="007B6C97" w14:paraId="64297E79" w14:textId="77777777">
        <w:tc>
          <w:tcPr>
            <w:tcW w:w="0" w:type="auto"/>
            <w:gridSpan w:val="3"/>
            <w:shd w:val="clear" w:color="auto" w:fill="D7E4BC"/>
            <w:tcMar>
              <w:top w:w="40" w:type="dxa"/>
              <w:left w:w="20" w:type="dxa"/>
              <w:bottom w:w="40" w:type="dxa"/>
              <w:right w:w="20" w:type="dxa"/>
            </w:tcMar>
          </w:tcPr>
          <w:p w14:paraId="64297E73" w14:textId="77777777" w:rsidR="007B6C97" w:rsidRDefault="00E426D1">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64297E74" w14:textId="77777777" w:rsidR="007B6C97" w:rsidRDefault="00E426D1">
            <w:pPr>
              <w:jc w:val="right"/>
              <w:textAlignment w:val="bottom"/>
            </w:pPr>
            <w:r>
              <w:rPr>
                <w:rFonts w:ascii="Times New Roman" w:eastAsia="宋体" w:hAnsi="Times New Roman"/>
                <w:color w:val="000000"/>
                <w:sz w:val="20"/>
                <w:szCs w:val="20"/>
              </w:rPr>
              <w:t>867.1 </w:t>
            </w:r>
          </w:p>
        </w:tc>
        <w:tc>
          <w:tcPr>
            <w:tcW w:w="0" w:type="auto"/>
            <w:shd w:val="clear" w:color="auto" w:fill="D7E4BC"/>
            <w:tcMar>
              <w:top w:w="40" w:type="dxa"/>
              <w:left w:w="0" w:type="dxa"/>
              <w:bottom w:w="40" w:type="dxa"/>
              <w:right w:w="20" w:type="dxa"/>
            </w:tcMar>
            <w:vAlign w:val="bottom"/>
          </w:tcPr>
          <w:p w14:paraId="64297E7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7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77" w14:textId="77777777" w:rsidR="007B6C97" w:rsidRDefault="00E426D1">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left w:w="0" w:type="dxa"/>
              <w:bottom w:w="40" w:type="dxa"/>
              <w:right w:w="20" w:type="dxa"/>
            </w:tcMar>
            <w:vAlign w:val="bottom"/>
          </w:tcPr>
          <w:p w14:paraId="64297E78" w14:textId="77777777" w:rsidR="007B6C97" w:rsidRDefault="007B6C97">
            <w:pPr>
              <w:jc w:val="right"/>
              <w:rPr>
                <w:rFonts w:ascii="宋体"/>
              </w:rPr>
            </w:pPr>
          </w:p>
        </w:tc>
      </w:tr>
      <w:tr w:rsidR="007B6C97" w14:paraId="64297E80" w14:textId="77777777">
        <w:tc>
          <w:tcPr>
            <w:tcW w:w="0" w:type="auto"/>
            <w:gridSpan w:val="3"/>
            <w:shd w:val="clear" w:color="auto" w:fill="FFFFFF"/>
            <w:tcMar>
              <w:top w:w="40" w:type="dxa"/>
              <w:left w:w="20" w:type="dxa"/>
              <w:bottom w:w="40" w:type="dxa"/>
              <w:right w:w="20" w:type="dxa"/>
            </w:tcMar>
          </w:tcPr>
          <w:p w14:paraId="64297E7A" w14:textId="77777777" w:rsidR="007B6C97" w:rsidRDefault="00E426D1">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64297E7B" w14:textId="77777777" w:rsidR="007B6C97" w:rsidRDefault="00E426D1">
            <w:pPr>
              <w:jc w:val="right"/>
              <w:textAlignment w:val="bottom"/>
            </w:pPr>
            <w:r>
              <w:rPr>
                <w:rFonts w:ascii="Times New Roman" w:eastAsia="宋体" w:hAnsi="Times New Roman"/>
                <w:color w:val="000000"/>
                <w:sz w:val="20"/>
                <w:szCs w:val="20"/>
              </w:rPr>
              <w:t>229.1 </w:t>
            </w:r>
          </w:p>
        </w:tc>
        <w:tc>
          <w:tcPr>
            <w:tcW w:w="0" w:type="auto"/>
            <w:shd w:val="clear" w:color="auto" w:fill="FFFFFF"/>
            <w:tcMar>
              <w:top w:w="40" w:type="dxa"/>
              <w:left w:w="0" w:type="dxa"/>
              <w:bottom w:w="40" w:type="dxa"/>
              <w:right w:w="20" w:type="dxa"/>
            </w:tcMar>
            <w:vAlign w:val="bottom"/>
          </w:tcPr>
          <w:p w14:paraId="64297E7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7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7E" w14:textId="77777777" w:rsidR="007B6C97" w:rsidRDefault="00E426D1">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64297E7F" w14:textId="77777777" w:rsidR="007B6C97" w:rsidRDefault="007B6C97">
            <w:pPr>
              <w:jc w:val="right"/>
              <w:rPr>
                <w:rFonts w:ascii="宋体"/>
              </w:rPr>
            </w:pPr>
          </w:p>
        </w:tc>
      </w:tr>
      <w:tr w:rsidR="007B6C97" w14:paraId="64297E87" w14:textId="77777777">
        <w:tc>
          <w:tcPr>
            <w:tcW w:w="0" w:type="auto"/>
            <w:gridSpan w:val="3"/>
            <w:shd w:val="clear" w:color="auto" w:fill="D7E4BC"/>
            <w:tcMar>
              <w:top w:w="40" w:type="dxa"/>
              <w:left w:w="20" w:type="dxa"/>
              <w:bottom w:w="40" w:type="dxa"/>
              <w:right w:w="20" w:type="dxa"/>
            </w:tcMar>
          </w:tcPr>
          <w:p w14:paraId="64297E81" w14:textId="77777777" w:rsidR="007B6C97" w:rsidRDefault="00E426D1">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64297E82" w14:textId="77777777" w:rsidR="007B6C97" w:rsidRDefault="00E426D1">
            <w:pPr>
              <w:jc w:val="right"/>
              <w:textAlignment w:val="bottom"/>
            </w:pPr>
            <w:r>
              <w:rPr>
                <w:rFonts w:ascii="Times New Roman" w:eastAsia="宋体" w:hAnsi="Times New Roman"/>
                <w:color w:val="000000"/>
                <w:sz w:val="20"/>
                <w:szCs w:val="20"/>
              </w:rPr>
              <w:t>148.2 </w:t>
            </w:r>
          </w:p>
        </w:tc>
        <w:tc>
          <w:tcPr>
            <w:tcW w:w="0" w:type="auto"/>
            <w:shd w:val="clear" w:color="auto" w:fill="D7E4BC"/>
            <w:tcMar>
              <w:top w:w="40" w:type="dxa"/>
              <w:left w:w="0" w:type="dxa"/>
              <w:bottom w:w="40" w:type="dxa"/>
              <w:right w:w="20" w:type="dxa"/>
            </w:tcMar>
            <w:vAlign w:val="bottom"/>
          </w:tcPr>
          <w:p w14:paraId="64297E8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8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85" w14:textId="77777777" w:rsidR="007B6C97" w:rsidRDefault="00E426D1">
            <w:pPr>
              <w:jc w:val="right"/>
              <w:textAlignment w:val="bottom"/>
            </w:pPr>
            <w:r>
              <w:rPr>
                <w:rFonts w:ascii="Times New Roman" w:eastAsia="宋体" w:hAnsi="Times New Roman"/>
                <w:color w:val="000000"/>
                <w:sz w:val="20"/>
                <w:szCs w:val="20"/>
              </w:rPr>
              <w:t>348.0 </w:t>
            </w:r>
          </w:p>
        </w:tc>
        <w:tc>
          <w:tcPr>
            <w:tcW w:w="0" w:type="auto"/>
            <w:shd w:val="clear" w:color="auto" w:fill="D7E4BC"/>
            <w:tcMar>
              <w:top w:w="40" w:type="dxa"/>
              <w:left w:w="0" w:type="dxa"/>
              <w:bottom w:w="40" w:type="dxa"/>
              <w:right w:w="20" w:type="dxa"/>
            </w:tcMar>
            <w:vAlign w:val="bottom"/>
          </w:tcPr>
          <w:p w14:paraId="64297E86" w14:textId="77777777" w:rsidR="007B6C97" w:rsidRDefault="007B6C97">
            <w:pPr>
              <w:jc w:val="right"/>
              <w:rPr>
                <w:rFonts w:ascii="宋体"/>
              </w:rPr>
            </w:pPr>
          </w:p>
        </w:tc>
      </w:tr>
      <w:tr w:rsidR="007B6C97" w14:paraId="64297E8E" w14:textId="77777777">
        <w:tc>
          <w:tcPr>
            <w:tcW w:w="0" w:type="auto"/>
            <w:gridSpan w:val="3"/>
            <w:shd w:val="clear" w:color="auto" w:fill="FFFFFF"/>
            <w:tcMar>
              <w:top w:w="40" w:type="dxa"/>
              <w:left w:w="20" w:type="dxa"/>
              <w:bottom w:w="40" w:type="dxa"/>
              <w:right w:w="20" w:type="dxa"/>
            </w:tcMar>
          </w:tcPr>
          <w:p w14:paraId="64297E88" w14:textId="77777777" w:rsidR="007B6C97" w:rsidRDefault="00E426D1">
            <w:pPr>
              <w:textAlignment w:val="top"/>
            </w:pPr>
            <w:r>
              <w:rPr>
                <w:rFonts w:ascii="Times New Roman" w:eastAsia="宋体" w:hAnsi="Times New Roman"/>
                <w:color w:val="000000"/>
                <w:sz w:val="20"/>
                <w:szCs w:val="20"/>
              </w:rPr>
              <w:t>Accrued business taxes</w:t>
            </w:r>
          </w:p>
        </w:tc>
        <w:tc>
          <w:tcPr>
            <w:tcW w:w="0" w:type="auto"/>
            <w:gridSpan w:val="2"/>
            <w:shd w:val="clear" w:color="auto" w:fill="FFFFFF"/>
            <w:tcMar>
              <w:top w:w="40" w:type="dxa"/>
              <w:left w:w="20" w:type="dxa"/>
              <w:bottom w:w="40" w:type="dxa"/>
              <w:right w:w="0" w:type="dxa"/>
            </w:tcMar>
            <w:vAlign w:val="bottom"/>
          </w:tcPr>
          <w:p w14:paraId="64297E89" w14:textId="77777777" w:rsidR="007B6C97" w:rsidRDefault="00E426D1">
            <w:pPr>
              <w:jc w:val="right"/>
              <w:textAlignment w:val="bottom"/>
            </w:pPr>
            <w:r>
              <w:rPr>
                <w:rFonts w:ascii="Times New Roman" w:eastAsia="宋体" w:hAnsi="Times New Roman"/>
                <w:color w:val="000000"/>
                <w:sz w:val="20"/>
                <w:szCs w:val="20"/>
              </w:rPr>
              <w:t>176.1 </w:t>
            </w:r>
          </w:p>
        </w:tc>
        <w:tc>
          <w:tcPr>
            <w:tcW w:w="0" w:type="auto"/>
            <w:shd w:val="clear" w:color="auto" w:fill="FFFFFF"/>
            <w:tcMar>
              <w:top w:w="40" w:type="dxa"/>
              <w:left w:w="0" w:type="dxa"/>
              <w:bottom w:w="40" w:type="dxa"/>
              <w:right w:w="20" w:type="dxa"/>
            </w:tcMar>
            <w:vAlign w:val="bottom"/>
          </w:tcPr>
          <w:p w14:paraId="64297E8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8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8C" w14:textId="77777777" w:rsidR="007B6C97" w:rsidRDefault="00E426D1">
            <w:pPr>
              <w:jc w:val="right"/>
              <w:textAlignment w:val="bottom"/>
            </w:pPr>
            <w:r>
              <w:rPr>
                <w:rFonts w:ascii="Times New Roman" w:eastAsia="宋体" w:hAnsi="Times New Roman"/>
                <w:color w:val="000000"/>
                <w:sz w:val="20"/>
                <w:szCs w:val="20"/>
              </w:rPr>
              <w:t>218.0 </w:t>
            </w:r>
          </w:p>
        </w:tc>
        <w:tc>
          <w:tcPr>
            <w:tcW w:w="0" w:type="auto"/>
            <w:shd w:val="clear" w:color="auto" w:fill="FFFFFF"/>
            <w:tcMar>
              <w:top w:w="40" w:type="dxa"/>
              <w:left w:w="0" w:type="dxa"/>
              <w:bottom w:w="40" w:type="dxa"/>
              <w:right w:w="20" w:type="dxa"/>
            </w:tcMar>
            <w:vAlign w:val="bottom"/>
          </w:tcPr>
          <w:p w14:paraId="64297E8D" w14:textId="77777777" w:rsidR="007B6C97" w:rsidRDefault="007B6C97">
            <w:pPr>
              <w:jc w:val="right"/>
              <w:rPr>
                <w:rFonts w:ascii="宋体"/>
              </w:rPr>
            </w:pPr>
          </w:p>
        </w:tc>
      </w:tr>
      <w:tr w:rsidR="007B6C97" w14:paraId="64297E97" w14:textId="77777777">
        <w:tc>
          <w:tcPr>
            <w:tcW w:w="0" w:type="auto"/>
            <w:gridSpan w:val="3"/>
            <w:shd w:val="clear" w:color="auto" w:fill="D7E4BC"/>
            <w:tcMar>
              <w:top w:w="40" w:type="dxa"/>
              <w:left w:w="20" w:type="dxa"/>
              <w:bottom w:w="40" w:type="dxa"/>
              <w:right w:w="20" w:type="dxa"/>
            </w:tcMar>
          </w:tcPr>
          <w:p w14:paraId="64297E8F" w14:textId="77777777" w:rsidR="007B6C97" w:rsidRDefault="00E426D1">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7E9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7E91" w14:textId="77777777" w:rsidR="007B6C97" w:rsidRDefault="00E426D1">
            <w:pPr>
              <w:jc w:val="right"/>
              <w:textAlignment w:val="bottom"/>
            </w:pPr>
            <w:r>
              <w:rPr>
                <w:rFonts w:ascii="Times New Roman" w:eastAsia="宋体" w:hAnsi="Times New Roman"/>
                <w:color w:val="000000"/>
                <w:sz w:val="20"/>
                <w:szCs w:val="20"/>
              </w:rPr>
              <w:t>2,068.9 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7E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93"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7E9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7E95" w14:textId="77777777" w:rsidR="007B6C97" w:rsidRDefault="00E426D1">
            <w:pPr>
              <w:jc w:val="right"/>
              <w:textAlignment w:val="bottom"/>
            </w:pPr>
            <w:r>
              <w:rPr>
                <w:rFonts w:ascii="Times New Roman" w:eastAsia="宋体" w:hAnsi="Times New Roman"/>
                <w:color w:val="000000"/>
                <w:sz w:val="20"/>
                <w:szCs w:val="20"/>
              </w:rPr>
              <w:t>2,321.2 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7E96" w14:textId="77777777" w:rsidR="007B6C97" w:rsidRDefault="007B6C97">
            <w:pPr>
              <w:jc w:val="right"/>
              <w:rPr>
                <w:rFonts w:ascii="宋体"/>
              </w:rPr>
            </w:pPr>
          </w:p>
        </w:tc>
      </w:tr>
    </w:tbl>
    <w:p w14:paraId="64297E98" w14:textId="77777777" w:rsidR="007B6C97" w:rsidRDefault="00E426D1">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81"/>
        <w:gridCol w:w="37"/>
        <w:gridCol w:w="120"/>
        <w:gridCol w:w="1258"/>
        <w:gridCol w:w="36"/>
        <w:gridCol w:w="36"/>
        <w:gridCol w:w="36"/>
        <w:gridCol w:w="36"/>
        <w:gridCol w:w="120"/>
        <w:gridCol w:w="1258"/>
        <w:gridCol w:w="36"/>
        <w:gridCol w:w="36"/>
        <w:gridCol w:w="36"/>
        <w:gridCol w:w="36"/>
        <w:gridCol w:w="120"/>
        <w:gridCol w:w="1258"/>
        <w:gridCol w:w="36"/>
        <w:gridCol w:w="36"/>
        <w:gridCol w:w="36"/>
        <w:gridCol w:w="36"/>
        <w:gridCol w:w="120"/>
        <w:gridCol w:w="1258"/>
        <w:gridCol w:w="36"/>
      </w:tblGrid>
      <w:tr w:rsidR="007B6C97" w14:paraId="64297EB1" w14:textId="77777777">
        <w:tc>
          <w:tcPr>
            <w:tcW w:w="50" w:type="pct"/>
            <w:shd w:val="clear" w:color="auto" w:fill="auto"/>
            <w:vAlign w:val="bottom"/>
          </w:tcPr>
          <w:p w14:paraId="64297E99" w14:textId="77777777" w:rsidR="007B6C97" w:rsidRDefault="007B6C97">
            <w:pPr>
              <w:rPr>
                <w:rFonts w:ascii="宋体"/>
              </w:rPr>
            </w:pPr>
          </w:p>
        </w:tc>
        <w:tc>
          <w:tcPr>
            <w:tcW w:w="1434" w:type="pct"/>
            <w:shd w:val="clear" w:color="auto" w:fill="auto"/>
            <w:vAlign w:val="bottom"/>
          </w:tcPr>
          <w:p w14:paraId="64297E9A" w14:textId="77777777" w:rsidR="007B6C97" w:rsidRDefault="007B6C97">
            <w:pPr>
              <w:rPr>
                <w:rFonts w:ascii="宋体"/>
              </w:rPr>
            </w:pPr>
          </w:p>
        </w:tc>
        <w:tc>
          <w:tcPr>
            <w:tcW w:w="5" w:type="pct"/>
            <w:shd w:val="clear" w:color="auto" w:fill="auto"/>
            <w:vAlign w:val="bottom"/>
          </w:tcPr>
          <w:p w14:paraId="64297E9B" w14:textId="77777777" w:rsidR="007B6C97" w:rsidRDefault="007B6C97">
            <w:pPr>
              <w:rPr>
                <w:rFonts w:ascii="宋体"/>
              </w:rPr>
            </w:pPr>
          </w:p>
        </w:tc>
        <w:tc>
          <w:tcPr>
            <w:tcW w:w="50" w:type="pct"/>
            <w:shd w:val="clear" w:color="auto" w:fill="auto"/>
            <w:vAlign w:val="bottom"/>
          </w:tcPr>
          <w:p w14:paraId="64297E9C" w14:textId="77777777" w:rsidR="007B6C97" w:rsidRDefault="007B6C97">
            <w:pPr>
              <w:rPr>
                <w:rFonts w:ascii="宋体"/>
              </w:rPr>
            </w:pPr>
          </w:p>
        </w:tc>
        <w:tc>
          <w:tcPr>
            <w:tcW w:w="801" w:type="pct"/>
            <w:shd w:val="clear" w:color="auto" w:fill="auto"/>
            <w:vAlign w:val="bottom"/>
          </w:tcPr>
          <w:p w14:paraId="64297E9D" w14:textId="77777777" w:rsidR="007B6C97" w:rsidRDefault="007B6C97">
            <w:pPr>
              <w:rPr>
                <w:rFonts w:ascii="宋体"/>
              </w:rPr>
            </w:pPr>
          </w:p>
        </w:tc>
        <w:tc>
          <w:tcPr>
            <w:tcW w:w="5" w:type="pct"/>
            <w:shd w:val="clear" w:color="auto" w:fill="auto"/>
            <w:vAlign w:val="bottom"/>
          </w:tcPr>
          <w:p w14:paraId="64297E9E" w14:textId="77777777" w:rsidR="007B6C97" w:rsidRDefault="007B6C97">
            <w:pPr>
              <w:rPr>
                <w:rFonts w:ascii="宋体"/>
              </w:rPr>
            </w:pPr>
          </w:p>
        </w:tc>
        <w:tc>
          <w:tcPr>
            <w:tcW w:w="5" w:type="pct"/>
            <w:shd w:val="clear" w:color="auto" w:fill="auto"/>
            <w:vAlign w:val="bottom"/>
          </w:tcPr>
          <w:p w14:paraId="64297E9F" w14:textId="77777777" w:rsidR="007B6C97" w:rsidRDefault="007B6C97">
            <w:pPr>
              <w:rPr>
                <w:rFonts w:ascii="宋体"/>
              </w:rPr>
            </w:pPr>
          </w:p>
        </w:tc>
        <w:tc>
          <w:tcPr>
            <w:tcW w:w="18" w:type="pct"/>
            <w:shd w:val="clear" w:color="auto" w:fill="auto"/>
            <w:vAlign w:val="bottom"/>
          </w:tcPr>
          <w:p w14:paraId="64297EA0" w14:textId="77777777" w:rsidR="007B6C97" w:rsidRDefault="007B6C97">
            <w:pPr>
              <w:rPr>
                <w:rFonts w:ascii="宋体"/>
              </w:rPr>
            </w:pPr>
          </w:p>
        </w:tc>
        <w:tc>
          <w:tcPr>
            <w:tcW w:w="5" w:type="pct"/>
            <w:shd w:val="clear" w:color="auto" w:fill="auto"/>
            <w:vAlign w:val="bottom"/>
          </w:tcPr>
          <w:p w14:paraId="64297EA1" w14:textId="77777777" w:rsidR="007B6C97" w:rsidRDefault="007B6C97">
            <w:pPr>
              <w:rPr>
                <w:rFonts w:ascii="宋体"/>
              </w:rPr>
            </w:pPr>
          </w:p>
        </w:tc>
        <w:tc>
          <w:tcPr>
            <w:tcW w:w="50" w:type="pct"/>
            <w:shd w:val="clear" w:color="auto" w:fill="auto"/>
            <w:vAlign w:val="bottom"/>
          </w:tcPr>
          <w:p w14:paraId="64297EA2" w14:textId="77777777" w:rsidR="007B6C97" w:rsidRDefault="007B6C97">
            <w:pPr>
              <w:rPr>
                <w:rFonts w:ascii="宋体"/>
              </w:rPr>
            </w:pPr>
          </w:p>
        </w:tc>
        <w:tc>
          <w:tcPr>
            <w:tcW w:w="801" w:type="pct"/>
            <w:shd w:val="clear" w:color="auto" w:fill="auto"/>
            <w:vAlign w:val="bottom"/>
          </w:tcPr>
          <w:p w14:paraId="64297EA3" w14:textId="77777777" w:rsidR="007B6C97" w:rsidRDefault="007B6C97">
            <w:pPr>
              <w:rPr>
                <w:rFonts w:ascii="宋体"/>
              </w:rPr>
            </w:pPr>
          </w:p>
        </w:tc>
        <w:tc>
          <w:tcPr>
            <w:tcW w:w="5" w:type="pct"/>
            <w:shd w:val="clear" w:color="auto" w:fill="auto"/>
            <w:vAlign w:val="bottom"/>
          </w:tcPr>
          <w:p w14:paraId="64297EA4" w14:textId="77777777" w:rsidR="007B6C97" w:rsidRDefault="007B6C97">
            <w:pPr>
              <w:rPr>
                <w:rFonts w:ascii="宋体"/>
              </w:rPr>
            </w:pPr>
          </w:p>
        </w:tc>
        <w:tc>
          <w:tcPr>
            <w:tcW w:w="5" w:type="pct"/>
            <w:shd w:val="clear" w:color="auto" w:fill="auto"/>
            <w:vAlign w:val="bottom"/>
          </w:tcPr>
          <w:p w14:paraId="64297EA5" w14:textId="77777777" w:rsidR="007B6C97" w:rsidRDefault="007B6C97">
            <w:pPr>
              <w:rPr>
                <w:rFonts w:ascii="宋体"/>
              </w:rPr>
            </w:pPr>
          </w:p>
        </w:tc>
        <w:tc>
          <w:tcPr>
            <w:tcW w:w="18" w:type="pct"/>
            <w:shd w:val="clear" w:color="auto" w:fill="auto"/>
            <w:vAlign w:val="bottom"/>
          </w:tcPr>
          <w:p w14:paraId="64297EA6" w14:textId="77777777" w:rsidR="007B6C97" w:rsidRDefault="007B6C97">
            <w:pPr>
              <w:rPr>
                <w:rFonts w:ascii="宋体"/>
              </w:rPr>
            </w:pPr>
          </w:p>
        </w:tc>
        <w:tc>
          <w:tcPr>
            <w:tcW w:w="5" w:type="pct"/>
            <w:shd w:val="clear" w:color="auto" w:fill="auto"/>
            <w:vAlign w:val="bottom"/>
          </w:tcPr>
          <w:p w14:paraId="64297EA7" w14:textId="77777777" w:rsidR="007B6C97" w:rsidRDefault="007B6C97">
            <w:pPr>
              <w:rPr>
                <w:rFonts w:ascii="宋体"/>
              </w:rPr>
            </w:pPr>
          </w:p>
        </w:tc>
        <w:tc>
          <w:tcPr>
            <w:tcW w:w="50" w:type="pct"/>
            <w:shd w:val="clear" w:color="auto" w:fill="auto"/>
            <w:vAlign w:val="bottom"/>
          </w:tcPr>
          <w:p w14:paraId="64297EA8" w14:textId="77777777" w:rsidR="007B6C97" w:rsidRDefault="007B6C97">
            <w:pPr>
              <w:rPr>
                <w:rFonts w:ascii="宋体"/>
              </w:rPr>
            </w:pPr>
          </w:p>
        </w:tc>
        <w:tc>
          <w:tcPr>
            <w:tcW w:w="801" w:type="pct"/>
            <w:shd w:val="clear" w:color="auto" w:fill="auto"/>
            <w:vAlign w:val="bottom"/>
          </w:tcPr>
          <w:p w14:paraId="64297EA9" w14:textId="77777777" w:rsidR="007B6C97" w:rsidRDefault="007B6C97">
            <w:pPr>
              <w:rPr>
                <w:rFonts w:ascii="宋体"/>
              </w:rPr>
            </w:pPr>
          </w:p>
        </w:tc>
        <w:tc>
          <w:tcPr>
            <w:tcW w:w="5" w:type="pct"/>
            <w:shd w:val="clear" w:color="auto" w:fill="auto"/>
            <w:vAlign w:val="bottom"/>
          </w:tcPr>
          <w:p w14:paraId="64297EAA" w14:textId="77777777" w:rsidR="007B6C97" w:rsidRDefault="007B6C97">
            <w:pPr>
              <w:rPr>
                <w:rFonts w:ascii="宋体"/>
              </w:rPr>
            </w:pPr>
          </w:p>
        </w:tc>
        <w:tc>
          <w:tcPr>
            <w:tcW w:w="5" w:type="pct"/>
            <w:shd w:val="clear" w:color="auto" w:fill="auto"/>
            <w:vAlign w:val="bottom"/>
          </w:tcPr>
          <w:p w14:paraId="64297EAB" w14:textId="77777777" w:rsidR="007B6C97" w:rsidRDefault="007B6C97">
            <w:pPr>
              <w:rPr>
                <w:rFonts w:ascii="宋体"/>
              </w:rPr>
            </w:pPr>
          </w:p>
        </w:tc>
        <w:tc>
          <w:tcPr>
            <w:tcW w:w="18" w:type="pct"/>
            <w:shd w:val="clear" w:color="auto" w:fill="auto"/>
            <w:vAlign w:val="bottom"/>
          </w:tcPr>
          <w:p w14:paraId="64297EAC" w14:textId="77777777" w:rsidR="007B6C97" w:rsidRDefault="007B6C97">
            <w:pPr>
              <w:rPr>
                <w:rFonts w:ascii="宋体"/>
              </w:rPr>
            </w:pPr>
          </w:p>
        </w:tc>
        <w:tc>
          <w:tcPr>
            <w:tcW w:w="5" w:type="pct"/>
            <w:shd w:val="clear" w:color="auto" w:fill="auto"/>
            <w:vAlign w:val="bottom"/>
          </w:tcPr>
          <w:p w14:paraId="64297EAD" w14:textId="77777777" w:rsidR="007B6C97" w:rsidRDefault="007B6C97">
            <w:pPr>
              <w:rPr>
                <w:rFonts w:ascii="宋体"/>
              </w:rPr>
            </w:pPr>
          </w:p>
        </w:tc>
        <w:tc>
          <w:tcPr>
            <w:tcW w:w="50" w:type="pct"/>
            <w:shd w:val="clear" w:color="auto" w:fill="auto"/>
            <w:vAlign w:val="bottom"/>
          </w:tcPr>
          <w:p w14:paraId="64297EAE" w14:textId="77777777" w:rsidR="007B6C97" w:rsidRDefault="007B6C97">
            <w:pPr>
              <w:rPr>
                <w:rFonts w:ascii="宋体"/>
              </w:rPr>
            </w:pPr>
          </w:p>
        </w:tc>
        <w:tc>
          <w:tcPr>
            <w:tcW w:w="801" w:type="pct"/>
            <w:shd w:val="clear" w:color="auto" w:fill="auto"/>
            <w:vAlign w:val="bottom"/>
          </w:tcPr>
          <w:p w14:paraId="64297EAF" w14:textId="77777777" w:rsidR="007B6C97" w:rsidRDefault="007B6C97">
            <w:pPr>
              <w:rPr>
                <w:rFonts w:ascii="宋体"/>
              </w:rPr>
            </w:pPr>
          </w:p>
        </w:tc>
        <w:tc>
          <w:tcPr>
            <w:tcW w:w="5" w:type="pct"/>
            <w:shd w:val="clear" w:color="auto" w:fill="auto"/>
            <w:vAlign w:val="bottom"/>
          </w:tcPr>
          <w:p w14:paraId="64297EB0" w14:textId="77777777" w:rsidR="007B6C97" w:rsidRDefault="007B6C97">
            <w:pPr>
              <w:rPr>
                <w:rFonts w:ascii="宋体"/>
              </w:rPr>
            </w:pPr>
          </w:p>
        </w:tc>
      </w:tr>
      <w:tr w:rsidR="007B6C97" w14:paraId="64297EB6" w14:textId="77777777">
        <w:tc>
          <w:tcPr>
            <w:tcW w:w="0" w:type="auto"/>
            <w:gridSpan w:val="3"/>
            <w:shd w:val="clear" w:color="auto" w:fill="auto"/>
            <w:tcMar>
              <w:top w:w="0" w:type="dxa"/>
              <w:left w:w="20" w:type="dxa"/>
              <w:bottom w:w="0" w:type="dxa"/>
              <w:right w:w="20" w:type="dxa"/>
            </w:tcMar>
            <w:vAlign w:val="bottom"/>
          </w:tcPr>
          <w:p w14:paraId="64297EB2"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EB3"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7EB4"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7EB5"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7EBF" w14:textId="77777777">
        <w:tc>
          <w:tcPr>
            <w:tcW w:w="0" w:type="auto"/>
            <w:gridSpan w:val="3"/>
            <w:shd w:val="clear" w:color="auto" w:fill="auto"/>
            <w:tcMar>
              <w:top w:w="0" w:type="dxa"/>
              <w:left w:w="20" w:type="dxa"/>
              <w:bottom w:w="0" w:type="dxa"/>
              <w:right w:w="20" w:type="dxa"/>
            </w:tcMar>
            <w:vAlign w:val="bottom"/>
          </w:tcPr>
          <w:p w14:paraId="64297EB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B8"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EB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BA"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7EB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BC"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7EB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EBE"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7ED0" w14:textId="77777777">
        <w:tc>
          <w:tcPr>
            <w:tcW w:w="0" w:type="auto"/>
            <w:gridSpan w:val="3"/>
            <w:shd w:val="clear" w:color="auto" w:fill="D7E4BC"/>
            <w:tcMar>
              <w:top w:w="40" w:type="dxa"/>
              <w:left w:w="20" w:type="dxa"/>
              <w:bottom w:w="40" w:type="dxa"/>
              <w:right w:w="20" w:type="dxa"/>
            </w:tcMar>
          </w:tcPr>
          <w:p w14:paraId="64297EC0" w14:textId="77777777" w:rsidR="007B6C97" w:rsidRDefault="00E426D1">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EC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C2" w14:textId="77777777" w:rsidR="007B6C97" w:rsidRDefault="00E426D1">
            <w:pPr>
              <w:jc w:val="right"/>
              <w:textAlignment w:val="bottom"/>
            </w:pPr>
            <w:r>
              <w:rPr>
                <w:rFonts w:ascii="Times New Roman" w:eastAsia="宋体" w:hAnsi="Times New Roman"/>
                <w:color w:val="000000"/>
                <w:sz w:val="20"/>
                <w:szCs w:val="20"/>
              </w:rPr>
              <w:t>1,983.0 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C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C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EC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C6" w14:textId="77777777" w:rsidR="007B6C97" w:rsidRDefault="00E426D1">
            <w:pPr>
              <w:jc w:val="right"/>
              <w:textAlignment w:val="bottom"/>
            </w:pPr>
            <w:r>
              <w:rPr>
                <w:rFonts w:ascii="Times New Roman" w:eastAsia="宋体" w:hAnsi="Times New Roman"/>
                <w:color w:val="000000"/>
                <w:sz w:val="20"/>
                <w:szCs w:val="20"/>
              </w:rPr>
              <w:t>1,750.7 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C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EC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CA" w14:textId="77777777" w:rsidR="007B6C97" w:rsidRDefault="00E426D1">
            <w:pPr>
              <w:jc w:val="right"/>
              <w:textAlignment w:val="bottom"/>
            </w:pPr>
            <w:r>
              <w:rPr>
                <w:rFonts w:ascii="Times New Roman" w:eastAsia="宋体" w:hAnsi="Times New Roman"/>
                <w:color w:val="000000"/>
                <w:sz w:val="20"/>
                <w:szCs w:val="20"/>
              </w:rPr>
              <w:t>6,012.0 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C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CC"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EC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ECE" w14:textId="77777777" w:rsidR="007B6C97" w:rsidRDefault="00E426D1">
            <w:pPr>
              <w:jc w:val="right"/>
              <w:textAlignment w:val="bottom"/>
            </w:pPr>
            <w:r>
              <w:rPr>
                <w:rFonts w:ascii="Times New Roman" w:eastAsia="宋体" w:hAnsi="Times New Roman"/>
                <w:color w:val="000000"/>
                <w:sz w:val="20"/>
                <w:szCs w:val="20"/>
              </w:rPr>
              <w:t>5,021.8 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ECF" w14:textId="77777777" w:rsidR="007B6C97" w:rsidRDefault="007B6C97">
            <w:pPr>
              <w:jc w:val="right"/>
              <w:rPr>
                <w:rFonts w:ascii="宋体"/>
              </w:rPr>
            </w:pPr>
          </w:p>
        </w:tc>
      </w:tr>
      <w:tr w:rsidR="007B6C97" w14:paraId="64297EDD" w14:textId="77777777">
        <w:tc>
          <w:tcPr>
            <w:tcW w:w="0" w:type="auto"/>
            <w:gridSpan w:val="3"/>
            <w:shd w:val="clear" w:color="auto" w:fill="FFFFFF"/>
            <w:tcMar>
              <w:top w:w="40" w:type="dxa"/>
              <w:left w:w="20" w:type="dxa"/>
              <w:bottom w:w="40" w:type="dxa"/>
              <w:right w:w="20" w:type="dxa"/>
            </w:tcMar>
          </w:tcPr>
          <w:p w14:paraId="64297ED1" w14:textId="77777777" w:rsidR="007B6C97" w:rsidRDefault="00E426D1">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64297ED2" w14:textId="77777777" w:rsidR="007B6C97" w:rsidRDefault="00E426D1">
            <w:pPr>
              <w:jc w:val="right"/>
              <w:textAlignment w:val="bottom"/>
            </w:pPr>
            <w:r>
              <w:rPr>
                <w:rFonts w:ascii="Times New Roman" w:eastAsia="宋体" w:hAnsi="Times New Roman"/>
                <w:color w:val="000000"/>
                <w:sz w:val="20"/>
                <w:szCs w:val="20"/>
              </w:rPr>
              <w:t>652.9 </w:t>
            </w:r>
          </w:p>
        </w:tc>
        <w:tc>
          <w:tcPr>
            <w:tcW w:w="0" w:type="auto"/>
            <w:shd w:val="clear" w:color="auto" w:fill="FFFFFF"/>
            <w:tcMar>
              <w:top w:w="40" w:type="dxa"/>
              <w:left w:w="0" w:type="dxa"/>
              <w:bottom w:w="40" w:type="dxa"/>
              <w:right w:w="20" w:type="dxa"/>
            </w:tcMar>
            <w:vAlign w:val="bottom"/>
          </w:tcPr>
          <w:p w14:paraId="64297ED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D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D5" w14:textId="77777777" w:rsidR="007B6C97" w:rsidRDefault="00E426D1">
            <w:pPr>
              <w:jc w:val="right"/>
              <w:textAlignment w:val="bottom"/>
            </w:pPr>
            <w:r>
              <w:rPr>
                <w:rFonts w:ascii="Times New Roman" w:eastAsia="宋体" w:hAnsi="Times New Roman"/>
                <w:color w:val="000000"/>
                <w:sz w:val="20"/>
                <w:szCs w:val="20"/>
              </w:rPr>
              <w:t>628.7 </w:t>
            </w:r>
          </w:p>
        </w:tc>
        <w:tc>
          <w:tcPr>
            <w:tcW w:w="0" w:type="auto"/>
            <w:shd w:val="clear" w:color="auto" w:fill="FFFFFF"/>
            <w:tcMar>
              <w:top w:w="40" w:type="dxa"/>
              <w:left w:w="0" w:type="dxa"/>
              <w:bottom w:w="40" w:type="dxa"/>
              <w:right w:w="20" w:type="dxa"/>
            </w:tcMar>
            <w:vAlign w:val="bottom"/>
          </w:tcPr>
          <w:p w14:paraId="64297ED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D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D8" w14:textId="77777777" w:rsidR="007B6C97" w:rsidRDefault="00E426D1">
            <w:pPr>
              <w:jc w:val="right"/>
              <w:textAlignment w:val="bottom"/>
            </w:pPr>
            <w:r>
              <w:rPr>
                <w:rFonts w:ascii="Times New Roman" w:eastAsia="宋体" w:hAnsi="Times New Roman"/>
                <w:color w:val="000000"/>
                <w:sz w:val="20"/>
                <w:szCs w:val="20"/>
              </w:rPr>
              <w:t>1,983.1 </w:t>
            </w:r>
          </w:p>
        </w:tc>
        <w:tc>
          <w:tcPr>
            <w:tcW w:w="0" w:type="auto"/>
            <w:shd w:val="clear" w:color="auto" w:fill="FFFFFF"/>
            <w:tcMar>
              <w:top w:w="40" w:type="dxa"/>
              <w:left w:w="0" w:type="dxa"/>
              <w:bottom w:w="40" w:type="dxa"/>
              <w:right w:w="20" w:type="dxa"/>
            </w:tcMar>
            <w:vAlign w:val="bottom"/>
          </w:tcPr>
          <w:p w14:paraId="64297ED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D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EDB" w14:textId="77777777" w:rsidR="007B6C97" w:rsidRDefault="00E426D1">
            <w:pPr>
              <w:jc w:val="right"/>
              <w:textAlignment w:val="bottom"/>
            </w:pPr>
            <w:r>
              <w:rPr>
                <w:rFonts w:ascii="Times New Roman" w:eastAsia="宋体" w:hAnsi="Times New Roman"/>
                <w:color w:val="000000"/>
                <w:sz w:val="20"/>
                <w:szCs w:val="20"/>
              </w:rPr>
              <w:t>1,883.0 </w:t>
            </w:r>
          </w:p>
        </w:tc>
        <w:tc>
          <w:tcPr>
            <w:tcW w:w="0" w:type="auto"/>
            <w:shd w:val="clear" w:color="auto" w:fill="FFFFFF"/>
            <w:tcMar>
              <w:top w:w="40" w:type="dxa"/>
              <w:left w:w="0" w:type="dxa"/>
              <w:bottom w:w="40" w:type="dxa"/>
              <w:right w:w="20" w:type="dxa"/>
            </w:tcMar>
            <w:vAlign w:val="bottom"/>
          </w:tcPr>
          <w:p w14:paraId="64297EDC" w14:textId="77777777" w:rsidR="007B6C97" w:rsidRDefault="007B6C97">
            <w:pPr>
              <w:jc w:val="right"/>
              <w:rPr>
                <w:rFonts w:ascii="宋体"/>
              </w:rPr>
            </w:pPr>
          </w:p>
        </w:tc>
      </w:tr>
      <w:tr w:rsidR="007B6C97" w14:paraId="64297EEA" w14:textId="77777777">
        <w:tc>
          <w:tcPr>
            <w:tcW w:w="0" w:type="auto"/>
            <w:gridSpan w:val="3"/>
            <w:shd w:val="clear" w:color="auto" w:fill="D7E4BC"/>
            <w:tcMar>
              <w:top w:w="40" w:type="dxa"/>
              <w:left w:w="20" w:type="dxa"/>
              <w:bottom w:w="40" w:type="dxa"/>
              <w:right w:w="20" w:type="dxa"/>
            </w:tcMar>
          </w:tcPr>
          <w:p w14:paraId="64297EDE" w14:textId="77777777" w:rsidR="007B6C97" w:rsidRDefault="00E426D1">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64297EDF" w14:textId="77777777" w:rsidR="007B6C97" w:rsidRDefault="00E426D1">
            <w:pPr>
              <w:jc w:val="right"/>
              <w:textAlignment w:val="bottom"/>
            </w:pPr>
            <w:r>
              <w:rPr>
                <w:rFonts w:ascii="Times New Roman" w:eastAsia="宋体" w:hAnsi="Times New Roman"/>
                <w:color w:val="000000"/>
                <w:sz w:val="20"/>
                <w:szCs w:val="20"/>
              </w:rPr>
              <w:t>666.6 </w:t>
            </w:r>
          </w:p>
        </w:tc>
        <w:tc>
          <w:tcPr>
            <w:tcW w:w="0" w:type="auto"/>
            <w:shd w:val="clear" w:color="auto" w:fill="D7E4BC"/>
            <w:tcMar>
              <w:top w:w="40" w:type="dxa"/>
              <w:left w:w="0" w:type="dxa"/>
              <w:bottom w:w="40" w:type="dxa"/>
              <w:right w:w="20" w:type="dxa"/>
            </w:tcMar>
            <w:vAlign w:val="bottom"/>
          </w:tcPr>
          <w:p w14:paraId="64297E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E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E2" w14:textId="77777777" w:rsidR="007B6C97" w:rsidRDefault="00E426D1">
            <w:pPr>
              <w:jc w:val="right"/>
              <w:textAlignment w:val="bottom"/>
            </w:pPr>
            <w:r>
              <w:rPr>
                <w:rFonts w:ascii="Times New Roman" w:eastAsia="宋体" w:hAnsi="Times New Roman"/>
                <w:color w:val="000000"/>
                <w:sz w:val="20"/>
                <w:szCs w:val="20"/>
              </w:rPr>
              <w:t>587.5 </w:t>
            </w:r>
          </w:p>
        </w:tc>
        <w:tc>
          <w:tcPr>
            <w:tcW w:w="0" w:type="auto"/>
            <w:shd w:val="clear" w:color="auto" w:fill="D7E4BC"/>
            <w:tcMar>
              <w:top w:w="40" w:type="dxa"/>
              <w:left w:w="0" w:type="dxa"/>
              <w:bottom w:w="40" w:type="dxa"/>
              <w:right w:w="20" w:type="dxa"/>
            </w:tcMar>
            <w:vAlign w:val="bottom"/>
          </w:tcPr>
          <w:p w14:paraId="64297E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E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E5" w14:textId="77777777" w:rsidR="007B6C97" w:rsidRDefault="00E426D1">
            <w:pPr>
              <w:jc w:val="right"/>
              <w:textAlignment w:val="bottom"/>
            </w:pPr>
            <w:r>
              <w:rPr>
                <w:rFonts w:ascii="Times New Roman" w:eastAsia="宋体" w:hAnsi="Times New Roman"/>
                <w:color w:val="000000"/>
                <w:sz w:val="20"/>
                <w:szCs w:val="20"/>
              </w:rPr>
              <w:t>2,022.0 </w:t>
            </w:r>
          </w:p>
        </w:tc>
        <w:tc>
          <w:tcPr>
            <w:tcW w:w="0" w:type="auto"/>
            <w:shd w:val="clear" w:color="auto" w:fill="D7E4BC"/>
            <w:tcMar>
              <w:top w:w="40" w:type="dxa"/>
              <w:left w:w="0" w:type="dxa"/>
              <w:bottom w:w="40" w:type="dxa"/>
              <w:right w:w="20" w:type="dxa"/>
            </w:tcMar>
            <w:vAlign w:val="bottom"/>
          </w:tcPr>
          <w:p w14:paraId="64297EE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EE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EE8" w14:textId="77777777" w:rsidR="007B6C97" w:rsidRDefault="00E426D1">
            <w:pPr>
              <w:jc w:val="right"/>
              <w:textAlignment w:val="bottom"/>
            </w:pPr>
            <w:r>
              <w:rPr>
                <w:rFonts w:ascii="Times New Roman" w:eastAsia="宋体" w:hAnsi="Times New Roman"/>
                <w:color w:val="000000"/>
                <w:sz w:val="20"/>
                <w:szCs w:val="20"/>
              </w:rPr>
              <w:t>1,752.8 </w:t>
            </w:r>
          </w:p>
        </w:tc>
        <w:tc>
          <w:tcPr>
            <w:tcW w:w="0" w:type="auto"/>
            <w:shd w:val="clear" w:color="auto" w:fill="D7E4BC"/>
            <w:tcMar>
              <w:top w:w="40" w:type="dxa"/>
              <w:left w:w="0" w:type="dxa"/>
              <w:bottom w:w="40" w:type="dxa"/>
              <w:right w:w="20" w:type="dxa"/>
            </w:tcMar>
            <w:vAlign w:val="bottom"/>
          </w:tcPr>
          <w:p w14:paraId="64297EE9" w14:textId="77777777" w:rsidR="007B6C97" w:rsidRDefault="007B6C97">
            <w:pPr>
              <w:jc w:val="right"/>
              <w:rPr>
                <w:rFonts w:ascii="宋体"/>
              </w:rPr>
            </w:pPr>
          </w:p>
        </w:tc>
      </w:tr>
      <w:tr w:rsidR="007B6C97" w14:paraId="64297EFB" w14:textId="77777777">
        <w:tc>
          <w:tcPr>
            <w:tcW w:w="0" w:type="auto"/>
            <w:gridSpan w:val="3"/>
            <w:shd w:val="clear" w:color="auto" w:fill="FFFFFF"/>
            <w:tcMar>
              <w:top w:w="40" w:type="dxa"/>
              <w:left w:w="20" w:type="dxa"/>
              <w:bottom w:w="40" w:type="dxa"/>
              <w:right w:w="20" w:type="dxa"/>
            </w:tcMar>
          </w:tcPr>
          <w:p w14:paraId="64297EEB" w14:textId="77777777" w:rsidR="007B6C97" w:rsidRDefault="00E426D1">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E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ED" w14:textId="77777777" w:rsidR="007B6C97" w:rsidRDefault="00E426D1">
            <w:pPr>
              <w:jc w:val="right"/>
              <w:textAlignment w:val="bottom"/>
            </w:pPr>
            <w:r>
              <w:rPr>
                <w:rFonts w:ascii="Times New Roman" w:eastAsia="宋体" w:hAnsi="Times New Roman"/>
                <w:color w:val="000000"/>
                <w:sz w:val="20"/>
                <w:szCs w:val="20"/>
              </w:rPr>
              <w:t>3,302.5 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E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EF"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F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F1" w14:textId="77777777" w:rsidR="007B6C97" w:rsidRDefault="00E426D1">
            <w:pPr>
              <w:jc w:val="right"/>
              <w:textAlignment w:val="bottom"/>
            </w:pPr>
            <w:r>
              <w:rPr>
                <w:rFonts w:ascii="Times New Roman" w:eastAsia="宋体" w:hAnsi="Times New Roman"/>
                <w:color w:val="000000"/>
                <w:sz w:val="20"/>
                <w:szCs w:val="20"/>
              </w:rPr>
              <w:t>2,966.9 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F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F3"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F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F5" w14:textId="77777777" w:rsidR="007B6C97" w:rsidRDefault="00E426D1">
            <w:pPr>
              <w:jc w:val="right"/>
              <w:textAlignment w:val="bottom"/>
            </w:pPr>
            <w:r>
              <w:rPr>
                <w:rFonts w:ascii="Times New Roman" w:eastAsia="宋体" w:hAnsi="Times New Roman"/>
                <w:color w:val="000000"/>
                <w:sz w:val="20"/>
                <w:szCs w:val="20"/>
              </w:rPr>
              <w:t>10,017.1 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EF7"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EF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EF9" w14:textId="77777777" w:rsidR="007B6C97" w:rsidRDefault="00E426D1">
            <w:pPr>
              <w:jc w:val="right"/>
              <w:textAlignment w:val="bottom"/>
            </w:pPr>
            <w:r>
              <w:rPr>
                <w:rFonts w:ascii="Times New Roman" w:eastAsia="宋体" w:hAnsi="Times New Roman"/>
                <w:color w:val="000000"/>
                <w:sz w:val="20"/>
                <w:szCs w:val="20"/>
              </w:rPr>
              <w:t>8,657.6 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EFA" w14:textId="77777777" w:rsidR="007B6C97" w:rsidRDefault="007B6C97">
            <w:pPr>
              <w:jc w:val="right"/>
              <w:rPr>
                <w:rFonts w:ascii="宋体"/>
              </w:rPr>
            </w:pPr>
          </w:p>
        </w:tc>
      </w:tr>
    </w:tbl>
    <w:p w14:paraId="64297EFC" w14:textId="77777777" w:rsidR="007B6C97" w:rsidRDefault="007B6C97">
      <w:pPr>
        <w:spacing w:before="120"/>
      </w:pPr>
    </w:p>
    <w:p w14:paraId="64297EFD" w14:textId="77777777" w:rsidR="007B6C97" w:rsidRDefault="00E426D1">
      <w:pPr>
        <w:spacing w:before="120"/>
      </w:pPr>
      <w:r>
        <w:rPr>
          <w:rFonts w:ascii="Times New Roman" w:eastAsia="宋体" w:hAnsi="Times New Roman"/>
          <w:b/>
          <w:bCs/>
          <w:color w:val="000000"/>
          <w:sz w:val="20"/>
          <w:szCs w:val="20"/>
        </w:rPr>
        <w:t>Note 6: Other Intangible Assets and Goodwill</w:t>
      </w:r>
    </w:p>
    <w:p w14:paraId="64297EFE" w14:textId="77777777" w:rsidR="007B6C97" w:rsidRDefault="00E426D1">
      <w:pPr>
        <w:spacing w:before="120"/>
      </w:pPr>
      <w:r>
        <w:rPr>
          <w:rFonts w:ascii="Times New Roman" w:eastAsia="宋体" w:hAnsi="Times New Roman"/>
          <w:b/>
          <w:bCs/>
          <w:i/>
          <w:iCs/>
          <w:color w:val="000000"/>
          <w:sz w:val="20"/>
          <w:szCs w:val="20"/>
        </w:rPr>
        <w:t>Indefinite-Lived Intangible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7B6C97" w14:paraId="64297F0B" w14:textId="77777777">
        <w:tc>
          <w:tcPr>
            <w:tcW w:w="50" w:type="pct"/>
            <w:shd w:val="clear" w:color="auto" w:fill="auto"/>
            <w:vAlign w:val="bottom"/>
          </w:tcPr>
          <w:p w14:paraId="64297EFF" w14:textId="77777777" w:rsidR="007B6C97" w:rsidRDefault="007B6C97">
            <w:pPr>
              <w:rPr>
                <w:rFonts w:ascii="宋体"/>
              </w:rPr>
            </w:pPr>
          </w:p>
        </w:tc>
        <w:tc>
          <w:tcPr>
            <w:tcW w:w="3187" w:type="pct"/>
            <w:shd w:val="clear" w:color="auto" w:fill="auto"/>
            <w:vAlign w:val="bottom"/>
          </w:tcPr>
          <w:p w14:paraId="64297F00" w14:textId="77777777" w:rsidR="007B6C97" w:rsidRDefault="007B6C97">
            <w:pPr>
              <w:rPr>
                <w:rFonts w:ascii="宋体"/>
              </w:rPr>
            </w:pPr>
          </w:p>
        </w:tc>
        <w:tc>
          <w:tcPr>
            <w:tcW w:w="5" w:type="pct"/>
            <w:shd w:val="clear" w:color="auto" w:fill="auto"/>
            <w:vAlign w:val="bottom"/>
          </w:tcPr>
          <w:p w14:paraId="64297F01" w14:textId="77777777" w:rsidR="007B6C97" w:rsidRDefault="007B6C97">
            <w:pPr>
              <w:rPr>
                <w:rFonts w:ascii="宋体"/>
              </w:rPr>
            </w:pPr>
          </w:p>
        </w:tc>
        <w:tc>
          <w:tcPr>
            <w:tcW w:w="50" w:type="pct"/>
            <w:shd w:val="clear" w:color="auto" w:fill="auto"/>
            <w:vAlign w:val="bottom"/>
          </w:tcPr>
          <w:p w14:paraId="64297F02" w14:textId="77777777" w:rsidR="007B6C97" w:rsidRDefault="007B6C97">
            <w:pPr>
              <w:rPr>
                <w:rFonts w:ascii="宋体"/>
              </w:rPr>
            </w:pPr>
          </w:p>
        </w:tc>
        <w:tc>
          <w:tcPr>
            <w:tcW w:w="808" w:type="pct"/>
            <w:shd w:val="clear" w:color="auto" w:fill="auto"/>
            <w:vAlign w:val="bottom"/>
          </w:tcPr>
          <w:p w14:paraId="64297F03" w14:textId="77777777" w:rsidR="007B6C97" w:rsidRDefault="007B6C97">
            <w:pPr>
              <w:rPr>
                <w:rFonts w:ascii="宋体"/>
              </w:rPr>
            </w:pPr>
          </w:p>
        </w:tc>
        <w:tc>
          <w:tcPr>
            <w:tcW w:w="5" w:type="pct"/>
            <w:shd w:val="clear" w:color="auto" w:fill="auto"/>
            <w:vAlign w:val="bottom"/>
          </w:tcPr>
          <w:p w14:paraId="64297F04" w14:textId="77777777" w:rsidR="007B6C97" w:rsidRDefault="007B6C97">
            <w:pPr>
              <w:rPr>
                <w:rFonts w:ascii="宋体"/>
              </w:rPr>
            </w:pPr>
          </w:p>
        </w:tc>
        <w:tc>
          <w:tcPr>
            <w:tcW w:w="5" w:type="pct"/>
            <w:shd w:val="clear" w:color="auto" w:fill="auto"/>
            <w:vAlign w:val="bottom"/>
          </w:tcPr>
          <w:p w14:paraId="64297F05" w14:textId="77777777" w:rsidR="007B6C97" w:rsidRDefault="007B6C97">
            <w:pPr>
              <w:rPr>
                <w:rFonts w:ascii="宋体"/>
              </w:rPr>
            </w:pPr>
          </w:p>
        </w:tc>
        <w:tc>
          <w:tcPr>
            <w:tcW w:w="19" w:type="pct"/>
            <w:shd w:val="clear" w:color="auto" w:fill="auto"/>
            <w:vAlign w:val="bottom"/>
          </w:tcPr>
          <w:p w14:paraId="64297F06" w14:textId="77777777" w:rsidR="007B6C97" w:rsidRDefault="007B6C97">
            <w:pPr>
              <w:rPr>
                <w:rFonts w:ascii="宋体"/>
              </w:rPr>
            </w:pPr>
          </w:p>
        </w:tc>
        <w:tc>
          <w:tcPr>
            <w:tcW w:w="5" w:type="pct"/>
            <w:shd w:val="clear" w:color="auto" w:fill="auto"/>
            <w:vAlign w:val="bottom"/>
          </w:tcPr>
          <w:p w14:paraId="64297F07" w14:textId="77777777" w:rsidR="007B6C97" w:rsidRDefault="007B6C97">
            <w:pPr>
              <w:rPr>
                <w:rFonts w:ascii="宋体"/>
              </w:rPr>
            </w:pPr>
          </w:p>
        </w:tc>
        <w:tc>
          <w:tcPr>
            <w:tcW w:w="50" w:type="pct"/>
            <w:shd w:val="clear" w:color="auto" w:fill="auto"/>
            <w:vAlign w:val="bottom"/>
          </w:tcPr>
          <w:p w14:paraId="64297F08" w14:textId="77777777" w:rsidR="007B6C97" w:rsidRDefault="007B6C97">
            <w:pPr>
              <w:rPr>
                <w:rFonts w:ascii="宋体"/>
              </w:rPr>
            </w:pPr>
          </w:p>
        </w:tc>
        <w:tc>
          <w:tcPr>
            <w:tcW w:w="808" w:type="pct"/>
            <w:shd w:val="clear" w:color="auto" w:fill="auto"/>
            <w:vAlign w:val="bottom"/>
          </w:tcPr>
          <w:p w14:paraId="64297F09" w14:textId="77777777" w:rsidR="007B6C97" w:rsidRDefault="007B6C97">
            <w:pPr>
              <w:rPr>
                <w:rFonts w:ascii="宋体"/>
              </w:rPr>
            </w:pPr>
          </w:p>
        </w:tc>
        <w:tc>
          <w:tcPr>
            <w:tcW w:w="5" w:type="pct"/>
            <w:shd w:val="clear" w:color="auto" w:fill="auto"/>
            <w:vAlign w:val="bottom"/>
          </w:tcPr>
          <w:p w14:paraId="64297F0A" w14:textId="77777777" w:rsidR="007B6C97" w:rsidRDefault="007B6C97">
            <w:pPr>
              <w:rPr>
                <w:rFonts w:ascii="宋体"/>
              </w:rPr>
            </w:pPr>
          </w:p>
        </w:tc>
      </w:tr>
      <w:tr w:rsidR="007B6C97" w14:paraId="64297F10" w14:textId="77777777">
        <w:tc>
          <w:tcPr>
            <w:tcW w:w="0" w:type="auto"/>
            <w:gridSpan w:val="3"/>
            <w:shd w:val="clear" w:color="auto" w:fill="auto"/>
            <w:tcMar>
              <w:top w:w="40" w:type="dxa"/>
              <w:left w:w="20" w:type="dxa"/>
              <w:bottom w:w="40" w:type="dxa"/>
              <w:right w:w="20" w:type="dxa"/>
            </w:tcMar>
            <w:vAlign w:val="bottom"/>
          </w:tcPr>
          <w:p w14:paraId="64297F0C" w14:textId="77777777" w:rsidR="007B6C97" w:rsidRDefault="00E426D1">
            <w:pPr>
              <w:textAlignment w:val="bottom"/>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c>
        <w:tc>
          <w:tcPr>
            <w:tcW w:w="0" w:type="auto"/>
            <w:gridSpan w:val="3"/>
            <w:shd w:val="clear" w:color="auto" w:fill="00704A"/>
            <w:tcMar>
              <w:top w:w="40" w:type="dxa"/>
              <w:left w:w="20" w:type="dxa"/>
              <w:bottom w:w="40" w:type="dxa"/>
              <w:right w:w="20" w:type="dxa"/>
            </w:tcMar>
            <w:vAlign w:val="bottom"/>
          </w:tcPr>
          <w:p w14:paraId="64297F0D"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F0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0F"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F19" w14:textId="77777777">
        <w:tc>
          <w:tcPr>
            <w:tcW w:w="0" w:type="auto"/>
            <w:gridSpan w:val="3"/>
            <w:shd w:val="clear" w:color="auto" w:fill="D7E4BC"/>
            <w:tcMar>
              <w:top w:w="40" w:type="dxa"/>
              <w:left w:w="20" w:type="dxa"/>
              <w:bottom w:w="40" w:type="dxa"/>
              <w:right w:w="20" w:type="dxa"/>
            </w:tcMar>
            <w:vAlign w:val="bottom"/>
          </w:tcPr>
          <w:p w14:paraId="64297F11" w14:textId="77777777" w:rsidR="007B6C97" w:rsidRDefault="00E426D1">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7F1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7F13" w14:textId="77777777" w:rsidR="007B6C97" w:rsidRDefault="00E426D1">
            <w:pPr>
              <w:jc w:val="right"/>
              <w:textAlignment w:val="bottom"/>
            </w:pPr>
            <w:r>
              <w:rPr>
                <w:rFonts w:ascii="Times New Roman" w:eastAsia="宋体" w:hAnsi="Times New Roman"/>
                <w:color w:val="000000"/>
                <w:sz w:val="20"/>
                <w:szCs w:val="20"/>
              </w:rPr>
              <w:t>97.1 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7F1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15"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7F1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7F17" w14:textId="77777777" w:rsidR="007B6C97" w:rsidRDefault="00E426D1">
            <w:pPr>
              <w:jc w:val="right"/>
              <w:textAlignment w:val="bottom"/>
            </w:pPr>
            <w:r>
              <w:rPr>
                <w:rFonts w:ascii="Times New Roman" w:eastAsia="宋体" w:hAnsi="Times New Roman"/>
                <w:color w:val="000000"/>
                <w:sz w:val="20"/>
                <w:szCs w:val="20"/>
              </w:rPr>
              <w:t>96.4 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7F18" w14:textId="77777777" w:rsidR="007B6C97" w:rsidRDefault="007B6C97">
            <w:pPr>
              <w:jc w:val="right"/>
              <w:rPr>
                <w:rFonts w:ascii="宋体"/>
              </w:rPr>
            </w:pPr>
          </w:p>
        </w:tc>
      </w:tr>
    </w:tbl>
    <w:p w14:paraId="64297F1A" w14:textId="77777777" w:rsidR="007B6C97" w:rsidRDefault="007B6C97">
      <w:pPr>
        <w:spacing w:before="120"/>
      </w:pPr>
    </w:p>
    <w:p w14:paraId="64297F1B" w14:textId="77777777" w:rsidR="007B6C97" w:rsidRDefault="00E426D1">
      <w:pPr>
        <w:jc w:val="center"/>
      </w:pPr>
      <w:r>
        <w:rPr>
          <w:rFonts w:ascii="Times New Roman" w:eastAsia="宋体" w:hAnsi="Times New Roman"/>
          <w:color w:val="000000"/>
          <w:sz w:val="20"/>
          <w:szCs w:val="20"/>
        </w:rPr>
        <w:t>19</w:t>
      </w:r>
    </w:p>
    <w:p w14:paraId="64297F1C" w14:textId="77777777" w:rsidR="007B6C97" w:rsidRDefault="00E426D1">
      <w:r>
        <w:pict w14:anchorId="642999ED">
          <v:rect id="_x0000_i1043" style="width:415.3pt;height:1.5pt" o:hralign="center" o:hrstd="t" o:hr="t" fillcolor="#a0a0a0" stroked="f"/>
        </w:pict>
      </w:r>
    </w:p>
    <w:p w14:paraId="64297F1D" w14:textId="77777777" w:rsidR="007B6C97" w:rsidRDefault="00E426D1">
      <w:hyperlink r:id="rId116" w:anchor="ie38a2b375c9840e583a36769999bbee6_7" w:history="1">
        <w:r>
          <w:rPr>
            <w:rStyle w:val="a5"/>
            <w:rFonts w:ascii="Times New Roman" w:eastAsia="宋体" w:hAnsi="Times New Roman"/>
            <w:sz w:val="20"/>
            <w:szCs w:val="20"/>
          </w:rPr>
          <w:t>Table</w:t>
        </w:r>
      </w:hyperlink>
      <w:hyperlink r:id="rId117" w:anchor="ie38a2b375c9840e583a36769999bbee6_7" w:history="1">
        <w:r>
          <w:rPr>
            <w:rStyle w:val="a5"/>
            <w:rFonts w:ascii="Times New Roman" w:eastAsia="宋体" w:hAnsi="Times New Roman"/>
            <w:sz w:val="20"/>
            <w:szCs w:val="20"/>
          </w:rPr>
          <w:t xml:space="preserve"> of Contents</w:t>
        </w:r>
      </w:hyperlink>
    </w:p>
    <w:p w14:paraId="64297F1E" w14:textId="77777777" w:rsidR="007B6C97" w:rsidRDefault="00E426D1">
      <w:pPr>
        <w:spacing w:before="120"/>
      </w:pPr>
      <w:r>
        <w:rPr>
          <w:rFonts w:ascii="Times New Roman" w:eastAsia="宋体" w:hAnsi="Times New Roman"/>
          <w:b/>
          <w:bCs/>
          <w:i/>
          <w:iCs/>
          <w:color w:val="000000"/>
          <w:sz w:val="20"/>
          <w:szCs w:val="20"/>
        </w:rPr>
        <w:t xml:space="preserve">Finite-Lived Intangible Assets </w:t>
      </w:r>
    </w:p>
    <w:tbl>
      <w:tblPr>
        <w:tblW w:w="4993" w:type="pct"/>
        <w:tblCellMar>
          <w:top w:w="15" w:type="dxa"/>
          <w:left w:w="15" w:type="dxa"/>
          <w:bottom w:w="15" w:type="dxa"/>
          <w:right w:w="15" w:type="dxa"/>
        </w:tblCellMar>
        <w:tblLook w:val="04A0" w:firstRow="1" w:lastRow="0" w:firstColumn="1" w:lastColumn="0" w:noHBand="0" w:noVBand="1"/>
      </w:tblPr>
      <w:tblGrid>
        <w:gridCol w:w="39"/>
        <w:gridCol w:w="2211"/>
        <w:gridCol w:w="38"/>
        <w:gridCol w:w="120"/>
        <w:gridCol w:w="781"/>
        <w:gridCol w:w="36"/>
        <w:gridCol w:w="36"/>
        <w:gridCol w:w="36"/>
        <w:gridCol w:w="36"/>
        <w:gridCol w:w="121"/>
        <w:gridCol w:w="863"/>
        <w:gridCol w:w="36"/>
        <w:gridCol w:w="36"/>
        <w:gridCol w:w="36"/>
        <w:gridCol w:w="36"/>
        <w:gridCol w:w="121"/>
        <w:gridCol w:w="663"/>
        <w:gridCol w:w="36"/>
        <w:gridCol w:w="36"/>
        <w:gridCol w:w="36"/>
        <w:gridCol w:w="36"/>
        <w:gridCol w:w="120"/>
        <w:gridCol w:w="722"/>
        <w:gridCol w:w="36"/>
        <w:gridCol w:w="36"/>
        <w:gridCol w:w="36"/>
        <w:gridCol w:w="36"/>
        <w:gridCol w:w="121"/>
        <w:gridCol w:w="863"/>
        <w:gridCol w:w="36"/>
        <w:gridCol w:w="36"/>
        <w:gridCol w:w="36"/>
        <w:gridCol w:w="36"/>
        <w:gridCol w:w="121"/>
        <w:gridCol w:w="664"/>
        <w:gridCol w:w="36"/>
      </w:tblGrid>
      <w:tr w:rsidR="007B6C97" w14:paraId="64297F43" w14:textId="77777777">
        <w:tc>
          <w:tcPr>
            <w:tcW w:w="50" w:type="pct"/>
            <w:shd w:val="clear" w:color="auto" w:fill="auto"/>
            <w:vAlign w:val="bottom"/>
          </w:tcPr>
          <w:p w14:paraId="64297F1F" w14:textId="77777777" w:rsidR="007B6C97" w:rsidRDefault="007B6C97">
            <w:pPr>
              <w:rPr>
                <w:rFonts w:ascii="宋体"/>
              </w:rPr>
            </w:pPr>
          </w:p>
        </w:tc>
        <w:tc>
          <w:tcPr>
            <w:tcW w:w="1379" w:type="pct"/>
            <w:shd w:val="clear" w:color="auto" w:fill="auto"/>
            <w:vAlign w:val="bottom"/>
          </w:tcPr>
          <w:p w14:paraId="64297F20" w14:textId="77777777" w:rsidR="007B6C97" w:rsidRDefault="007B6C97">
            <w:pPr>
              <w:rPr>
                <w:rFonts w:ascii="宋体"/>
              </w:rPr>
            </w:pPr>
          </w:p>
        </w:tc>
        <w:tc>
          <w:tcPr>
            <w:tcW w:w="5" w:type="pct"/>
            <w:shd w:val="clear" w:color="auto" w:fill="auto"/>
            <w:vAlign w:val="bottom"/>
          </w:tcPr>
          <w:p w14:paraId="64297F21" w14:textId="77777777" w:rsidR="007B6C97" w:rsidRDefault="007B6C97">
            <w:pPr>
              <w:rPr>
                <w:rFonts w:ascii="宋体"/>
              </w:rPr>
            </w:pPr>
          </w:p>
        </w:tc>
        <w:tc>
          <w:tcPr>
            <w:tcW w:w="50" w:type="pct"/>
            <w:shd w:val="clear" w:color="auto" w:fill="auto"/>
            <w:vAlign w:val="bottom"/>
          </w:tcPr>
          <w:p w14:paraId="64297F22" w14:textId="77777777" w:rsidR="007B6C97" w:rsidRDefault="007B6C97">
            <w:pPr>
              <w:rPr>
                <w:rFonts w:ascii="宋体"/>
              </w:rPr>
            </w:pPr>
          </w:p>
        </w:tc>
        <w:tc>
          <w:tcPr>
            <w:tcW w:w="508" w:type="pct"/>
            <w:shd w:val="clear" w:color="auto" w:fill="auto"/>
            <w:vAlign w:val="bottom"/>
          </w:tcPr>
          <w:p w14:paraId="64297F23" w14:textId="77777777" w:rsidR="007B6C97" w:rsidRDefault="007B6C97">
            <w:pPr>
              <w:rPr>
                <w:rFonts w:ascii="宋体"/>
              </w:rPr>
            </w:pPr>
          </w:p>
        </w:tc>
        <w:tc>
          <w:tcPr>
            <w:tcW w:w="5" w:type="pct"/>
            <w:shd w:val="clear" w:color="auto" w:fill="auto"/>
            <w:vAlign w:val="bottom"/>
          </w:tcPr>
          <w:p w14:paraId="64297F24" w14:textId="77777777" w:rsidR="007B6C97" w:rsidRDefault="007B6C97">
            <w:pPr>
              <w:rPr>
                <w:rFonts w:ascii="宋体"/>
              </w:rPr>
            </w:pPr>
          </w:p>
        </w:tc>
        <w:tc>
          <w:tcPr>
            <w:tcW w:w="5" w:type="pct"/>
            <w:shd w:val="clear" w:color="auto" w:fill="auto"/>
            <w:vAlign w:val="bottom"/>
          </w:tcPr>
          <w:p w14:paraId="64297F25" w14:textId="77777777" w:rsidR="007B6C97" w:rsidRDefault="007B6C97">
            <w:pPr>
              <w:rPr>
                <w:rFonts w:ascii="宋体"/>
              </w:rPr>
            </w:pPr>
          </w:p>
        </w:tc>
        <w:tc>
          <w:tcPr>
            <w:tcW w:w="26" w:type="pct"/>
            <w:shd w:val="clear" w:color="auto" w:fill="auto"/>
            <w:vAlign w:val="bottom"/>
          </w:tcPr>
          <w:p w14:paraId="64297F26" w14:textId="77777777" w:rsidR="007B6C97" w:rsidRDefault="007B6C97">
            <w:pPr>
              <w:rPr>
                <w:rFonts w:ascii="宋体"/>
              </w:rPr>
            </w:pPr>
          </w:p>
        </w:tc>
        <w:tc>
          <w:tcPr>
            <w:tcW w:w="5" w:type="pct"/>
            <w:shd w:val="clear" w:color="auto" w:fill="auto"/>
            <w:vAlign w:val="bottom"/>
          </w:tcPr>
          <w:p w14:paraId="64297F27" w14:textId="77777777" w:rsidR="007B6C97" w:rsidRDefault="007B6C97">
            <w:pPr>
              <w:rPr>
                <w:rFonts w:ascii="宋体"/>
              </w:rPr>
            </w:pPr>
          </w:p>
        </w:tc>
        <w:tc>
          <w:tcPr>
            <w:tcW w:w="50" w:type="pct"/>
            <w:shd w:val="clear" w:color="auto" w:fill="auto"/>
            <w:vAlign w:val="bottom"/>
          </w:tcPr>
          <w:p w14:paraId="64297F28" w14:textId="77777777" w:rsidR="007B6C97" w:rsidRDefault="007B6C97">
            <w:pPr>
              <w:rPr>
                <w:rFonts w:ascii="宋体"/>
              </w:rPr>
            </w:pPr>
          </w:p>
        </w:tc>
        <w:tc>
          <w:tcPr>
            <w:tcW w:w="508" w:type="pct"/>
            <w:shd w:val="clear" w:color="auto" w:fill="auto"/>
            <w:vAlign w:val="bottom"/>
          </w:tcPr>
          <w:p w14:paraId="64297F29" w14:textId="77777777" w:rsidR="007B6C97" w:rsidRDefault="007B6C97">
            <w:pPr>
              <w:rPr>
                <w:rFonts w:ascii="宋体"/>
              </w:rPr>
            </w:pPr>
          </w:p>
        </w:tc>
        <w:tc>
          <w:tcPr>
            <w:tcW w:w="5" w:type="pct"/>
            <w:shd w:val="clear" w:color="auto" w:fill="auto"/>
            <w:vAlign w:val="bottom"/>
          </w:tcPr>
          <w:p w14:paraId="64297F2A" w14:textId="77777777" w:rsidR="007B6C97" w:rsidRDefault="007B6C97">
            <w:pPr>
              <w:rPr>
                <w:rFonts w:ascii="宋体"/>
              </w:rPr>
            </w:pPr>
          </w:p>
        </w:tc>
        <w:tc>
          <w:tcPr>
            <w:tcW w:w="5" w:type="pct"/>
            <w:shd w:val="clear" w:color="auto" w:fill="auto"/>
            <w:vAlign w:val="bottom"/>
          </w:tcPr>
          <w:p w14:paraId="64297F2B" w14:textId="77777777" w:rsidR="007B6C97" w:rsidRDefault="007B6C97">
            <w:pPr>
              <w:rPr>
                <w:rFonts w:ascii="宋体"/>
              </w:rPr>
            </w:pPr>
          </w:p>
        </w:tc>
        <w:tc>
          <w:tcPr>
            <w:tcW w:w="26" w:type="pct"/>
            <w:shd w:val="clear" w:color="auto" w:fill="auto"/>
            <w:vAlign w:val="bottom"/>
          </w:tcPr>
          <w:p w14:paraId="64297F2C" w14:textId="77777777" w:rsidR="007B6C97" w:rsidRDefault="007B6C97">
            <w:pPr>
              <w:rPr>
                <w:rFonts w:ascii="宋体"/>
              </w:rPr>
            </w:pPr>
          </w:p>
        </w:tc>
        <w:tc>
          <w:tcPr>
            <w:tcW w:w="5" w:type="pct"/>
            <w:shd w:val="clear" w:color="auto" w:fill="auto"/>
            <w:vAlign w:val="bottom"/>
          </w:tcPr>
          <w:p w14:paraId="64297F2D" w14:textId="77777777" w:rsidR="007B6C97" w:rsidRDefault="007B6C97">
            <w:pPr>
              <w:rPr>
                <w:rFonts w:ascii="宋体"/>
              </w:rPr>
            </w:pPr>
          </w:p>
        </w:tc>
        <w:tc>
          <w:tcPr>
            <w:tcW w:w="50" w:type="pct"/>
            <w:shd w:val="clear" w:color="auto" w:fill="auto"/>
            <w:vAlign w:val="bottom"/>
          </w:tcPr>
          <w:p w14:paraId="64297F2E" w14:textId="77777777" w:rsidR="007B6C97" w:rsidRDefault="007B6C97">
            <w:pPr>
              <w:rPr>
                <w:rFonts w:ascii="宋体"/>
              </w:rPr>
            </w:pPr>
          </w:p>
        </w:tc>
        <w:tc>
          <w:tcPr>
            <w:tcW w:w="508" w:type="pct"/>
            <w:shd w:val="clear" w:color="auto" w:fill="auto"/>
            <w:vAlign w:val="bottom"/>
          </w:tcPr>
          <w:p w14:paraId="64297F2F" w14:textId="77777777" w:rsidR="007B6C97" w:rsidRDefault="007B6C97">
            <w:pPr>
              <w:rPr>
                <w:rFonts w:ascii="宋体"/>
              </w:rPr>
            </w:pPr>
          </w:p>
        </w:tc>
        <w:tc>
          <w:tcPr>
            <w:tcW w:w="5" w:type="pct"/>
            <w:shd w:val="clear" w:color="auto" w:fill="auto"/>
            <w:vAlign w:val="bottom"/>
          </w:tcPr>
          <w:p w14:paraId="64297F30" w14:textId="77777777" w:rsidR="007B6C97" w:rsidRDefault="007B6C97">
            <w:pPr>
              <w:rPr>
                <w:rFonts w:ascii="宋体"/>
              </w:rPr>
            </w:pPr>
          </w:p>
        </w:tc>
        <w:tc>
          <w:tcPr>
            <w:tcW w:w="5" w:type="pct"/>
            <w:shd w:val="clear" w:color="auto" w:fill="auto"/>
            <w:vAlign w:val="bottom"/>
          </w:tcPr>
          <w:p w14:paraId="64297F31" w14:textId="77777777" w:rsidR="007B6C97" w:rsidRDefault="007B6C97">
            <w:pPr>
              <w:rPr>
                <w:rFonts w:ascii="宋体"/>
              </w:rPr>
            </w:pPr>
          </w:p>
        </w:tc>
        <w:tc>
          <w:tcPr>
            <w:tcW w:w="26" w:type="pct"/>
            <w:shd w:val="clear" w:color="auto" w:fill="auto"/>
            <w:vAlign w:val="bottom"/>
          </w:tcPr>
          <w:p w14:paraId="64297F32" w14:textId="77777777" w:rsidR="007B6C97" w:rsidRDefault="007B6C97">
            <w:pPr>
              <w:rPr>
                <w:rFonts w:ascii="宋体"/>
              </w:rPr>
            </w:pPr>
          </w:p>
        </w:tc>
        <w:tc>
          <w:tcPr>
            <w:tcW w:w="5" w:type="pct"/>
            <w:shd w:val="clear" w:color="auto" w:fill="auto"/>
            <w:vAlign w:val="bottom"/>
          </w:tcPr>
          <w:p w14:paraId="64297F33" w14:textId="77777777" w:rsidR="007B6C97" w:rsidRDefault="007B6C97">
            <w:pPr>
              <w:rPr>
                <w:rFonts w:ascii="宋体"/>
              </w:rPr>
            </w:pPr>
          </w:p>
        </w:tc>
        <w:tc>
          <w:tcPr>
            <w:tcW w:w="50" w:type="pct"/>
            <w:shd w:val="clear" w:color="auto" w:fill="auto"/>
            <w:vAlign w:val="bottom"/>
          </w:tcPr>
          <w:p w14:paraId="64297F34" w14:textId="77777777" w:rsidR="007B6C97" w:rsidRDefault="007B6C97">
            <w:pPr>
              <w:rPr>
                <w:rFonts w:ascii="宋体"/>
              </w:rPr>
            </w:pPr>
          </w:p>
        </w:tc>
        <w:tc>
          <w:tcPr>
            <w:tcW w:w="508" w:type="pct"/>
            <w:shd w:val="clear" w:color="auto" w:fill="auto"/>
            <w:vAlign w:val="bottom"/>
          </w:tcPr>
          <w:p w14:paraId="64297F35" w14:textId="77777777" w:rsidR="007B6C97" w:rsidRDefault="007B6C97">
            <w:pPr>
              <w:rPr>
                <w:rFonts w:ascii="宋体"/>
              </w:rPr>
            </w:pPr>
          </w:p>
        </w:tc>
        <w:tc>
          <w:tcPr>
            <w:tcW w:w="5" w:type="pct"/>
            <w:shd w:val="clear" w:color="auto" w:fill="auto"/>
            <w:vAlign w:val="bottom"/>
          </w:tcPr>
          <w:p w14:paraId="64297F36" w14:textId="77777777" w:rsidR="007B6C97" w:rsidRDefault="007B6C97">
            <w:pPr>
              <w:rPr>
                <w:rFonts w:ascii="宋体"/>
              </w:rPr>
            </w:pPr>
          </w:p>
        </w:tc>
        <w:tc>
          <w:tcPr>
            <w:tcW w:w="5" w:type="pct"/>
            <w:shd w:val="clear" w:color="auto" w:fill="auto"/>
            <w:vAlign w:val="bottom"/>
          </w:tcPr>
          <w:p w14:paraId="64297F37" w14:textId="77777777" w:rsidR="007B6C97" w:rsidRDefault="007B6C97">
            <w:pPr>
              <w:rPr>
                <w:rFonts w:ascii="宋体"/>
              </w:rPr>
            </w:pPr>
          </w:p>
        </w:tc>
        <w:tc>
          <w:tcPr>
            <w:tcW w:w="26" w:type="pct"/>
            <w:shd w:val="clear" w:color="auto" w:fill="auto"/>
            <w:vAlign w:val="bottom"/>
          </w:tcPr>
          <w:p w14:paraId="64297F38" w14:textId="77777777" w:rsidR="007B6C97" w:rsidRDefault="007B6C97">
            <w:pPr>
              <w:rPr>
                <w:rFonts w:ascii="宋体"/>
              </w:rPr>
            </w:pPr>
          </w:p>
        </w:tc>
        <w:tc>
          <w:tcPr>
            <w:tcW w:w="5" w:type="pct"/>
            <w:shd w:val="clear" w:color="auto" w:fill="auto"/>
            <w:vAlign w:val="bottom"/>
          </w:tcPr>
          <w:p w14:paraId="64297F39" w14:textId="77777777" w:rsidR="007B6C97" w:rsidRDefault="007B6C97">
            <w:pPr>
              <w:rPr>
                <w:rFonts w:ascii="宋体"/>
              </w:rPr>
            </w:pPr>
          </w:p>
        </w:tc>
        <w:tc>
          <w:tcPr>
            <w:tcW w:w="50" w:type="pct"/>
            <w:shd w:val="clear" w:color="auto" w:fill="auto"/>
            <w:vAlign w:val="bottom"/>
          </w:tcPr>
          <w:p w14:paraId="64297F3A" w14:textId="77777777" w:rsidR="007B6C97" w:rsidRDefault="007B6C97">
            <w:pPr>
              <w:rPr>
                <w:rFonts w:ascii="宋体"/>
              </w:rPr>
            </w:pPr>
          </w:p>
        </w:tc>
        <w:tc>
          <w:tcPr>
            <w:tcW w:w="508" w:type="pct"/>
            <w:shd w:val="clear" w:color="auto" w:fill="auto"/>
            <w:vAlign w:val="bottom"/>
          </w:tcPr>
          <w:p w14:paraId="64297F3B" w14:textId="77777777" w:rsidR="007B6C97" w:rsidRDefault="007B6C97">
            <w:pPr>
              <w:rPr>
                <w:rFonts w:ascii="宋体"/>
              </w:rPr>
            </w:pPr>
          </w:p>
        </w:tc>
        <w:tc>
          <w:tcPr>
            <w:tcW w:w="5" w:type="pct"/>
            <w:shd w:val="clear" w:color="auto" w:fill="auto"/>
            <w:vAlign w:val="bottom"/>
          </w:tcPr>
          <w:p w14:paraId="64297F3C" w14:textId="77777777" w:rsidR="007B6C97" w:rsidRDefault="007B6C97">
            <w:pPr>
              <w:rPr>
                <w:rFonts w:ascii="宋体"/>
              </w:rPr>
            </w:pPr>
          </w:p>
        </w:tc>
        <w:tc>
          <w:tcPr>
            <w:tcW w:w="5" w:type="pct"/>
            <w:shd w:val="clear" w:color="auto" w:fill="auto"/>
            <w:vAlign w:val="bottom"/>
          </w:tcPr>
          <w:p w14:paraId="64297F3D" w14:textId="77777777" w:rsidR="007B6C97" w:rsidRDefault="007B6C97">
            <w:pPr>
              <w:rPr>
                <w:rFonts w:ascii="宋体"/>
              </w:rPr>
            </w:pPr>
          </w:p>
        </w:tc>
        <w:tc>
          <w:tcPr>
            <w:tcW w:w="26" w:type="pct"/>
            <w:shd w:val="clear" w:color="auto" w:fill="auto"/>
            <w:vAlign w:val="bottom"/>
          </w:tcPr>
          <w:p w14:paraId="64297F3E" w14:textId="77777777" w:rsidR="007B6C97" w:rsidRDefault="007B6C97">
            <w:pPr>
              <w:rPr>
                <w:rFonts w:ascii="宋体"/>
              </w:rPr>
            </w:pPr>
          </w:p>
        </w:tc>
        <w:tc>
          <w:tcPr>
            <w:tcW w:w="5" w:type="pct"/>
            <w:shd w:val="clear" w:color="auto" w:fill="auto"/>
            <w:vAlign w:val="bottom"/>
          </w:tcPr>
          <w:p w14:paraId="64297F3F" w14:textId="77777777" w:rsidR="007B6C97" w:rsidRDefault="007B6C97">
            <w:pPr>
              <w:rPr>
                <w:rFonts w:ascii="宋体"/>
              </w:rPr>
            </w:pPr>
          </w:p>
        </w:tc>
        <w:tc>
          <w:tcPr>
            <w:tcW w:w="50" w:type="pct"/>
            <w:shd w:val="clear" w:color="auto" w:fill="auto"/>
            <w:vAlign w:val="bottom"/>
          </w:tcPr>
          <w:p w14:paraId="64297F40" w14:textId="77777777" w:rsidR="007B6C97" w:rsidRDefault="007B6C97">
            <w:pPr>
              <w:rPr>
                <w:rFonts w:ascii="宋体"/>
              </w:rPr>
            </w:pPr>
          </w:p>
        </w:tc>
        <w:tc>
          <w:tcPr>
            <w:tcW w:w="508" w:type="pct"/>
            <w:shd w:val="clear" w:color="auto" w:fill="auto"/>
            <w:vAlign w:val="bottom"/>
          </w:tcPr>
          <w:p w14:paraId="64297F41" w14:textId="77777777" w:rsidR="007B6C97" w:rsidRDefault="007B6C97">
            <w:pPr>
              <w:rPr>
                <w:rFonts w:ascii="宋体"/>
              </w:rPr>
            </w:pPr>
          </w:p>
        </w:tc>
        <w:tc>
          <w:tcPr>
            <w:tcW w:w="5" w:type="pct"/>
            <w:shd w:val="clear" w:color="auto" w:fill="auto"/>
            <w:vAlign w:val="bottom"/>
          </w:tcPr>
          <w:p w14:paraId="64297F42" w14:textId="77777777" w:rsidR="007B6C97" w:rsidRDefault="007B6C97">
            <w:pPr>
              <w:rPr>
                <w:rFonts w:ascii="宋体"/>
              </w:rPr>
            </w:pPr>
          </w:p>
        </w:tc>
      </w:tr>
      <w:tr w:rsidR="007B6C97" w14:paraId="64297F48" w14:textId="77777777">
        <w:tc>
          <w:tcPr>
            <w:tcW w:w="0" w:type="auto"/>
            <w:gridSpan w:val="3"/>
            <w:shd w:val="clear" w:color="auto" w:fill="auto"/>
            <w:tcMar>
              <w:top w:w="0" w:type="dxa"/>
              <w:left w:w="20" w:type="dxa"/>
              <w:bottom w:w="0" w:type="dxa"/>
              <w:right w:w="20" w:type="dxa"/>
            </w:tcMar>
            <w:vAlign w:val="bottom"/>
          </w:tcPr>
          <w:p w14:paraId="64297F44" w14:textId="77777777" w:rsidR="007B6C97" w:rsidRDefault="007B6C97">
            <w:pPr>
              <w:rPr>
                <w:rFonts w:ascii="宋体"/>
              </w:rPr>
            </w:pPr>
          </w:p>
        </w:tc>
        <w:tc>
          <w:tcPr>
            <w:tcW w:w="0" w:type="auto"/>
            <w:gridSpan w:val="15"/>
            <w:shd w:val="clear" w:color="auto" w:fill="00704A"/>
            <w:tcMar>
              <w:top w:w="40" w:type="dxa"/>
              <w:left w:w="20" w:type="dxa"/>
              <w:bottom w:w="40" w:type="dxa"/>
              <w:right w:w="20" w:type="dxa"/>
            </w:tcMar>
            <w:vAlign w:val="bottom"/>
          </w:tcPr>
          <w:p w14:paraId="64297F45"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7F46" w14:textId="77777777" w:rsidR="007B6C97" w:rsidRDefault="007B6C97">
            <w:pPr>
              <w:rPr>
                <w:rFonts w:ascii="宋体"/>
              </w:rPr>
            </w:pPr>
          </w:p>
        </w:tc>
        <w:tc>
          <w:tcPr>
            <w:tcW w:w="0" w:type="auto"/>
            <w:gridSpan w:val="15"/>
            <w:shd w:val="clear" w:color="auto" w:fill="00704A"/>
            <w:tcMar>
              <w:top w:w="40" w:type="dxa"/>
              <w:left w:w="20" w:type="dxa"/>
              <w:bottom w:w="40" w:type="dxa"/>
              <w:right w:w="20" w:type="dxa"/>
            </w:tcMar>
            <w:vAlign w:val="bottom"/>
          </w:tcPr>
          <w:p w14:paraId="64297F47" w14:textId="77777777" w:rsidR="007B6C97" w:rsidRDefault="00E426D1">
            <w:pPr>
              <w:jc w:val="center"/>
              <w:textAlignment w:val="bottom"/>
            </w:pPr>
            <w:r>
              <w:rPr>
                <w:rFonts w:ascii="Times New Roman" w:eastAsia="宋体" w:hAnsi="Times New Roman"/>
                <w:b/>
                <w:bCs/>
                <w:color w:val="FFFFFF"/>
                <w:sz w:val="16"/>
                <w:szCs w:val="16"/>
              </w:rPr>
              <w:t>Oct 3, 2021</w:t>
            </w:r>
          </w:p>
        </w:tc>
      </w:tr>
      <w:tr w:rsidR="007B6C97" w14:paraId="64297F55" w14:textId="77777777">
        <w:tc>
          <w:tcPr>
            <w:tcW w:w="0" w:type="auto"/>
            <w:gridSpan w:val="3"/>
            <w:shd w:val="clear" w:color="auto" w:fill="auto"/>
            <w:tcMar>
              <w:top w:w="40" w:type="dxa"/>
              <w:left w:w="20" w:type="dxa"/>
              <w:bottom w:w="40" w:type="dxa"/>
              <w:right w:w="20" w:type="dxa"/>
            </w:tcMar>
            <w:vAlign w:val="bottom"/>
          </w:tcPr>
          <w:p w14:paraId="64297F49" w14:textId="77777777" w:rsidR="007B6C97" w:rsidRDefault="00E426D1">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64297F4A" w14:textId="77777777" w:rsidR="007B6C97" w:rsidRDefault="00E426D1">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64297F4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4C" w14:textId="77777777" w:rsidR="007B6C97" w:rsidRDefault="00E426D1">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64297F4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4E" w14:textId="77777777" w:rsidR="007B6C97" w:rsidRDefault="00E426D1">
            <w:pPr>
              <w:jc w:val="center"/>
              <w:textAlignment w:val="bottom"/>
            </w:pPr>
            <w:r>
              <w:rPr>
                <w:rFonts w:ascii="Times New Roman" w:eastAsia="宋体" w:hAnsi="Times New Roman"/>
                <w:b/>
                <w:bCs/>
                <w:color w:val="FFFFFF"/>
                <w:sz w:val="16"/>
                <w:szCs w:val="16"/>
              </w:rPr>
              <w:t xml:space="preserve">Net Carrying </w:t>
            </w: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4297F4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50" w14:textId="77777777" w:rsidR="007B6C97" w:rsidRDefault="00E426D1">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64297F5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52" w14:textId="77777777" w:rsidR="007B6C97" w:rsidRDefault="00E426D1">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64297F5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7F54" w14:textId="77777777" w:rsidR="007B6C97" w:rsidRDefault="00E426D1">
            <w:pPr>
              <w:jc w:val="center"/>
              <w:textAlignment w:val="bottom"/>
            </w:pPr>
            <w:r>
              <w:rPr>
                <w:rFonts w:ascii="Times New Roman" w:eastAsia="宋体" w:hAnsi="Times New Roman"/>
                <w:b/>
                <w:bCs/>
                <w:color w:val="FFFFFF"/>
                <w:sz w:val="16"/>
                <w:szCs w:val="16"/>
              </w:rPr>
              <w:t>Net Carrying Amount</w:t>
            </w:r>
          </w:p>
        </w:tc>
      </w:tr>
      <w:tr w:rsidR="007B6C97" w14:paraId="64297F6E" w14:textId="77777777">
        <w:tc>
          <w:tcPr>
            <w:tcW w:w="0" w:type="auto"/>
            <w:gridSpan w:val="3"/>
            <w:shd w:val="clear" w:color="auto" w:fill="D7E4BC"/>
            <w:tcMar>
              <w:top w:w="40" w:type="dxa"/>
              <w:left w:w="20" w:type="dxa"/>
              <w:bottom w:w="40" w:type="dxa"/>
              <w:right w:w="20" w:type="dxa"/>
            </w:tcMar>
            <w:vAlign w:val="bottom"/>
          </w:tcPr>
          <w:p w14:paraId="64297F56" w14:textId="77777777" w:rsidR="007B6C97" w:rsidRDefault="00E426D1">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F5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58" w14:textId="77777777" w:rsidR="007B6C97" w:rsidRDefault="00E426D1">
            <w:pPr>
              <w:jc w:val="right"/>
              <w:textAlignment w:val="bottom"/>
            </w:pPr>
            <w:r>
              <w:rPr>
                <w:rFonts w:ascii="Times New Roman" w:eastAsia="宋体" w:hAnsi="Times New Roman"/>
                <w:color w:val="000000"/>
                <w:sz w:val="20"/>
                <w:szCs w:val="20"/>
              </w:rPr>
              <w:t>1,054.3 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5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5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F5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5C" w14:textId="77777777" w:rsidR="007B6C97" w:rsidRDefault="00E426D1">
            <w:pPr>
              <w:jc w:val="right"/>
              <w:textAlignment w:val="bottom"/>
            </w:pPr>
            <w:r>
              <w:rPr>
                <w:rFonts w:ascii="Times New Roman" w:eastAsia="宋体" w:hAnsi="Times New Roman"/>
                <w:color w:val="000000"/>
                <w:sz w:val="20"/>
                <w:szCs w:val="20"/>
              </w:rPr>
              <w:t>(1,013.5)</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5E"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F5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60" w14:textId="77777777" w:rsidR="007B6C97" w:rsidRDefault="00E426D1">
            <w:pPr>
              <w:jc w:val="right"/>
              <w:textAlignment w:val="bottom"/>
            </w:pPr>
            <w:r>
              <w:rPr>
                <w:rFonts w:ascii="Times New Roman" w:eastAsia="宋体" w:hAnsi="Times New Roman"/>
                <w:color w:val="000000"/>
                <w:sz w:val="20"/>
                <w:szCs w:val="20"/>
              </w:rPr>
              <w:t>40.8 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6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F6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64" w14:textId="77777777" w:rsidR="007B6C97" w:rsidRDefault="00E426D1">
            <w:pPr>
              <w:jc w:val="right"/>
              <w:textAlignment w:val="bottom"/>
            </w:pPr>
            <w:r>
              <w:rPr>
                <w:rFonts w:ascii="Times New Roman" w:eastAsia="宋体" w:hAnsi="Times New Roman"/>
                <w:color w:val="000000"/>
                <w:sz w:val="20"/>
                <w:szCs w:val="20"/>
              </w:rPr>
              <w:t>1,141.5 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6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6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F6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68" w14:textId="77777777" w:rsidR="007B6C97" w:rsidRDefault="00E426D1">
            <w:pPr>
              <w:jc w:val="right"/>
              <w:textAlignment w:val="bottom"/>
            </w:pPr>
            <w:r>
              <w:rPr>
                <w:rFonts w:ascii="Times New Roman" w:eastAsia="宋体" w:hAnsi="Times New Roman"/>
                <w:color w:val="000000"/>
                <w:sz w:val="20"/>
                <w:szCs w:val="20"/>
              </w:rPr>
              <w:t>(971.9)</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6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6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7F6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6C" w14:textId="77777777" w:rsidR="007B6C97" w:rsidRDefault="00E426D1">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6D" w14:textId="77777777" w:rsidR="007B6C97" w:rsidRDefault="007B6C97">
            <w:pPr>
              <w:jc w:val="right"/>
              <w:rPr>
                <w:rFonts w:ascii="宋体"/>
              </w:rPr>
            </w:pPr>
          </w:p>
        </w:tc>
      </w:tr>
      <w:tr w:rsidR="007B6C97" w14:paraId="64297F81" w14:textId="77777777">
        <w:tc>
          <w:tcPr>
            <w:tcW w:w="0" w:type="auto"/>
            <w:gridSpan w:val="3"/>
            <w:shd w:val="clear" w:color="auto" w:fill="FFFFFF"/>
            <w:tcMar>
              <w:top w:w="40" w:type="dxa"/>
              <w:left w:w="20" w:type="dxa"/>
              <w:bottom w:w="40" w:type="dxa"/>
              <w:right w:w="20" w:type="dxa"/>
            </w:tcMar>
            <w:vAlign w:val="bottom"/>
          </w:tcPr>
          <w:p w14:paraId="64297F6F" w14:textId="77777777" w:rsidR="007B6C97" w:rsidRDefault="00E426D1">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64297F70" w14:textId="77777777" w:rsidR="007B6C97" w:rsidRDefault="00E426D1">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64297F7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7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73" w14:textId="77777777" w:rsidR="007B6C97" w:rsidRDefault="00E426D1">
            <w:pPr>
              <w:jc w:val="right"/>
              <w:textAlignment w:val="bottom"/>
            </w:pPr>
            <w:r>
              <w:rPr>
                <w:rFonts w:ascii="Times New Roman" w:eastAsia="宋体" w:hAnsi="Times New Roman"/>
                <w:color w:val="000000"/>
                <w:sz w:val="20"/>
                <w:szCs w:val="20"/>
              </w:rPr>
              <w:t>(26.8)</w:t>
            </w:r>
          </w:p>
        </w:tc>
        <w:tc>
          <w:tcPr>
            <w:tcW w:w="0" w:type="auto"/>
            <w:shd w:val="clear" w:color="auto" w:fill="FFFFFF"/>
            <w:tcMar>
              <w:top w:w="40" w:type="dxa"/>
              <w:left w:w="0" w:type="dxa"/>
              <w:bottom w:w="40" w:type="dxa"/>
              <w:right w:w="20" w:type="dxa"/>
            </w:tcMar>
            <w:vAlign w:val="bottom"/>
          </w:tcPr>
          <w:p w14:paraId="64297F7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7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76"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7F7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7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79" w14:textId="77777777" w:rsidR="007B6C97" w:rsidRDefault="00E426D1">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64297F7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7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7C" w14:textId="77777777" w:rsidR="007B6C97" w:rsidRDefault="00E426D1">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64297F7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7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7F"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64297F80" w14:textId="77777777" w:rsidR="007B6C97" w:rsidRDefault="007B6C97">
            <w:pPr>
              <w:jc w:val="right"/>
              <w:rPr>
                <w:rFonts w:ascii="宋体"/>
              </w:rPr>
            </w:pPr>
          </w:p>
        </w:tc>
      </w:tr>
      <w:tr w:rsidR="007B6C97" w14:paraId="64297F94" w14:textId="77777777">
        <w:tc>
          <w:tcPr>
            <w:tcW w:w="0" w:type="auto"/>
            <w:gridSpan w:val="3"/>
            <w:shd w:val="clear" w:color="auto" w:fill="D7E4BC"/>
            <w:tcMar>
              <w:top w:w="40" w:type="dxa"/>
              <w:left w:w="20" w:type="dxa"/>
              <w:bottom w:w="40" w:type="dxa"/>
              <w:right w:w="20" w:type="dxa"/>
            </w:tcMar>
            <w:vAlign w:val="bottom"/>
          </w:tcPr>
          <w:p w14:paraId="64297F82" w14:textId="77777777" w:rsidR="007B6C97" w:rsidRDefault="00E426D1">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64297F83" w14:textId="77777777" w:rsidR="007B6C97" w:rsidRDefault="00E426D1">
            <w:pPr>
              <w:jc w:val="right"/>
              <w:textAlignment w:val="bottom"/>
            </w:pPr>
            <w:r>
              <w:rPr>
                <w:rFonts w:ascii="Times New Roman" w:eastAsia="宋体" w:hAnsi="Times New Roman"/>
                <w:color w:val="000000"/>
                <w:sz w:val="20"/>
                <w:szCs w:val="20"/>
              </w:rPr>
              <w:t>128.0 </w:t>
            </w:r>
          </w:p>
        </w:tc>
        <w:tc>
          <w:tcPr>
            <w:tcW w:w="0" w:type="auto"/>
            <w:shd w:val="clear" w:color="auto" w:fill="D7E4BC"/>
            <w:tcMar>
              <w:top w:w="40" w:type="dxa"/>
              <w:left w:w="0" w:type="dxa"/>
              <w:bottom w:w="40" w:type="dxa"/>
              <w:right w:w="20" w:type="dxa"/>
            </w:tcMar>
            <w:vAlign w:val="bottom"/>
          </w:tcPr>
          <w:p w14:paraId="64297F8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8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86" w14:textId="77777777" w:rsidR="007B6C97" w:rsidRDefault="00E426D1">
            <w:pPr>
              <w:jc w:val="right"/>
              <w:textAlignment w:val="bottom"/>
            </w:pPr>
            <w:r>
              <w:rPr>
                <w:rFonts w:ascii="Times New Roman" w:eastAsia="宋体" w:hAnsi="Times New Roman"/>
                <w:color w:val="000000"/>
                <w:sz w:val="20"/>
                <w:szCs w:val="20"/>
              </w:rPr>
              <w:t>(66.8)</w:t>
            </w:r>
          </w:p>
        </w:tc>
        <w:tc>
          <w:tcPr>
            <w:tcW w:w="0" w:type="auto"/>
            <w:shd w:val="clear" w:color="auto" w:fill="D7E4BC"/>
            <w:tcMar>
              <w:top w:w="40" w:type="dxa"/>
              <w:left w:w="0" w:type="dxa"/>
              <w:bottom w:w="40" w:type="dxa"/>
              <w:right w:w="20" w:type="dxa"/>
            </w:tcMar>
            <w:vAlign w:val="bottom"/>
          </w:tcPr>
          <w:p w14:paraId="64297F8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8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89" w14:textId="77777777" w:rsidR="007B6C97" w:rsidRDefault="00E426D1">
            <w:pPr>
              <w:jc w:val="right"/>
              <w:textAlignment w:val="bottom"/>
            </w:pPr>
            <w:r>
              <w:rPr>
                <w:rFonts w:ascii="Times New Roman" w:eastAsia="宋体" w:hAnsi="Times New Roman"/>
                <w:color w:val="000000"/>
                <w:sz w:val="20"/>
                <w:szCs w:val="20"/>
              </w:rPr>
              <w:t>61.2 </w:t>
            </w:r>
          </w:p>
        </w:tc>
        <w:tc>
          <w:tcPr>
            <w:tcW w:w="0" w:type="auto"/>
            <w:shd w:val="clear" w:color="auto" w:fill="D7E4BC"/>
            <w:tcMar>
              <w:top w:w="40" w:type="dxa"/>
              <w:left w:w="0" w:type="dxa"/>
              <w:bottom w:w="40" w:type="dxa"/>
              <w:right w:w="20" w:type="dxa"/>
            </w:tcMar>
            <w:vAlign w:val="bottom"/>
          </w:tcPr>
          <w:p w14:paraId="64297F8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8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8C" w14:textId="77777777" w:rsidR="007B6C97" w:rsidRDefault="00E426D1">
            <w:pPr>
              <w:jc w:val="right"/>
              <w:textAlignment w:val="bottom"/>
            </w:pPr>
            <w:r>
              <w:rPr>
                <w:rFonts w:ascii="Times New Roman" w:eastAsia="宋体" w:hAnsi="Times New Roman"/>
                <w:color w:val="000000"/>
                <w:sz w:val="20"/>
                <w:szCs w:val="20"/>
              </w:rPr>
              <w:t>126.3 </w:t>
            </w:r>
          </w:p>
        </w:tc>
        <w:tc>
          <w:tcPr>
            <w:tcW w:w="0" w:type="auto"/>
            <w:shd w:val="clear" w:color="auto" w:fill="D7E4BC"/>
            <w:tcMar>
              <w:top w:w="40" w:type="dxa"/>
              <w:left w:w="0" w:type="dxa"/>
              <w:bottom w:w="40" w:type="dxa"/>
              <w:right w:w="20" w:type="dxa"/>
            </w:tcMar>
            <w:vAlign w:val="bottom"/>
          </w:tcPr>
          <w:p w14:paraId="64297F8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8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8F" w14:textId="77777777" w:rsidR="007B6C97" w:rsidRDefault="00E426D1">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64297F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92" w14:textId="77777777" w:rsidR="007B6C97" w:rsidRDefault="00E426D1">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4297F93" w14:textId="77777777" w:rsidR="007B6C97" w:rsidRDefault="007B6C97">
            <w:pPr>
              <w:jc w:val="right"/>
              <w:rPr>
                <w:rFonts w:ascii="宋体"/>
              </w:rPr>
            </w:pPr>
          </w:p>
        </w:tc>
      </w:tr>
      <w:tr w:rsidR="007B6C97" w14:paraId="64297FA7" w14:textId="77777777">
        <w:tc>
          <w:tcPr>
            <w:tcW w:w="0" w:type="auto"/>
            <w:gridSpan w:val="3"/>
            <w:shd w:val="clear" w:color="auto" w:fill="FFFFFF"/>
            <w:tcMar>
              <w:top w:w="40" w:type="dxa"/>
              <w:left w:w="20" w:type="dxa"/>
              <w:bottom w:w="40" w:type="dxa"/>
              <w:right w:w="20" w:type="dxa"/>
            </w:tcMar>
            <w:vAlign w:val="bottom"/>
          </w:tcPr>
          <w:p w14:paraId="64297F95" w14:textId="77777777" w:rsidR="007B6C97" w:rsidRDefault="00E426D1">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64297F96" w14:textId="77777777" w:rsidR="007B6C97" w:rsidRDefault="00E426D1">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64297F9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9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99" w14:textId="77777777" w:rsidR="007B6C97" w:rsidRDefault="00E426D1">
            <w:pPr>
              <w:jc w:val="right"/>
              <w:textAlignment w:val="bottom"/>
            </w:pPr>
            <w:r>
              <w:rPr>
                <w:rFonts w:ascii="Times New Roman" w:eastAsia="宋体" w:hAnsi="Times New Roman"/>
                <w:color w:val="000000"/>
                <w:sz w:val="20"/>
                <w:szCs w:val="20"/>
              </w:rPr>
              <w:t>(14.5)</w:t>
            </w:r>
          </w:p>
        </w:tc>
        <w:tc>
          <w:tcPr>
            <w:tcW w:w="0" w:type="auto"/>
            <w:shd w:val="clear" w:color="auto" w:fill="FFFFFF"/>
            <w:tcMar>
              <w:top w:w="40" w:type="dxa"/>
              <w:left w:w="0" w:type="dxa"/>
              <w:bottom w:w="40" w:type="dxa"/>
              <w:right w:w="20" w:type="dxa"/>
            </w:tcMar>
            <w:vAlign w:val="bottom"/>
          </w:tcPr>
          <w:p w14:paraId="64297F9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9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9C"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4297F9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9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9F" w14:textId="77777777" w:rsidR="007B6C97" w:rsidRDefault="00E426D1">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64297FA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A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A2" w14:textId="77777777" w:rsidR="007B6C97" w:rsidRDefault="00E426D1">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64297FA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A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7FA5" w14:textId="77777777" w:rsidR="007B6C97" w:rsidRDefault="00E426D1">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64297FA6" w14:textId="77777777" w:rsidR="007B6C97" w:rsidRDefault="007B6C97">
            <w:pPr>
              <w:jc w:val="right"/>
              <w:rPr>
                <w:rFonts w:ascii="宋体"/>
              </w:rPr>
            </w:pPr>
          </w:p>
        </w:tc>
      </w:tr>
      <w:tr w:rsidR="007B6C97" w14:paraId="64297FBA" w14:textId="77777777">
        <w:tc>
          <w:tcPr>
            <w:tcW w:w="0" w:type="auto"/>
            <w:gridSpan w:val="3"/>
            <w:shd w:val="clear" w:color="auto" w:fill="D7E4BC"/>
            <w:tcMar>
              <w:top w:w="40" w:type="dxa"/>
              <w:left w:w="20" w:type="dxa"/>
              <w:bottom w:w="40" w:type="dxa"/>
              <w:right w:w="20" w:type="dxa"/>
            </w:tcMar>
            <w:vAlign w:val="bottom"/>
          </w:tcPr>
          <w:p w14:paraId="64297FA8" w14:textId="77777777" w:rsidR="007B6C97" w:rsidRDefault="00E426D1">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64297FA9" w14:textId="77777777" w:rsidR="007B6C97" w:rsidRDefault="00E426D1">
            <w:pPr>
              <w:jc w:val="right"/>
              <w:textAlignment w:val="bottom"/>
            </w:pPr>
            <w:r>
              <w:rPr>
                <w:rFonts w:ascii="Times New Roman" w:eastAsia="宋体" w:hAnsi="Times New Roman"/>
                <w:color w:val="000000"/>
                <w:sz w:val="20"/>
                <w:szCs w:val="20"/>
              </w:rPr>
              <w:t>23.2 </w:t>
            </w:r>
          </w:p>
        </w:tc>
        <w:tc>
          <w:tcPr>
            <w:tcW w:w="0" w:type="auto"/>
            <w:shd w:val="clear" w:color="auto" w:fill="D7E4BC"/>
            <w:tcMar>
              <w:top w:w="40" w:type="dxa"/>
              <w:left w:w="0" w:type="dxa"/>
              <w:bottom w:w="40" w:type="dxa"/>
              <w:right w:w="20" w:type="dxa"/>
            </w:tcMar>
            <w:vAlign w:val="bottom"/>
          </w:tcPr>
          <w:p w14:paraId="64297FA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A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AC" w14:textId="77777777" w:rsidR="007B6C97" w:rsidRDefault="00E426D1">
            <w:pPr>
              <w:jc w:val="right"/>
              <w:textAlignment w:val="bottom"/>
            </w:pPr>
            <w:r>
              <w:rPr>
                <w:rFonts w:ascii="Times New Roman" w:eastAsia="宋体" w:hAnsi="Times New Roman"/>
                <w:color w:val="000000"/>
                <w:sz w:val="20"/>
                <w:szCs w:val="20"/>
              </w:rPr>
              <w:t>(23.2)</w:t>
            </w:r>
          </w:p>
        </w:tc>
        <w:tc>
          <w:tcPr>
            <w:tcW w:w="0" w:type="auto"/>
            <w:shd w:val="clear" w:color="auto" w:fill="D7E4BC"/>
            <w:tcMar>
              <w:top w:w="40" w:type="dxa"/>
              <w:left w:w="0" w:type="dxa"/>
              <w:bottom w:w="40" w:type="dxa"/>
              <w:right w:w="20" w:type="dxa"/>
            </w:tcMar>
            <w:vAlign w:val="bottom"/>
          </w:tcPr>
          <w:p w14:paraId="64297FA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A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A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7FB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B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B2" w14:textId="77777777" w:rsidR="007B6C97" w:rsidRDefault="00E426D1">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64297FB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B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B5" w14:textId="77777777" w:rsidR="007B6C97" w:rsidRDefault="00E426D1">
            <w:pPr>
              <w:jc w:val="right"/>
              <w:textAlignment w:val="bottom"/>
            </w:pPr>
            <w:r>
              <w:rPr>
                <w:rFonts w:ascii="Times New Roman" w:eastAsia="宋体" w:hAnsi="Times New Roman"/>
                <w:color w:val="000000"/>
                <w:sz w:val="20"/>
                <w:szCs w:val="20"/>
              </w:rPr>
              <w:t>(22.6)</w:t>
            </w:r>
          </w:p>
        </w:tc>
        <w:tc>
          <w:tcPr>
            <w:tcW w:w="0" w:type="auto"/>
            <w:shd w:val="clear" w:color="auto" w:fill="D7E4BC"/>
            <w:tcMar>
              <w:top w:w="40" w:type="dxa"/>
              <w:left w:w="0" w:type="dxa"/>
              <w:bottom w:w="40" w:type="dxa"/>
              <w:right w:w="20" w:type="dxa"/>
            </w:tcMar>
            <w:vAlign w:val="bottom"/>
          </w:tcPr>
          <w:p w14:paraId="64297FB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7FB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7FB8"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64297FB9" w14:textId="77777777" w:rsidR="007B6C97" w:rsidRDefault="007B6C97">
            <w:pPr>
              <w:jc w:val="right"/>
              <w:rPr>
                <w:rFonts w:ascii="宋体"/>
              </w:rPr>
            </w:pPr>
          </w:p>
        </w:tc>
      </w:tr>
      <w:tr w:rsidR="007B6C97" w14:paraId="64297FD3" w14:textId="77777777">
        <w:tc>
          <w:tcPr>
            <w:tcW w:w="0" w:type="auto"/>
            <w:gridSpan w:val="3"/>
            <w:shd w:val="clear" w:color="auto" w:fill="FFFFFF"/>
            <w:tcMar>
              <w:top w:w="40" w:type="dxa"/>
              <w:left w:w="20" w:type="dxa"/>
              <w:bottom w:w="40" w:type="dxa"/>
              <w:right w:w="20" w:type="dxa"/>
            </w:tcMar>
            <w:vAlign w:val="bottom"/>
          </w:tcPr>
          <w:p w14:paraId="64297FBB" w14:textId="77777777" w:rsidR="007B6C97" w:rsidRDefault="00E426D1">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B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BD" w14:textId="77777777" w:rsidR="007B6C97" w:rsidRDefault="00E426D1">
            <w:pPr>
              <w:jc w:val="right"/>
              <w:textAlignment w:val="bottom"/>
            </w:pPr>
            <w:r>
              <w:rPr>
                <w:rFonts w:ascii="Times New Roman" w:eastAsia="宋体" w:hAnsi="Times New Roman"/>
                <w:color w:val="000000"/>
                <w:sz w:val="20"/>
                <w:szCs w:val="20"/>
              </w:rPr>
              <w:t>1,251.1 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B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BF"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C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C1" w14:textId="77777777" w:rsidR="007B6C97" w:rsidRDefault="00E426D1">
            <w:pPr>
              <w:jc w:val="right"/>
              <w:textAlignment w:val="bottom"/>
            </w:pPr>
            <w:r>
              <w:rPr>
                <w:rFonts w:ascii="Times New Roman" w:eastAsia="宋体" w:hAnsi="Times New Roman"/>
                <w:color w:val="000000"/>
                <w:sz w:val="20"/>
                <w:szCs w:val="20"/>
              </w:rPr>
              <w:t>(1,144.8)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C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C3"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C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C5" w14:textId="77777777" w:rsidR="007B6C97" w:rsidRDefault="00E426D1">
            <w:pPr>
              <w:jc w:val="right"/>
              <w:textAlignment w:val="bottom"/>
            </w:pPr>
            <w:r>
              <w:rPr>
                <w:rFonts w:ascii="Times New Roman" w:eastAsia="宋体" w:hAnsi="Times New Roman"/>
                <w:color w:val="000000"/>
                <w:sz w:val="20"/>
                <w:szCs w:val="20"/>
              </w:rPr>
              <w:t>106.3 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C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C7"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C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C9" w14:textId="77777777" w:rsidR="007B6C97" w:rsidRDefault="00E426D1">
            <w:pPr>
              <w:jc w:val="right"/>
              <w:textAlignment w:val="bottom"/>
            </w:pPr>
            <w:r>
              <w:rPr>
                <w:rFonts w:ascii="Times New Roman" w:eastAsia="宋体" w:hAnsi="Times New Roman"/>
                <w:color w:val="000000"/>
                <w:sz w:val="20"/>
                <w:szCs w:val="20"/>
              </w:rPr>
              <w:t>1,338.2 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C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CB"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C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CD" w14:textId="77777777" w:rsidR="007B6C97" w:rsidRDefault="00E426D1">
            <w:pPr>
              <w:jc w:val="right"/>
              <w:textAlignment w:val="bottom"/>
            </w:pPr>
            <w:r>
              <w:rPr>
                <w:rFonts w:ascii="Times New Roman" w:eastAsia="宋体" w:hAnsi="Times New Roman"/>
                <w:color w:val="000000"/>
                <w:sz w:val="20"/>
                <w:szCs w:val="20"/>
              </w:rPr>
              <w:t>(1,084.7)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C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7FCF"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7FD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7FD1" w14:textId="77777777" w:rsidR="007B6C97" w:rsidRDefault="00E426D1">
            <w:pPr>
              <w:jc w:val="right"/>
              <w:textAlignment w:val="bottom"/>
            </w:pPr>
            <w:r>
              <w:rPr>
                <w:rFonts w:ascii="Times New Roman" w:eastAsia="宋体" w:hAnsi="Times New Roman"/>
                <w:color w:val="000000"/>
                <w:sz w:val="20"/>
                <w:szCs w:val="20"/>
              </w:rPr>
              <w:t>253.5 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7FD2" w14:textId="77777777" w:rsidR="007B6C97" w:rsidRDefault="007B6C97">
            <w:pPr>
              <w:jc w:val="right"/>
              <w:rPr>
                <w:rFonts w:ascii="宋体"/>
              </w:rPr>
            </w:pPr>
          </w:p>
        </w:tc>
      </w:tr>
    </w:tbl>
    <w:p w14:paraId="64297FD4" w14:textId="77777777" w:rsidR="007B6C97" w:rsidRDefault="00E426D1">
      <w:pPr>
        <w:spacing w:before="120"/>
      </w:pPr>
      <w:r>
        <w:rPr>
          <w:rFonts w:ascii="Times New Roman" w:eastAsia="宋体" w:hAnsi="Times New Roman"/>
          <w:color w:val="000000"/>
          <w:sz w:val="20"/>
          <w:szCs w:val="20"/>
        </w:rPr>
        <w:t>Amortization expense for finite-lived intangible assets was $47.6 million and $147.0 million for the quarter and three quarters ended July 3, 2022, respectively and $50.0 mill</w:t>
      </w:r>
      <w:r>
        <w:rPr>
          <w:rFonts w:ascii="Times New Roman" w:eastAsia="宋体" w:hAnsi="Times New Roman"/>
          <w:color w:val="000000"/>
          <w:sz w:val="20"/>
          <w:szCs w:val="20"/>
        </w:rPr>
        <w:t>ion and $173.4 million for the quarter and three quarters ended June 27, 2021, respectively.</w:t>
      </w:r>
    </w:p>
    <w:p w14:paraId="64297FD5" w14:textId="77777777" w:rsidR="007B6C97" w:rsidRDefault="00E426D1">
      <w:pPr>
        <w:spacing w:before="120"/>
      </w:pPr>
      <w:r>
        <w:rPr>
          <w:rFonts w:ascii="Times New Roman" w:eastAsia="宋体" w:hAnsi="Times New Roman"/>
          <w:color w:val="000000"/>
          <w:sz w:val="20"/>
          <w:szCs w:val="20"/>
        </w:rPr>
        <w:t>Estimated future amortization expense as of July 3, 2022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2"/>
        <w:gridCol w:w="7045"/>
        <w:gridCol w:w="37"/>
        <w:gridCol w:w="120"/>
        <w:gridCol w:w="1046"/>
        <w:gridCol w:w="36"/>
      </w:tblGrid>
      <w:tr w:rsidR="007B6C97" w14:paraId="64297FDC" w14:textId="77777777">
        <w:tc>
          <w:tcPr>
            <w:tcW w:w="50" w:type="pct"/>
            <w:shd w:val="clear" w:color="auto" w:fill="auto"/>
            <w:vAlign w:val="bottom"/>
          </w:tcPr>
          <w:p w14:paraId="64297FD6" w14:textId="77777777" w:rsidR="007B6C97" w:rsidRDefault="007B6C97">
            <w:pPr>
              <w:rPr>
                <w:rFonts w:ascii="宋体"/>
              </w:rPr>
            </w:pPr>
          </w:p>
        </w:tc>
        <w:tc>
          <w:tcPr>
            <w:tcW w:w="4243" w:type="pct"/>
            <w:shd w:val="clear" w:color="auto" w:fill="auto"/>
            <w:vAlign w:val="bottom"/>
          </w:tcPr>
          <w:p w14:paraId="64297FD7" w14:textId="77777777" w:rsidR="007B6C97" w:rsidRDefault="007B6C97">
            <w:pPr>
              <w:rPr>
                <w:rFonts w:ascii="宋体"/>
              </w:rPr>
            </w:pPr>
          </w:p>
        </w:tc>
        <w:tc>
          <w:tcPr>
            <w:tcW w:w="5" w:type="pct"/>
            <w:shd w:val="clear" w:color="auto" w:fill="auto"/>
            <w:vAlign w:val="bottom"/>
          </w:tcPr>
          <w:p w14:paraId="64297FD8" w14:textId="77777777" w:rsidR="007B6C97" w:rsidRDefault="007B6C97">
            <w:pPr>
              <w:rPr>
                <w:rFonts w:ascii="宋体"/>
              </w:rPr>
            </w:pPr>
          </w:p>
        </w:tc>
        <w:tc>
          <w:tcPr>
            <w:tcW w:w="50" w:type="pct"/>
            <w:shd w:val="clear" w:color="auto" w:fill="auto"/>
            <w:vAlign w:val="bottom"/>
          </w:tcPr>
          <w:p w14:paraId="64297FD9" w14:textId="77777777" w:rsidR="007B6C97" w:rsidRDefault="007B6C97">
            <w:pPr>
              <w:rPr>
                <w:rFonts w:ascii="宋体"/>
              </w:rPr>
            </w:pPr>
          </w:p>
        </w:tc>
        <w:tc>
          <w:tcPr>
            <w:tcW w:w="646" w:type="pct"/>
            <w:shd w:val="clear" w:color="auto" w:fill="auto"/>
            <w:vAlign w:val="bottom"/>
          </w:tcPr>
          <w:p w14:paraId="64297FDA" w14:textId="77777777" w:rsidR="007B6C97" w:rsidRDefault="007B6C97">
            <w:pPr>
              <w:rPr>
                <w:rFonts w:ascii="宋体"/>
              </w:rPr>
            </w:pPr>
          </w:p>
        </w:tc>
        <w:tc>
          <w:tcPr>
            <w:tcW w:w="5" w:type="pct"/>
            <w:shd w:val="clear" w:color="auto" w:fill="auto"/>
            <w:vAlign w:val="bottom"/>
          </w:tcPr>
          <w:p w14:paraId="64297FDB" w14:textId="77777777" w:rsidR="007B6C97" w:rsidRDefault="007B6C97">
            <w:pPr>
              <w:rPr>
                <w:rFonts w:ascii="宋体"/>
              </w:rPr>
            </w:pPr>
          </w:p>
        </w:tc>
      </w:tr>
      <w:tr w:rsidR="007B6C97" w14:paraId="64297FDF" w14:textId="77777777">
        <w:tc>
          <w:tcPr>
            <w:tcW w:w="0" w:type="auto"/>
            <w:gridSpan w:val="3"/>
            <w:shd w:val="clear" w:color="auto" w:fill="auto"/>
            <w:tcMar>
              <w:top w:w="40" w:type="dxa"/>
              <w:left w:w="20" w:type="dxa"/>
              <w:bottom w:w="40" w:type="dxa"/>
              <w:right w:w="20" w:type="dxa"/>
            </w:tcMar>
            <w:vAlign w:val="bottom"/>
          </w:tcPr>
          <w:p w14:paraId="64297FDD" w14:textId="77777777" w:rsidR="007B6C97" w:rsidRDefault="00E426D1">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64297FDE"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7FE4" w14:textId="77777777">
        <w:tc>
          <w:tcPr>
            <w:tcW w:w="0" w:type="auto"/>
            <w:gridSpan w:val="3"/>
            <w:shd w:val="clear" w:color="auto" w:fill="D7E4BC"/>
            <w:tcMar>
              <w:top w:w="40" w:type="dxa"/>
              <w:left w:w="20" w:type="dxa"/>
              <w:bottom w:w="40" w:type="dxa"/>
              <w:right w:w="20" w:type="dxa"/>
            </w:tcMar>
            <w:vAlign w:val="bottom"/>
          </w:tcPr>
          <w:p w14:paraId="64297FE0"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2022 (excluding the three quarters ended July 3,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7FE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7FE2" w14:textId="77777777" w:rsidR="007B6C97" w:rsidRDefault="00E426D1">
            <w:pPr>
              <w:jc w:val="right"/>
              <w:textAlignment w:val="bottom"/>
            </w:pPr>
            <w:r>
              <w:rPr>
                <w:rFonts w:ascii="Times New Roman" w:eastAsia="宋体" w:hAnsi="Times New Roman"/>
                <w:color w:val="000000"/>
                <w:sz w:val="20"/>
                <w:szCs w:val="20"/>
              </w:rPr>
              <w:t>46.5 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7FE3" w14:textId="77777777" w:rsidR="007B6C97" w:rsidRDefault="007B6C97">
            <w:pPr>
              <w:jc w:val="right"/>
              <w:rPr>
                <w:rFonts w:ascii="宋体"/>
              </w:rPr>
            </w:pPr>
          </w:p>
        </w:tc>
      </w:tr>
      <w:tr w:rsidR="007B6C97" w14:paraId="64297FE8" w14:textId="77777777">
        <w:tc>
          <w:tcPr>
            <w:tcW w:w="0" w:type="auto"/>
            <w:gridSpan w:val="3"/>
            <w:shd w:val="clear" w:color="auto" w:fill="FFFFFF"/>
            <w:tcMar>
              <w:top w:w="40" w:type="dxa"/>
              <w:left w:w="20" w:type="dxa"/>
              <w:bottom w:w="40" w:type="dxa"/>
              <w:right w:w="20" w:type="dxa"/>
            </w:tcMar>
            <w:vAlign w:val="bottom"/>
          </w:tcPr>
          <w:p w14:paraId="64297FE5" w14:textId="77777777" w:rsidR="007B6C97" w:rsidRDefault="00E426D1">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4297FE6" w14:textId="77777777" w:rsidR="007B6C97" w:rsidRDefault="00E426D1">
            <w:pPr>
              <w:jc w:val="right"/>
              <w:textAlignment w:val="bottom"/>
            </w:pPr>
            <w:r>
              <w:rPr>
                <w:rFonts w:ascii="Times New Roman" w:eastAsia="宋体" w:hAnsi="Times New Roman"/>
                <w:color w:val="000000"/>
                <w:sz w:val="20"/>
                <w:szCs w:val="20"/>
              </w:rPr>
              <w:t>20.8 </w:t>
            </w:r>
          </w:p>
        </w:tc>
        <w:tc>
          <w:tcPr>
            <w:tcW w:w="0" w:type="auto"/>
            <w:shd w:val="clear" w:color="auto" w:fill="FFFFFF"/>
            <w:tcMar>
              <w:top w:w="40" w:type="dxa"/>
              <w:left w:w="0" w:type="dxa"/>
              <w:bottom w:w="40" w:type="dxa"/>
              <w:right w:w="20" w:type="dxa"/>
            </w:tcMar>
            <w:vAlign w:val="bottom"/>
          </w:tcPr>
          <w:p w14:paraId="64297FE7" w14:textId="77777777" w:rsidR="007B6C97" w:rsidRDefault="007B6C97">
            <w:pPr>
              <w:jc w:val="right"/>
              <w:rPr>
                <w:rFonts w:ascii="宋体"/>
              </w:rPr>
            </w:pPr>
          </w:p>
        </w:tc>
      </w:tr>
      <w:tr w:rsidR="007B6C97" w14:paraId="64297FEC" w14:textId="77777777">
        <w:tc>
          <w:tcPr>
            <w:tcW w:w="0" w:type="auto"/>
            <w:gridSpan w:val="3"/>
            <w:shd w:val="clear" w:color="auto" w:fill="D7E4BC"/>
            <w:tcMar>
              <w:top w:w="40" w:type="dxa"/>
              <w:left w:w="20" w:type="dxa"/>
              <w:bottom w:w="40" w:type="dxa"/>
              <w:right w:w="20" w:type="dxa"/>
            </w:tcMar>
            <w:vAlign w:val="bottom"/>
          </w:tcPr>
          <w:p w14:paraId="64297FE9" w14:textId="77777777" w:rsidR="007B6C97" w:rsidRDefault="00E426D1">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64297FEA" w14:textId="77777777" w:rsidR="007B6C97" w:rsidRDefault="00E426D1">
            <w:pPr>
              <w:jc w:val="right"/>
              <w:textAlignment w:val="bottom"/>
            </w:pPr>
            <w:r>
              <w:rPr>
                <w:rFonts w:ascii="Times New Roman" w:eastAsia="宋体" w:hAnsi="Times New Roman"/>
                <w:color w:val="000000"/>
                <w:sz w:val="20"/>
                <w:szCs w:val="20"/>
              </w:rPr>
              <w:t>20.3 </w:t>
            </w:r>
          </w:p>
        </w:tc>
        <w:tc>
          <w:tcPr>
            <w:tcW w:w="0" w:type="auto"/>
            <w:shd w:val="clear" w:color="auto" w:fill="D7E4BC"/>
            <w:tcMar>
              <w:top w:w="40" w:type="dxa"/>
              <w:left w:w="0" w:type="dxa"/>
              <w:bottom w:w="40" w:type="dxa"/>
              <w:right w:w="20" w:type="dxa"/>
            </w:tcMar>
            <w:vAlign w:val="bottom"/>
          </w:tcPr>
          <w:p w14:paraId="64297FEB" w14:textId="77777777" w:rsidR="007B6C97" w:rsidRDefault="007B6C97">
            <w:pPr>
              <w:jc w:val="right"/>
              <w:rPr>
                <w:rFonts w:ascii="宋体"/>
              </w:rPr>
            </w:pPr>
          </w:p>
        </w:tc>
      </w:tr>
      <w:tr w:rsidR="007B6C97" w14:paraId="64297FF0" w14:textId="77777777">
        <w:tc>
          <w:tcPr>
            <w:tcW w:w="0" w:type="auto"/>
            <w:gridSpan w:val="3"/>
            <w:shd w:val="clear" w:color="auto" w:fill="FFFFFF"/>
            <w:tcMar>
              <w:top w:w="40" w:type="dxa"/>
              <w:left w:w="20" w:type="dxa"/>
              <w:bottom w:w="40" w:type="dxa"/>
              <w:right w:w="20" w:type="dxa"/>
            </w:tcMar>
            <w:vAlign w:val="bottom"/>
          </w:tcPr>
          <w:p w14:paraId="64297FED" w14:textId="77777777" w:rsidR="007B6C97" w:rsidRDefault="00E426D1">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4297FEE" w14:textId="77777777" w:rsidR="007B6C97" w:rsidRDefault="00E426D1">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64297FEF" w14:textId="77777777" w:rsidR="007B6C97" w:rsidRDefault="007B6C97">
            <w:pPr>
              <w:jc w:val="right"/>
              <w:rPr>
                <w:rFonts w:ascii="宋体"/>
              </w:rPr>
            </w:pPr>
          </w:p>
        </w:tc>
      </w:tr>
      <w:tr w:rsidR="007B6C97" w14:paraId="64297FF4" w14:textId="77777777">
        <w:tc>
          <w:tcPr>
            <w:tcW w:w="0" w:type="auto"/>
            <w:gridSpan w:val="3"/>
            <w:shd w:val="clear" w:color="auto" w:fill="D7E4BC"/>
            <w:tcMar>
              <w:top w:w="40" w:type="dxa"/>
              <w:left w:w="20" w:type="dxa"/>
              <w:bottom w:w="40" w:type="dxa"/>
              <w:right w:w="20" w:type="dxa"/>
            </w:tcMar>
            <w:vAlign w:val="bottom"/>
          </w:tcPr>
          <w:p w14:paraId="64297FF1" w14:textId="77777777" w:rsidR="007B6C97" w:rsidRDefault="00E426D1">
            <w:pPr>
              <w:textAlignment w:val="bottom"/>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64297FF2"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4297FF3" w14:textId="77777777" w:rsidR="007B6C97" w:rsidRDefault="007B6C97">
            <w:pPr>
              <w:jc w:val="right"/>
              <w:rPr>
                <w:rFonts w:ascii="宋体"/>
              </w:rPr>
            </w:pPr>
          </w:p>
        </w:tc>
      </w:tr>
      <w:tr w:rsidR="007B6C97" w14:paraId="64297FF8" w14:textId="77777777">
        <w:tc>
          <w:tcPr>
            <w:tcW w:w="0" w:type="auto"/>
            <w:gridSpan w:val="3"/>
            <w:shd w:val="clear" w:color="auto" w:fill="FFFFFF"/>
            <w:tcMar>
              <w:top w:w="40" w:type="dxa"/>
              <w:left w:w="20" w:type="dxa"/>
              <w:bottom w:w="40" w:type="dxa"/>
              <w:right w:w="20" w:type="dxa"/>
            </w:tcMar>
            <w:vAlign w:val="bottom"/>
          </w:tcPr>
          <w:p w14:paraId="64297FF5" w14:textId="77777777" w:rsidR="007B6C97" w:rsidRDefault="00E426D1">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4297FF6"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64297FF7" w14:textId="77777777" w:rsidR="007B6C97" w:rsidRDefault="007B6C97">
            <w:pPr>
              <w:jc w:val="right"/>
              <w:rPr>
                <w:rFonts w:ascii="宋体"/>
              </w:rPr>
            </w:pPr>
          </w:p>
        </w:tc>
      </w:tr>
      <w:tr w:rsidR="007B6C97" w14:paraId="64297FFD" w14:textId="77777777">
        <w:tc>
          <w:tcPr>
            <w:tcW w:w="0" w:type="auto"/>
            <w:gridSpan w:val="3"/>
            <w:shd w:val="clear" w:color="auto" w:fill="D7E4BC"/>
            <w:tcMar>
              <w:top w:w="40" w:type="dxa"/>
              <w:left w:w="20" w:type="dxa"/>
              <w:bottom w:w="40" w:type="dxa"/>
              <w:right w:w="20" w:type="dxa"/>
            </w:tcMar>
            <w:vAlign w:val="bottom"/>
          </w:tcPr>
          <w:p w14:paraId="64297FF9" w14:textId="77777777" w:rsidR="007B6C97" w:rsidRDefault="00E426D1">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7FF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7FFB" w14:textId="77777777" w:rsidR="007B6C97" w:rsidRDefault="00E426D1">
            <w:pPr>
              <w:jc w:val="right"/>
              <w:textAlignment w:val="bottom"/>
            </w:pPr>
            <w:r>
              <w:rPr>
                <w:rFonts w:ascii="Times New Roman" w:eastAsia="宋体" w:hAnsi="Times New Roman"/>
                <w:color w:val="000000"/>
                <w:sz w:val="20"/>
                <w:szCs w:val="20"/>
              </w:rPr>
              <w:t>106.3 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7FFC" w14:textId="77777777" w:rsidR="007B6C97" w:rsidRDefault="007B6C97">
            <w:pPr>
              <w:jc w:val="right"/>
              <w:rPr>
                <w:rFonts w:ascii="宋体"/>
              </w:rPr>
            </w:pPr>
          </w:p>
        </w:tc>
      </w:tr>
    </w:tbl>
    <w:p w14:paraId="64297FFE" w14:textId="77777777" w:rsidR="007B6C97" w:rsidRDefault="00E426D1">
      <w:pPr>
        <w:spacing w:before="120"/>
      </w:pPr>
      <w:r>
        <w:rPr>
          <w:rFonts w:ascii="Times New Roman" w:eastAsia="宋体" w:hAnsi="Times New Roman"/>
          <w:b/>
          <w:bCs/>
          <w:i/>
          <w:iCs/>
          <w:color w:val="000000"/>
          <w:sz w:val="20"/>
          <w:szCs w:val="20"/>
        </w:rPr>
        <w:t>Goodwill</w:t>
      </w:r>
    </w:p>
    <w:p w14:paraId="64297FFF" w14:textId="77777777" w:rsidR="007B6C97" w:rsidRDefault="00E426D1">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7"/>
        <w:gridCol w:w="2471"/>
        <w:gridCol w:w="36"/>
        <w:gridCol w:w="120"/>
        <w:gridCol w:w="942"/>
        <w:gridCol w:w="36"/>
        <w:gridCol w:w="36"/>
        <w:gridCol w:w="36"/>
        <w:gridCol w:w="36"/>
        <w:gridCol w:w="121"/>
        <w:gridCol w:w="896"/>
        <w:gridCol w:w="36"/>
        <w:gridCol w:w="36"/>
        <w:gridCol w:w="36"/>
        <w:gridCol w:w="36"/>
        <w:gridCol w:w="121"/>
        <w:gridCol w:w="896"/>
        <w:gridCol w:w="36"/>
        <w:gridCol w:w="36"/>
        <w:gridCol w:w="36"/>
        <w:gridCol w:w="36"/>
        <w:gridCol w:w="121"/>
        <w:gridCol w:w="897"/>
        <w:gridCol w:w="36"/>
        <w:gridCol w:w="36"/>
        <w:gridCol w:w="36"/>
        <w:gridCol w:w="36"/>
        <w:gridCol w:w="120"/>
        <w:gridCol w:w="898"/>
        <w:gridCol w:w="36"/>
      </w:tblGrid>
      <w:tr w:rsidR="007B6C97" w14:paraId="6429801E" w14:textId="77777777">
        <w:tc>
          <w:tcPr>
            <w:tcW w:w="50" w:type="pct"/>
            <w:shd w:val="clear" w:color="auto" w:fill="auto"/>
            <w:vAlign w:val="bottom"/>
          </w:tcPr>
          <w:p w14:paraId="64298000" w14:textId="77777777" w:rsidR="007B6C97" w:rsidRDefault="007B6C97">
            <w:pPr>
              <w:rPr>
                <w:rFonts w:ascii="宋体"/>
              </w:rPr>
            </w:pPr>
          </w:p>
        </w:tc>
        <w:tc>
          <w:tcPr>
            <w:tcW w:w="1525" w:type="pct"/>
            <w:shd w:val="clear" w:color="auto" w:fill="auto"/>
            <w:vAlign w:val="bottom"/>
          </w:tcPr>
          <w:p w14:paraId="64298001" w14:textId="77777777" w:rsidR="007B6C97" w:rsidRDefault="007B6C97">
            <w:pPr>
              <w:rPr>
                <w:rFonts w:ascii="宋体"/>
              </w:rPr>
            </w:pPr>
          </w:p>
        </w:tc>
        <w:tc>
          <w:tcPr>
            <w:tcW w:w="5" w:type="pct"/>
            <w:shd w:val="clear" w:color="auto" w:fill="auto"/>
            <w:vAlign w:val="bottom"/>
          </w:tcPr>
          <w:p w14:paraId="64298002" w14:textId="77777777" w:rsidR="007B6C97" w:rsidRDefault="007B6C97">
            <w:pPr>
              <w:rPr>
                <w:rFonts w:ascii="宋体"/>
              </w:rPr>
            </w:pPr>
          </w:p>
        </w:tc>
        <w:tc>
          <w:tcPr>
            <w:tcW w:w="50" w:type="pct"/>
            <w:shd w:val="clear" w:color="auto" w:fill="auto"/>
            <w:vAlign w:val="bottom"/>
          </w:tcPr>
          <w:p w14:paraId="64298003" w14:textId="77777777" w:rsidR="007B6C97" w:rsidRDefault="007B6C97">
            <w:pPr>
              <w:rPr>
                <w:rFonts w:ascii="宋体"/>
              </w:rPr>
            </w:pPr>
          </w:p>
        </w:tc>
        <w:tc>
          <w:tcPr>
            <w:tcW w:w="599" w:type="pct"/>
            <w:shd w:val="clear" w:color="auto" w:fill="auto"/>
            <w:vAlign w:val="bottom"/>
          </w:tcPr>
          <w:p w14:paraId="64298004" w14:textId="77777777" w:rsidR="007B6C97" w:rsidRDefault="007B6C97">
            <w:pPr>
              <w:rPr>
                <w:rFonts w:ascii="宋体"/>
              </w:rPr>
            </w:pPr>
          </w:p>
        </w:tc>
        <w:tc>
          <w:tcPr>
            <w:tcW w:w="5" w:type="pct"/>
            <w:shd w:val="clear" w:color="auto" w:fill="auto"/>
            <w:vAlign w:val="bottom"/>
          </w:tcPr>
          <w:p w14:paraId="64298005" w14:textId="77777777" w:rsidR="007B6C97" w:rsidRDefault="007B6C97">
            <w:pPr>
              <w:rPr>
                <w:rFonts w:ascii="宋体"/>
              </w:rPr>
            </w:pPr>
          </w:p>
        </w:tc>
        <w:tc>
          <w:tcPr>
            <w:tcW w:w="5" w:type="pct"/>
            <w:shd w:val="clear" w:color="auto" w:fill="auto"/>
            <w:vAlign w:val="bottom"/>
          </w:tcPr>
          <w:p w14:paraId="64298006" w14:textId="77777777" w:rsidR="007B6C97" w:rsidRDefault="007B6C97">
            <w:pPr>
              <w:rPr>
                <w:rFonts w:ascii="宋体"/>
              </w:rPr>
            </w:pPr>
          </w:p>
        </w:tc>
        <w:tc>
          <w:tcPr>
            <w:tcW w:w="26" w:type="pct"/>
            <w:shd w:val="clear" w:color="auto" w:fill="auto"/>
            <w:vAlign w:val="bottom"/>
          </w:tcPr>
          <w:p w14:paraId="64298007" w14:textId="77777777" w:rsidR="007B6C97" w:rsidRDefault="007B6C97">
            <w:pPr>
              <w:rPr>
                <w:rFonts w:ascii="宋体"/>
              </w:rPr>
            </w:pPr>
          </w:p>
        </w:tc>
        <w:tc>
          <w:tcPr>
            <w:tcW w:w="5" w:type="pct"/>
            <w:shd w:val="clear" w:color="auto" w:fill="auto"/>
            <w:vAlign w:val="bottom"/>
          </w:tcPr>
          <w:p w14:paraId="64298008" w14:textId="77777777" w:rsidR="007B6C97" w:rsidRDefault="007B6C97">
            <w:pPr>
              <w:rPr>
                <w:rFonts w:ascii="宋体"/>
              </w:rPr>
            </w:pPr>
          </w:p>
        </w:tc>
        <w:tc>
          <w:tcPr>
            <w:tcW w:w="50" w:type="pct"/>
            <w:shd w:val="clear" w:color="auto" w:fill="auto"/>
            <w:vAlign w:val="bottom"/>
          </w:tcPr>
          <w:p w14:paraId="64298009" w14:textId="77777777" w:rsidR="007B6C97" w:rsidRDefault="007B6C97">
            <w:pPr>
              <w:rPr>
                <w:rFonts w:ascii="宋体"/>
              </w:rPr>
            </w:pPr>
          </w:p>
        </w:tc>
        <w:tc>
          <w:tcPr>
            <w:tcW w:w="599" w:type="pct"/>
            <w:shd w:val="clear" w:color="auto" w:fill="auto"/>
            <w:vAlign w:val="bottom"/>
          </w:tcPr>
          <w:p w14:paraId="6429800A" w14:textId="77777777" w:rsidR="007B6C97" w:rsidRDefault="007B6C97">
            <w:pPr>
              <w:rPr>
                <w:rFonts w:ascii="宋体"/>
              </w:rPr>
            </w:pPr>
          </w:p>
        </w:tc>
        <w:tc>
          <w:tcPr>
            <w:tcW w:w="5" w:type="pct"/>
            <w:shd w:val="clear" w:color="auto" w:fill="auto"/>
            <w:vAlign w:val="bottom"/>
          </w:tcPr>
          <w:p w14:paraId="6429800B" w14:textId="77777777" w:rsidR="007B6C97" w:rsidRDefault="007B6C97">
            <w:pPr>
              <w:rPr>
                <w:rFonts w:ascii="宋体"/>
              </w:rPr>
            </w:pPr>
          </w:p>
        </w:tc>
        <w:tc>
          <w:tcPr>
            <w:tcW w:w="5" w:type="pct"/>
            <w:shd w:val="clear" w:color="auto" w:fill="auto"/>
            <w:vAlign w:val="bottom"/>
          </w:tcPr>
          <w:p w14:paraId="6429800C" w14:textId="77777777" w:rsidR="007B6C97" w:rsidRDefault="007B6C97">
            <w:pPr>
              <w:rPr>
                <w:rFonts w:ascii="宋体"/>
              </w:rPr>
            </w:pPr>
          </w:p>
        </w:tc>
        <w:tc>
          <w:tcPr>
            <w:tcW w:w="26" w:type="pct"/>
            <w:shd w:val="clear" w:color="auto" w:fill="auto"/>
            <w:vAlign w:val="bottom"/>
          </w:tcPr>
          <w:p w14:paraId="6429800D" w14:textId="77777777" w:rsidR="007B6C97" w:rsidRDefault="007B6C97">
            <w:pPr>
              <w:rPr>
                <w:rFonts w:ascii="宋体"/>
              </w:rPr>
            </w:pPr>
          </w:p>
        </w:tc>
        <w:tc>
          <w:tcPr>
            <w:tcW w:w="5" w:type="pct"/>
            <w:shd w:val="clear" w:color="auto" w:fill="auto"/>
            <w:vAlign w:val="bottom"/>
          </w:tcPr>
          <w:p w14:paraId="6429800E" w14:textId="77777777" w:rsidR="007B6C97" w:rsidRDefault="007B6C97">
            <w:pPr>
              <w:rPr>
                <w:rFonts w:ascii="宋体"/>
              </w:rPr>
            </w:pPr>
          </w:p>
        </w:tc>
        <w:tc>
          <w:tcPr>
            <w:tcW w:w="50" w:type="pct"/>
            <w:shd w:val="clear" w:color="auto" w:fill="auto"/>
            <w:vAlign w:val="bottom"/>
          </w:tcPr>
          <w:p w14:paraId="6429800F" w14:textId="77777777" w:rsidR="007B6C97" w:rsidRDefault="007B6C97">
            <w:pPr>
              <w:rPr>
                <w:rFonts w:ascii="宋体"/>
              </w:rPr>
            </w:pPr>
          </w:p>
        </w:tc>
        <w:tc>
          <w:tcPr>
            <w:tcW w:w="599" w:type="pct"/>
            <w:shd w:val="clear" w:color="auto" w:fill="auto"/>
            <w:vAlign w:val="bottom"/>
          </w:tcPr>
          <w:p w14:paraId="64298010" w14:textId="77777777" w:rsidR="007B6C97" w:rsidRDefault="007B6C97">
            <w:pPr>
              <w:rPr>
                <w:rFonts w:ascii="宋体"/>
              </w:rPr>
            </w:pPr>
          </w:p>
        </w:tc>
        <w:tc>
          <w:tcPr>
            <w:tcW w:w="5" w:type="pct"/>
            <w:shd w:val="clear" w:color="auto" w:fill="auto"/>
            <w:vAlign w:val="bottom"/>
          </w:tcPr>
          <w:p w14:paraId="64298011" w14:textId="77777777" w:rsidR="007B6C97" w:rsidRDefault="007B6C97">
            <w:pPr>
              <w:rPr>
                <w:rFonts w:ascii="宋体"/>
              </w:rPr>
            </w:pPr>
          </w:p>
        </w:tc>
        <w:tc>
          <w:tcPr>
            <w:tcW w:w="5" w:type="pct"/>
            <w:shd w:val="clear" w:color="auto" w:fill="auto"/>
            <w:vAlign w:val="bottom"/>
          </w:tcPr>
          <w:p w14:paraId="64298012" w14:textId="77777777" w:rsidR="007B6C97" w:rsidRDefault="007B6C97">
            <w:pPr>
              <w:rPr>
                <w:rFonts w:ascii="宋体"/>
              </w:rPr>
            </w:pPr>
          </w:p>
        </w:tc>
        <w:tc>
          <w:tcPr>
            <w:tcW w:w="26" w:type="pct"/>
            <w:shd w:val="clear" w:color="auto" w:fill="auto"/>
            <w:vAlign w:val="bottom"/>
          </w:tcPr>
          <w:p w14:paraId="64298013" w14:textId="77777777" w:rsidR="007B6C97" w:rsidRDefault="007B6C97">
            <w:pPr>
              <w:rPr>
                <w:rFonts w:ascii="宋体"/>
              </w:rPr>
            </w:pPr>
          </w:p>
        </w:tc>
        <w:tc>
          <w:tcPr>
            <w:tcW w:w="5" w:type="pct"/>
            <w:shd w:val="clear" w:color="auto" w:fill="auto"/>
            <w:vAlign w:val="bottom"/>
          </w:tcPr>
          <w:p w14:paraId="64298014" w14:textId="77777777" w:rsidR="007B6C97" w:rsidRDefault="007B6C97">
            <w:pPr>
              <w:rPr>
                <w:rFonts w:ascii="宋体"/>
              </w:rPr>
            </w:pPr>
          </w:p>
        </w:tc>
        <w:tc>
          <w:tcPr>
            <w:tcW w:w="50" w:type="pct"/>
            <w:shd w:val="clear" w:color="auto" w:fill="auto"/>
            <w:vAlign w:val="bottom"/>
          </w:tcPr>
          <w:p w14:paraId="64298015" w14:textId="77777777" w:rsidR="007B6C97" w:rsidRDefault="007B6C97">
            <w:pPr>
              <w:rPr>
                <w:rFonts w:ascii="宋体"/>
              </w:rPr>
            </w:pPr>
          </w:p>
        </w:tc>
        <w:tc>
          <w:tcPr>
            <w:tcW w:w="599" w:type="pct"/>
            <w:shd w:val="clear" w:color="auto" w:fill="auto"/>
            <w:vAlign w:val="bottom"/>
          </w:tcPr>
          <w:p w14:paraId="64298016" w14:textId="77777777" w:rsidR="007B6C97" w:rsidRDefault="007B6C97">
            <w:pPr>
              <w:rPr>
                <w:rFonts w:ascii="宋体"/>
              </w:rPr>
            </w:pPr>
          </w:p>
        </w:tc>
        <w:tc>
          <w:tcPr>
            <w:tcW w:w="5" w:type="pct"/>
            <w:shd w:val="clear" w:color="auto" w:fill="auto"/>
            <w:vAlign w:val="bottom"/>
          </w:tcPr>
          <w:p w14:paraId="64298017" w14:textId="77777777" w:rsidR="007B6C97" w:rsidRDefault="007B6C97">
            <w:pPr>
              <w:rPr>
                <w:rFonts w:ascii="宋体"/>
              </w:rPr>
            </w:pPr>
          </w:p>
        </w:tc>
        <w:tc>
          <w:tcPr>
            <w:tcW w:w="5" w:type="pct"/>
            <w:shd w:val="clear" w:color="auto" w:fill="auto"/>
            <w:vAlign w:val="bottom"/>
          </w:tcPr>
          <w:p w14:paraId="64298018" w14:textId="77777777" w:rsidR="007B6C97" w:rsidRDefault="007B6C97">
            <w:pPr>
              <w:rPr>
                <w:rFonts w:ascii="宋体"/>
              </w:rPr>
            </w:pPr>
          </w:p>
        </w:tc>
        <w:tc>
          <w:tcPr>
            <w:tcW w:w="26" w:type="pct"/>
            <w:shd w:val="clear" w:color="auto" w:fill="auto"/>
            <w:vAlign w:val="bottom"/>
          </w:tcPr>
          <w:p w14:paraId="64298019" w14:textId="77777777" w:rsidR="007B6C97" w:rsidRDefault="007B6C97">
            <w:pPr>
              <w:rPr>
                <w:rFonts w:ascii="宋体"/>
              </w:rPr>
            </w:pPr>
          </w:p>
        </w:tc>
        <w:tc>
          <w:tcPr>
            <w:tcW w:w="5" w:type="pct"/>
            <w:shd w:val="clear" w:color="auto" w:fill="auto"/>
            <w:vAlign w:val="bottom"/>
          </w:tcPr>
          <w:p w14:paraId="6429801A" w14:textId="77777777" w:rsidR="007B6C97" w:rsidRDefault="007B6C97">
            <w:pPr>
              <w:rPr>
                <w:rFonts w:ascii="宋体"/>
              </w:rPr>
            </w:pPr>
          </w:p>
        </w:tc>
        <w:tc>
          <w:tcPr>
            <w:tcW w:w="50" w:type="pct"/>
            <w:shd w:val="clear" w:color="auto" w:fill="auto"/>
            <w:vAlign w:val="bottom"/>
          </w:tcPr>
          <w:p w14:paraId="6429801B" w14:textId="77777777" w:rsidR="007B6C97" w:rsidRDefault="007B6C97">
            <w:pPr>
              <w:rPr>
                <w:rFonts w:ascii="宋体"/>
              </w:rPr>
            </w:pPr>
          </w:p>
        </w:tc>
        <w:tc>
          <w:tcPr>
            <w:tcW w:w="599" w:type="pct"/>
            <w:shd w:val="clear" w:color="auto" w:fill="auto"/>
            <w:vAlign w:val="bottom"/>
          </w:tcPr>
          <w:p w14:paraId="6429801C" w14:textId="77777777" w:rsidR="007B6C97" w:rsidRDefault="007B6C97">
            <w:pPr>
              <w:rPr>
                <w:rFonts w:ascii="宋体"/>
              </w:rPr>
            </w:pPr>
          </w:p>
        </w:tc>
        <w:tc>
          <w:tcPr>
            <w:tcW w:w="5" w:type="pct"/>
            <w:shd w:val="clear" w:color="auto" w:fill="auto"/>
            <w:vAlign w:val="bottom"/>
          </w:tcPr>
          <w:p w14:paraId="6429801D" w14:textId="77777777" w:rsidR="007B6C97" w:rsidRDefault="007B6C97">
            <w:pPr>
              <w:rPr>
                <w:rFonts w:ascii="宋体"/>
              </w:rPr>
            </w:pPr>
          </w:p>
        </w:tc>
      </w:tr>
      <w:tr w:rsidR="007B6C97" w14:paraId="64298029" w14:textId="77777777">
        <w:tc>
          <w:tcPr>
            <w:tcW w:w="0" w:type="auto"/>
            <w:gridSpan w:val="3"/>
            <w:shd w:val="clear" w:color="auto" w:fill="auto"/>
            <w:tcMar>
              <w:top w:w="0" w:type="dxa"/>
              <w:left w:w="20" w:type="dxa"/>
              <w:bottom w:w="0" w:type="dxa"/>
              <w:right w:w="20" w:type="dxa"/>
            </w:tcMar>
            <w:vAlign w:val="bottom"/>
          </w:tcPr>
          <w:p w14:paraId="6429801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20" w14:textId="77777777" w:rsidR="007B6C97" w:rsidRDefault="00E426D1">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6429802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22" w14:textId="77777777" w:rsidR="007B6C97" w:rsidRDefault="00E426D1">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6429802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24" w14:textId="77777777" w:rsidR="007B6C97" w:rsidRDefault="00E426D1">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6429802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26" w14:textId="77777777" w:rsidR="007B6C97" w:rsidRDefault="00E426D1">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vAlign w:val="bottom"/>
          </w:tcPr>
          <w:p w14:paraId="6429802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28"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03E" w14:textId="77777777">
        <w:tc>
          <w:tcPr>
            <w:tcW w:w="0" w:type="auto"/>
            <w:gridSpan w:val="3"/>
            <w:shd w:val="clear" w:color="auto" w:fill="D7E4BC"/>
            <w:tcMar>
              <w:top w:w="40" w:type="dxa"/>
              <w:left w:w="20" w:type="dxa"/>
              <w:bottom w:w="40" w:type="dxa"/>
              <w:right w:w="20" w:type="dxa"/>
            </w:tcMar>
            <w:vAlign w:val="bottom"/>
          </w:tcPr>
          <w:p w14:paraId="6429802A"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Goodwill balance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02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2C" w14:textId="77777777" w:rsidR="007B6C97" w:rsidRDefault="00E426D1">
            <w:pPr>
              <w:jc w:val="right"/>
              <w:textAlignment w:val="bottom"/>
            </w:pPr>
            <w:r>
              <w:rPr>
                <w:rFonts w:ascii="Times New Roman" w:eastAsia="宋体" w:hAnsi="Times New Roman"/>
                <w:color w:val="000000"/>
                <w:sz w:val="20"/>
                <w:szCs w:val="20"/>
              </w:rPr>
              <w:t>493.2 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2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2E"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2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30" w14:textId="77777777" w:rsidR="007B6C97" w:rsidRDefault="00E426D1">
            <w:pPr>
              <w:jc w:val="right"/>
              <w:textAlignment w:val="bottom"/>
            </w:pPr>
            <w:r>
              <w:rPr>
                <w:rFonts w:ascii="Times New Roman" w:eastAsia="宋体" w:hAnsi="Times New Roman"/>
                <w:color w:val="000000"/>
                <w:sz w:val="20"/>
                <w:szCs w:val="20"/>
              </w:rPr>
              <w:t>3,148.3 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3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3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3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34" w14:textId="77777777" w:rsidR="007B6C97" w:rsidRDefault="00E426D1">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3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3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3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38" w14:textId="77777777" w:rsidR="007B6C97" w:rsidRDefault="00E426D1">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3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3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3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3C" w14:textId="77777777" w:rsidR="007B6C97" w:rsidRDefault="00E426D1">
            <w:pPr>
              <w:jc w:val="right"/>
              <w:textAlignment w:val="bottom"/>
            </w:pPr>
            <w:r>
              <w:rPr>
                <w:rFonts w:ascii="Times New Roman" w:eastAsia="宋体" w:hAnsi="Times New Roman"/>
                <w:color w:val="000000"/>
                <w:sz w:val="20"/>
                <w:szCs w:val="20"/>
              </w:rPr>
              <w:t>3,677.3 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3D" w14:textId="77777777" w:rsidR="007B6C97" w:rsidRDefault="007B6C97">
            <w:pPr>
              <w:jc w:val="right"/>
              <w:rPr>
                <w:rFonts w:ascii="宋体"/>
              </w:rPr>
            </w:pPr>
          </w:p>
        </w:tc>
      </w:tr>
      <w:tr w:rsidR="007B6C97" w14:paraId="64298049" w14:textId="77777777">
        <w:trPr>
          <w:hidden/>
        </w:trPr>
        <w:tc>
          <w:tcPr>
            <w:tcW w:w="0" w:type="auto"/>
            <w:gridSpan w:val="3"/>
            <w:shd w:val="clear" w:color="auto" w:fill="auto"/>
            <w:vAlign w:val="bottom"/>
          </w:tcPr>
          <w:p w14:paraId="6429803F" w14:textId="77777777" w:rsidR="007B6C97" w:rsidRDefault="007B6C97">
            <w:pPr>
              <w:rPr>
                <w:rFonts w:ascii="宋体"/>
                <w:vanish/>
              </w:rPr>
            </w:pPr>
          </w:p>
        </w:tc>
        <w:tc>
          <w:tcPr>
            <w:tcW w:w="0" w:type="auto"/>
            <w:gridSpan w:val="3"/>
            <w:shd w:val="clear" w:color="auto" w:fill="auto"/>
            <w:vAlign w:val="bottom"/>
          </w:tcPr>
          <w:p w14:paraId="64298040" w14:textId="77777777" w:rsidR="007B6C97" w:rsidRDefault="007B6C97">
            <w:pPr>
              <w:rPr>
                <w:rFonts w:ascii="宋体"/>
                <w:vanish/>
              </w:rPr>
            </w:pPr>
          </w:p>
        </w:tc>
        <w:tc>
          <w:tcPr>
            <w:tcW w:w="0" w:type="auto"/>
            <w:gridSpan w:val="3"/>
            <w:shd w:val="clear" w:color="auto" w:fill="auto"/>
            <w:vAlign w:val="bottom"/>
          </w:tcPr>
          <w:p w14:paraId="64298041" w14:textId="77777777" w:rsidR="007B6C97" w:rsidRDefault="007B6C97">
            <w:pPr>
              <w:rPr>
                <w:rFonts w:ascii="宋体"/>
                <w:vanish/>
              </w:rPr>
            </w:pPr>
          </w:p>
        </w:tc>
        <w:tc>
          <w:tcPr>
            <w:tcW w:w="0" w:type="auto"/>
            <w:gridSpan w:val="3"/>
            <w:shd w:val="clear" w:color="auto" w:fill="auto"/>
            <w:vAlign w:val="bottom"/>
          </w:tcPr>
          <w:p w14:paraId="64298042" w14:textId="77777777" w:rsidR="007B6C97" w:rsidRDefault="007B6C97">
            <w:pPr>
              <w:rPr>
                <w:rFonts w:ascii="宋体"/>
                <w:vanish/>
              </w:rPr>
            </w:pPr>
          </w:p>
        </w:tc>
        <w:tc>
          <w:tcPr>
            <w:tcW w:w="0" w:type="auto"/>
            <w:gridSpan w:val="3"/>
            <w:shd w:val="clear" w:color="auto" w:fill="auto"/>
            <w:vAlign w:val="bottom"/>
          </w:tcPr>
          <w:p w14:paraId="64298043" w14:textId="77777777" w:rsidR="007B6C97" w:rsidRDefault="007B6C97">
            <w:pPr>
              <w:rPr>
                <w:rFonts w:ascii="宋体"/>
                <w:vanish/>
              </w:rPr>
            </w:pPr>
          </w:p>
        </w:tc>
        <w:tc>
          <w:tcPr>
            <w:tcW w:w="0" w:type="auto"/>
            <w:gridSpan w:val="3"/>
            <w:shd w:val="clear" w:color="auto" w:fill="auto"/>
            <w:vAlign w:val="bottom"/>
          </w:tcPr>
          <w:p w14:paraId="64298044" w14:textId="77777777" w:rsidR="007B6C97" w:rsidRDefault="007B6C97">
            <w:pPr>
              <w:rPr>
                <w:rFonts w:ascii="宋体"/>
                <w:vanish/>
              </w:rPr>
            </w:pPr>
          </w:p>
        </w:tc>
        <w:tc>
          <w:tcPr>
            <w:tcW w:w="0" w:type="auto"/>
            <w:gridSpan w:val="3"/>
            <w:shd w:val="clear" w:color="auto" w:fill="auto"/>
            <w:vAlign w:val="bottom"/>
          </w:tcPr>
          <w:p w14:paraId="64298045" w14:textId="77777777" w:rsidR="007B6C97" w:rsidRDefault="007B6C97">
            <w:pPr>
              <w:rPr>
                <w:rFonts w:ascii="宋体"/>
                <w:vanish/>
              </w:rPr>
            </w:pPr>
          </w:p>
        </w:tc>
        <w:tc>
          <w:tcPr>
            <w:tcW w:w="0" w:type="auto"/>
            <w:gridSpan w:val="3"/>
            <w:shd w:val="clear" w:color="auto" w:fill="auto"/>
            <w:vAlign w:val="bottom"/>
          </w:tcPr>
          <w:p w14:paraId="64298046" w14:textId="77777777" w:rsidR="007B6C97" w:rsidRDefault="007B6C97">
            <w:pPr>
              <w:rPr>
                <w:rFonts w:ascii="宋体"/>
                <w:vanish/>
              </w:rPr>
            </w:pPr>
          </w:p>
        </w:tc>
        <w:tc>
          <w:tcPr>
            <w:tcW w:w="0" w:type="auto"/>
            <w:gridSpan w:val="3"/>
            <w:shd w:val="clear" w:color="auto" w:fill="auto"/>
            <w:vAlign w:val="bottom"/>
          </w:tcPr>
          <w:p w14:paraId="64298047" w14:textId="77777777" w:rsidR="007B6C97" w:rsidRDefault="007B6C97">
            <w:pPr>
              <w:rPr>
                <w:rFonts w:ascii="宋体"/>
                <w:vanish/>
              </w:rPr>
            </w:pPr>
          </w:p>
        </w:tc>
        <w:tc>
          <w:tcPr>
            <w:tcW w:w="0" w:type="auto"/>
            <w:gridSpan w:val="3"/>
            <w:shd w:val="clear" w:color="auto" w:fill="auto"/>
            <w:vAlign w:val="bottom"/>
          </w:tcPr>
          <w:p w14:paraId="64298048" w14:textId="77777777" w:rsidR="007B6C97" w:rsidRDefault="007B6C97">
            <w:pPr>
              <w:rPr>
                <w:rFonts w:ascii="宋体"/>
                <w:vanish/>
              </w:rPr>
            </w:pPr>
          </w:p>
        </w:tc>
      </w:tr>
      <w:tr w:rsidR="007B6C97" w14:paraId="64298054" w14:textId="77777777">
        <w:trPr>
          <w:hidden/>
        </w:trPr>
        <w:tc>
          <w:tcPr>
            <w:tcW w:w="0" w:type="auto"/>
            <w:gridSpan w:val="3"/>
            <w:shd w:val="clear" w:color="auto" w:fill="auto"/>
            <w:vAlign w:val="bottom"/>
          </w:tcPr>
          <w:p w14:paraId="6429804A" w14:textId="77777777" w:rsidR="007B6C97" w:rsidRDefault="007B6C97">
            <w:pPr>
              <w:rPr>
                <w:rFonts w:ascii="宋体"/>
                <w:vanish/>
              </w:rPr>
            </w:pPr>
          </w:p>
        </w:tc>
        <w:tc>
          <w:tcPr>
            <w:tcW w:w="0" w:type="auto"/>
            <w:gridSpan w:val="3"/>
            <w:shd w:val="clear" w:color="auto" w:fill="auto"/>
            <w:vAlign w:val="bottom"/>
          </w:tcPr>
          <w:p w14:paraId="6429804B" w14:textId="77777777" w:rsidR="007B6C97" w:rsidRDefault="007B6C97">
            <w:pPr>
              <w:rPr>
                <w:rFonts w:ascii="宋体"/>
                <w:vanish/>
              </w:rPr>
            </w:pPr>
          </w:p>
        </w:tc>
        <w:tc>
          <w:tcPr>
            <w:tcW w:w="0" w:type="auto"/>
            <w:gridSpan w:val="3"/>
            <w:shd w:val="clear" w:color="auto" w:fill="auto"/>
            <w:vAlign w:val="bottom"/>
          </w:tcPr>
          <w:p w14:paraId="6429804C" w14:textId="77777777" w:rsidR="007B6C97" w:rsidRDefault="007B6C97">
            <w:pPr>
              <w:rPr>
                <w:rFonts w:ascii="宋体"/>
                <w:vanish/>
              </w:rPr>
            </w:pPr>
          </w:p>
        </w:tc>
        <w:tc>
          <w:tcPr>
            <w:tcW w:w="0" w:type="auto"/>
            <w:gridSpan w:val="3"/>
            <w:shd w:val="clear" w:color="auto" w:fill="auto"/>
            <w:vAlign w:val="bottom"/>
          </w:tcPr>
          <w:p w14:paraId="6429804D" w14:textId="77777777" w:rsidR="007B6C97" w:rsidRDefault="007B6C97">
            <w:pPr>
              <w:rPr>
                <w:rFonts w:ascii="宋体"/>
                <w:vanish/>
              </w:rPr>
            </w:pPr>
          </w:p>
        </w:tc>
        <w:tc>
          <w:tcPr>
            <w:tcW w:w="0" w:type="auto"/>
            <w:gridSpan w:val="3"/>
            <w:shd w:val="clear" w:color="auto" w:fill="auto"/>
            <w:vAlign w:val="bottom"/>
          </w:tcPr>
          <w:p w14:paraId="6429804E" w14:textId="77777777" w:rsidR="007B6C97" w:rsidRDefault="007B6C97">
            <w:pPr>
              <w:rPr>
                <w:rFonts w:ascii="宋体"/>
                <w:vanish/>
              </w:rPr>
            </w:pPr>
          </w:p>
        </w:tc>
        <w:tc>
          <w:tcPr>
            <w:tcW w:w="0" w:type="auto"/>
            <w:gridSpan w:val="3"/>
            <w:shd w:val="clear" w:color="auto" w:fill="auto"/>
            <w:vAlign w:val="bottom"/>
          </w:tcPr>
          <w:p w14:paraId="6429804F" w14:textId="77777777" w:rsidR="007B6C97" w:rsidRDefault="007B6C97">
            <w:pPr>
              <w:rPr>
                <w:rFonts w:ascii="宋体"/>
                <w:vanish/>
              </w:rPr>
            </w:pPr>
          </w:p>
        </w:tc>
        <w:tc>
          <w:tcPr>
            <w:tcW w:w="0" w:type="auto"/>
            <w:gridSpan w:val="3"/>
            <w:shd w:val="clear" w:color="auto" w:fill="auto"/>
            <w:vAlign w:val="bottom"/>
          </w:tcPr>
          <w:p w14:paraId="64298050" w14:textId="77777777" w:rsidR="007B6C97" w:rsidRDefault="007B6C97">
            <w:pPr>
              <w:rPr>
                <w:rFonts w:ascii="宋体"/>
                <w:vanish/>
              </w:rPr>
            </w:pPr>
          </w:p>
        </w:tc>
        <w:tc>
          <w:tcPr>
            <w:tcW w:w="0" w:type="auto"/>
            <w:gridSpan w:val="3"/>
            <w:shd w:val="clear" w:color="auto" w:fill="auto"/>
            <w:vAlign w:val="bottom"/>
          </w:tcPr>
          <w:p w14:paraId="64298051" w14:textId="77777777" w:rsidR="007B6C97" w:rsidRDefault="007B6C97">
            <w:pPr>
              <w:rPr>
                <w:rFonts w:ascii="宋体"/>
                <w:vanish/>
              </w:rPr>
            </w:pPr>
          </w:p>
        </w:tc>
        <w:tc>
          <w:tcPr>
            <w:tcW w:w="0" w:type="auto"/>
            <w:gridSpan w:val="3"/>
            <w:shd w:val="clear" w:color="auto" w:fill="auto"/>
            <w:vAlign w:val="bottom"/>
          </w:tcPr>
          <w:p w14:paraId="64298052" w14:textId="77777777" w:rsidR="007B6C97" w:rsidRDefault="007B6C97">
            <w:pPr>
              <w:rPr>
                <w:rFonts w:ascii="宋体"/>
                <w:vanish/>
              </w:rPr>
            </w:pPr>
          </w:p>
        </w:tc>
        <w:tc>
          <w:tcPr>
            <w:tcW w:w="0" w:type="auto"/>
            <w:gridSpan w:val="3"/>
            <w:shd w:val="clear" w:color="auto" w:fill="auto"/>
            <w:vAlign w:val="bottom"/>
          </w:tcPr>
          <w:p w14:paraId="64298053" w14:textId="77777777" w:rsidR="007B6C97" w:rsidRDefault="007B6C97">
            <w:pPr>
              <w:rPr>
                <w:rFonts w:ascii="宋体"/>
                <w:vanish/>
              </w:rPr>
            </w:pPr>
          </w:p>
        </w:tc>
      </w:tr>
      <w:tr w:rsidR="007B6C97" w14:paraId="64298064" w14:textId="77777777">
        <w:tc>
          <w:tcPr>
            <w:tcW w:w="0" w:type="auto"/>
            <w:gridSpan w:val="3"/>
            <w:shd w:val="clear" w:color="auto" w:fill="FFFFFF"/>
            <w:tcMar>
              <w:top w:w="40" w:type="dxa"/>
              <w:left w:w="20" w:type="dxa"/>
              <w:bottom w:w="40" w:type="dxa"/>
              <w:right w:w="20" w:type="dxa"/>
            </w:tcMar>
            <w:vAlign w:val="bottom"/>
          </w:tcPr>
          <w:p w14:paraId="64298055"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4298056" w14:textId="77777777" w:rsidR="007B6C97" w:rsidRDefault="00E426D1">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429805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5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59" w14:textId="77777777" w:rsidR="007B6C97" w:rsidRDefault="00E426D1">
            <w:pPr>
              <w:jc w:val="right"/>
              <w:textAlignment w:val="bottom"/>
            </w:pPr>
            <w:r>
              <w:rPr>
                <w:rFonts w:ascii="Times New Roman" w:eastAsia="宋体" w:hAnsi="Times New Roman"/>
                <w:color w:val="000000"/>
                <w:sz w:val="20"/>
                <w:szCs w:val="20"/>
              </w:rPr>
              <w:t>(225.7)</w:t>
            </w:r>
          </w:p>
        </w:tc>
        <w:tc>
          <w:tcPr>
            <w:tcW w:w="0" w:type="auto"/>
            <w:shd w:val="clear" w:color="auto" w:fill="FFFFFF"/>
            <w:tcMar>
              <w:top w:w="40" w:type="dxa"/>
              <w:left w:w="0" w:type="dxa"/>
              <w:bottom w:w="40" w:type="dxa"/>
              <w:right w:w="20" w:type="dxa"/>
            </w:tcMar>
            <w:vAlign w:val="bottom"/>
          </w:tcPr>
          <w:p w14:paraId="6429805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5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5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05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5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5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0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6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62" w14:textId="77777777" w:rsidR="007B6C97" w:rsidRDefault="00E426D1">
            <w:pPr>
              <w:jc w:val="right"/>
              <w:textAlignment w:val="bottom"/>
            </w:pPr>
            <w:r>
              <w:rPr>
                <w:rFonts w:ascii="Times New Roman" w:eastAsia="宋体" w:hAnsi="Times New Roman"/>
                <w:color w:val="000000"/>
                <w:sz w:val="20"/>
                <w:szCs w:val="20"/>
              </w:rPr>
              <w:t>(226.1)</w:t>
            </w:r>
          </w:p>
        </w:tc>
        <w:tc>
          <w:tcPr>
            <w:tcW w:w="0" w:type="auto"/>
            <w:shd w:val="clear" w:color="auto" w:fill="FFFFFF"/>
            <w:tcMar>
              <w:top w:w="40" w:type="dxa"/>
              <w:left w:w="0" w:type="dxa"/>
              <w:bottom w:w="40" w:type="dxa"/>
              <w:right w:w="20" w:type="dxa"/>
            </w:tcMar>
            <w:vAlign w:val="bottom"/>
          </w:tcPr>
          <w:p w14:paraId="64298063" w14:textId="77777777" w:rsidR="007B6C97" w:rsidRDefault="007B6C97">
            <w:pPr>
              <w:jc w:val="right"/>
              <w:rPr>
                <w:rFonts w:ascii="宋体"/>
              </w:rPr>
            </w:pPr>
          </w:p>
        </w:tc>
      </w:tr>
      <w:tr w:rsidR="007B6C97" w14:paraId="64298079" w14:textId="77777777">
        <w:tc>
          <w:tcPr>
            <w:tcW w:w="0" w:type="auto"/>
            <w:gridSpan w:val="3"/>
            <w:shd w:val="clear" w:color="auto" w:fill="D7E4BC"/>
            <w:tcMar>
              <w:top w:w="40" w:type="dxa"/>
              <w:left w:w="20" w:type="dxa"/>
              <w:bottom w:w="40" w:type="dxa"/>
              <w:right w:w="20" w:type="dxa"/>
            </w:tcMar>
            <w:vAlign w:val="bottom"/>
          </w:tcPr>
          <w:p w14:paraId="64298065"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Goodwill balance at July 3, 2022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06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067" w14:textId="77777777" w:rsidR="007B6C97" w:rsidRDefault="00E426D1">
            <w:pPr>
              <w:jc w:val="right"/>
              <w:textAlignment w:val="bottom"/>
            </w:pPr>
            <w:r>
              <w:rPr>
                <w:rFonts w:ascii="Times New Roman" w:eastAsia="宋体" w:hAnsi="Times New Roman"/>
                <w:color w:val="000000"/>
                <w:sz w:val="20"/>
                <w:szCs w:val="20"/>
              </w:rPr>
              <w:t>492.8 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0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69"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06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06B" w14:textId="77777777" w:rsidR="007B6C97" w:rsidRDefault="00E426D1">
            <w:pPr>
              <w:jc w:val="right"/>
              <w:textAlignment w:val="bottom"/>
            </w:pPr>
            <w:r>
              <w:rPr>
                <w:rFonts w:ascii="Times New Roman" w:eastAsia="宋体" w:hAnsi="Times New Roman"/>
                <w:color w:val="000000"/>
                <w:sz w:val="20"/>
                <w:szCs w:val="20"/>
              </w:rPr>
              <w:t>2,922.6 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06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6D"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06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06F" w14:textId="77777777" w:rsidR="007B6C97" w:rsidRDefault="00E426D1">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07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71"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07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073" w14:textId="77777777" w:rsidR="007B6C97" w:rsidRDefault="00E426D1">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07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75"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07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077" w14:textId="77777777" w:rsidR="007B6C97" w:rsidRDefault="00E426D1">
            <w:pPr>
              <w:jc w:val="right"/>
              <w:textAlignment w:val="bottom"/>
            </w:pPr>
            <w:r>
              <w:rPr>
                <w:rFonts w:ascii="Times New Roman" w:eastAsia="宋体" w:hAnsi="Times New Roman"/>
                <w:color w:val="000000"/>
                <w:sz w:val="20"/>
                <w:szCs w:val="20"/>
              </w:rPr>
              <w:t>3,451.2 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078" w14:textId="77777777" w:rsidR="007B6C97" w:rsidRDefault="007B6C97">
            <w:pPr>
              <w:jc w:val="right"/>
              <w:rPr>
                <w:rFonts w:ascii="宋体"/>
              </w:rPr>
            </w:pPr>
          </w:p>
        </w:tc>
      </w:tr>
    </w:tbl>
    <w:p w14:paraId="6429807A" w14:textId="77777777" w:rsidR="007B6C97" w:rsidRDefault="00E426D1">
      <w:pPr>
        <w:pBdr>
          <w:left w:val="none" w:sz="0" w:space="0" w:color="auto"/>
        </w:pBd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consists of changes in the goodwill balance resulting from foreign currency translation.</w:t>
      </w:r>
    </w:p>
    <w:p w14:paraId="6429807B" w14:textId="77777777" w:rsidR="007B6C97" w:rsidRDefault="00E426D1">
      <w:pPr>
        <w:jc w:val="center"/>
      </w:pPr>
      <w:r>
        <w:rPr>
          <w:rFonts w:ascii="Times New Roman" w:eastAsia="宋体" w:hAnsi="Times New Roman"/>
          <w:color w:val="000000"/>
          <w:sz w:val="20"/>
          <w:szCs w:val="20"/>
        </w:rPr>
        <w:t>20</w:t>
      </w:r>
    </w:p>
    <w:p w14:paraId="6429807C" w14:textId="77777777" w:rsidR="007B6C97" w:rsidRDefault="00E426D1">
      <w:r>
        <w:pict w14:anchorId="642999EE">
          <v:rect id="_x0000_i1044" style="width:415.3pt;height:1.5pt" o:hralign="center" o:hrstd="t" o:hr="t" fillcolor="#a0a0a0" stroked="f"/>
        </w:pict>
      </w:r>
    </w:p>
    <w:p w14:paraId="6429807D" w14:textId="77777777" w:rsidR="007B6C97" w:rsidRDefault="00E426D1">
      <w:hyperlink r:id="rId118" w:anchor="ie38a2b375c9840e583a36769999bbee6_7" w:history="1">
        <w:r>
          <w:rPr>
            <w:rStyle w:val="a5"/>
            <w:rFonts w:ascii="Times New Roman" w:eastAsia="宋体" w:hAnsi="Times New Roman"/>
            <w:sz w:val="20"/>
            <w:szCs w:val="20"/>
          </w:rPr>
          <w:t>Table</w:t>
        </w:r>
      </w:hyperlink>
      <w:hyperlink r:id="rId119" w:anchor="ie38a2b375c9840e583a36769999bbee6_7" w:history="1">
        <w:r>
          <w:rPr>
            <w:rStyle w:val="a5"/>
            <w:rFonts w:ascii="Times New Roman" w:eastAsia="宋体" w:hAnsi="Times New Roman"/>
            <w:sz w:val="20"/>
            <w:szCs w:val="20"/>
          </w:rPr>
          <w:t xml:space="preserve"> of Contents</w:t>
        </w:r>
      </w:hyperlink>
    </w:p>
    <w:p w14:paraId="6429807E" w14:textId="77777777" w:rsidR="007B6C97" w:rsidRDefault="00E426D1">
      <w:pPr>
        <w:spacing w:before="120"/>
      </w:pPr>
      <w:r>
        <w:rPr>
          <w:rFonts w:ascii="Times New Roman" w:eastAsia="宋体" w:hAnsi="Times New Roman"/>
          <w:b/>
          <w:bCs/>
          <w:color w:val="000000"/>
          <w:sz w:val="20"/>
          <w:szCs w:val="20"/>
        </w:rPr>
        <w:t>Note 7: Debt</w:t>
      </w:r>
    </w:p>
    <w:p w14:paraId="6429807F" w14:textId="77777777" w:rsidR="007B6C97" w:rsidRDefault="00E426D1">
      <w:pPr>
        <w:spacing w:before="120"/>
      </w:pPr>
      <w:r>
        <w:rPr>
          <w:rFonts w:ascii="Times New Roman" w:eastAsia="宋体" w:hAnsi="Times New Roman"/>
          <w:b/>
          <w:bCs/>
          <w:i/>
          <w:iCs/>
          <w:color w:val="000000"/>
          <w:sz w:val="20"/>
          <w:szCs w:val="20"/>
        </w:rPr>
        <w:t>Revolving Credit Facility</w:t>
      </w:r>
    </w:p>
    <w:p w14:paraId="64298080" w14:textId="77777777" w:rsidR="007B6C97" w:rsidRDefault="00E426D1">
      <w:pPr>
        <w:spacing w:before="120"/>
      </w:pPr>
      <w:r>
        <w:rPr>
          <w:rFonts w:ascii="Times New Roman" w:eastAsia="宋体" w:hAnsi="Times New Roman"/>
          <w:color w:val="000000"/>
          <w:sz w:val="20"/>
          <w:szCs w:val="20"/>
        </w:rPr>
        <w:t>Our $3 billion unsecured five-year revolving credit fac</w:t>
      </w:r>
      <w:r>
        <w:rPr>
          <w:rFonts w:ascii="Times New Roman" w:eastAsia="宋体" w:hAnsi="Times New Roman"/>
          <w:color w:val="000000"/>
          <w:sz w:val="20"/>
          <w:szCs w:val="20"/>
        </w:rPr>
        <w:t xml:space="preserve">ility (the “2021 credit facility”), of which $150 million may be used for issuances of letters of credit, is currently set to mature on September 16, 2026. The 2021 credit facility is available for working capital, capital expenditures and other corporate </w:t>
      </w:r>
      <w:r>
        <w:rPr>
          <w:rFonts w:ascii="Times New Roman" w:eastAsia="宋体" w:hAnsi="Times New Roman"/>
          <w:color w:val="000000"/>
          <w:sz w:val="20"/>
          <w:szCs w:val="20"/>
        </w:rPr>
        <w:t>purposes, including acquisitions and share repurchases. We have the option, subject to negotiation and agreement with the related banks, to increase the maximum commitment amount by an additional $1 billion.</w:t>
      </w:r>
    </w:p>
    <w:p w14:paraId="64298081" w14:textId="77777777" w:rsidR="007B6C97" w:rsidRDefault="00E426D1">
      <w:pPr>
        <w:spacing w:before="120"/>
      </w:pPr>
      <w:r>
        <w:rPr>
          <w:rFonts w:ascii="Times New Roman" w:eastAsia="宋体" w:hAnsi="Times New Roman"/>
          <w:color w:val="000000"/>
          <w:sz w:val="20"/>
          <w:szCs w:val="20"/>
        </w:rPr>
        <w:t>Borrowings under the 2021 credit facility will b</w:t>
      </w:r>
      <w:r>
        <w:rPr>
          <w:rFonts w:ascii="Times New Roman" w:eastAsia="宋体" w:hAnsi="Times New Roman"/>
          <w:color w:val="000000"/>
          <w:sz w:val="20"/>
          <w:szCs w:val="20"/>
        </w:rPr>
        <w:t>ear interest at a variable rate based on LIBOR, and, for U.S. dollar-denominated loans under certain circumstances, a Base Rate (as defined in the 2021 credit facility), in each case plus an applicable margin. The applicable margin is based on the Company’</w:t>
      </w:r>
      <w:r>
        <w:rPr>
          <w:rFonts w:ascii="Times New Roman" w:eastAsia="宋体" w:hAnsi="Times New Roman"/>
          <w:color w:val="000000"/>
          <w:sz w:val="20"/>
          <w:szCs w:val="20"/>
        </w:rPr>
        <w:t>s long-term credit ratings assigned by the Moody’s and Standard &amp; Poor’s rating agencies. The 2021 credit facility contains alternative interest rate provisions specifying rate calculations to be used at such time LIBOR ceases to be available as a benchmar</w:t>
      </w:r>
      <w:r>
        <w:rPr>
          <w:rFonts w:ascii="Times New Roman" w:eastAsia="宋体" w:hAnsi="Times New Roman"/>
          <w:color w:val="000000"/>
          <w:sz w:val="20"/>
          <w:szCs w:val="20"/>
        </w:rPr>
        <w:t>k due to reference rate reform. The “Base Rate” is the highest of (i) the Federal Funds Rate (as defined in the 2021 credit facility) plus 0.050%, (ii) Bank of America’s prime rate, and (iii) the Eurocurrency Rate (as defined in the 2021 credit facility) p</w:t>
      </w:r>
      <w:r>
        <w:rPr>
          <w:rFonts w:ascii="Times New Roman" w:eastAsia="宋体" w:hAnsi="Times New Roman"/>
          <w:color w:val="000000"/>
          <w:sz w:val="20"/>
          <w:szCs w:val="20"/>
        </w:rPr>
        <w:t>lus 1.000%.</w:t>
      </w:r>
    </w:p>
    <w:p w14:paraId="64298082" w14:textId="77777777" w:rsidR="007B6C97" w:rsidRDefault="00E426D1">
      <w:pPr>
        <w:spacing w:before="120"/>
      </w:pPr>
      <w:r>
        <w:rPr>
          <w:rFonts w:ascii="Times New Roman" w:eastAsia="宋体" w:hAnsi="Times New Roman"/>
          <w:color w:val="000000"/>
          <w:sz w:val="20"/>
          <w:szCs w:val="20"/>
        </w:rPr>
        <w:t>The 2021 credit facility contains provisions requiring us to maintain compliance with certain covenants, including a minimum fixed charge coverage ratio, which measures our ability to cover financing expenses. As of July 3, 2022, we were in com</w:t>
      </w:r>
      <w:r>
        <w:rPr>
          <w:rFonts w:ascii="Times New Roman" w:eastAsia="宋体" w:hAnsi="Times New Roman"/>
          <w:color w:val="000000"/>
          <w:sz w:val="20"/>
          <w:szCs w:val="20"/>
        </w:rPr>
        <w:t>pliance with all applicable covenants. No amounts were outstanding under our 2021 credit facility as of July 3, 2022 or October 3, 2021.</w:t>
      </w:r>
    </w:p>
    <w:p w14:paraId="64298083" w14:textId="77777777" w:rsidR="007B6C97" w:rsidRDefault="00E426D1">
      <w:pPr>
        <w:spacing w:before="120"/>
      </w:pPr>
      <w:r>
        <w:rPr>
          <w:rFonts w:ascii="Times New Roman" w:eastAsia="宋体" w:hAnsi="Times New Roman"/>
          <w:b/>
          <w:bCs/>
          <w:i/>
          <w:iCs/>
          <w:color w:val="000000"/>
          <w:sz w:val="20"/>
          <w:szCs w:val="20"/>
        </w:rPr>
        <w:t>Short-term Debt</w:t>
      </w:r>
    </w:p>
    <w:p w14:paraId="64298084" w14:textId="77777777" w:rsidR="007B6C97" w:rsidRDefault="00E426D1">
      <w:pPr>
        <w:spacing w:before="120"/>
      </w:pPr>
      <w:r>
        <w:rPr>
          <w:rFonts w:ascii="Times New Roman" w:eastAsia="宋体" w:hAnsi="Times New Roman"/>
          <w:color w:val="000000"/>
          <w:sz w:val="20"/>
          <w:szCs w:val="20"/>
        </w:rPr>
        <w:t>Under our commercial paper program, we may issue unsecured commercial paper notes up to a maximum aggre</w:t>
      </w:r>
      <w:r>
        <w:rPr>
          <w:rFonts w:ascii="Times New Roman" w:eastAsia="宋体" w:hAnsi="Times New Roman"/>
          <w:color w:val="000000"/>
          <w:sz w:val="20"/>
          <w:szCs w:val="20"/>
        </w:rPr>
        <w:t>gate amount outstanding at any time of $3 billion, with individual maturities that may vary but not exceed 397 days from the date of issue. Amounts outstanding under the commercial paper program are required to be backstopped by available commitments under</w:t>
      </w:r>
      <w:r>
        <w:rPr>
          <w:rFonts w:ascii="Times New Roman" w:eastAsia="宋体" w:hAnsi="Times New Roman"/>
          <w:color w:val="000000"/>
          <w:sz w:val="20"/>
          <w:szCs w:val="20"/>
        </w:rPr>
        <w:t xml:space="preserve"> our 2021 credit facility. The proceeds from borrowings under our commercial paper program may be used for working capital needs, capital expenditures and other corporate purposes, including, but not limited to, business expansion, payment of cash dividend</w:t>
      </w:r>
      <w:r>
        <w:rPr>
          <w:rFonts w:ascii="Times New Roman" w:eastAsia="宋体" w:hAnsi="Times New Roman"/>
          <w:color w:val="000000"/>
          <w:sz w:val="20"/>
          <w:szCs w:val="20"/>
        </w:rPr>
        <w:t>s on our common stock and share repurchases. As of July 3, 2022, we had $200 million in borrowings outstanding under the program. As of October 3, 2021, we had no borrowings outstanding under this program.</w:t>
      </w:r>
    </w:p>
    <w:p w14:paraId="64298085" w14:textId="77777777" w:rsidR="007B6C97" w:rsidRDefault="00E426D1">
      <w:pPr>
        <w:spacing w:before="120"/>
      </w:pPr>
      <w:r>
        <w:rPr>
          <w:rFonts w:ascii="Times New Roman" w:eastAsia="宋体" w:hAnsi="Times New Roman"/>
          <w:color w:val="000000"/>
          <w:sz w:val="20"/>
          <w:szCs w:val="20"/>
        </w:rPr>
        <w:t>Additionally, we hold the following Japanese yen-d</w:t>
      </w:r>
      <w:r>
        <w:rPr>
          <w:rFonts w:ascii="Times New Roman" w:eastAsia="宋体" w:hAnsi="Times New Roman"/>
          <w:color w:val="000000"/>
          <w:sz w:val="20"/>
          <w:szCs w:val="20"/>
        </w:rPr>
        <w:t>enominated credit facilities that are available for working capital needs and capital expenditures within our Japanese market:</w:t>
      </w:r>
    </w:p>
    <w:p w14:paraId="64298086" w14:textId="77777777" w:rsidR="007B6C97" w:rsidRDefault="00E426D1">
      <w:pPr>
        <w:pBdr>
          <w:left w:val="none" w:sz="0" w:space="0" w:color="auto"/>
        </w:pBdr>
        <w:spacing w:before="120"/>
        <w:ind w:hanging="360"/>
      </w:pPr>
      <w:r>
        <w:rPr>
          <w:rFonts w:ascii="Times New Roman" w:eastAsia="宋体" w:hAnsi="Times New Roman"/>
          <w:color w:val="000000"/>
          <w:sz w:val="20"/>
          <w:szCs w:val="20"/>
        </w:rPr>
        <w:t>•A ¥5 billion, or $36.8 million, credit facility is currently set to mature on December 31, 2022. Borrowings under such credit facility are subject to terms defined within the facility and will bear interest at a variable rate based on Tokyo Interbank Offe</w:t>
      </w:r>
      <w:r>
        <w:rPr>
          <w:rFonts w:ascii="Times New Roman" w:eastAsia="宋体" w:hAnsi="Times New Roman"/>
          <w:color w:val="000000"/>
          <w:sz w:val="20"/>
          <w:szCs w:val="20"/>
        </w:rPr>
        <w:t xml:space="preserve">red Rate ("TIBOR") plus an applicable margin of 0.400%. </w:t>
      </w:r>
    </w:p>
    <w:p w14:paraId="64298087" w14:textId="77777777" w:rsidR="007B6C97" w:rsidRDefault="00E426D1">
      <w:pPr>
        <w:pBdr>
          <w:left w:val="none" w:sz="0" w:space="0" w:color="auto"/>
        </w:pBdr>
        <w:spacing w:before="120"/>
        <w:ind w:hanging="360"/>
      </w:pPr>
      <w:r>
        <w:rPr>
          <w:rFonts w:ascii="Times New Roman" w:eastAsia="宋体" w:hAnsi="Times New Roman"/>
          <w:color w:val="000000"/>
          <w:sz w:val="20"/>
          <w:szCs w:val="20"/>
        </w:rPr>
        <w:t>•A ¥10 billion, or $73.7 million, credit facility is currently set to mature on March 27, 2023. Borrowings under such credit facility are subject to terms defined within the facility and will bear in</w:t>
      </w:r>
      <w:r>
        <w:rPr>
          <w:rFonts w:ascii="Times New Roman" w:eastAsia="宋体" w:hAnsi="Times New Roman"/>
          <w:color w:val="000000"/>
          <w:sz w:val="20"/>
          <w:szCs w:val="20"/>
        </w:rPr>
        <w:t xml:space="preserve">terest at a variable rate based on TIBOR plus an applicable margin of 0.350%. </w:t>
      </w:r>
    </w:p>
    <w:p w14:paraId="64298088" w14:textId="77777777" w:rsidR="007B6C97" w:rsidRDefault="00E426D1">
      <w:pPr>
        <w:spacing w:before="120"/>
      </w:pPr>
      <w:r>
        <w:rPr>
          <w:rFonts w:ascii="Times New Roman" w:eastAsia="宋体" w:hAnsi="Times New Roman"/>
          <w:color w:val="000000"/>
          <w:sz w:val="20"/>
          <w:szCs w:val="20"/>
        </w:rPr>
        <w:t>As of July 3, 2022 and October 3, 2021, we had no borrowings outstanding under these Japanese yen-denominated credit facilities.</w:t>
      </w:r>
    </w:p>
    <w:p w14:paraId="64298089" w14:textId="77777777" w:rsidR="007B6C97" w:rsidRDefault="00E426D1">
      <w:pPr>
        <w:jc w:val="center"/>
      </w:pPr>
      <w:r>
        <w:rPr>
          <w:rFonts w:ascii="Times New Roman" w:eastAsia="宋体" w:hAnsi="Times New Roman"/>
          <w:color w:val="000000"/>
          <w:sz w:val="20"/>
          <w:szCs w:val="20"/>
        </w:rPr>
        <w:t>21</w:t>
      </w:r>
    </w:p>
    <w:p w14:paraId="6429808A" w14:textId="77777777" w:rsidR="007B6C97" w:rsidRDefault="00E426D1">
      <w:r>
        <w:pict w14:anchorId="642999EF">
          <v:rect id="_x0000_i1045" style="width:415.3pt;height:1.5pt" o:hralign="center" o:hrstd="t" o:hr="t" fillcolor="#a0a0a0" stroked="f"/>
        </w:pict>
      </w:r>
    </w:p>
    <w:p w14:paraId="6429808B" w14:textId="77777777" w:rsidR="007B6C97" w:rsidRDefault="00E426D1">
      <w:hyperlink r:id="rId120" w:anchor="ie38a2b375c9840e583a36769999bbee6_7" w:history="1">
        <w:r>
          <w:rPr>
            <w:rStyle w:val="a5"/>
            <w:rFonts w:ascii="Times New Roman" w:eastAsia="宋体" w:hAnsi="Times New Roman"/>
            <w:sz w:val="20"/>
            <w:szCs w:val="20"/>
          </w:rPr>
          <w:t>Table</w:t>
        </w:r>
      </w:hyperlink>
      <w:hyperlink r:id="rId121" w:anchor="ie38a2b375c9840e583a36769999bbee6_7" w:history="1">
        <w:r>
          <w:rPr>
            <w:rStyle w:val="a5"/>
            <w:rFonts w:ascii="Times New Roman" w:eastAsia="宋体" w:hAnsi="Times New Roman"/>
            <w:sz w:val="20"/>
            <w:szCs w:val="20"/>
          </w:rPr>
          <w:t xml:space="preserve"> of Contents</w:t>
        </w:r>
      </w:hyperlink>
    </w:p>
    <w:p w14:paraId="6429808C" w14:textId="77777777" w:rsidR="007B6C97" w:rsidRDefault="00E426D1">
      <w:pPr>
        <w:spacing w:before="120"/>
      </w:pPr>
      <w:r>
        <w:rPr>
          <w:rFonts w:ascii="Times New Roman" w:eastAsia="宋体" w:hAnsi="Times New Roman"/>
          <w:b/>
          <w:bCs/>
          <w:i/>
          <w:iCs/>
          <w:color w:val="000000"/>
          <w:sz w:val="20"/>
          <w:szCs w:val="20"/>
        </w:rPr>
        <w:t>Long-term Debt</w:t>
      </w:r>
    </w:p>
    <w:p w14:paraId="6429808D" w14:textId="77777777" w:rsidR="007B6C97" w:rsidRDefault="00E426D1">
      <w:pPr>
        <w:spacing w:before="120"/>
      </w:pPr>
      <w:r>
        <w:rPr>
          <w:rFonts w:ascii="Times New Roman" w:eastAsia="宋体" w:hAnsi="Times New Roman"/>
          <w:color w:val="000000"/>
          <w:sz w:val="20"/>
          <w:szCs w:val="20"/>
        </w:rPr>
        <w:t>Components of long-term debt including the associated interest rates and related estimated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2167"/>
        <w:gridCol w:w="38"/>
        <w:gridCol w:w="120"/>
        <w:gridCol w:w="807"/>
        <w:gridCol w:w="36"/>
        <w:gridCol w:w="121"/>
        <w:gridCol w:w="807"/>
        <w:gridCol w:w="36"/>
        <w:gridCol w:w="36"/>
        <w:gridCol w:w="36"/>
        <w:gridCol w:w="36"/>
        <w:gridCol w:w="120"/>
        <w:gridCol w:w="807"/>
        <w:gridCol w:w="36"/>
        <w:gridCol w:w="121"/>
        <w:gridCol w:w="807"/>
        <w:gridCol w:w="36"/>
        <w:gridCol w:w="36"/>
        <w:gridCol w:w="36"/>
        <w:gridCol w:w="36"/>
        <w:gridCol w:w="50"/>
        <w:gridCol w:w="763"/>
        <w:gridCol w:w="187"/>
        <w:gridCol w:w="56"/>
        <w:gridCol w:w="759"/>
        <w:gridCol w:w="187"/>
      </w:tblGrid>
      <w:tr w:rsidR="007B6C97" w14:paraId="642980A9" w14:textId="77777777">
        <w:tc>
          <w:tcPr>
            <w:tcW w:w="50" w:type="pct"/>
            <w:shd w:val="clear" w:color="auto" w:fill="auto"/>
            <w:vAlign w:val="bottom"/>
          </w:tcPr>
          <w:p w14:paraId="6429808E" w14:textId="77777777" w:rsidR="007B6C97" w:rsidRDefault="007B6C97">
            <w:pPr>
              <w:rPr>
                <w:rFonts w:ascii="宋体"/>
              </w:rPr>
            </w:pPr>
          </w:p>
        </w:tc>
        <w:tc>
          <w:tcPr>
            <w:tcW w:w="1377" w:type="pct"/>
            <w:shd w:val="clear" w:color="auto" w:fill="auto"/>
            <w:vAlign w:val="bottom"/>
          </w:tcPr>
          <w:p w14:paraId="6429808F" w14:textId="77777777" w:rsidR="007B6C97" w:rsidRDefault="007B6C97">
            <w:pPr>
              <w:rPr>
                <w:rFonts w:ascii="宋体"/>
              </w:rPr>
            </w:pPr>
          </w:p>
        </w:tc>
        <w:tc>
          <w:tcPr>
            <w:tcW w:w="5" w:type="pct"/>
            <w:shd w:val="clear" w:color="auto" w:fill="auto"/>
            <w:vAlign w:val="bottom"/>
          </w:tcPr>
          <w:p w14:paraId="64298090" w14:textId="77777777" w:rsidR="007B6C97" w:rsidRDefault="007B6C97">
            <w:pPr>
              <w:rPr>
                <w:rFonts w:ascii="宋体"/>
              </w:rPr>
            </w:pPr>
          </w:p>
        </w:tc>
        <w:tc>
          <w:tcPr>
            <w:tcW w:w="50" w:type="pct"/>
            <w:shd w:val="clear" w:color="auto" w:fill="auto"/>
            <w:vAlign w:val="bottom"/>
          </w:tcPr>
          <w:p w14:paraId="64298091" w14:textId="77777777" w:rsidR="007B6C97" w:rsidRDefault="007B6C97">
            <w:pPr>
              <w:rPr>
                <w:rFonts w:ascii="宋体"/>
              </w:rPr>
            </w:pPr>
          </w:p>
        </w:tc>
        <w:tc>
          <w:tcPr>
            <w:tcW w:w="529" w:type="pct"/>
            <w:shd w:val="clear" w:color="auto" w:fill="auto"/>
            <w:vAlign w:val="bottom"/>
          </w:tcPr>
          <w:p w14:paraId="64298092" w14:textId="77777777" w:rsidR="007B6C97" w:rsidRDefault="007B6C97">
            <w:pPr>
              <w:rPr>
                <w:rFonts w:ascii="宋体"/>
              </w:rPr>
            </w:pPr>
          </w:p>
        </w:tc>
        <w:tc>
          <w:tcPr>
            <w:tcW w:w="5" w:type="pct"/>
            <w:shd w:val="clear" w:color="auto" w:fill="auto"/>
            <w:vAlign w:val="bottom"/>
          </w:tcPr>
          <w:p w14:paraId="64298093" w14:textId="77777777" w:rsidR="007B6C97" w:rsidRDefault="007B6C97">
            <w:pPr>
              <w:rPr>
                <w:rFonts w:ascii="宋体"/>
              </w:rPr>
            </w:pPr>
          </w:p>
        </w:tc>
        <w:tc>
          <w:tcPr>
            <w:tcW w:w="50" w:type="pct"/>
            <w:shd w:val="clear" w:color="auto" w:fill="auto"/>
            <w:vAlign w:val="bottom"/>
          </w:tcPr>
          <w:p w14:paraId="64298094" w14:textId="77777777" w:rsidR="007B6C97" w:rsidRDefault="007B6C97">
            <w:pPr>
              <w:rPr>
                <w:rFonts w:ascii="宋体"/>
              </w:rPr>
            </w:pPr>
          </w:p>
        </w:tc>
        <w:tc>
          <w:tcPr>
            <w:tcW w:w="529" w:type="pct"/>
            <w:shd w:val="clear" w:color="auto" w:fill="auto"/>
            <w:vAlign w:val="bottom"/>
          </w:tcPr>
          <w:p w14:paraId="64298095" w14:textId="77777777" w:rsidR="007B6C97" w:rsidRDefault="007B6C97">
            <w:pPr>
              <w:rPr>
                <w:rFonts w:ascii="宋体"/>
              </w:rPr>
            </w:pPr>
          </w:p>
        </w:tc>
        <w:tc>
          <w:tcPr>
            <w:tcW w:w="5" w:type="pct"/>
            <w:shd w:val="clear" w:color="auto" w:fill="auto"/>
            <w:vAlign w:val="bottom"/>
          </w:tcPr>
          <w:p w14:paraId="64298096" w14:textId="77777777" w:rsidR="007B6C97" w:rsidRDefault="007B6C97">
            <w:pPr>
              <w:rPr>
                <w:rFonts w:ascii="宋体"/>
              </w:rPr>
            </w:pPr>
          </w:p>
        </w:tc>
        <w:tc>
          <w:tcPr>
            <w:tcW w:w="5" w:type="pct"/>
            <w:shd w:val="clear" w:color="auto" w:fill="auto"/>
            <w:vAlign w:val="bottom"/>
          </w:tcPr>
          <w:p w14:paraId="64298097" w14:textId="77777777" w:rsidR="007B6C97" w:rsidRDefault="007B6C97">
            <w:pPr>
              <w:rPr>
                <w:rFonts w:ascii="宋体"/>
              </w:rPr>
            </w:pPr>
          </w:p>
        </w:tc>
        <w:tc>
          <w:tcPr>
            <w:tcW w:w="19" w:type="pct"/>
            <w:shd w:val="clear" w:color="auto" w:fill="auto"/>
            <w:vAlign w:val="bottom"/>
          </w:tcPr>
          <w:p w14:paraId="64298098" w14:textId="77777777" w:rsidR="007B6C97" w:rsidRDefault="007B6C97">
            <w:pPr>
              <w:rPr>
                <w:rFonts w:ascii="宋体"/>
              </w:rPr>
            </w:pPr>
          </w:p>
        </w:tc>
        <w:tc>
          <w:tcPr>
            <w:tcW w:w="5" w:type="pct"/>
            <w:shd w:val="clear" w:color="auto" w:fill="auto"/>
            <w:vAlign w:val="bottom"/>
          </w:tcPr>
          <w:p w14:paraId="64298099" w14:textId="77777777" w:rsidR="007B6C97" w:rsidRDefault="007B6C97">
            <w:pPr>
              <w:rPr>
                <w:rFonts w:ascii="宋体"/>
              </w:rPr>
            </w:pPr>
          </w:p>
        </w:tc>
        <w:tc>
          <w:tcPr>
            <w:tcW w:w="50" w:type="pct"/>
            <w:shd w:val="clear" w:color="auto" w:fill="auto"/>
            <w:vAlign w:val="bottom"/>
          </w:tcPr>
          <w:p w14:paraId="6429809A" w14:textId="77777777" w:rsidR="007B6C97" w:rsidRDefault="007B6C97">
            <w:pPr>
              <w:rPr>
                <w:rFonts w:ascii="宋体"/>
              </w:rPr>
            </w:pPr>
          </w:p>
        </w:tc>
        <w:tc>
          <w:tcPr>
            <w:tcW w:w="529" w:type="pct"/>
            <w:shd w:val="clear" w:color="auto" w:fill="auto"/>
            <w:vAlign w:val="bottom"/>
          </w:tcPr>
          <w:p w14:paraId="6429809B" w14:textId="77777777" w:rsidR="007B6C97" w:rsidRDefault="007B6C97">
            <w:pPr>
              <w:rPr>
                <w:rFonts w:ascii="宋体"/>
              </w:rPr>
            </w:pPr>
          </w:p>
        </w:tc>
        <w:tc>
          <w:tcPr>
            <w:tcW w:w="5" w:type="pct"/>
            <w:shd w:val="clear" w:color="auto" w:fill="auto"/>
            <w:vAlign w:val="bottom"/>
          </w:tcPr>
          <w:p w14:paraId="6429809C" w14:textId="77777777" w:rsidR="007B6C97" w:rsidRDefault="007B6C97">
            <w:pPr>
              <w:rPr>
                <w:rFonts w:ascii="宋体"/>
              </w:rPr>
            </w:pPr>
          </w:p>
        </w:tc>
        <w:tc>
          <w:tcPr>
            <w:tcW w:w="50" w:type="pct"/>
            <w:shd w:val="clear" w:color="auto" w:fill="auto"/>
            <w:vAlign w:val="bottom"/>
          </w:tcPr>
          <w:p w14:paraId="6429809D" w14:textId="77777777" w:rsidR="007B6C97" w:rsidRDefault="007B6C97">
            <w:pPr>
              <w:rPr>
                <w:rFonts w:ascii="宋体"/>
              </w:rPr>
            </w:pPr>
          </w:p>
        </w:tc>
        <w:tc>
          <w:tcPr>
            <w:tcW w:w="529" w:type="pct"/>
            <w:shd w:val="clear" w:color="auto" w:fill="auto"/>
            <w:vAlign w:val="bottom"/>
          </w:tcPr>
          <w:p w14:paraId="6429809E" w14:textId="77777777" w:rsidR="007B6C97" w:rsidRDefault="007B6C97">
            <w:pPr>
              <w:rPr>
                <w:rFonts w:ascii="宋体"/>
              </w:rPr>
            </w:pPr>
          </w:p>
        </w:tc>
        <w:tc>
          <w:tcPr>
            <w:tcW w:w="5" w:type="pct"/>
            <w:shd w:val="clear" w:color="auto" w:fill="auto"/>
            <w:vAlign w:val="bottom"/>
          </w:tcPr>
          <w:p w14:paraId="6429809F" w14:textId="77777777" w:rsidR="007B6C97" w:rsidRDefault="007B6C97">
            <w:pPr>
              <w:rPr>
                <w:rFonts w:ascii="宋体"/>
              </w:rPr>
            </w:pPr>
          </w:p>
        </w:tc>
        <w:tc>
          <w:tcPr>
            <w:tcW w:w="5" w:type="pct"/>
            <w:shd w:val="clear" w:color="auto" w:fill="auto"/>
            <w:vAlign w:val="bottom"/>
          </w:tcPr>
          <w:p w14:paraId="642980A0" w14:textId="77777777" w:rsidR="007B6C97" w:rsidRDefault="007B6C97">
            <w:pPr>
              <w:rPr>
                <w:rFonts w:ascii="宋体"/>
              </w:rPr>
            </w:pPr>
          </w:p>
        </w:tc>
        <w:tc>
          <w:tcPr>
            <w:tcW w:w="19" w:type="pct"/>
            <w:shd w:val="clear" w:color="auto" w:fill="auto"/>
            <w:vAlign w:val="bottom"/>
          </w:tcPr>
          <w:p w14:paraId="642980A1" w14:textId="77777777" w:rsidR="007B6C97" w:rsidRDefault="007B6C97">
            <w:pPr>
              <w:rPr>
                <w:rFonts w:ascii="宋体"/>
              </w:rPr>
            </w:pPr>
          </w:p>
        </w:tc>
        <w:tc>
          <w:tcPr>
            <w:tcW w:w="5" w:type="pct"/>
            <w:shd w:val="clear" w:color="auto" w:fill="auto"/>
            <w:vAlign w:val="bottom"/>
          </w:tcPr>
          <w:p w14:paraId="642980A2" w14:textId="77777777" w:rsidR="007B6C97" w:rsidRDefault="007B6C97">
            <w:pPr>
              <w:rPr>
                <w:rFonts w:ascii="宋体"/>
              </w:rPr>
            </w:pPr>
          </w:p>
        </w:tc>
        <w:tc>
          <w:tcPr>
            <w:tcW w:w="50" w:type="pct"/>
            <w:shd w:val="clear" w:color="auto" w:fill="auto"/>
            <w:vAlign w:val="bottom"/>
          </w:tcPr>
          <w:p w14:paraId="642980A3" w14:textId="77777777" w:rsidR="007B6C97" w:rsidRDefault="007B6C97">
            <w:pPr>
              <w:rPr>
                <w:rFonts w:ascii="宋体"/>
              </w:rPr>
            </w:pPr>
          </w:p>
        </w:tc>
        <w:tc>
          <w:tcPr>
            <w:tcW w:w="529" w:type="pct"/>
            <w:shd w:val="clear" w:color="auto" w:fill="auto"/>
            <w:vAlign w:val="bottom"/>
          </w:tcPr>
          <w:p w14:paraId="642980A4" w14:textId="77777777" w:rsidR="007B6C97" w:rsidRDefault="007B6C97">
            <w:pPr>
              <w:rPr>
                <w:rFonts w:ascii="宋体"/>
              </w:rPr>
            </w:pPr>
          </w:p>
        </w:tc>
        <w:tc>
          <w:tcPr>
            <w:tcW w:w="5" w:type="pct"/>
            <w:shd w:val="clear" w:color="auto" w:fill="auto"/>
            <w:vAlign w:val="bottom"/>
          </w:tcPr>
          <w:p w14:paraId="642980A5" w14:textId="77777777" w:rsidR="007B6C97" w:rsidRDefault="007B6C97">
            <w:pPr>
              <w:rPr>
                <w:rFonts w:ascii="宋体"/>
              </w:rPr>
            </w:pPr>
          </w:p>
        </w:tc>
        <w:tc>
          <w:tcPr>
            <w:tcW w:w="50" w:type="pct"/>
            <w:shd w:val="clear" w:color="auto" w:fill="auto"/>
            <w:vAlign w:val="bottom"/>
          </w:tcPr>
          <w:p w14:paraId="642980A6" w14:textId="77777777" w:rsidR="007B6C97" w:rsidRDefault="007B6C97">
            <w:pPr>
              <w:rPr>
                <w:rFonts w:ascii="宋体"/>
              </w:rPr>
            </w:pPr>
          </w:p>
        </w:tc>
        <w:tc>
          <w:tcPr>
            <w:tcW w:w="530" w:type="pct"/>
            <w:shd w:val="clear" w:color="auto" w:fill="auto"/>
            <w:vAlign w:val="bottom"/>
          </w:tcPr>
          <w:p w14:paraId="642980A7" w14:textId="77777777" w:rsidR="007B6C97" w:rsidRDefault="007B6C97">
            <w:pPr>
              <w:rPr>
                <w:rFonts w:ascii="宋体"/>
              </w:rPr>
            </w:pPr>
          </w:p>
        </w:tc>
        <w:tc>
          <w:tcPr>
            <w:tcW w:w="5" w:type="pct"/>
            <w:shd w:val="clear" w:color="auto" w:fill="auto"/>
            <w:vAlign w:val="bottom"/>
          </w:tcPr>
          <w:p w14:paraId="642980A8" w14:textId="77777777" w:rsidR="007B6C97" w:rsidRDefault="007B6C97">
            <w:pPr>
              <w:rPr>
                <w:rFonts w:ascii="宋体"/>
              </w:rPr>
            </w:pPr>
          </w:p>
        </w:tc>
      </w:tr>
      <w:tr w:rsidR="007B6C97" w14:paraId="642980B1" w14:textId="77777777">
        <w:trPr>
          <w:trHeight w:val="240"/>
        </w:trPr>
        <w:tc>
          <w:tcPr>
            <w:tcW w:w="0" w:type="auto"/>
            <w:gridSpan w:val="3"/>
            <w:shd w:val="clear" w:color="auto" w:fill="auto"/>
            <w:tcMar>
              <w:top w:w="0" w:type="dxa"/>
              <w:left w:w="20" w:type="dxa"/>
              <w:bottom w:w="0" w:type="dxa"/>
              <w:right w:w="20" w:type="dxa"/>
            </w:tcMar>
            <w:vAlign w:val="bottom"/>
          </w:tcPr>
          <w:p w14:paraId="642980AA" w14:textId="77777777" w:rsidR="007B6C97" w:rsidRDefault="007B6C97">
            <w:pPr>
              <w:rPr>
                <w:rFonts w:ascii="宋体"/>
              </w:rPr>
            </w:pPr>
          </w:p>
        </w:tc>
        <w:tc>
          <w:tcPr>
            <w:tcW w:w="0" w:type="auto"/>
            <w:gridSpan w:val="6"/>
            <w:shd w:val="clear" w:color="auto" w:fill="00704A"/>
            <w:tcMar>
              <w:top w:w="40" w:type="dxa"/>
              <w:left w:w="20" w:type="dxa"/>
              <w:bottom w:w="40" w:type="dxa"/>
              <w:right w:w="20" w:type="dxa"/>
            </w:tcMar>
            <w:vAlign w:val="bottom"/>
          </w:tcPr>
          <w:p w14:paraId="642980AB"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0AC" w14:textId="77777777" w:rsidR="007B6C97" w:rsidRDefault="007B6C97">
            <w:pPr>
              <w:rPr>
                <w:rFonts w:ascii="宋体"/>
              </w:rPr>
            </w:pPr>
          </w:p>
        </w:tc>
        <w:tc>
          <w:tcPr>
            <w:tcW w:w="0" w:type="auto"/>
            <w:gridSpan w:val="6"/>
            <w:shd w:val="clear" w:color="auto" w:fill="00704A"/>
            <w:tcMar>
              <w:top w:w="40" w:type="dxa"/>
              <w:left w:w="20" w:type="dxa"/>
              <w:bottom w:w="40" w:type="dxa"/>
              <w:right w:w="20" w:type="dxa"/>
            </w:tcMar>
            <w:vAlign w:val="bottom"/>
          </w:tcPr>
          <w:p w14:paraId="642980AD" w14:textId="77777777" w:rsidR="007B6C97" w:rsidRDefault="00E426D1">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42980AE"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80AF" w14:textId="77777777" w:rsidR="007B6C97" w:rsidRDefault="00E426D1">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642980B0"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7B6C97" w14:paraId="642980BB" w14:textId="77777777">
        <w:trPr>
          <w:trHeight w:val="340"/>
        </w:trPr>
        <w:tc>
          <w:tcPr>
            <w:tcW w:w="0" w:type="auto"/>
            <w:gridSpan w:val="3"/>
            <w:shd w:val="clear" w:color="auto" w:fill="FFFFFF"/>
            <w:tcMar>
              <w:top w:w="40" w:type="dxa"/>
              <w:left w:w="20" w:type="dxa"/>
              <w:bottom w:w="40" w:type="dxa"/>
              <w:right w:w="20" w:type="dxa"/>
            </w:tcMar>
            <w:vAlign w:val="bottom"/>
          </w:tcPr>
          <w:p w14:paraId="642980B2" w14:textId="77777777" w:rsidR="007B6C97" w:rsidRDefault="00E426D1">
            <w:pPr>
              <w:textAlignment w:val="bottom"/>
            </w:pPr>
            <w:r>
              <w:rPr>
                <w:rFonts w:ascii="Times New Roman" w:eastAsia="宋体" w:hAnsi="Times New Roman"/>
                <w:b/>
                <w:bCs/>
                <w:color w:val="000000"/>
                <w:sz w:val="20"/>
                <w:szCs w:val="20"/>
                <w:u w:val="single"/>
              </w:rPr>
              <w:t>Issuance</w:t>
            </w:r>
          </w:p>
        </w:tc>
        <w:tc>
          <w:tcPr>
            <w:tcW w:w="0" w:type="auto"/>
            <w:gridSpan w:val="3"/>
            <w:shd w:val="clear" w:color="auto" w:fill="00704A"/>
            <w:tcMar>
              <w:top w:w="40" w:type="dxa"/>
              <w:left w:w="20" w:type="dxa"/>
              <w:bottom w:w="40" w:type="dxa"/>
              <w:right w:w="20" w:type="dxa"/>
            </w:tcMar>
            <w:vAlign w:val="bottom"/>
          </w:tcPr>
          <w:p w14:paraId="642980B3" w14:textId="77777777" w:rsidR="007B6C97" w:rsidRDefault="00E426D1">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642980B4" w14:textId="77777777" w:rsidR="007B6C97" w:rsidRDefault="00E426D1">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642980B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0B6" w14:textId="77777777" w:rsidR="007B6C97" w:rsidRDefault="00E426D1">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642980B7" w14:textId="77777777" w:rsidR="007B6C97" w:rsidRDefault="00E426D1">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642980B8"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80B9" w14:textId="77777777" w:rsidR="007B6C97" w:rsidRDefault="007B6C97">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642980BA" w14:textId="77777777" w:rsidR="007B6C97" w:rsidRDefault="007B6C97">
            <w:pPr>
              <w:rPr>
                <w:rFonts w:ascii="宋体"/>
              </w:rPr>
            </w:pPr>
          </w:p>
        </w:tc>
      </w:tr>
      <w:tr w:rsidR="007B6C97" w14:paraId="642980C5" w14:textId="77777777">
        <w:trPr>
          <w:hidden/>
        </w:trPr>
        <w:tc>
          <w:tcPr>
            <w:tcW w:w="0" w:type="auto"/>
            <w:gridSpan w:val="3"/>
            <w:shd w:val="clear" w:color="auto" w:fill="auto"/>
            <w:vAlign w:val="bottom"/>
          </w:tcPr>
          <w:p w14:paraId="642980BC" w14:textId="77777777" w:rsidR="007B6C97" w:rsidRDefault="007B6C97">
            <w:pPr>
              <w:rPr>
                <w:rFonts w:ascii="宋体"/>
                <w:vanish/>
              </w:rPr>
            </w:pPr>
          </w:p>
        </w:tc>
        <w:tc>
          <w:tcPr>
            <w:tcW w:w="0" w:type="auto"/>
            <w:gridSpan w:val="3"/>
            <w:shd w:val="clear" w:color="auto" w:fill="auto"/>
            <w:vAlign w:val="bottom"/>
          </w:tcPr>
          <w:p w14:paraId="642980BD" w14:textId="77777777" w:rsidR="007B6C97" w:rsidRDefault="007B6C97">
            <w:pPr>
              <w:rPr>
                <w:rFonts w:ascii="宋体"/>
                <w:vanish/>
              </w:rPr>
            </w:pPr>
          </w:p>
        </w:tc>
        <w:tc>
          <w:tcPr>
            <w:tcW w:w="0" w:type="auto"/>
            <w:gridSpan w:val="3"/>
            <w:shd w:val="clear" w:color="auto" w:fill="auto"/>
            <w:vAlign w:val="bottom"/>
          </w:tcPr>
          <w:p w14:paraId="642980BE" w14:textId="77777777" w:rsidR="007B6C97" w:rsidRDefault="007B6C97">
            <w:pPr>
              <w:rPr>
                <w:rFonts w:ascii="宋体"/>
                <w:vanish/>
              </w:rPr>
            </w:pPr>
          </w:p>
        </w:tc>
        <w:tc>
          <w:tcPr>
            <w:tcW w:w="0" w:type="auto"/>
            <w:gridSpan w:val="3"/>
            <w:shd w:val="clear" w:color="auto" w:fill="auto"/>
            <w:vAlign w:val="bottom"/>
          </w:tcPr>
          <w:p w14:paraId="642980BF" w14:textId="77777777" w:rsidR="007B6C97" w:rsidRDefault="007B6C97">
            <w:pPr>
              <w:rPr>
                <w:rFonts w:ascii="宋体"/>
                <w:vanish/>
              </w:rPr>
            </w:pPr>
          </w:p>
        </w:tc>
        <w:tc>
          <w:tcPr>
            <w:tcW w:w="0" w:type="auto"/>
            <w:gridSpan w:val="3"/>
            <w:shd w:val="clear" w:color="auto" w:fill="auto"/>
            <w:vAlign w:val="bottom"/>
          </w:tcPr>
          <w:p w14:paraId="642980C0" w14:textId="77777777" w:rsidR="007B6C97" w:rsidRDefault="007B6C97">
            <w:pPr>
              <w:rPr>
                <w:rFonts w:ascii="宋体"/>
                <w:vanish/>
              </w:rPr>
            </w:pPr>
          </w:p>
        </w:tc>
        <w:tc>
          <w:tcPr>
            <w:tcW w:w="0" w:type="auto"/>
            <w:gridSpan w:val="3"/>
            <w:shd w:val="clear" w:color="auto" w:fill="auto"/>
            <w:vAlign w:val="bottom"/>
          </w:tcPr>
          <w:p w14:paraId="642980C1" w14:textId="77777777" w:rsidR="007B6C97" w:rsidRDefault="007B6C97">
            <w:pPr>
              <w:rPr>
                <w:rFonts w:ascii="宋体"/>
                <w:vanish/>
              </w:rPr>
            </w:pPr>
          </w:p>
        </w:tc>
        <w:tc>
          <w:tcPr>
            <w:tcW w:w="0" w:type="auto"/>
            <w:gridSpan w:val="3"/>
            <w:shd w:val="clear" w:color="auto" w:fill="auto"/>
            <w:vAlign w:val="bottom"/>
          </w:tcPr>
          <w:p w14:paraId="642980C2" w14:textId="77777777" w:rsidR="007B6C97" w:rsidRDefault="007B6C97">
            <w:pPr>
              <w:rPr>
                <w:rFonts w:ascii="宋体"/>
                <w:vanish/>
              </w:rPr>
            </w:pPr>
          </w:p>
        </w:tc>
        <w:tc>
          <w:tcPr>
            <w:tcW w:w="0" w:type="auto"/>
            <w:gridSpan w:val="3"/>
            <w:shd w:val="clear" w:color="auto" w:fill="auto"/>
            <w:vAlign w:val="bottom"/>
          </w:tcPr>
          <w:p w14:paraId="642980C3" w14:textId="77777777" w:rsidR="007B6C97" w:rsidRDefault="007B6C97">
            <w:pPr>
              <w:rPr>
                <w:rFonts w:ascii="宋体"/>
                <w:vanish/>
              </w:rPr>
            </w:pPr>
          </w:p>
        </w:tc>
        <w:tc>
          <w:tcPr>
            <w:tcW w:w="0" w:type="auto"/>
            <w:gridSpan w:val="3"/>
            <w:shd w:val="clear" w:color="auto" w:fill="auto"/>
            <w:vAlign w:val="bottom"/>
          </w:tcPr>
          <w:p w14:paraId="642980C4" w14:textId="77777777" w:rsidR="007B6C97" w:rsidRDefault="007B6C97">
            <w:pPr>
              <w:rPr>
                <w:rFonts w:ascii="宋体"/>
                <w:vanish/>
              </w:rPr>
            </w:pPr>
          </w:p>
        </w:tc>
      </w:tr>
      <w:tr w:rsidR="007B6C97" w14:paraId="642980CF" w14:textId="77777777">
        <w:trPr>
          <w:hidden/>
        </w:trPr>
        <w:tc>
          <w:tcPr>
            <w:tcW w:w="0" w:type="auto"/>
            <w:gridSpan w:val="3"/>
            <w:shd w:val="clear" w:color="auto" w:fill="auto"/>
            <w:vAlign w:val="bottom"/>
          </w:tcPr>
          <w:p w14:paraId="642980C6" w14:textId="77777777" w:rsidR="007B6C97" w:rsidRDefault="007B6C97">
            <w:pPr>
              <w:rPr>
                <w:rFonts w:ascii="宋体"/>
                <w:vanish/>
              </w:rPr>
            </w:pPr>
          </w:p>
        </w:tc>
        <w:tc>
          <w:tcPr>
            <w:tcW w:w="0" w:type="auto"/>
            <w:gridSpan w:val="3"/>
            <w:shd w:val="clear" w:color="auto" w:fill="auto"/>
            <w:vAlign w:val="bottom"/>
          </w:tcPr>
          <w:p w14:paraId="642980C7" w14:textId="77777777" w:rsidR="007B6C97" w:rsidRDefault="007B6C97">
            <w:pPr>
              <w:rPr>
                <w:rFonts w:ascii="宋体"/>
                <w:vanish/>
              </w:rPr>
            </w:pPr>
          </w:p>
        </w:tc>
        <w:tc>
          <w:tcPr>
            <w:tcW w:w="0" w:type="auto"/>
            <w:gridSpan w:val="3"/>
            <w:shd w:val="clear" w:color="auto" w:fill="auto"/>
            <w:vAlign w:val="bottom"/>
          </w:tcPr>
          <w:p w14:paraId="642980C8" w14:textId="77777777" w:rsidR="007B6C97" w:rsidRDefault="007B6C97">
            <w:pPr>
              <w:rPr>
                <w:rFonts w:ascii="宋体"/>
                <w:vanish/>
              </w:rPr>
            </w:pPr>
          </w:p>
        </w:tc>
        <w:tc>
          <w:tcPr>
            <w:tcW w:w="0" w:type="auto"/>
            <w:gridSpan w:val="3"/>
            <w:shd w:val="clear" w:color="auto" w:fill="auto"/>
            <w:vAlign w:val="bottom"/>
          </w:tcPr>
          <w:p w14:paraId="642980C9" w14:textId="77777777" w:rsidR="007B6C97" w:rsidRDefault="007B6C97">
            <w:pPr>
              <w:rPr>
                <w:rFonts w:ascii="宋体"/>
                <w:vanish/>
              </w:rPr>
            </w:pPr>
          </w:p>
        </w:tc>
        <w:tc>
          <w:tcPr>
            <w:tcW w:w="0" w:type="auto"/>
            <w:gridSpan w:val="3"/>
            <w:shd w:val="clear" w:color="auto" w:fill="auto"/>
            <w:vAlign w:val="bottom"/>
          </w:tcPr>
          <w:p w14:paraId="642980CA" w14:textId="77777777" w:rsidR="007B6C97" w:rsidRDefault="007B6C97">
            <w:pPr>
              <w:rPr>
                <w:rFonts w:ascii="宋体"/>
                <w:vanish/>
              </w:rPr>
            </w:pPr>
          </w:p>
        </w:tc>
        <w:tc>
          <w:tcPr>
            <w:tcW w:w="0" w:type="auto"/>
            <w:gridSpan w:val="3"/>
            <w:shd w:val="clear" w:color="auto" w:fill="auto"/>
            <w:vAlign w:val="bottom"/>
          </w:tcPr>
          <w:p w14:paraId="642980CB" w14:textId="77777777" w:rsidR="007B6C97" w:rsidRDefault="007B6C97">
            <w:pPr>
              <w:rPr>
                <w:rFonts w:ascii="宋体"/>
                <w:vanish/>
              </w:rPr>
            </w:pPr>
          </w:p>
        </w:tc>
        <w:tc>
          <w:tcPr>
            <w:tcW w:w="0" w:type="auto"/>
            <w:gridSpan w:val="3"/>
            <w:shd w:val="clear" w:color="auto" w:fill="auto"/>
            <w:vAlign w:val="bottom"/>
          </w:tcPr>
          <w:p w14:paraId="642980CC" w14:textId="77777777" w:rsidR="007B6C97" w:rsidRDefault="007B6C97">
            <w:pPr>
              <w:rPr>
                <w:rFonts w:ascii="宋体"/>
                <w:vanish/>
              </w:rPr>
            </w:pPr>
          </w:p>
        </w:tc>
        <w:tc>
          <w:tcPr>
            <w:tcW w:w="0" w:type="auto"/>
            <w:gridSpan w:val="3"/>
            <w:shd w:val="clear" w:color="auto" w:fill="auto"/>
            <w:vAlign w:val="bottom"/>
          </w:tcPr>
          <w:p w14:paraId="642980CD" w14:textId="77777777" w:rsidR="007B6C97" w:rsidRDefault="007B6C97">
            <w:pPr>
              <w:rPr>
                <w:rFonts w:ascii="宋体"/>
                <w:vanish/>
              </w:rPr>
            </w:pPr>
          </w:p>
        </w:tc>
        <w:tc>
          <w:tcPr>
            <w:tcW w:w="0" w:type="auto"/>
            <w:gridSpan w:val="3"/>
            <w:shd w:val="clear" w:color="auto" w:fill="auto"/>
            <w:vAlign w:val="bottom"/>
          </w:tcPr>
          <w:p w14:paraId="642980CE" w14:textId="77777777" w:rsidR="007B6C97" w:rsidRDefault="007B6C97">
            <w:pPr>
              <w:rPr>
                <w:rFonts w:ascii="宋体"/>
                <w:vanish/>
              </w:rPr>
            </w:pPr>
          </w:p>
        </w:tc>
      </w:tr>
      <w:tr w:rsidR="007B6C97" w14:paraId="642980D9" w14:textId="77777777">
        <w:trPr>
          <w:hidden/>
        </w:trPr>
        <w:tc>
          <w:tcPr>
            <w:tcW w:w="0" w:type="auto"/>
            <w:gridSpan w:val="3"/>
            <w:shd w:val="clear" w:color="auto" w:fill="auto"/>
            <w:vAlign w:val="bottom"/>
          </w:tcPr>
          <w:p w14:paraId="642980D0" w14:textId="77777777" w:rsidR="007B6C97" w:rsidRDefault="007B6C97">
            <w:pPr>
              <w:rPr>
                <w:rFonts w:ascii="宋体"/>
                <w:vanish/>
              </w:rPr>
            </w:pPr>
          </w:p>
        </w:tc>
        <w:tc>
          <w:tcPr>
            <w:tcW w:w="0" w:type="auto"/>
            <w:gridSpan w:val="3"/>
            <w:shd w:val="clear" w:color="auto" w:fill="auto"/>
            <w:vAlign w:val="bottom"/>
          </w:tcPr>
          <w:p w14:paraId="642980D1" w14:textId="77777777" w:rsidR="007B6C97" w:rsidRDefault="007B6C97">
            <w:pPr>
              <w:rPr>
                <w:rFonts w:ascii="宋体"/>
                <w:vanish/>
              </w:rPr>
            </w:pPr>
          </w:p>
        </w:tc>
        <w:tc>
          <w:tcPr>
            <w:tcW w:w="0" w:type="auto"/>
            <w:gridSpan w:val="3"/>
            <w:shd w:val="clear" w:color="auto" w:fill="auto"/>
            <w:vAlign w:val="bottom"/>
          </w:tcPr>
          <w:p w14:paraId="642980D2" w14:textId="77777777" w:rsidR="007B6C97" w:rsidRDefault="007B6C97">
            <w:pPr>
              <w:rPr>
                <w:rFonts w:ascii="宋体"/>
                <w:vanish/>
              </w:rPr>
            </w:pPr>
          </w:p>
        </w:tc>
        <w:tc>
          <w:tcPr>
            <w:tcW w:w="0" w:type="auto"/>
            <w:gridSpan w:val="3"/>
            <w:shd w:val="clear" w:color="auto" w:fill="auto"/>
            <w:vAlign w:val="bottom"/>
          </w:tcPr>
          <w:p w14:paraId="642980D3" w14:textId="77777777" w:rsidR="007B6C97" w:rsidRDefault="007B6C97">
            <w:pPr>
              <w:rPr>
                <w:rFonts w:ascii="宋体"/>
                <w:vanish/>
              </w:rPr>
            </w:pPr>
          </w:p>
        </w:tc>
        <w:tc>
          <w:tcPr>
            <w:tcW w:w="0" w:type="auto"/>
            <w:gridSpan w:val="3"/>
            <w:shd w:val="clear" w:color="auto" w:fill="auto"/>
            <w:vAlign w:val="bottom"/>
          </w:tcPr>
          <w:p w14:paraId="642980D4" w14:textId="77777777" w:rsidR="007B6C97" w:rsidRDefault="007B6C97">
            <w:pPr>
              <w:rPr>
                <w:rFonts w:ascii="宋体"/>
                <w:vanish/>
              </w:rPr>
            </w:pPr>
          </w:p>
        </w:tc>
        <w:tc>
          <w:tcPr>
            <w:tcW w:w="0" w:type="auto"/>
            <w:gridSpan w:val="3"/>
            <w:shd w:val="clear" w:color="auto" w:fill="auto"/>
            <w:vAlign w:val="bottom"/>
          </w:tcPr>
          <w:p w14:paraId="642980D5" w14:textId="77777777" w:rsidR="007B6C97" w:rsidRDefault="007B6C97">
            <w:pPr>
              <w:rPr>
                <w:rFonts w:ascii="宋体"/>
                <w:vanish/>
              </w:rPr>
            </w:pPr>
          </w:p>
        </w:tc>
        <w:tc>
          <w:tcPr>
            <w:tcW w:w="0" w:type="auto"/>
            <w:gridSpan w:val="3"/>
            <w:shd w:val="clear" w:color="auto" w:fill="auto"/>
            <w:vAlign w:val="bottom"/>
          </w:tcPr>
          <w:p w14:paraId="642980D6" w14:textId="77777777" w:rsidR="007B6C97" w:rsidRDefault="007B6C97">
            <w:pPr>
              <w:rPr>
                <w:rFonts w:ascii="宋体"/>
                <w:vanish/>
              </w:rPr>
            </w:pPr>
          </w:p>
        </w:tc>
        <w:tc>
          <w:tcPr>
            <w:tcW w:w="0" w:type="auto"/>
            <w:gridSpan w:val="3"/>
            <w:shd w:val="clear" w:color="auto" w:fill="auto"/>
            <w:vAlign w:val="bottom"/>
          </w:tcPr>
          <w:p w14:paraId="642980D7" w14:textId="77777777" w:rsidR="007B6C97" w:rsidRDefault="007B6C97">
            <w:pPr>
              <w:rPr>
                <w:rFonts w:ascii="宋体"/>
                <w:vanish/>
              </w:rPr>
            </w:pPr>
          </w:p>
        </w:tc>
        <w:tc>
          <w:tcPr>
            <w:tcW w:w="0" w:type="auto"/>
            <w:gridSpan w:val="3"/>
            <w:shd w:val="clear" w:color="auto" w:fill="auto"/>
            <w:vAlign w:val="bottom"/>
          </w:tcPr>
          <w:p w14:paraId="642980D8" w14:textId="77777777" w:rsidR="007B6C97" w:rsidRDefault="007B6C97">
            <w:pPr>
              <w:rPr>
                <w:rFonts w:ascii="宋体"/>
                <w:vanish/>
              </w:rPr>
            </w:pPr>
          </w:p>
        </w:tc>
      </w:tr>
      <w:tr w:rsidR="007B6C97" w14:paraId="642980ED" w14:textId="77777777">
        <w:tc>
          <w:tcPr>
            <w:tcW w:w="0" w:type="auto"/>
            <w:gridSpan w:val="3"/>
            <w:shd w:val="clear" w:color="auto" w:fill="D7E4BC"/>
            <w:tcMar>
              <w:top w:w="40" w:type="dxa"/>
              <w:left w:w="20" w:type="dxa"/>
              <w:bottom w:w="40" w:type="dxa"/>
              <w:right w:w="20" w:type="dxa"/>
            </w:tcMar>
            <w:vAlign w:val="bottom"/>
          </w:tcPr>
          <w:p w14:paraId="642980DA" w14:textId="77777777" w:rsidR="007B6C97" w:rsidRDefault="00E426D1">
            <w:pPr>
              <w:textAlignment w:val="bottom"/>
            </w:pPr>
            <w:r>
              <w:rPr>
                <w:rFonts w:ascii="Times New Roman" w:eastAsia="宋体" w:hAnsi="Times New Roman"/>
                <w:color w:val="000000"/>
                <w:sz w:val="20"/>
                <w:szCs w:val="20"/>
              </w:rPr>
              <w:t>May 2022 notes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0D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DC"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DD" w14:textId="77777777" w:rsidR="007B6C97" w:rsidRDefault="007B6C97">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D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DF" w14:textId="77777777" w:rsidR="007B6C97" w:rsidRDefault="00E426D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E1"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E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E3" w14:textId="77777777" w:rsidR="007B6C97" w:rsidRDefault="00E426D1">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E4" w14:textId="77777777" w:rsidR="007B6C97" w:rsidRDefault="007B6C97">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0E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0E6" w14:textId="77777777" w:rsidR="007B6C97" w:rsidRDefault="00E426D1">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E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0E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0E9" w14:textId="77777777" w:rsidR="007B6C97" w:rsidRDefault="00E426D1">
            <w:pPr>
              <w:jc w:val="right"/>
              <w:textAlignment w:val="bottom"/>
            </w:pPr>
            <w:r>
              <w:rPr>
                <w:rFonts w:ascii="Times New Roman" w:eastAsia="宋体" w:hAnsi="Times New Roman"/>
                <w:color w:val="000000"/>
                <w:sz w:val="20"/>
                <w:szCs w:val="20"/>
              </w:rPr>
              <w:t>1.300 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E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0EB" w14:textId="77777777" w:rsidR="007B6C97" w:rsidRDefault="00E426D1">
            <w:pPr>
              <w:jc w:val="right"/>
              <w:textAlignment w:val="bottom"/>
            </w:pPr>
            <w:r>
              <w:rPr>
                <w:rFonts w:ascii="Times New Roman" w:eastAsia="宋体" w:hAnsi="Times New Roman"/>
                <w:color w:val="000000"/>
                <w:sz w:val="20"/>
                <w:szCs w:val="20"/>
              </w:rPr>
              <w:t>1.334 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0E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0FD" w14:textId="77777777">
        <w:tc>
          <w:tcPr>
            <w:tcW w:w="0" w:type="auto"/>
            <w:gridSpan w:val="3"/>
            <w:shd w:val="clear" w:color="auto" w:fill="FFFFFF"/>
            <w:tcMar>
              <w:top w:w="40" w:type="dxa"/>
              <w:left w:w="20" w:type="dxa"/>
              <w:bottom w:w="40" w:type="dxa"/>
              <w:right w:w="20" w:type="dxa"/>
            </w:tcMar>
            <w:vAlign w:val="bottom"/>
          </w:tcPr>
          <w:p w14:paraId="642980EE" w14:textId="77777777" w:rsidR="007B6C97" w:rsidRDefault="00E426D1">
            <w:pPr>
              <w:textAlignment w:val="bottom"/>
            </w:pPr>
            <w:r>
              <w:rPr>
                <w:rFonts w:ascii="Times New Roman" w:eastAsia="宋体" w:hAnsi="Times New Roman"/>
                <w:color w:val="000000"/>
                <w:sz w:val="20"/>
                <w:szCs w:val="20"/>
              </w:rPr>
              <w:t>June 2022 notes</w:t>
            </w:r>
          </w:p>
        </w:tc>
        <w:tc>
          <w:tcPr>
            <w:tcW w:w="0" w:type="auto"/>
            <w:gridSpan w:val="2"/>
            <w:shd w:val="clear" w:color="auto" w:fill="FFFFFF"/>
            <w:tcMar>
              <w:top w:w="40" w:type="dxa"/>
              <w:left w:w="20" w:type="dxa"/>
              <w:bottom w:w="40" w:type="dxa"/>
              <w:right w:w="0" w:type="dxa"/>
            </w:tcMar>
            <w:vAlign w:val="bottom"/>
          </w:tcPr>
          <w:p w14:paraId="642980E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0F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0F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0F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F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F4"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0F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0F6" w14:textId="77777777" w:rsidR="007B6C97" w:rsidRDefault="00E426D1">
            <w:pPr>
              <w:jc w:val="right"/>
              <w:textAlignment w:val="bottom"/>
            </w:pPr>
            <w:r>
              <w:rPr>
                <w:rFonts w:ascii="Times New Roman" w:eastAsia="宋体" w:hAnsi="Times New Roman"/>
                <w:color w:val="000000"/>
                <w:sz w:val="20"/>
                <w:szCs w:val="20"/>
              </w:rPr>
              <w:t>506.7 </w:t>
            </w:r>
          </w:p>
        </w:tc>
        <w:tc>
          <w:tcPr>
            <w:tcW w:w="0" w:type="auto"/>
            <w:shd w:val="clear" w:color="auto" w:fill="FFFFFF"/>
            <w:tcMar>
              <w:top w:w="40" w:type="dxa"/>
              <w:left w:w="0" w:type="dxa"/>
              <w:bottom w:w="40" w:type="dxa"/>
              <w:right w:w="20" w:type="dxa"/>
            </w:tcMar>
            <w:vAlign w:val="bottom"/>
          </w:tcPr>
          <w:p w14:paraId="642980F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0F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0F9" w14:textId="77777777" w:rsidR="007B6C97" w:rsidRDefault="00E426D1">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bottom"/>
          </w:tcPr>
          <w:p w14:paraId="642980F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0FB" w14:textId="77777777" w:rsidR="007B6C97" w:rsidRDefault="00E426D1">
            <w:pPr>
              <w:jc w:val="right"/>
              <w:textAlignment w:val="bottom"/>
            </w:pPr>
            <w:r>
              <w:rPr>
                <w:rFonts w:ascii="Times New Roman" w:eastAsia="宋体" w:hAnsi="Times New Roman"/>
                <w:color w:val="000000"/>
                <w:sz w:val="20"/>
                <w:szCs w:val="20"/>
              </w:rPr>
              <w:t>2.819 </w:t>
            </w:r>
          </w:p>
        </w:tc>
        <w:tc>
          <w:tcPr>
            <w:tcW w:w="0" w:type="auto"/>
            <w:shd w:val="clear" w:color="auto" w:fill="FFFFFF"/>
            <w:tcMar>
              <w:top w:w="40" w:type="dxa"/>
              <w:left w:w="0" w:type="dxa"/>
              <w:bottom w:w="40" w:type="dxa"/>
              <w:right w:w="20" w:type="dxa"/>
            </w:tcMar>
            <w:vAlign w:val="bottom"/>
          </w:tcPr>
          <w:p w14:paraId="642980F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0D" w14:textId="77777777">
        <w:tc>
          <w:tcPr>
            <w:tcW w:w="0" w:type="auto"/>
            <w:gridSpan w:val="3"/>
            <w:shd w:val="clear" w:color="auto" w:fill="D7E4BC"/>
            <w:tcMar>
              <w:top w:w="40" w:type="dxa"/>
              <w:left w:w="20" w:type="dxa"/>
              <w:bottom w:w="40" w:type="dxa"/>
              <w:right w:w="20" w:type="dxa"/>
            </w:tcMar>
            <w:vAlign w:val="bottom"/>
          </w:tcPr>
          <w:p w14:paraId="642980FE" w14:textId="77777777" w:rsidR="007B6C97" w:rsidRDefault="00E426D1">
            <w:pPr>
              <w:textAlignment w:val="bottom"/>
            </w:pPr>
            <w:r>
              <w:rPr>
                <w:rFonts w:ascii="Times New Roman" w:eastAsia="宋体" w:hAnsi="Times New Roman"/>
                <w:color w:val="000000"/>
                <w:sz w:val="20"/>
                <w:szCs w:val="20"/>
              </w:rPr>
              <w:t>March 2023 notes</w:t>
            </w:r>
          </w:p>
        </w:tc>
        <w:tc>
          <w:tcPr>
            <w:tcW w:w="0" w:type="auto"/>
            <w:gridSpan w:val="2"/>
            <w:shd w:val="clear" w:color="auto" w:fill="D7E4BC"/>
            <w:tcMar>
              <w:top w:w="40" w:type="dxa"/>
              <w:left w:w="20" w:type="dxa"/>
              <w:bottom w:w="40" w:type="dxa"/>
              <w:right w:w="0" w:type="dxa"/>
            </w:tcMar>
            <w:vAlign w:val="bottom"/>
          </w:tcPr>
          <w:p w14:paraId="642980FF"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429810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01" w14:textId="77777777" w:rsidR="007B6C97" w:rsidRDefault="00E426D1">
            <w:pPr>
              <w:jc w:val="right"/>
              <w:textAlignment w:val="bottom"/>
            </w:pPr>
            <w:r>
              <w:rPr>
                <w:rFonts w:ascii="Times New Roman" w:eastAsia="宋体" w:hAnsi="Times New Roman"/>
                <w:color w:val="000000"/>
                <w:sz w:val="20"/>
                <w:szCs w:val="20"/>
              </w:rPr>
              <w:t>1,001.7 </w:t>
            </w:r>
          </w:p>
        </w:tc>
        <w:tc>
          <w:tcPr>
            <w:tcW w:w="0" w:type="auto"/>
            <w:shd w:val="clear" w:color="auto" w:fill="D7E4BC"/>
            <w:tcMar>
              <w:top w:w="40" w:type="dxa"/>
              <w:left w:w="0" w:type="dxa"/>
              <w:bottom w:w="40" w:type="dxa"/>
              <w:right w:w="20" w:type="dxa"/>
            </w:tcMar>
            <w:vAlign w:val="bottom"/>
          </w:tcPr>
          <w:p w14:paraId="6429810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0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04"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429810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06" w14:textId="77777777" w:rsidR="007B6C97" w:rsidRDefault="00E426D1">
            <w:pPr>
              <w:jc w:val="right"/>
              <w:textAlignment w:val="bottom"/>
            </w:pPr>
            <w:r>
              <w:rPr>
                <w:rFonts w:ascii="Times New Roman" w:eastAsia="宋体" w:hAnsi="Times New Roman"/>
                <w:color w:val="000000"/>
                <w:sz w:val="20"/>
                <w:szCs w:val="20"/>
              </w:rPr>
              <w:t>1,035.9 </w:t>
            </w:r>
          </w:p>
        </w:tc>
        <w:tc>
          <w:tcPr>
            <w:tcW w:w="0" w:type="auto"/>
            <w:shd w:val="clear" w:color="auto" w:fill="D7E4BC"/>
            <w:tcMar>
              <w:top w:w="40" w:type="dxa"/>
              <w:left w:w="0" w:type="dxa"/>
              <w:bottom w:w="40" w:type="dxa"/>
              <w:right w:w="20" w:type="dxa"/>
            </w:tcMar>
            <w:vAlign w:val="bottom"/>
          </w:tcPr>
          <w:p w14:paraId="6429810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0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09" w14:textId="77777777" w:rsidR="007B6C97" w:rsidRDefault="00E426D1">
            <w:pPr>
              <w:jc w:val="right"/>
              <w:textAlignment w:val="bottom"/>
            </w:pPr>
            <w:r>
              <w:rPr>
                <w:rFonts w:ascii="Times New Roman" w:eastAsia="宋体" w:hAnsi="Times New Roman"/>
                <w:color w:val="000000"/>
                <w:sz w:val="20"/>
                <w:szCs w:val="20"/>
              </w:rPr>
              <w:t>3.100 </w:t>
            </w:r>
          </w:p>
        </w:tc>
        <w:tc>
          <w:tcPr>
            <w:tcW w:w="0" w:type="auto"/>
            <w:shd w:val="clear" w:color="auto" w:fill="D7E4BC"/>
            <w:tcMar>
              <w:top w:w="40" w:type="dxa"/>
              <w:left w:w="0" w:type="dxa"/>
              <w:bottom w:w="40" w:type="dxa"/>
              <w:right w:w="20" w:type="dxa"/>
            </w:tcMar>
            <w:vAlign w:val="bottom"/>
          </w:tcPr>
          <w:p w14:paraId="6429810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0B" w14:textId="77777777" w:rsidR="007B6C97" w:rsidRDefault="00E426D1">
            <w:pPr>
              <w:jc w:val="right"/>
              <w:textAlignment w:val="bottom"/>
            </w:pPr>
            <w:r>
              <w:rPr>
                <w:rFonts w:ascii="Times New Roman" w:eastAsia="宋体" w:hAnsi="Times New Roman"/>
                <w:color w:val="000000"/>
                <w:sz w:val="20"/>
                <w:szCs w:val="20"/>
              </w:rPr>
              <w:t>3.107 </w:t>
            </w:r>
          </w:p>
        </w:tc>
        <w:tc>
          <w:tcPr>
            <w:tcW w:w="0" w:type="auto"/>
            <w:shd w:val="clear" w:color="auto" w:fill="D7E4BC"/>
            <w:tcMar>
              <w:top w:w="40" w:type="dxa"/>
              <w:left w:w="0" w:type="dxa"/>
              <w:bottom w:w="40" w:type="dxa"/>
              <w:right w:w="20" w:type="dxa"/>
            </w:tcMar>
            <w:vAlign w:val="bottom"/>
          </w:tcPr>
          <w:p w14:paraId="6429810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1D" w14:textId="77777777">
        <w:tc>
          <w:tcPr>
            <w:tcW w:w="0" w:type="auto"/>
            <w:gridSpan w:val="3"/>
            <w:shd w:val="clear" w:color="auto" w:fill="FFFFFF"/>
            <w:tcMar>
              <w:top w:w="40" w:type="dxa"/>
              <w:left w:w="20" w:type="dxa"/>
              <w:bottom w:w="40" w:type="dxa"/>
              <w:right w:w="20" w:type="dxa"/>
            </w:tcMar>
            <w:vAlign w:val="bottom"/>
          </w:tcPr>
          <w:p w14:paraId="6429810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429810F"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6429811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11" w14:textId="77777777" w:rsidR="007B6C97" w:rsidRDefault="00E426D1">
            <w:pPr>
              <w:jc w:val="right"/>
              <w:textAlignment w:val="bottom"/>
            </w:pPr>
            <w:r>
              <w:rPr>
                <w:rFonts w:ascii="Times New Roman" w:eastAsia="宋体" w:hAnsi="Times New Roman"/>
                <w:color w:val="000000"/>
                <w:sz w:val="20"/>
                <w:szCs w:val="20"/>
              </w:rPr>
              <w:t>755.4 </w:t>
            </w:r>
          </w:p>
        </w:tc>
        <w:tc>
          <w:tcPr>
            <w:tcW w:w="0" w:type="auto"/>
            <w:shd w:val="clear" w:color="auto" w:fill="FFFFFF"/>
            <w:tcMar>
              <w:top w:w="40" w:type="dxa"/>
              <w:left w:w="0" w:type="dxa"/>
              <w:bottom w:w="40" w:type="dxa"/>
              <w:right w:w="20" w:type="dxa"/>
            </w:tcMar>
            <w:vAlign w:val="bottom"/>
          </w:tcPr>
          <w:p w14:paraId="6429811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1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14"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6429811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16" w14:textId="77777777" w:rsidR="007B6C97" w:rsidRDefault="00E426D1">
            <w:pPr>
              <w:jc w:val="right"/>
              <w:textAlignment w:val="bottom"/>
            </w:pPr>
            <w:r>
              <w:rPr>
                <w:rFonts w:ascii="Times New Roman" w:eastAsia="宋体" w:hAnsi="Times New Roman"/>
                <w:color w:val="000000"/>
                <w:sz w:val="20"/>
                <w:szCs w:val="20"/>
              </w:rPr>
              <w:t>794.8 </w:t>
            </w:r>
          </w:p>
        </w:tc>
        <w:tc>
          <w:tcPr>
            <w:tcW w:w="0" w:type="auto"/>
            <w:shd w:val="clear" w:color="auto" w:fill="FFFFFF"/>
            <w:tcMar>
              <w:top w:w="40" w:type="dxa"/>
              <w:left w:w="0" w:type="dxa"/>
              <w:bottom w:w="40" w:type="dxa"/>
              <w:right w:w="20" w:type="dxa"/>
            </w:tcMar>
            <w:vAlign w:val="bottom"/>
          </w:tcPr>
          <w:p w14:paraId="6429811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1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19" w14:textId="77777777" w:rsidR="007B6C97" w:rsidRDefault="00E426D1">
            <w:pPr>
              <w:jc w:val="right"/>
              <w:textAlignment w:val="bottom"/>
            </w:pPr>
            <w:r>
              <w:rPr>
                <w:rFonts w:ascii="Times New Roman" w:eastAsia="宋体" w:hAnsi="Times New Roman"/>
                <w:color w:val="000000"/>
                <w:sz w:val="20"/>
                <w:szCs w:val="20"/>
              </w:rPr>
              <w:t>3.850 </w:t>
            </w:r>
          </w:p>
        </w:tc>
        <w:tc>
          <w:tcPr>
            <w:tcW w:w="0" w:type="auto"/>
            <w:shd w:val="clear" w:color="auto" w:fill="FFFFFF"/>
            <w:tcMar>
              <w:top w:w="40" w:type="dxa"/>
              <w:left w:w="0" w:type="dxa"/>
              <w:bottom w:w="40" w:type="dxa"/>
              <w:right w:w="20" w:type="dxa"/>
            </w:tcMar>
            <w:vAlign w:val="bottom"/>
          </w:tcPr>
          <w:p w14:paraId="6429811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1B" w14:textId="77777777" w:rsidR="007B6C97" w:rsidRDefault="00E426D1">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6429811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2D" w14:textId="77777777">
        <w:tc>
          <w:tcPr>
            <w:tcW w:w="0" w:type="auto"/>
            <w:gridSpan w:val="3"/>
            <w:shd w:val="clear" w:color="auto" w:fill="D7E4BC"/>
            <w:tcMar>
              <w:top w:w="40" w:type="dxa"/>
              <w:left w:w="20" w:type="dxa"/>
              <w:bottom w:w="40" w:type="dxa"/>
              <w:right w:w="20" w:type="dxa"/>
            </w:tcMar>
            <w:vAlign w:val="bottom"/>
          </w:tcPr>
          <w:p w14:paraId="6429811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February 2024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6429811F"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429812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21" w14:textId="77777777" w:rsidR="007B6C97" w:rsidRDefault="00E426D1">
            <w:pPr>
              <w:jc w:val="right"/>
              <w:textAlignment w:val="bottom"/>
            </w:pPr>
            <w:r>
              <w:rPr>
                <w:rFonts w:ascii="Times New Roman" w:eastAsia="宋体" w:hAnsi="Times New Roman"/>
                <w:color w:val="000000"/>
                <w:sz w:val="20"/>
                <w:szCs w:val="20"/>
              </w:rPr>
              <w:t>497.1 </w:t>
            </w:r>
          </w:p>
        </w:tc>
        <w:tc>
          <w:tcPr>
            <w:tcW w:w="0" w:type="auto"/>
            <w:shd w:val="clear" w:color="auto" w:fill="D7E4BC"/>
            <w:tcMar>
              <w:top w:w="40" w:type="dxa"/>
              <w:left w:w="0" w:type="dxa"/>
              <w:bottom w:w="40" w:type="dxa"/>
              <w:right w:w="20" w:type="dxa"/>
            </w:tcMar>
            <w:vAlign w:val="bottom"/>
          </w:tcPr>
          <w:p w14:paraId="642981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2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12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2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12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2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29" w14:textId="77777777" w:rsidR="007B6C97" w:rsidRDefault="00E426D1">
            <w:pPr>
              <w:jc w:val="right"/>
              <w:textAlignment w:val="bottom"/>
            </w:pPr>
            <w:r>
              <w:rPr>
                <w:rFonts w:ascii="Times New Roman" w:eastAsia="宋体" w:hAnsi="Times New Roman"/>
                <w:color w:val="000000"/>
                <w:sz w:val="20"/>
                <w:szCs w:val="20"/>
              </w:rPr>
              <w:t>1.504 </w:t>
            </w:r>
          </w:p>
        </w:tc>
        <w:tc>
          <w:tcPr>
            <w:tcW w:w="0" w:type="auto"/>
            <w:shd w:val="clear" w:color="auto" w:fill="D7E4BC"/>
            <w:tcMar>
              <w:top w:w="40" w:type="dxa"/>
              <w:left w:w="0" w:type="dxa"/>
              <w:bottom w:w="40" w:type="dxa"/>
              <w:right w:w="20" w:type="dxa"/>
            </w:tcMar>
            <w:vAlign w:val="bottom"/>
          </w:tcPr>
          <w:p w14:paraId="6429812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2B" w14:textId="77777777" w:rsidR="007B6C97" w:rsidRDefault="00E426D1">
            <w:pPr>
              <w:jc w:val="right"/>
              <w:textAlignment w:val="bottom"/>
            </w:pPr>
            <w:r>
              <w:rPr>
                <w:rFonts w:ascii="Times New Roman" w:eastAsia="宋体" w:hAnsi="Times New Roman"/>
                <w:color w:val="000000"/>
                <w:sz w:val="20"/>
                <w:szCs w:val="20"/>
              </w:rPr>
              <w:t>1.735 </w:t>
            </w:r>
          </w:p>
        </w:tc>
        <w:tc>
          <w:tcPr>
            <w:tcW w:w="0" w:type="auto"/>
            <w:shd w:val="clear" w:color="auto" w:fill="D7E4BC"/>
            <w:tcMar>
              <w:top w:w="40" w:type="dxa"/>
              <w:left w:w="0" w:type="dxa"/>
              <w:bottom w:w="40" w:type="dxa"/>
              <w:right w:w="20" w:type="dxa"/>
            </w:tcMar>
            <w:vAlign w:val="bottom"/>
          </w:tcPr>
          <w:p w14:paraId="6429812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3D" w14:textId="77777777">
        <w:tc>
          <w:tcPr>
            <w:tcW w:w="0" w:type="auto"/>
            <w:gridSpan w:val="3"/>
            <w:shd w:val="clear" w:color="auto" w:fill="FFFFFF"/>
            <w:tcMar>
              <w:top w:w="40" w:type="dxa"/>
              <w:left w:w="20" w:type="dxa"/>
              <w:bottom w:w="40" w:type="dxa"/>
              <w:right w:w="20" w:type="dxa"/>
            </w:tcMar>
            <w:vAlign w:val="bottom"/>
          </w:tcPr>
          <w:p w14:paraId="6429812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6429812F" w14:textId="77777777" w:rsidR="007B6C97" w:rsidRDefault="00E426D1">
            <w:pPr>
              <w:jc w:val="right"/>
              <w:textAlignment w:val="bottom"/>
            </w:pPr>
            <w:r>
              <w:rPr>
                <w:rFonts w:ascii="Times New Roman" w:eastAsia="宋体" w:hAnsi="Times New Roman"/>
                <w:color w:val="000000"/>
                <w:sz w:val="20"/>
                <w:szCs w:val="20"/>
              </w:rPr>
              <w:t>626.3 </w:t>
            </w:r>
          </w:p>
        </w:tc>
        <w:tc>
          <w:tcPr>
            <w:tcW w:w="0" w:type="auto"/>
            <w:shd w:val="clear" w:color="auto" w:fill="FFFFFF"/>
            <w:tcMar>
              <w:top w:w="40" w:type="dxa"/>
              <w:left w:w="0" w:type="dxa"/>
              <w:bottom w:w="40" w:type="dxa"/>
              <w:right w:w="20" w:type="dxa"/>
            </w:tcMar>
            <w:vAlign w:val="bottom"/>
          </w:tcPr>
          <w:p w14:paraId="6429813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31" w14:textId="77777777" w:rsidR="007B6C97" w:rsidRDefault="00E426D1">
            <w:pPr>
              <w:jc w:val="right"/>
              <w:textAlignment w:val="bottom"/>
            </w:pPr>
            <w:r>
              <w:rPr>
                <w:rFonts w:ascii="Times New Roman" w:eastAsia="宋体" w:hAnsi="Times New Roman"/>
                <w:color w:val="000000"/>
                <w:sz w:val="20"/>
                <w:szCs w:val="20"/>
              </w:rPr>
              <w:t>615.9 </w:t>
            </w:r>
          </w:p>
        </w:tc>
        <w:tc>
          <w:tcPr>
            <w:tcW w:w="0" w:type="auto"/>
            <w:shd w:val="clear" w:color="auto" w:fill="FFFFFF"/>
            <w:tcMar>
              <w:top w:w="40" w:type="dxa"/>
              <w:left w:w="0" w:type="dxa"/>
              <w:bottom w:w="40" w:type="dxa"/>
              <w:right w:w="20" w:type="dxa"/>
            </w:tcMar>
            <w:vAlign w:val="bottom"/>
          </w:tcPr>
          <w:p w14:paraId="6429813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3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34" w14:textId="77777777" w:rsidR="007B6C97" w:rsidRDefault="00E426D1">
            <w:pPr>
              <w:jc w:val="right"/>
              <w:textAlignment w:val="bottom"/>
            </w:pPr>
            <w:r>
              <w:rPr>
                <w:rFonts w:ascii="Times New Roman" w:eastAsia="宋体" w:hAnsi="Times New Roman"/>
                <w:color w:val="000000"/>
                <w:sz w:val="20"/>
                <w:szCs w:val="20"/>
              </w:rPr>
              <w:t>763.8 </w:t>
            </w:r>
          </w:p>
        </w:tc>
        <w:tc>
          <w:tcPr>
            <w:tcW w:w="0" w:type="auto"/>
            <w:shd w:val="clear" w:color="auto" w:fill="FFFFFF"/>
            <w:tcMar>
              <w:top w:w="40" w:type="dxa"/>
              <w:left w:w="0" w:type="dxa"/>
              <w:bottom w:w="40" w:type="dxa"/>
              <w:right w:w="20" w:type="dxa"/>
            </w:tcMar>
            <w:vAlign w:val="bottom"/>
          </w:tcPr>
          <w:p w14:paraId="6429813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36" w14:textId="77777777" w:rsidR="007B6C97" w:rsidRDefault="00E426D1">
            <w:pPr>
              <w:jc w:val="right"/>
              <w:textAlignment w:val="bottom"/>
            </w:pPr>
            <w:r>
              <w:rPr>
                <w:rFonts w:ascii="Times New Roman" w:eastAsia="宋体" w:hAnsi="Times New Roman"/>
                <w:color w:val="000000"/>
                <w:sz w:val="20"/>
                <w:szCs w:val="20"/>
              </w:rPr>
              <w:t>761.0 </w:t>
            </w:r>
          </w:p>
        </w:tc>
        <w:tc>
          <w:tcPr>
            <w:tcW w:w="0" w:type="auto"/>
            <w:shd w:val="clear" w:color="auto" w:fill="FFFFFF"/>
            <w:tcMar>
              <w:top w:w="40" w:type="dxa"/>
              <w:left w:w="0" w:type="dxa"/>
              <w:bottom w:w="40" w:type="dxa"/>
              <w:right w:w="20" w:type="dxa"/>
            </w:tcMar>
            <w:vAlign w:val="bottom"/>
          </w:tcPr>
          <w:p w14:paraId="6429813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3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39" w14:textId="77777777" w:rsidR="007B6C97" w:rsidRDefault="00E426D1">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6429813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3B" w14:textId="77777777" w:rsidR="007B6C97" w:rsidRDefault="00E426D1">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6429813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4D" w14:textId="77777777">
        <w:tc>
          <w:tcPr>
            <w:tcW w:w="0" w:type="auto"/>
            <w:gridSpan w:val="3"/>
            <w:shd w:val="clear" w:color="auto" w:fill="D7E4BC"/>
            <w:tcMar>
              <w:top w:w="40" w:type="dxa"/>
              <w:left w:w="20" w:type="dxa"/>
              <w:bottom w:w="40" w:type="dxa"/>
              <w:right w:w="20" w:type="dxa"/>
            </w:tcMar>
            <w:vAlign w:val="bottom"/>
          </w:tcPr>
          <w:p w14:paraId="6429813E" w14:textId="77777777" w:rsidR="007B6C97" w:rsidRDefault="00E426D1">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6429813F"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429814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41" w14:textId="77777777" w:rsidR="007B6C97" w:rsidRDefault="00E426D1">
            <w:pPr>
              <w:jc w:val="right"/>
              <w:textAlignment w:val="bottom"/>
            </w:pPr>
            <w:r>
              <w:rPr>
                <w:rFonts w:ascii="Times New Roman" w:eastAsia="宋体" w:hAnsi="Times New Roman"/>
                <w:color w:val="000000"/>
                <w:sz w:val="20"/>
                <w:szCs w:val="20"/>
              </w:rPr>
              <w:t>1,253.4 </w:t>
            </w:r>
          </w:p>
        </w:tc>
        <w:tc>
          <w:tcPr>
            <w:tcW w:w="0" w:type="auto"/>
            <w:shd w:val="clear" w:color="auto" w:fill="D7E4BC"/>
            <w:tcMar>
              <w:top w:w="40" w:type="dxa"/>
              <w:left w:w="0" w:type="dxa"/>
              <w:bottom w:w="40" w:type="dxa"/>
              <w:right w:w="20" w:type="dxa"/>
            </w:tcMar>
            <w:vAlign w:val="bottom"/>
          </w:tcPr>
          <w:p w14:paraId="6429814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4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44"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429814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46" w14:textId="77777777" w:rsidR="007B6C97" w:rsidRDefault="00E426D1">
            <w:pPr>
              <w:jc w:val="right"/>
              <w:textAlignment w:val="bottom"/>
            </w:pPr>
            <w:r>
              <w:rPr>
                <w:rFonts w:ascii="Times New Roman" w:eastAsia="宋体" w:hAnsi="Times New Roman"/>
                <w:color w:val="000000"/>
                <w:sz w:val="20"/>
                <w:szCs w:val="20"/>
              </w:rPr>
              <w:t>1,371.5 </w:t>
            </w:r>
          </w:p>
        </w:tc>
        <w:tc>
          <w:tcPr>
            <w:tcW w:w="0" w:type="auto"/>
            <w:shd w:val="clear" w:color="auto" w:fill="D7E4BC"/>
            <w:tcMar>
              <w:top w:w="40" w:type="dxa"/>
              <w:left w:w="0" w:type="dxa"/>
              <w:bottom w:w="40" w:type="dxa"/>
              <w:right w:w="20" w:type="dxa"/>
            </w:tcMar>
            <w:vAlign w:val="bottom"/>
          </w:tcPr>
          <w:p w14:paraId="6429814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4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49" w14:textId="77777777" w:rsidR="007B6C97" w:rsidRDefault="00E426D1">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6429814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4B" w14:textId="77777777" w:rsidR="007B6C97" w:rsidRDefault="00E426D1">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6429814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5D" w14:textId="77777777">
        <w:tc>
          <w:tcPr>
            <w:tcW w:w="0" w:type="auto"/>
            <w:gridSpan w:val="3"/>
            <w:shd w:val="clear" w:color="auto" w:fill="FFFFFF"/>
            <w:tcMar>
              <w:top w:w="40" w:type="dxa"/>
              <w:left w:w="20" w:type="dxa"/>
              <w:bottom w:w="40" w:type="dxa"/>
              <w:right w:w="20" w:type="dxa"/>
            </w:tcMar>
            <w:vAlign w:val="bottom"/>
          </w:tcPr>
          <w:p w14:paraId="6429814E" w14:textId="77777777" w:rsidR="007B6C97" w:rsidRDefault="00E426D1">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6429814F"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15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51" w14:textId="77777777" w:rsidR="007B6C97" w:rsidRDefault="00E426D1">
            <w:pPr>
              <w:jc w:val="right"/>
              <w:textAlignment w:val="bottom"/>
            </w:pPr>
            <w:r>
              <w:rPr>
                <w:rFonts w:ascii="Times New Roman" w:eastAsia="宋体" w:hAnsi="Times New Roman"/>
                <w:color w:val="000000"/>
                <w:sz w:val="20"/>
                <w:szCs w:val="20"/>
              </w:rPr>
              <w:t>477.0 </w:t>
            </w:r>
          </w:p>
        </w:tc>
        <w:tc>
          <w:tcPr>
            <w:tcW w:w="0" w:type="auto"/>
            <w:shd w:val="clear" w:color="auto" w:fill="FFFFFF"/>
            <w:tcMar>
              <w:top w:w="40" w:type="dxa"/>
              <w:left w:w="0" w:type="dxa"/>
              <w:bottom w:w="40" w:type="dxa"/>
              <w:right w:w="20" w:type="dxa"/>
            </w:tcMar>
            <w:vAlign w:val="bottom"/>
          </w:tcPr>
          <w:p w14:paraId="6429815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5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54"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15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56" w14:textId="77777777" w:rsidR="007B6C97" w:rsidRDefault="00E426D1">
            <w:pPr>
              <w:jc w:val="right"/>
              <w:textAlignment w:val="bottom"/>
            </w:pPr>
            <w:r>
              <w:rPr>
                <w:rFonts w:ascii="Times New Roman" w:eastAsia="宋体" w:hAnsi="Times New Roman"/>
                <w:color w:val="000000"/>
                <w:sz w:val="20"/>
                <w:szCs w:val="20"/>
              </w:rPr>
              <w:t>526.4 </w:t>
            </w:r>
          </w:p>
        </w:tc>
        <w:tc>
          <w:tcPr>
            <w:tcW w:w="0" w:type="auto"/>
            <w:shd w:val="clear" w:color="auto" w:fill="FFFFFF"/>
            <w:tcMar>
              <w:top w:w="40" w:type="dxa"/>
              <w:left w:w="0" w:type="dxa"/>
              <w:bottom w:w="40" w:type="dxa"/>
              <w:right w:w="20" w:type="dxa"/>
            </w:tcMar>
            <w:vAlign w:val="bottom"/>
          </w:tcPr>
          <w:p w14:paraId="6429815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5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59" w14:textId="77777777" w:rsidR="007B6C97" w:rsidRDefault="00E426D1">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6429815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5B" w14:textId="77777777" w:rsidR="007B6C97" w:rsidRDefault="00E426D1">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6429815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6D" w14:textId="77777777">
        <w:tc>
          <w:tcPr>
            <w:tcW w:w="0" w:type="auto"/>
            <w:gridSpan w:val="3"/>
            <w:shd w:val="clear" w:color="auto" w:fill="D7E4BC"/>
            <w:tcMar>
              <w:top w:w="40" w:type="dxa"/>
              <w:left w:w="20" w:type="dxa"/>
              <w:bottom w:w="40" w:type="dxa"/>
              <w:right w:w="20" w:type="dxa"/>
            </w:tcMar>
            <w:vAlign w:val="bottom"/>
          </w:tcPr>
          <w:p w14:paraId="6429815E" w14:textId="77777777" w:rsidR="007B6C97" w:rsidRDefault="00E426D1">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6429815F"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429816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61" w14:textId="77777777" w:rsidR="007B6C97" w:rsidRDefault="00E426D1">
            <w:pPr>
              <w:jc w:val="right"/>
              <w:textAlignment w:val="bottom"/>
            </w:pPr>
            <w:r>
              <w:rPr>
                <w:rFonts w:ascii="Times New Roman" w:eastAsia="宋体" w:hAnsi="Times New Roman"/>
                <w:color w:val="000000"/>
                <w:sz w:val="20"/>
                <w:szCs w:val="20"/>
              </w:rPr>
              <w:t>457.9 </w:t>
            </w:r>
          </w:p>
        </w:tc>
        <w:tc>
          <w:tcPr>
            <w:tcW w:w="0" w:type="auto"/>
            <w:shd w:val="clear" w:color="auto" w:fill="D7E4BC"/>
            <w:tcMar>
              <w:top w:w="40" w:type="dxa"/>
              <w:left w:w="0" w:type="dxa"/>
              <w:bottom w:w="40" w:type="dxa"/>
              <w:right w:w="20" w:type="dxa"/>
            </w:tcMar>
            <w:vAlign w:val="bottom"/>
          </w:tcPr>
          <w:p w14:paraId="6429816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6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64"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429816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66" w14:textId="77777777" w:rsidR="007B6C97" w:rsidRDefault="00E426D1">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6429816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6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69" w14:textId="77777777" w:rsidR="007B6C97" w:rsidRDefault="00E426D1">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6429816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6B" w14:textId="77777777" w:rsidR="007B6C97" w:rsidRDefault="00E426D1">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6429816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7D" w14:textId="77777777">
        <w:tc>
          <w:tcPr>
            <w:tcW w:w="0" w:type="auto"/>
            <w:gridSpan w:val="3"/>
            <w:shd w:val="clear" w:color="auto" w:fill="FFFFFF"/>
            <w:tcMar>
              <w:top w:w="40" w:type="dxa"/>
              <w:left w:w="20" w:type="dxa"/>
              <w:bottom w:w="40" w:type="dxa"/>
              <w:right w:w="20" w:type="dxa"/>
            </w:tcMar>
            <w:vAlign w:val="bottom"/>
          </w:tcPr>
          <w:p w14:paraId="6429816E" w14:textId="77777777" w:rsidR="007B6C97" w:rsidRDefault="00E426D1">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6429816F" w14:textId="77777777" w:rsidR="007B6C97" w:rsidRDefault="00E426D1">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6429817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71" w14:textId="77777777" w:rsidR="007B6C97" w:rsidRDefault="00E426D1">
            <w:pPr>
              <w:jc w:val="right"/>
              <w:textAlignment w:val="bottom"/>
            </w:pPr>
            <w:r>
              <w:rPr>
                <w:rFonts w:ascii="Times New Roman" w:eastAsia="宋体" w:hAnsi="Times New Roman"/>
                <w:color w:val="000000"/>
                <w:sz w:val="20"/>
                <w:szCs w:val="20"/>
              </w:rPr>
              <w:t>580.8 </w:t>
            </w:r>
          </w:p>
        </w:tc>
        <w:tc>
          <w:tcPr>
            <w:tcW w:w="0" w:type="auto"/>
            <w:shd w:val="clear" w:color="auto" w:fill="FFFFFF"/>
            <w:tcMar>
              <w:top w:w="40" w:type="dxa"/>
              <w:left w:w="0" w:type="dxa"/>
              <w:bottom w:w="40" w:type="dxa"/>
              <w:right w:w="20" w:type="dxa"/>
            </w:tcMar>
            <w:vAlign w:val="bottom"/>
          </w:tcPr>
          <w:p w14:paraId="6429817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7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74" w14:textId="77777777" w:rsidR="007B6C97" w:rsidRDefault="00E426D1">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6429817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76" w14:textId="77777777" w:rsidR="007B6C97" w:rsidRDefault="00E426D1">
            <w:pPr>
              <w:jc w:val="right"/>
              <w:textAlignment w:val="bottom"/>
            </w:pPr>
            <w:r>
              <w:rPr>
                <w:rFonts w:ascii="Times New Roman" w:eastAsia="宋体" w:hAnsi="Times New Roman"/>
                <w:color w:val="000000"/>
                <w:sz w:val="20"/>
                <w:szCs w:val="20"/>
              </w:rPr>
              <w:t>663.2 </w:t>
            </w:r>
          </w:p>
        </w:tc>
        <w:tc>
          <w:tcPr>
            <w:tcW w:w="0" w:type="auto"/>
            <w:shd w:val="clear" w:color="auto" w:fill="FFFFFF"/>
            <w:tcMar>
              <w:top w:w="40" w:type="dxa"/>
              <w:left w:w="0" w:type="dxa"/>
              <w:bottom w:w="40" w:type="dxa"/>
              <w:right w:w="20" w:type="dxa"/>
            </w:tcMar>
            <w:vAlign w:val="bottom"/>
          </w:tcPr>
          <w:p w14:paraId="6429817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7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79" w14:textId="77777777" w:rsidR="007B6C97" w:rsidRDefault="00E426D1">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429817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7B" w14:textId="77777777" w:rsidR="007B6C97" w:rsidRDefault="00E426D1">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6429817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8D" w14:textId="77777777">
        <w:tc>
          <w:tcPr>
            <w:tcW w:w="0" w:type="auto"/>
            <w:gridSpan w:val="3"/>
            <w:shd w:val="clear" w:color="auto" w:fill="D7E4BC"/>
            <w:tcMar>
              <w:top w:w="40" w:type="dxa"/>
              <w:left w:w="20" w:type="dxa"/>
              <w:bottom w:w="40" w:type="dxa"/>
              <w:right w:w="20" w:type="dxa"/>
            </w:tcMar>
            <w:vAlign w:val="bottom"/>
          </w:tcPr>
          <w:p w14:paraId="6429817E" w14:textId="77777777" w:rsidR="007B6C97" w:rsidRDefault="00E426D1">
            <w:pPr>
              <w:textAlignment w:val="bottom"/>
            </w:pPr>
            <w:r>
              <w:rPr>
                <w:rFonts w:ascii="Times New Roman" w:eastAsia="宋体" w:hAnsi="Times New Roman"/>
                <w:color w:val="000000"/>
                <w:sz w:val="20"/>
                <w:szCs w:val="20"/>
              </w:rPr>
              <w:t>Novembe</w:t>
            </w:r>
            <w:r>
              <w:rPr>
                <w:rFonts w:ascii="Times New Roman" w:eastAsia="宋体" w:hAnsi="Times New Roman"/>
                <w:color w:val="000000"/>
                <w:sz w:val="20"/>
                <w:szCs w:val="20"/>
              </w:rPr>
              <w:t>r 2028 notes</w:t>
            </w:r>
          </w:p>
        </w:tc>
        <w:tc>
          <w:tcPr>
            <w:tcW w:w="0" w:type="auto"/>
            <w:gridSpan w:val="2"/>
            <w:shd w:val="clear" w:color="auto" w:fill="D7E4BC"/>
            <w:tcMar>
              <w:top w:w="40" w:type="dxa"/>
              <w:left w:w="20" w:type="dxa"/>
              <w:bottom w:w="40" w:type="dxa"/>
              <w:right w:w="0" w:type="dxa"/>
            </w:tcMar>
            <w:vAlign w:val="bottom"/>
          </w:tcPr>
          <w:p w14:paraId="6429817F"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429818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81" w14:textId="77777777" w:rsidR="007B6C97" w:rsidRDefault="00E426D1">
            <w:pPr>
              <w:jc w:val="right"/>
              <w:textAlignment w:val="bottom"/>
            </w:pPr>
            <w:r>
              <w:rPr>
                <w:rFonts w:ascii="Times New Roman" w:eastAsia="宋体" w:hAnsi="Times New Roman"/>
                <w:color w:val="000000"/>
                <w:sz w:val="20"/>
                <w:szCs w:val="20"/>
              </w:rPr>
              <w:t>738.5 </w:t>
            </w:r>
          </w:p>
        </w:tc>
        <w:tc>
          <w:tcPr>
            <w:tcW w:w="0" w:type="auto"/>
            <w:shd w:val="clear" w:color="auto" w:fill="D7E4BC"/>
            <w:tcMar>
              <w:top w:w="40" w:type="dxa"/>
              <w:left w:w="0" w:type="dxa"/>
              <w:bottom w:w="40" w:type="dxa"/>
              <w:right w:w="20" w:type="dxa"/>
            </w:tcMar>
            <w:vAlign w:val="bottom"/>
          </w:tcPr>
          <w:p w14:paraId="6429818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8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84"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429818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86" w14:textId="77777777" w:rsidR="007B6C97" w:rsidRDefault="00E426D1">
            <w:pPr>
              <w:jc w:val="right"/>
              <w:textAlignment w:val="bottom"/>
            </w:pPr>
            <w:r>
              <w:rPr>
                <w:rFonts w:ascii="Times New Roman" w:eastAsia="宋体" w:hAnsi="Times New Roman"/>
                <w:color w:val="000000"/>
                <w:sz w:val="20"/>
                <w:szCs w:val="20"/>
              </w:rPr>
              <w:t>855.9 </w:t>
            </w:r>
          </w:p>
        </w:tc>
        <w:tc>
          <w:tcPr>
            <w:tcW w:w="0" w:type="auto"/>
            <w:shd w:val="clear" w:color="auto" w:fill="D7E4BC"/>
            <w:tcMar>
              <w:top w:w="40" w:type="dxa"/>
              <w:left w:w="0" w:type="dxa"/>
              <w:bottom w:w="40" w:type="dxa"/>
              <w:right w:w="20" w:type="dxa"/>
            </w:tcMar>
            <w:vAlign w:val="bottom"/>
          </w:tcPr>
          <w:p w14:paraId="6429818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8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89" w14:textId="77777777" w:rsidR="007B6C97" w:rsidRDefault="00E426D1">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6429818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8B" w14:textId="77777777" w:rsidR="007B6C97" w:rsidRDefault="00E426D1">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6429818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9D" w14:textId="77777777">
        <w:tc>
          <w:tcPr>
            <w:tcW w:w="0" w:type="auto"/>
            <w:gridSpan w:val="3"/>
            <w:shd w:val="clear" w:color="auto" w:fill="FFFFFF"/>
            <w:tcMar>
              <w:top w:w="40" w:type="dxa"/>
              <w:left w:w="20" w:type="dxa"/>
              <w:bottom w:w="40" w:type="dxa"/>
              <w:right w:w="20" w:type="dxa"/>
            </w:tcMar>
            <w:vAlign w:val="bottom"/>
          </w:tcPr>
          <w:p w14:paraId="6429818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August 2029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429818F"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429819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91" w14:textId="77777777" w:rsidR="007B6C97" w:rsidRDefault="00E426D1">
            <w:pPr>
              <w:jc w:val="right"/>
              <w:textAlignment w:val="bottom"/>
            </w:pPr>
            <w:r>
              <w:rPr>
                <w:rFonts w:ascii="Times New Roman" w:eastAsia="宋体" w:hAnsi="Times New Roman"/>
                <w:color w:val="000000"/>
                <w:sz w:val="20"/>
                <w:szCs w:val="20"/>
              </w:rPr>
              <w:t>946.8 </w:t>
            </w:r>
          </w:p>
        </w:tc>
        <w:tc>
          <w:tcPr>
            <w:tcW w:w="0" w:type="auto"/>
            <w:shd w:val="clear" w:color="auto" w:fill="FFFFFF"/>
            <w:tcMar>
              <w:top w:w="40" w:type="dxa"/>
              <w:left w:w="0" w:type="dxa"/>
              <w:bottom w:w="40" w:type="dxa"/>
              <w:right w:w="20" w:type="dxa"/>
            </w:tcMar>
            <w:vAlign w:val="bottom"/>
          </w:tcPr>
          <w:p w14:paraId="6429819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9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94"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429819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96" w14:textId="77777777" w:rsidR="007B6C97" w:rsidRDefault="00E426D1">
            <w:pPr>
              <w:jc w:val="right"/>
              <w:textAlignment w:val="bottom"/>
            </w:pPr>
            <w:r>
              <w:rPr>
                <w:rFonts w:ascii="Times New Roman" w:eastAsia="宋体" w:hAnsi="Times New Roman"/>
                <w:color w:val="000000"/>
                <w:sz w:val="20"/>
                <w:szCs w:val="20"/>
              </w:rPr>
              <w:t>1,109.9 </w:t>
            </w:r>
          </w:p>
        </w:tc>
        <w:tc>
          <w:tcPr>
            <w:tcW w:w="0" w:type="auto"/>
            <w:shd w:val="clear" w:color="auto" w:fill="FFFFFF"/>
            <w:tcMar>
              <w:top w:w="40" w:type="dxa"/>
              <w:left w:w="0" w:type="dxa"/>
              <w:bottom w:w="40" w:type="dxa"/>
              <w:right w:w="20" w:type="dxa"/>
            </w:tcMar>
            <w:vAlign w:val="bottom"/>
          </w:tcPr>
          <w:p w14:paraId="6429819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9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99" w14:textId="77777777" w:rsidR="007B6C97" w:rsidRDefault="00E426D1">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6429819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9B" w14:textId="77777777" w:rsidR="007B6C97" w:rsidRDefault="00E426D1">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6429819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AD" w14:textId="77777777">
        <w:tc>
          <w:tcPr>
            <w:tcW w:w="0" w:type="auto"/>
            <w:gridSpan w:val="3"/>
            <w:shd w:val="clear" w:color="auto" w:fill="D7E4BC"/>
            <w:tcMar>
              <w:top w:w="40" w:type="dxa"/>
              <w:left w:w="20" w:type="dxa"/>
              <w:bottom w:w="40" w:type="dxa"/>
              <w:right w:w="20" w:type="dxa"/>
            </w:tcMar>
            <w:vAlign w:val="bottom"/>
          </w:tcPr>
          <w:p w14:paraId="6429819E" w14:textId="77777777" w:rsidR="007B6C97" w:rsidRDefault="00E426D1">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6429819F"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42981A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A1" w14:textId="77777777" w:rsidR="007B6C97" w:rsidRDefault="00E426D1">
            <w:pPr>
              <w:jc w:val="right"/>
              <w:textAlignment w:val="bottom"/>
            </w:pPr>
            <w:r>
              <w:rPr>
                <w:rFonts w:ascii="Times New Roman" w:eastAsia="宋体" w:hAnsi="Times New Roman"/>
                <w:color w:val="000000"/>
                <w:sz w:val="20"/>
                <w:szCs w:val="20"/>
              </w:rPr>
              <w:t>640.2 </w:t>
            </w:r>
          </w:p>
        </w:tc>
        <w:tc>
          <w:tcPr>
            <w:tcW w:w="0" w:type="auto"/>
            <w:shd w:val="clear" w:color="auto" w:fill="D7E4BC"/>
            <w:tcMar>
              <w:top w:w="40" w:type="dxa"/>
              <w:left w:w="0" w:type="dxa"/>
              <w:bottom w:w="40" w:type="dxa"/>
              <w:right w:w="20" w:type="dxa"/>
            </w:tcMar>
            <w:vAlign w:val="bottom"/>
          </w:tcPr>
          <w:p w14:paraId="642981A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A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A4" w14:textId="77777777" w:rsidR="007B6C97" w:rsidRDefault="00E426D1">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42981A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A6" w14:textId="77777777" w:rsidR="007B6C97" w:rsidRDefault="00E426D1">
            <w:pPr>
              <w:jc w:val="right"/>
              <w:textAlignment w:val="bottom"/>
            </w:pPr>
            <w:r>
              <w:rPr>
                <w:rFonts w:ascii="Times New Roman" w:eastAsia="宋体" w:hAnsi="Times New Roman"/>
                <w:color w:val="000000"/>
                <w:sz w:val="20"/>
                <w:szCs w:val="20"/>
              </w:rPr>
              <w:t>758.6 </w:t>
            </w:r>
          </w:p>
        </w:tc>
        <w:tc>
          <w:tcPr>
            <w:tcW w:w="0" w:type="auto"/>
            <w:shd w:val="clear" w:color="auto" w:fill="D7E4BC"/>
            <w:tcMar>
              <w:top w:w="40" w:type="dxa"/>
              <w:left w:w="0" w:type="dxa"/>
              <w:bottom w:w="40" w:type="dxa"/>
              <w:right w:w="20" w:type="dxa"/>
            </w:tcMar>
            <w:vAlign w:val="bottom"/>
          </w:tcPr>
          <w:p w14:paraId="642981A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A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A9" w14:textId="77777777" w:rsidR="007B6C97" w:rsidRDefault="00E426D1">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642981A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AB" w14:textId="77777777" w:rsidR="007B6C97" w:rsidRDefault="00E426D1">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642981A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BD" w14:textId="77777777">
        <w:tc>
          <w:tcPr>
            <w:tcW w:w="0" w:type="auto"/>
            <w:gridSpan w:val="3"/>
            <w:shd w:val="clear" w:color="auto" w:fill="FFFFFF"/>
            <w:tcMar>
              <w:top w:w="40" w:type="dxa"/>
              <w:left w:w="20" w:type="dxa"/>
              <w:bottom w:w="40" w:type="dxa"/>
              <w:right w:w="20" w:type="dxa"/>
            </w:tcMar>
            <w:vAlign w:val="bottom"/>
          </w:tcPr>
          <w:p w14:paraId="642981AE" w14:textId="77777777" w:rsidR="007B6C97" w:rsidRDefault="00E426D1">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642981AF"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642981B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B1" w14:textId="77777777" w:rsidR="007B6C97" w:rsidRDefault="00E426D1">
            <w:pPr>
              <w:jc w:val="right"/>
              <w:textAlignment w:val="bottom"/>
            </w:pPr>
            <w:r>
              <w:rPr>
                <w:rFonts w:ascii="Times New Roman" w:eastAsia="宋体" w:hAnsi="Times New Roman"/>
                <w:color w:val="000000"/>
                <w:sz w:val="20"/>
                <w:szCs w:val="20"/>
              </w:rPr>
              <w:t>1,073.7 </w:t>
            </w:r>
          </w:p>
        </w:tc>
        <w:tc>
          <w:tcPr>
            <w:tcW w:w="0" w:type="auto"/>
            <w:shd w:val="clear" w:color="auto" w:fill="FFFFFF"/>
            <w:tcMar>
              <w:top w:w="40" w:type="dxa"/>
              <w:left w:w="0" w:type="dxa"/>
              <w:bottom w:w="40" w:type="dxa"/>
              <w:right w:w="20" w:type="dxa"/>
            </w:tcMar>
            <w:vAlign w:val="bottom"/>
          </w:tcPr>
          <w:p w14:paraId="642981B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B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B4"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642981B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B6" w14:textId="77777777" w:rsidR="007B6C97" w:rsidRDefault="00E426D1">
            <w:pPr>
              <w:jc w:val="right"/>
              <w:textAlignment w:val="bottom"/>
            </w:pPr>
            <w:r>
              <w:rPr>
                <w:rFonts w:ascii="Times New Roman" w:eastAsia="宋体" w:hAnsi="Times New Roman"/>
                <w:color w:val="000000"/>
                <w:sz w:val="20"/>
                <w:szCs w:val="20"/>
              </w:rPr>
              <w:t>1,286.9 </w:t>
            </w:r>
          </w:p>
        </w:tc>
        <w:tc>
          <w:tcPr>
            <w:tcW w:w="0" w:type="auto"/>
            <w:shd w:val="clear" w:color="auto" w:fill="FFFFFF"/>
            <w:tcMar>
              <w:top w:w="40" w:type="dxa"/>
              <w:left w:w="0" w:type="dxa"/>
              <w:bottom w:w="40" w:type="dxa"/>
              <w:right w:w="20" w:type="dxa"/>
            </w:tcMar>
            <w:vAlign w:val="bottom"/>
          </w:tcPr>
          <w:p w14:paraId="642981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B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B9" w14:textId="77777777" w:rsidR="007B6C97" w:rsidRDefault="00E426D1">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642981B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BB" w14:textId="77777777" w:rsidR="007B6C97" w:rsidRDefault="00E426D1">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642981B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CD" w14:textId="77777777">
        <w:tc>
          <w:tcPr>
            <w:tcW w:w="0" w:type="auto"/>
            <w:gridSpan w:val="3"/>
            <w:shd w:val="clear" w:color="auto" w:fill="D7E4BC"/>
            <w:tcMar>
              <w:top w:w="40" w:type="dxa"/>
              <w:left w:w="20" w:type="dxa"/>
              <w:bottom w:w="40" w:type="dxa"/>
              <w:right w:w="20" w:type="dxa"/>
            </w:tcMar>
            <w:vAlign w:val="bottom"/>
          </w:tcPr>
          <w:p w14:paraId="642981BE" w14:textId="77777777" w:rsidR="007B6C97" w:rsidRDefault="00E426D1">
            <w:pPr>
              <w:textAlignment w:val="bottom"/>
            </w:pPr>
            <w:r>
              <w:rPr>
                <w:rFonts w:ascii="Times New Roman" w:eastAsia="宋体" w:hAnsi="Times New Roman"/>
                <w:color w:val="000000"/>
                <w:sz w:val="20"/>
                <w:szCs w:val="20"/>
              </w:rPr>
              <w:t>February 2032 notes</w:t>
            </w:r>
          </w:p>
        </w:tc>
        <w:tc>
          <w:tcPr>
            <w:tcW w:w="0" w:type="auto"/>
            <w:gridSpan w:val="2"/>
            <w:shd w:val="clear" w:color="auto" w:fill="D7E4BC"/>
            <w:tcMar>
              <w:top w:w="40" w:type="dxa"/>
              <w:left w:w="20" w:type="dxa"/>
              <w:bottom w:w="40" w:type="dxa"/>
              <w:right w:w="0" w:type="dxa"/>
            </w:tcMar>
            <w:vAlign w:val="bottom"/>
          </w:tcPr>
          <w:p w14:paraId="642981BF"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42981C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C1" w14:textId="77777777" w:rsidR="007B6C97" w:rsidRDefault="00E426D1">
            <w:pPr>
              <w:jc w:val="right"/>
              <w:textAlignment w:val="bottom"/>
            </w:pPr>
            <w:r>
              <w:rPr>
                <w:rFonts w:ascii="Times New Roman" w:eastAsia="宋体" w:hAnsi="Times New Roman"/>
                <w:color w:val="000000"/>
                <w:sz w:val="20"/>
                <w:szCs w:val="20"/>
              </w:rPr>
              <w:t>878.0 </w:t>
            </w:r>
          </w:p>
        </w:tc>
        <w:tc>
          <w:tcPr>
            <w:tcW w:w="0" w:type="auto"/>
            <w:shd w:val="clear" w:color="auto" w:fill="D7E4BC"/>
            <w:tcMar>
              <w:top w:w="40" w:type="dxa"/>
              <w:left w:w="0" w:type="dxa"/>
              <w:bottom w:w="40" w:type="dxa"/>
              <w:right w:w="20" w:type="dxa"/>
            </w:tcMar>
            <w:vAlign w:val="bottom"/>
          </w:tcPr>
          <w:p w14:paraId="642981C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C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C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1C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C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1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C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C9" w14:textId="77777777" w:rsidR="007B6C97" w:rsidRDefault="00E426D1">
            <w:pPr>
              <w:jc w:val="right"/>
              <w:textAlignment w:val="bottom"/>
            </w:pPr>
            <w:r>
              <w:rPr>
                <w:rFonts w:ascii="Times New Roman" w:eastAsia="宋体" w:hAnsi="Times New Roman"/>
                <w:color w:val="000000"/>
                <w:sz w:val="20"/>
                <w:szCs w:val="20"/>
              </w:rPr>
              <w:t>3.000 </w:t>
            </w:r>
          </w:p>
        </w:tc>
        <w:tc>
          <w:tcPr>
            <w:tcW w:w="0" w:type="auto"/>
            <w:shd w:val="clear" w:color="auto" w:fill="D7E4BC"/>
            <w:tcMar>
              <w:top w:w="40" w:type="dxa"/>
              <w:left w:w="0" w:type="dxa"/>
              <w:bottom w:w="40" w:type="dxa"/>
              <w:right w:w="20" w:type="dxa"/>
            </w:tcMar>
            <w:vAlign w:val="bottom"/>
          </w:tcPr>
          <w:p w14:paraId="642981C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CB" w14:textId="77777777" w:rsidR="007B6C97" w:rsidRDefault="00E426D1">
            <w:pPr>
              <w:jc w:val="right"/>
              <w:textAlignment w:val="bottom"/>
            </w:pPr>
            <w:r>
              <w:rPr>
                <w:rFonts w:ascii="Times New Roman" w:eastAsia="宋体" w:hAnsi="Times New Roman"/>
                <w:color w:val="000000"/>
                <w:sz w:val="20"/>
                <w:szCs w:val="20"/>
              </w:rPr>
              <w:t>3.155 </w:t>
            </w:r>
          </w:p>
        </w:tc>
        <w:tc>
          <w:tcPr>
            <w:tcW w:w="0" w:type="auto"/>
            <w:shd w:val="clear" w:color="auto" w:fill="D7E4BC"/>
            <w:tcMar>
              <w:top w:w="40" w:type="dxa"/>
              <w:left w:w="0" w:type="dxa"/>
              <w:bottom w:w="40" w:type="dxa"/>
              <w:right w:w="20" w:type="dxa"/>
            </w:tcMar>
            <w:vAlign w:val="bottom"/>
          </w:tcPr>
          <w:p w14:paraId="642981C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DD" w14:textId="77777777">
        <w:tc>
          <w:tcPr>
            <w:tcW w:w="0" w:type="auto"/>
            <w:gridSpan w:val="3"/>
            <w:shd w:val="clear" w:color="auto" w:fill="FFFFFF"/>
            <w:tcMar>
              <w:top w:w="40" w:type="dxa"/>
              <w:left w:w="20" w:type="dxa"/>
              <w:bottom w:w="40" w:type="dxa"/>
              <w:right w:w="20" w:type="dxa"/>
            </w:tcMar>
            <w:vAlign w:val="bottom"/>
          </w:tcPr>
          <w:p w14:paraId="642981CE" w14:textId="77777777" w:rsidR="007B6C97" w:rsidRDefault="00E426D1">
            <w:pPr>
              <w:textAlignment w:val="bottom"/>
            </w:pPr>
            <w:r>
              <w:rPr>
                <w:rFonts w:ascii="Times New Roman" w:eastAsia="宋体" w:hAnsi="Times New Roman"/>
                <w:color w:val="000000"/>
                <w:sz w:val="20"/>
                <w:szCs w:val="20"/>
              </w:rPr>
              <w:t>June 2045 notes</w:t>
            </w:r>
          </w:p>
        </w:tc>
        <w:tc>
          <w:tcPr>
            <w:tcW w:w="0" w:type="auto"/>
            <w:gridSpan w:val="2"/>
            <w:shd w:val="clear" w:color="auto" w:fill="FFFFFF"/>
            <w:tcMar>
              <w:top w:w="40" w:type="dxa"/>
              <w:left w:w="20" w:type="dxa"/>
              <w:bottom w:w="40" w:type="dxa"/>
              <w:right w:w="0" w:type="dxa"/>
            </w:tcMar>
            <w:vAlign w:val="bottom"/>
          </w:tcPr>
          <w:p w14:paraId="642981CF" w14:textId="77777777" w:rsidR="007B6C97" w:rsidRDefault="00E426D1">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42981D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D1" w14:textId="77777777" w:rsidR="007B6C97" w:rsidRDefault="00E426D1">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642981D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D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D4" w14:textId="77777777" w:rsidR="007B6C97" w:rsidRDefault="00E426D1">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42981D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D6" w14:textId="77777777" w:rsidR="007B6C97" w:rsidRDefault="00E426D1">
            <w:pPr>
              <w:jc w:val="right"/>
              <w:textAlignment w:val="bottom"/>
            </w:pPr>
            <w:r>
              <w:rPr>
                <w:rFonts w:ascii="Times New Roman" w:eastAsia="宋体" w:hAnsi="Times New Roman"/>
                <w:color w:val="000000"/>
                <w:sz w:val="20"/>
                <w:szCs w:val="20"/>
              </w:rPr>
              <w:t>414.1 </w:t>
            </w:r>
          </w:p>
        </w:tc>
        <w:tc>
          <w:tcPr>
            <w:tcW w:w="0" w:type="auto"/>
            <w:shd w:val="clear" w:color="auto" w:fill="FFFFFF"/>
            <w:tcMar>
              <w:top w:w="40" w:type="dxa"/>
              <w:left w:w="0" w:type="dxa"/>
              <w:bottom w:w="40" w:type="dxa"/>
              <w:right w:w="20" w:type="dxa"/>
            </w:tcMar>
            <w:vAlign w:val="bottom"/>
          </w:tcPr>
          <w:p w14:paraId="642981D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D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D9" w14:textId="77777777" w:rsidR="007B6C97" w:rsidRDefault="00E426D1">
            <w:pPr>
              <w:jc w:val="right"/>
              <w:textAlignment w:val="bottom"/>
            </w:pPr>
            <w:r>
              <w:rPr>
                <w:rFonts w:ascii="Times New Roman" w:eastAsia="宋体" w:hAnsi="Times New Roman"/>
                <w:color w:val="000000"/>
                <w:sz w:val="20"/>
                <w:szCs w:val="20"/>
              </w:rPr>
              <w:t>4.300 </w:t>
            </w:r>
          </w:p>
        </w:tc>
        <w:tc>
          <w:tcPr>
            <w:tcW w:w="0" w:type="auto"/>
            <w:shd w:val="clear" w:color="auto" w:fill="FFFFFF"/>
            <w:tcMar>
              <w:top w:w="40" w:type="dxa"/>
              <w:left w:w="0" w:type="dxa"/>
              <w:bottom w:w="40" w:type="dxa"/>
              <w:right w:w="20" w:type="dxa"/>
            </w:tcMar>
            <w:vAlign w:val="bottom"/>
          </w:tcPr>
          <w:p w14:paraId="642981D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DB" w14:textId="77777777" w:rsidR="007B6C97" w:rsidRDefault="00E426D1">
            <w:pPr>
              <w:jc w:val="right"/>
              <w:textAlignment w:val="bottom"/>
            </w:pPr>
            <w:r>
              <w:rPr>
                <w:rFonts w:ascii="Times New Roman" w:eastAsia="宋体" w:hAnsi="Times New Roman"/>
                <w:color w:val="000000"/>
                <w:sz w:val="20"/>
                <w:szCs w:val="20"/>
              </w:rPr>
              <w:t>4.348 </w:t>
            </w:r>
          </w:p>
        </w:tc>
        <w:tc>
          <w:tcPr>
            <w:tcW w:w="0" w:type="auto"/>
            <w:shd w:val="clear" w:color="auto" w:fill="FFFFFF"/>
            <w:tcMar>
              <w:top w:w="40" w:type="dxa"/>
              <w:left w:w="0" w:type="dxa"/>
              <w:bottom w:w="40" w:type="dxa"/>
              <w:right w:w="20" w:type="dxa"/>
            </w:tcMar>
            <w:vAlign w:val="bottom"/>
          </w:tcPr>
          <w:p w14:paraId="642981D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ED" w14:textId="77777777">
        <w:tc>
          <w:tcPr>
            <w:tcW w:w="0" w:type="auto"/>
            <w:gridSpan w:val="3"/>
            <w:shd w:val="clear" w:color="auto" w:fill="D7E4BC"/>
            <w:tcMar>
              <w:top w:w="40" w:type="dxa"/>
              <w:left w:w="20" w:type="dxa"/>
              <w:bottom w:w="40" w:type="dxa"/>
              <w:right w:w="20" w:type="dxa"/>
            </w:tcMar>
            <w:vAlign w:val="bottom"/>
          </w:tcPr>
          <w:p w14:paraId="642981DE" w14:textId="77777777" w:rsidR="007B6C97" w:rsidRDefault="00E426D1">
            <w:pPr>
              <w:textAlignment w:val="bottom"/>
            </w:pPr>
            <w:r>
              <w:rPr>
                <w:rFonts w:ascii="Times New Roman" w:eastAsia="宋体" w:hAnsi="Times New Roman"/>
                <w:color w:val="000000"/>
                <w:sz w:val="20"/>
                <w:szCs w:val="20"/>
              </w:rPr>
              <w:t>December 2047 notes</w:t>
            </w:r>
          </w:p>
        </w:tc>
        <w:tc>
          <w:tcPr>
            <w:tcW w:w="0" w:type="auto"/>
            <w:gridSpan w:val="2"/>
            <w:shd w:val="clear" w:color="auto" w:fill="D7E4BC"/>
            <w:tcMar>
              <w:top w:w="40" w:type="dxa"/>
              <w:left w:w="20" w:type="dxa"/>
              <w:bottom w:w="40" w:type="dxa"/>
              <w:right w:w="0" w:type="dxa"/>
            </w:tcMar>
            <w:vAlign w:val="bottom"/>
          </w:tcPr>
          <w:p w14:paraId="642981DF"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42981E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E1" w14:textId="77777777" w:rsidR="007B6C97" w:rsidRDefault="00E426D1">
            <w:pPr>
              <w:jc w:val="right"/>
              <w:textAlignment w:val="bottom"/>
            </w:pPr>
            <w:r>
              <w:rPr>
                <w:rFonts w:ascii="Times New Roman" w:eastAsia="宋体" w:hAnsi="Times New Roman"/>
                <w:color w:val="000000"/>
                <w:sz w:val="20"/>
                <w:szCs w:val="20"/>
              </w:rPr>
              <w:t>408.3 </w:t>
            </w:r>
          </w:p>
        </w:tc>
        <w:tc>
          <w:tcPr>
            <w:tcW w:w="0" w:type="auto"/>
            <w:shd w:val="clear" w:color="auto" w:fill="D7E4BC"/>
            <w:tcMar>
              <w:top w:w="40" w:type="dxa"/>
              <w:left w:w="0" w:type="dxa"/>
              <w:bottom w:w="40" w:type="dxa"/>
              <w:right w:w="20" w:type="dxa"/>
            </w:tcMar>
            <w:vAlign w:val="bottom"/>
          </w:tcPr>
          <w:p w14:paraId="642981E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E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E4"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42981E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1E6" w14:textId="77777777" w:rsidR="007B6C97" w:rsidRDefault="00E426D1">
            <w:pPr>
              <w:jc w:val="right"/>
              <w:textAlignment w:val="bottom"/>
            </w:pPr>
            <w:r>
              <w:rPr>
                <w:rFonts w:ascii="Times New Roman" w:eastAsia="宋体" w:hAnsi="Times New Roman"/>
                <w:color w:val="000000"/>
                <w:sz w:val="20"/>
                <w:szCs w:val="20"/>
              </w:rPr>
              <w:t>556.5 </w:t>
            </w:r>
          </w:p>
        </w:tc>
        <w:tc>
          <w:tcPr>
            <w:tcW w:w="0" w:type="auto"/>
            <w:shd w:val="clear" w:color="auto" w:fill="D7E4BC"/>
            <w:tcMar>
              <w:top w:w="40" w:type="dxa"/>
              <w:left w:w="0" w:type="dxa"/>
              <w:bottom w:w="40" w:type="dxa"/>
              <w:right w:w="20" w:type="dxa"/>
            </w:tcMar>
            <w:vAlign w:val="bottom"/>
          </w:tcPr>
          <w:p w14:paraId="642981E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1E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1E9" w14:textId="77777777" w:rsidR="007B6C97" w:rsidRDefault="00E426D1">
            <w:pPr>
              <w:jc w:val="right"/>
              <w:textAlignment w:val="bottom"/>
            </w:pPr>
            <w:r>
              <w:rPr>
                <w:rFonts w:ascii="Times New Roman" w:eastAsia="宋体" w:hAnsi="Times New Roman"/>
                <w:color w:val="000000"/>
                <w:sz w:val="20"/>
                <w:szCs w:val="20"/>
              </w:rPr>
              <w:t>3.750 </w:t>
            </w:r>
          </w:p>
        </w:tc>
        <w:tc>
          <w:tcPr>
            <w:tcW w:w="0" w:type="auto"/>
            <w:shd w:val="clear" w:color="auto" w:fill="D7E4BC"/>
            <w:tcMar>
              <w:top w:w="40" w:type="dxa"/>
              <w:left w:w="0" w:type="dxa"/>
              <w:bottom w:w="40" w:type="dxa"/>
              <w:right w:w="20" w:type="dxa"/>
            </w:tcMar>
            <w:vAlign w:val="bottom"/>
          </w:tcPr>
          <w:p w14:paraId="642981E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1EB" w14:textId="77777777" w:rsidR="007B6C97" w:rsidRDefault="00E426D1">
            <w:pPr>
              <w:jc w:val="right"/>
              <w:textAlignment w:val="bottom"/>
            </w:pPr>
            <w:r>
              <w:rPr>
                <w:rFonts w:ascii="Times New Roman" w:eastAsia="宋体" w:hAnsi="Times New Roman"/>
                <w:color w:val="000000"/>
                <w:sz w:val="20"/>
                <w:szCs w:val="20"/>
              </w:rPr>
              <w:t>3.765 </w:t>
            </w:r>
          </w:p>
        </w:tc>
        <w:tc>
          <w:tcPr>
            <w:tcW w:w="0" w:type="auto"/>
            <w:shd w:val="clear" w:color="auto" w:fill="D7E4BC"/>
            <w:tcMar>
              <w:top w:w="40" w:type="dxa"/>
              <w:left w:w="0" w:type="dxa"/>
              <w:bottom w:w="40" w:type="dxa"/>
              <w:right w:w="20" w:type="dxa"/>
            </w:tcMar>
            <w:vAlign w:val="bottom"/>
          </w:tcPr>
          <w:p w14:paraId="642981E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1FD" w14:textId="77777777">
        <w:tc>
          <w:tcPr>
            <w:tcW w:w="0" w:type="auto"/>
            <w:gridSpan w:val="3"/>
            <w:shd w:val="clear" w:color="auto" w:fill="FFFFFF"/>
            <w:tcMar>
              <w:top w:w="40" w:type="dxa"/>
              <w:left w:w="20" w:type="dxa"/>
              <w:bottom w:w="40" w:type="dxa"/>
              <w:right w:w="20" w:type="dxa"/>
            </w:tcMar>
            <w:vAlign w:val="bottom"/>
          </w:tcPr>
          <w:p w14:paraId="642981EE" w14:textId="77777777" w:rsidR="007B6C97" w:rsidRDefault="00E426D1">
            <w:pPr>
              <w:textAlignment w:val="bottom"/>
            </w:pPr>
            <w:r>
              <w:rPr>
                <w:rFonts w:ascii="Times New Roman" w:eastAsia="宋体" w:hAnsi="Times New Roman"/>
                <w:color w:val="000000"/>
                <w:sz w:val="20"/>
                <w:szCs w:val="20"/>
              </w:rPr>
              <w:t>November 2048 notes</w:t>
            </w:r>
          </w:p>
        </w:tc>
        <w:tc>
          <w:tcPr>
            <w:tcW w:w="0" w:type="auto"/>
            <w:gridSpan w:val="2"/>
            <w:shd w:val="clear" w:color="auto" w:fill="FFFFFF"/>
            <w:tcMar>
              <w:top w:w="40" w:type="dxa"/>
              <w:left w:w="20" w:type="dxa"/>
              <w:bottom w:w="40" w:type="dxa"/>
              <w:right w:w="0" w:type="dxa"/>
            </w:tcMar>
            <w:vAlign w:val="bottom"/>
          </w:tcPr>
          <w:p w14:paraId="642981EF"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42981F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F1" w14:textId="77777777" w:rsidR="007B6C97" w:rsidRDefault="00E426D1">
            <w:pPr>
              <w:jc w:val="right"/>
              <w:textAlignment w:val="bottom"/>
            </w:pPr>
            <w:r>
              <w:rPr>
                <w:rFonts w:ascii="Times New Roman" w:eastAsia="宋体" w:hAnsi="Times New Roman"/>
                <w:color w:val="000000"/>
                <w:sz w:val="20"/>
                <w:szCs w:val="20"/>
              </w:rPr>
              <w:t>912.8 </w:t>
            </w:r>
          </w:p>
        </w:tc>
        <w:tc>
          <w:tcPr>
            <w:tcW w:w="0" w:type="auto"/>
            <w:shd w:val="clear" w:color="auto" w:fill="FFFFFF"/>
            <w:tcMar>
              <w:top w:w="40" w:type="dxa"/>
              <w:left w:w="0" w:type="dxa"/>
              <w:bottom w:w="40" w:type="dxa"/>
              <w:right w:w="20" w:type="dxa"/>
            </w:tcMar>
            <w:vAlign w:val="bottom"/>
          </w:tcPr>
          <w:p w14:paraId="642981F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F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F4"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42981F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1F6" w14:textId="77777777" w:rsidR="007B6C97" w:rsidRDefault="00E426D1">
            <w:pPr>
              <w:jc w:val="right"/>
              <w:textAlignment w:val="bottom"/>
            </w:pPr>
            <w:r>
              <w:rPr>
                <w:rFonts w:ascii="Times New Roman" w:eastAsia="宋体" w:hAnsi="Times New Roman"/>
                <w:color w:val="000000"/>
                <w:sz w:val="20"/>
                <w:szCs w:val="20"/>
              </w:rPr>
              <w:t>1,248.6 </w:t>
            </w:r>
          </w:p>
        </w:tc>
        <w:tc>
          <w:tcPr>
            <w:tcW w:w="0" w:type="auto"/>
            <w:shd w:val="clear" w:color="auto" w:fill="FFFFFF"/>
            <w:tcMar>
              <w:top w:w="40" w:type="dxa"/>
              <w:left w:w="0" w:type="dxa"/>
              <w:bottom w:w="40" w:type="dxa"/>
              <w:right w:w="20" w:type="dxa"/>
            </w:tcMar>
            <w:vAlign w:val="bottom"/>
          </w:tcPr>
          <w:p w14:paraId="642981F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1F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1F9" w14:textId="77777777" w:rsidR="007B6C97" w:rsidRDefault="00E426D1">
            <w:pPr>
              <w:jc w:val="right"/>
              <w:textAlignment w:val="bottom"/>
            </w:pPr>
            <w:r>
              <w:rPr>
                <w:rFonts w:ascii="Times New Roman" w:eastAsia="宋体" w:hAnsi="Times New Roman"/>
                <w:color w:val="000000"/>
                <w:sz w:val="20"/>
                <w:szCs w:val="20"/>
              </w:rPr>
              <w:t>4.500 </w:t>
            </w:r>
          </w:p>
        </w:tc>
        <w:tc>
          <w:tcPr>
            <w:tcW w:w="0" w:type="auto"/>
            <w:shd w:val="clear" w:color="auto" w:fill="FFFFFF"/>
            <w:tcMar>
              <w:top w:w="40" w:type="dxa"/>
              <w:left w:w="0" w:type="dxa"/>
              <w:bottom w:w="40" w:type="dxa"/>
              <w:right w:w="20" w:type="dxa"/>
            </w:tcMar>
            <w:vAlign w:val="bottom"/>
          </w:tcPr>
          <w:p w14:paraId="642981F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1FB" w14:textId="77777777" w:rsidR="007B6C97" w:rsidRDefault="00E426D1">
            <w:pPr>
              <w:jc w:val="right"/>
              <w:textAlignment w:val="bottom"/>
            </w:pPr>
            <w:r>
              <w:rPr>
                <w:rFonts w:ascii="Times New Roman" w:eastAsia="宋体" w:hAnsi="Times New Roman"/>
                <w:color w:val="000000"/>
                <w:sz w:val="20"/>
                <w:szCs w:val="20"/>
              </w:rPr>
              <w:t>4.504 </w:t>
            </w:r>
          </w:p>
        </w:tc>
        <w:tc>
          <w:tcPr>
            <w:tcW w:w="0" w:type="auto"/>
            <w:shd w:val="clear" w:color="auto" w:fill="FFFFFF"/>
            <w:tcMar>
              <w:top w:w="40" w:type="dxa"/>
              <w:left w:w="0" w:type="dxa"/>
              <w:bottom w:w="40" w:type="dxa"/>
              <w:right w:w="20" w:type="dxa"/>
            </w:tcMar>
            <w:vAlign w:val="bottom"/>
          </w:tcPr>
          <w:p w14:paraId="642981F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20D" w14:textId="77777777">
        <w:tc>
          <w:tcPr>
            <w:tcW w:w="0" w:type="auto"/>
            <w:gridSpan w:val="3"/>
            <w:shd w:val="clear" w:color="auto" w:fill="D7E4BC"/>
            <w:tcMar>
              <w:top w:w="40" w:type="dxa"/>
              <w:left w:w="20" w:type="dxa"/>
              <w:bottom w:w="40" w:type="dxa"/>
              <w:right w:w="20" w:type="dxa"/>
            </w:tcMar>
            <w:vAlign w:val="bottom"/>
          </w:tcPr>
          <w:p w14:paraId="642981FE" w14:textId="77777777" w:rsidR="007B6C97" w:rsidRDefault="00E426D1">
            <w:pPr>
              <w:textAlignment w:val="bottom"/>
            </w:pPr>
            <w:r>
              <w:rPr>
                <w:rFonts w:ascii="Times New Roman" w:eastAsia="宋体" w:hAnsi="Times New Roman"/>
                <w:color w:val="000000"/>
                <w:sz w:val="20"/>
                <w:szCs w:val="20"/>
              </w:rPr>
              <w:t>August 2049 notes</w:t>
            </w:r>
          </w:p>
        </w:tc>
        <w:tc>
          <w:tcPr>
            <w:tcW w:w="0" w:type="auto"/>
            <w:gridSpan w:val="2"/>
            <w:shd w:val="clear" w:color="auto" w:fill="D7E4BC"/>
            <w:tcMar>
              <w:top w:w="40" w:type="dxa"/>
              <w:left w:w="20" w:type="dxa"/>
              <w:bottom w:w="40" w:type="dxa"/>
              <w:right w:w="0" w:type="dxa"/>
            </w:tcMar>
            <w:vAlign w:val="bottom"/>
          </w:tcPr>
          <w:p w14:paraId="642981FF"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429820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201" w14:textId="77777777" w:rsidR="007B6C97" w:rsidRDefault="00E426D1">
            <w:pPr>
              <w:jc w:val="right"/>
              <w:textAlignment w:val="bottom"/>
            </w:pPr>
            <w:r>
              <w:rPr>
                <w:rFonts w:ascii="Times New Roman" w:eastAsia="宋体" w:hAnsi="Times New Roman"/>
                <w:color w:val="000000"/>
                <w:sz w:val="20"/>
                <w:szCs w:val="20"/>
              </w:rPr>
              <w:t>909.0 </w:t>
            </w:r>
          </w:p>
        </w:tc>
        <w:tc>
          <w:tcPr>
            <w:tcW w:w="0" w:type="auto"/>
            <w:shd w:val="clear" w:color="auto" w:fill="D7E4BC"/>
            <w:tcMar>
              <w:top w:w="40" w:type="dxa"/>
              <w:left w:w="0" w:type="dxa"/>
              <w:bottom w:w="40" w:type="dxa"/>
              <w:right w:w="20" w:type="dxa"/>
            </w:tcMar>
            <w:vAlign w:val="bottom"/>
          </w:tcPr>
          <w:p w14:paraId="6429820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0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04"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429820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206" w14:textId="77777777" w:rsidR="007B6C97" w:rsidRDefault="00E426D1">
            <w:pPr>
              <w:jc w:val="right"/>
              <w:textAlignment w:val="bottom"/>
            </w:pPr>
            <w:r>
              <w:rPr>
                <w:rFonts w:ascii="Times New Roman" w:eastAsia="宋体" w:hAnsi="Times New Roman"/>
                <w:color w:val="000000"/>
                <w:sz w:val="20"/>
                <w:szCs w:val="20"/>
              </w:rPr>
              <w:t>1,241.0 </w:t>
            </w:r>
          </w:p>
        </w:tc>
        <w:tc>
          <w:tcPr>
            <w:tcW w:w="0" w:type="auto"/>
            <w:shd w:val="clear" w:color="auto" w:fill="D7E4BC"/>
            <w:tcMar>
              <w:top w:w="40" w:type="dxa"/>
              <w:left w:w="0" w:type="dxa"/>
              <w:bottom w:w="40" w:type="dxa"/>
              <w:right w:w="20" w:type="dxa"/>
            </w:tcMar>
            <w:vAlign w:val="bottom"/>
          </w:tcPr>
          <w:p w14:paraId="6429820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0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09" w14:textId="77777777" w:rsidR="007B6C97" w:rsidRDefault="00E426D1">
            <w:pPr>
              <w:jc w:val="right"/>
              <w:textAlignment w:val="bottom"/>
            </w:pPr>
            <w:r>
              <w:rPr>
                <w:rFonts w:ascii="Times New Roman" w:eastAsia="宋体" w:hAnsi="Times New Roman"/>
                <w:color w:val="000000"/>
                <w:sz w:val="20"/>
                <w:szCs w:val="20"/>
              </w:rPr>
              <w:t>4.450 </w:t>
            </w:r>
          </w:p>
        </w:tc>
        <w:tc>
          <w:tcPr>
            <w:tcW w:w="0" w:type="auto"/>
            <w:shd w:val="clear" w:color="auto" w:fill="D7E4BC"/>
            <w:tcMar>
              <w:top w:w="40" w:type="dxa"/>
              <w:left w:w="0" w:type="dxa"/>
              <w:bottom w:w="40" w:type="dxa"/>
              <w:right w:w="20" w:type="dxa"/>
            </w:tcMar>
            <w:vAlign w:val="bottom"/>
          </w:tcPr>
          <w:p w14:paraId="6429820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20B" w14:textId="77777777" w:rsidR="007B6C97" w:rsidRDefault="00E426D1">
            <w:pPr>
              <w:jc w:val="right"/>
              <w:textAlignment w:val="bottom"/>
            </w:pPr>
            <w:r>
              <w:rPr>
                <w:rFonts w:ascii="Times New Roman" w:eastAsia="宋体" w:hAnsi="Times New Roman"/>
                <w:color w:val="000000"/>
                <w:sz w:val="20"/>
                <w:szCs w:val="20"/>
              </w:rPr>
              <w:t>4.447 </w:t>
            </w:r>
          </w:p>
        </w:tc>
        <w:tc>
          <w:tcPr>
            <w:tcW w:w="0" w:type="auto"/>
            <w:shd w:val="clear" w:color="auto" w:fill="D7E4BC"/>
            <w:tcMar>
              <w:top w:w="40" w:type="dxa"/>
              <w:left w:w="0" w:type="dxa"/>
              <w:bottom w:w="40" w:type="dxa"/>
              <w:right w:w="20" w:type="dxa"/>
            </w:tcMar>
            <w:vAlign w:val="bottom"/>
          </w:tcPr>
          <w:p w14:paraId="6429820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21D" w14:textId="77777777">
        <w:tc>
          <w:tcPr>
            <w:tcW w:w="0" w:type="auto"/>
            <w:gridSpan w:val="3"/>
            <w:shd w:val="clear" w:color="auto" w:fill="FFFFFF"/>
            <w:tcMar>
              <w:top w:w="40" w:type="dxa"/>
              <w:left w:w="20" w:type="dxa"/>
              <w:bottom w:w="40" w:type="dxa"/>
              <w:right w:w="20" w:type="dxa"/>
            </w:tcMar>
            <w:vAlign w:val="bottom"/>
          </w:tcPr>
          <w:p w14:paraId="6429820E" w14:textId="77777777" w:rsidR="007B6C97" w:rsidRDefault="00E426D1">
            <w:pPr>
              <w:textAlignment w:val="bottom"/>
            </w:pPr>
            <w:r>
              <w:rPr>
                <w:rFonts w:ascii="Times New Roman" w:eastAsia="宋体" w:hAnsi="Times New Roman"/>
                <w:color w:val="000000"/>
                <w:sz w:val="20"/>
                <w:szCs w:val="20"/>
              </w:rPr>
              <w:t>March 2050 notes</w:t>
            </w:r>
          </w:p>
        </w:tc>
        <w:tc>
          <w:tcPr>
            <w:tcW w:w="0" w:type="auto"/>
            <w:gridSpan w:val="2"/>
            <w:shd w:val="clear" w:color="auto" w:fill="FFFFFF"/>
            <w:tcMar>
              <w:top w:w="40" w:type="dxa"/>
              <w:left w:w="20" w:type="dxa"/>
              <w:bottom w:w="40" w:type="dxa"/>
              <w:right w:w="0" w:type="dxa"/>
            </w:tcMar>
            <w:vAlign w:val="bottom"/>
          </w:tcPr>
          <w:p w14:paraId="6429820F"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210"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211" w14:textId="77777777" w:rsidR="007B6C97" w:rsidRDefault="00E426D1">
            <w:pPr>
              <w:jc w:val="right"/>
              <w:textAlignment w:val="bottom"/>
            </w:pPr>
            <w:r>
              <w:rPr>
                <w:rFonts w:ascii="Times New Roman" w:eastAsia="宋体" w:hAnsi="Times New Roman"/>
                <w:color w:val="000000"/>
                <w:sz w:val="20"/>
                <w:szCs w:val="20"/>
              </w:rPr>
              <w:t>379.9 </w:t>
            </w:r>
          </w:p>
        </w:tc>
        <w:tc>
          <w:tcPr>
            <w:tcW w:w="0" w:type="auto"/>
            <w:shd w:val="clear" w:color="auto" w:fill="FFFFFF"/>
            <w:tcMar>
              <w:top w:w="40" w:type="dxa"/>
              <w:left w:w="0" w:type="dxa"/>
              <w:bottom w:w="40" w:type="dxa"/>
              <w:right w:w="20" w:type="dxa"/>
            </w:tcMar>
            <w:vAlign w:val="bottom"/>
          </w:tcPr>
          <w:p w14:paraId="6429821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1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14"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215" w14:textId="77777777" w:rsidR="007B6C97" w:rsidRDefault="007B6C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64298216" w14:textId="77777777" w:rsidR="007B6C97" w:rsidRDefault="00E426D1">
            <w:pPr>
              <w:jc w:val="right"/>
              <w:textAlignment w:val="bottom"/>
            </w:pPr>
            <w:r>
              <w:rPr>
                <w:rFonts w:ascii="Times New Roman" w:eastAsia="宋体" w:hAnsi="Times New Roman"/>
                <w:color w:val="000000"/>
                <w:sz w:val="20"/>
                <w:szCs w:val="20"/>
              </w:rPr>
              <w:t>527.5 </w:t>
            </w:r>
          </w:p>
        </w:tc>
        <w:tc>
          <w:tcPr>
            <w:tcW w:w="0" w:type="auto"/>
            <w:shd w:val="clear" w:color="auto" w:fill="FFFFFF"/>
            <w:tcMar>
              <w:top w:w="40" w:type="dxa"/>
              <w:left w:w="0" w:type="dxa"/>
              <w:bottom w:w="40" w:type="dxa"/>
              <w:right w:w="20" w:type="dxa"/>
            </w:tcMar>
            <w:vAlign w:val="bottom"/>
          </w:tcPr>
          <w:p w14:paraId="6429821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1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19" w14:textId="77777777" w:rsidR="007B6C97" w:rsidRDefault="00E426D1">
            <w:pPr>
              <w:jc w:val="right"/>
              <w:textAlignment w:val="bottom"/>
            </w:pPr>
            <w:r>
              <w:rPr>
                <w:rFonts w:ascii="Times New Roman" w:eastAsia="宋体" w:hAnsi="Times New Roman"/>
                <w:color w:val="000000"/>
                <w:sz w:val="20"/>
                <w:szCs w:val="20"/>
              </w:rPr>
              <w:t>3.350 </w:t>
            </w:r>
          </w:p>
        </w:tc>
        <w:tc>
          <w:tcPr>
            <w:tcW w:w="0" w:type="auto"/>
            <w:shd w:val="clear" w:color="auto" w:fill="FFFFFF"/>
            <w:tcMar>
              <w:top w:w="40" w:type="dxa"/>
              <w:left w:w="0" w:type="dxa"/>
              <w:bottom w:w="40" w:type="dxa"/>
              <w:right w:w="20" w:type="dxa"/>
            </w:tcMar>
            <w:vAlign w:val="bottom"/>
          </w:tcPr>
          <w:p w14:paraId="6429821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429821B" w14:textId="77777777" w:rsidR="007B6C97" w:rsidRDefault="00E426D1">
            <w:pPr>
              <w:jc w:val="right"/>
              <w:textAlignment w:val="bottom"/>
            </w:pPr>
            <w:r>
              <w:rPr>
                <w:rFonts w:ascii="Times New Roman" w:eastAsia="宋体" w:hAnsi="Times New Roman"/>
                <w:color w:val="000000"/>
                <w:sz w:val="20"/>
                <w:szCs w:val="20"/>
              </w:rPr>
              <w:t>3.362 </w:t>
            </w:r>
          </w:p>
        </w:tc>
        <w:tc>
          <w:tcPr>
            <w:tcW w:w="0" w:type="auto"/>
            <w:shd w:val="clear" w:color="auto" w:fill="FFFFFF"/>
            <w:tcMar>
              <w:top w:w="40" w:type="dxa"/>
              <w:left w:w="0" w:type="dxa"/>
              <w:bottom w:w="40" w:type="dxa"/>
              <w:right w:w="20" w:type="dxa"/>
            </w:tcMar>
            <w:vAlign w:val="bottom"/>
          </w:tcPr>
          <w:p w14:paraId="6429821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22D" w14:textId="77777777">
        <w:tc>
          <w:tcPr>
            <w:tcW w:w="0" w:type="auto"/>
            <w:gridSpan w:val="3"/>
            <w:shd w:val="clear" w:color="auto" w:fill="D7E4BC"/>
            <w:tcMar>
              <w:top w:w="40" w:type="dxa"/>
              <w:left w:w="20" w:type="dxa"/>
              <w:bottom w:w="40" w:type="dxa"/>
              <w:right w:w="20" w:type="dxa"/>
            </w:tcMar>
            <w:vAlign w:val="bottom"/>
          </w:tcPr>
          <w:p w14:paraId="6429821E" w14:textId="77777777" w:rsidR="007B6C97" w:rsidRDefault="00E426D1">
            <w:pPr>
              <w:textAlignment w:val="bottom"/>
            </w:pPr>
            <w:r>
              <w:rPr>
                <w:rFonts w:ascii="Times New Roman" w:eastAsia="宋体" w:hAnsi="Times New Roman"/>
                <w:color w:val="000000"/>
                <w:sz w:val="20"/>
                <w:szCs w:val="20"/>
              </w:rPr>
              <w:t>November 2050 notes</w:t>
            </w:r>
          </w:p>
        </w:tc>
        <w:tc>
          <w:tcPr>
            <w:tcW w:w="0" w:type="auto"/>
            <w:gridSpan w:val="2"/>
            <w:shd w:val="clear" w:color="auto" w:fill="D7E4BC"/>
            <w:tcMar>
              <w:top w:w="40" w:type="dxa"/>
              <w:left w:w="20" w:type="dxa"/>
              <w:bottom w:w="40" w:type="dxa"/>
              <w:right w:w="0" w:type="dxa"/>
            </w:tcMar>
            <w:vAlign w:val="bottom"/>
          </w:tcPr>
          <w:p w14:paraId="6429821F"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4298220"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221" w14:textId="77777777" w:rsidR="007B6C97" w:rsidRDefault="00E426D1">
            <w:pPr>
              <w:jc w:val="right"/>
              <w:textAlignment w:val="bottom"/>
            </w:pPr>
            <w:r>
              <w:rPr>
                <w:rFonts w:ascii="Times New Roman" w:eastAsia="宋体" w:hAnsi="Times New Roman"/>
                <w:color w:val="000000"/>
                <w:sz w:val="20"/>
                <w:szCs w:val="20"/>
              </w:rPr>
              <w:t>987.1 </w:t>
            </w:r>
          </w:p>
        </w:tc>
        <w:tc>
          <w:tcPr>
            <w:tcW w:w="0" w:type="auto"/>
            <w:shd w:val="clear" w:color="auto" w:fill="D7E4BC"/>
            <w:tcMar>
              <w:top w:w="40" w:type="dxa"/>
              <w:left w:w="0" w:type="dxa"/>
              <w:bottom w:w="40" w:type="dxa"/>
              <w:right w:w="20" w:type="dxa"/>
            </w:tcMar>
            <w:vAlign w:val="bottom"/>
          </w:tcPr>
          <w:p w14:paraId="642982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24"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4298225" w14:textId="77777777" w:rsidR="007B6C97" w:rsidRDefault="007B6C97">
            <w:pPr>
              <w:jc w:val="right"/>
              <w:rPr>
                <w:rFonts w:ascii="宋体"/>
              </w:rPr>
            </w:pPr>
          </w:p>
        </w:tc>
        <w:tc>
          <w:tcPr>
            <w:tcW w:w="0" w:type="auto"/>
            <w:gridSpan w:val="2"/>
            <w:shd w:val="clear" w:color="auto" w:fill="D7E4BC"/>
            <w:tcMar>
              <w:top w:w="40" w:type="dxa"/>
              <w:left w:w="20" w:type="dxa"/>
              <w:bottom w:w="40" w:type="dxa"/>
              <w:right w:w="0" w:type="dxa"/>
            </w:tcMar>
            <w:vAlign w:val="bottom"/>
          </w:tcPr>
          <w:p w14:paraId="64298226" w14:textId="77777777" w:rsidR="007B6C97" w:rsidRDefault="00E426D1">
            <w:pPr>
              <w:jc w:val="right"/>
              <w:textAlignment w:val="bottom"/>
            </w:pPr>
            <w:r>
              <w:rPr>
                <w:rFonts w:ascii="Times New Roman" w:eastAsia="宋体" w:hAnsi="Times New Roman"/>
                <w:color w:val="000000"/>
                <w:sz w:val="20"/>
                <w:szCs w:val="20"/>
              </w:rPr>
              <w:t>1,339.5 </w:t>
            </w:r>
          </w:p>
        </w:tc>
        <w:tc>
          <w:tcPr>
            <w:tcW w:w="0" w:type="auto"/>
            <w:shd w:val="clear" w:color="auto" w:fill="D7E4BC"/>
            <w:tcMar>
              <w:top w:w="40" w:type="dxa"/>
              <w:left w:w="0" w:type="dxa"/>
              <w:bottom w:w="40" w:type="dxa"/>
              <w:right w:w="20" w:type="dxa"/>
            </w:tcMar>
            <w:vAlign w:val="bottom"/>
          </w:tcPr>
          <w:p w14:paraId="6429822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2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29" w14:textId="77777777" w:rsidR="007B6C97" w:rsidRDefault="00E426D1">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6429822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429822B" w14:textId="77777777" w:rsidR="007B6C97" w:rsidRDefault="00E426D1">
            <w:pPr>
              <w:jc w:val="right"/>
              <w:textAlignment w:val="bottom"/>
            </w:pPr>
            <w:r>
              <w:rPr>
                <w:rFonts w:ascii="Times New Roman" w:eastAsia="宋体" w:hAnsi="Times New Roman"/>
                <w:color w:val="000000"/>
                <w:sz w:val="20"/>
                <w:szCs w:val="20"/>
              </w:rPr>
              <w:t>3.528 </w:t>
            </w:r>
          </w:p>
        </w:tc>
        <w:tc>
          <w:tcPr>
            <w:tcW w:w="0" w:type="auto"/>
            <w:shd w:val="clear" w:color="auto" w:fill="D7E4BC"/>
            <w:tcMar>
              <w:top w:w="40" w:type="dxa"/>
              <w:left w:w="0" w:type="dxa"/>
              <w:bottom w:w="40" w:type="dxa"/>
              <w:right w:w="20" w:type="dxa"/>
            </w:tcMar>
            <w:vAlign w:val="bottom"/>
          </w:tcPr>
          <w:p w14:paraId="6429822C"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23B" w14:textId="77777777">
        <w:tc>
          <w:tcPr>
            <w:tcW w:w="0" w:type="auto"/>
            <w:gridSpan w:val="3"/>
            <w:shd w:val="clear" w:color="auto" w:fill="FFFFFF"/>
            <w:tcMar>
              <w:top w:w="40" w:type="dxa"/>
              <w:left w:w="200" w:type="dxa"/>
              <w:bottom w:w="40" w:type="dxa"/>
              <w:right w:w="20" w:type="dxa"/>
            </w:tcMar>
            <w:vAlign w:val="bottom"/>
          </w:tcPr>
          <w:p w14:paraId="6429822E" w14:textId="77777777" w:rsidR="007B6C97" w:rsidRDefault="00E426D1">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22F" w14:textId="77777777" w:rsidR="007B6C97" w:rsidRDefault="00E426D1">
            <w:pPr>
              <w:jc w:val="right"/>
              <w:textAlignment w:val="bottom"/>
            </w:pPr>
            <w:r>
              <w:rPr>
                <w:rFonts w:ascii="Times New Roman" w:eastAsia="宋体" w:hAnsi="Times New Roman"/>
                <w:color w:val="000000"/>
                <w:sz w:val="20"/>
                <w:szCs w:val="20"/>
              </w:rPr>
              <w:t>15,076.3 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230" w14:textId="77777777" w:rsidR="007B6C97" w:rsidRDefault="007B6C97">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231" w14:textId="77777777" w:rsidR="007B6C97" w:rsidRDefault="00E426D1">
            <w:pPr>
              <w:jc w:val="right"/>
              <w:textAlignment w:val="bottom"/>
            </w:pPr>
            <w:r>
              <w:rPr>
                <w:rFonts w:ascii="Times New Roman" w:eastAsia="宋体" w:hAnsi="Times New Roman"/>
                <w:color w:val="000000"/>
                <w:sz w:val="20"/>
                <w:szCs w:val="20"/>
              </w:rPr>
              <w:t>13,824.2 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23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33"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234" w14:textId="77777777" w:rsidR="007B6C97" w:rsidRDefault="00E426D1">
            <w:pPr>
              <w:jc w:val="right"/>
              <w:textAlignment w:val="bottom"/>
            </w:pPr>
            <w:r>
              <w:rPr>
                <w:rFonts w:ascii="Times New Roman" w:eastAsia="宋体" w:hAnsi="Times New Roman"/>
                <w:color w:val="000000"/>
                <w:sz w:val="20"/>
                <w:szCs w:val="20"/>
              </w:rPr>
              <w:t>14,713.8 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235" w14:textId="77777777" w:rsidR="007B6C97" w:rsidRDefault="007B6C97">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236" w14:textId="77777777" w:rsidR="007B6C97" w:rsidRDefault="00E426D1">
            <w:pPr>
              <w:jc w:val="right"/>
              <w:textAlignment w:val="bottom"/>
            </w:pPr>
            <w:r>
              <w:rPr>
                <w:rFonts w:ascii="Times New Roman" w:eastAsia="宋体" w:hAnsi="Times New Roman"/>
                <w:color w:val="000000"/>
                <w:sz w:val="20"/>
                <w:szCs w:val="20"/>
              </w:rPr>
              <w:t>16,014.1 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23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3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3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3A" w14:textId="77777777" w:rsidR="007B6C97" w:rsidRDefault="007B6C97">
            <w:pPr>
              <w:rPr>
                <w:rFonts w:ascii="宋体"/>
              </w:rPr>
            </w:pPr>
          </w:p>
        </w:tc>
      </w:tr>
      <w:tr w:rsidR="007B6C97" w14:paraId="64298247" w14:textId="77777777">
        <w:tc>
          <w:tcPr>
            <w:tcW w:w="0" w:type="auto"/>
            <w:gridSpan w:val="3"/>
            <w:shd w:val="clear" w:color="auto" w:fill="D7E4BC"/>
            <w:tcMar>
              <w:top w:w="40" w:type="dxa"/>
              <w:left w:w="20" w:type="dxa"/>
              <w:bottom w:w="40" w:type="dxa"/>
              <w:right w:w="20" w:type="dxa"/>
            </w:tcMar>
            <w:vAlign w:val="bottom"/>
          </w:tcPr>
          <w:p w14:paraId="6429823C" w14:textId="77777777" w:rsidR="007B6C97" w:rsidRDefault="00E426D1">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D7E4BC"/>
            <w:tcMar>
              <w:top w:w="40" w:type="dxa"/>
              <w:left w:w="20" w:type="dxa"/>
              <w:bottom w:w="40" w:type="dxa"/>
              <w:right w:w="0" w:type="dxa"/>
            </w:tcMar>
            <w:vAlign w:val="bottom"/>
          </w:tcPr>
          <w:p w14:paraId="6429823D" w14:textId="77777777" w:rsidR="007B6C97" w:rsidRDefault="00E426D1">
            <w:pPr>
              <w:jc w:val="right"/>
              <w:textAlignment w:val="bottom"/>
            </w:pPr>
            <w:r>
              <w:rPr>
                <w:rFonts w:ascii="Times New Roman" w:eastAsia="宋体" w:hAnsi="Times New Roman"/>
                <w:color w:val="000000"/>
                <w:sz w:val="20"/>
                <w:szCs w:val="20"/>
              </w:rPr>
              <w:t>(12</w:t>
            </w: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bottom"/>
          </w:tcPr>
          <w:p w14:paraId="6429823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3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4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41" w14:textId="77777777" w:rsidR="007B6C97" w:rsidRDefault="00E426D1">
            <w:pPr>
              <w:jc w:val="right"/>
              <w:textAlignment w:val="bottom"/>
            </w:pPr>
            <w:r>
              <w:rPr>
                <w:rFonts w:ascii="Times New Roman" w:eastAsia="宋体" w:hAnsi="Times New Roman"/>
                <w:color w:val="000000"/>
                <w:sz w:val="20"/>
                <w:szCs w:val="20"/>
              </w:rPr>
              <w:t>(119.7)</w:t>
            </w:r>
          </w:p>
        </w:tc>
        <w:tc>
          <w:tcPr>
            <w:tcW w:w="0" w:type="auto"/>
            <w:shd w:val="clear" w:color="auto" w:fill="D7E4BC"/>
            <w:tcMar>
              <w:top w:w="40" w:type="dxa"/>
              <w:left w:w="0" w:type="dxa"/>
              <w:bottom w:w="40" w:type="dxa"/>
              <w:right w:w="20" w:type="dxa"/>
            </w:tcMar>
            <w:vAlign w:val="bottom"/>
          </w:tcPr>
          <w:p w14:paraId="6429824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4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4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4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46" w14:textId="77777777" w:rsidR="007B6C97" w:rsidRDefault="007B6C97">
            <w:pPr>
              <w:rPr>
                <w:rFonts w:ascii="宋体"/>
              </w:rPr>
            </w:pPr>
          </w:p>
        </w:tc>
      </w:tr>
      <w:tr w:rsidR="007B6C97" w14:paraId="64298253" w14:textId="77777777">
        <w:tc>
          <w:tcPr>
            <w:tcW w:w="0" w:type="auto"/>
            <w:gridSpan w:val="3"/>
            <w:shd w:val="clear" w:color="auto" w:fill="FFFFFF"/>
            <w:tcMar>
              <w:top w:w="40" w:type="dxa"/>
              <w:left w:w="20" w:type="dxa"/>
              <w:bottom w:w="40" w:type="dxa"/>
              <w:right w:w="20" w:type="dxa"/>
            </w:tcMar>
            <w:vAlign w:val="bottom"/>
          </w:tcPr>
          <w:p w14:paraId="64298248"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4298249" w14:textId="77777777" w:rsidR="007B6C97" w:rsidRDefault="00E426D1">
            <w:pPr>
              <w:jc w:val="right"/>
              <w:textAlignment w:val="bottom"/>
            </w:pPr>
            <w:r>
              <w:rPr>
                <w:rFonts w:ascii="Times New Roman" w:eastAsia="宋体" w:hAnsi="Times New Roman"/>
                <w:color w:val="000000"/>
                <w:sz w:val="20"/>
                <w:szCs w:val="20"/>
              </w:rPr>
              <w:t>(25.9)</w:t>
            </w:r>
          </w:p>
        </w:tc>
        <w:tc>
          <w:tcPr>
            <w:tcW w:w="0" w:type="auto"/>
            <w:shd w:val="clear" w:color="auto" w:fill="FFFFFF"/>
            <w:tcMar>
              <w:top w:w="40" w:type="dxa"/>
              <w:left w:w="0" w:type="dxa"/>
              <w:bottom w:w="40" w:type="dxa"/>
              <w:right w:w="20" w:type="dxa"/>
            </w:tcMar>
            <w:vAlign w:val="bottom"/>
          </w:tcPr>
          <w:p w14:paraId="6429824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4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4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4D" w14:textId="77777777" w:rsidR="007B6C97" w:rsidRDefault="00E426D1">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6429824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4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5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5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252" w14:textId="77777777" w:rsidR="007B6C97" w:rsidRDefault="007B6C97">
            <w:pPr>
              <w:rPr>
                <w:rFonts w:ascii="宋体"/>
              </w:rPr>
            </w:pPr>
          </w:p>
        </w:tc>
      </w:tr>
      <w:tr w:rsidR="007B6C97" w14:paraId="64298261" w14:textId="77777777">
        <w:tc>
          <w:tcPr>
            <w:tcW w:w="0" w:type="auto"/>
            <w:gridSpan w:val="3"/>
            <w:shd w:val="clear" w:color="auto" w:fill="D7E4BC"/>
            <w:tcMar>
              <w:top w:w="40" w:type="dxa"/>
              <w:left w:w="200" w:type="dxa"/>
              <w:bottom w:w="40" w:type="dxa"/>
              <w:right w:w="20" w:type="dxa"/>
            </w:tcMar>
            <w:vAlign w:val="bottom"/>
          </w:tcPr>
          <w:p w14:paraId="64298254" w14:textId="77777777" w:rsidR="007B6C97" w:rsidRDefault="00E426D1">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25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256" w14:textId="77777777" w:rsidR="007B6C97" w:rsidRDefault="00E426D1">
            <w:pPr>
              <w:jc w:val="right"/>
              <w:textAlignment w:val="bottom"/>
            </w:pPr>
            <w:r>
              <w:rPr>
                <w:rFonts w:ascii="Times New Roman" w:eastAsia="宋体" w:hAnsi="Times New Roman"/>
                <w:color w:val="000000"/>
                <w:sz w:val="20"/>
                <w:szCs w:val="20"/>
              </w:rPr>
              <w:t>14,929.9 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25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5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59"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25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25B" w14:textId="77777777" w:rsidR="007B6C97" w:rsidRDefault="00E426D1">
            <w:pPr>
              <w:jc w:val="right"/>
              <w:textAlignment w:val="bottom"/>
            </w:pPr>
            <w:r>
              <w:rPr>
                <w:rFonts w:ascii="Times New Roman" w:eastAsia="宋体" w:hAnsi="Times New Roman"/>
                <w:color w:val="000000"/>
                <w:sz w:val="20"/>
                <w:szCs w:val="20"/>
              </w:rPr>
              <w:t>14,615.8 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25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5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5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5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260" w14:textId="77777777" w:rsidR="007B6C97" w:rsidRDefault="007B6C97">
            <w:pPr>
              <w:rPr>
                <w:rFonts w:ascii="宋体"/>
              </w:rPr>
            </w:pPr>
          </w:p>
        </w:tc>
      </w:tr>
    </w:tbl>
    <w:p w14:paraId="64298262" w14:textId="77777777" w:rsidR="007B6C97" w:rsidRDefault="00E426D1">
      <w:pPr>
        <w:pBdr>
          <w:left w:val="none" w:sz="0" w:space="0" w:color="auto"/>
        </w:pBd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interest rate risk prior to the debt issuance.</w:t>
      </w:r>
    </w:p>
    <w:p w14:paraId="64298263" w14:textId="77777777" w:rsidR="007B6C97" w:rsidRDefault="00E426D1">
      <w:pPr>
        <w:pBdr>
          <w:left w:val="none" w:sz="0" w:space="0" w:color="auto"/>
        </w:pBd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hedging our October 2023 notes and $350 million of our August 2029 notes. Refer to </w:t>
      </w:r>
      <w:hyperlink r:id="rId122" w:anchor="ie38a2b375c9840e583a36769999bbee6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 additional information on our interest rate swaps designated as fair value hedges.</w:t>
      </w:r>
    </w:p>
    <w:p w14:paraId="64298264" w14:textId="77777777" w:rsidR="007B6C97" w:rsidRDefault="00E426D1">
      <w:pPr>
        <w:pBdr>
          <w:left w:val="none" w:sz="0" w:space="0" w:color="auto"/>
        </w:pBd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Floating rate notes which bear interest at a </w:t>
      </w:r>
      <w:r>
        <w:rPr>
          <w:rFonts w:ascii="Times New Roman" w:eastAsia="宋体" w:hAnsi="Times New Roman"/>
          <w:color w:val="000000"/>
          <w:sz w:val="20"/>
          <w:szCs w:val="20"/>
        </w:rPr>
        <w:t>rate equal to Compounded SOFR (as defined in the February 2024 notes) plus 0.420%, resulting in a stated interest rate of 1.504% at July 3, 2022.</w:t>
      </w:r>
    </w:p>
    <w:p w14:paraId="64298265" w14:textId="77777777" w:rsidR="007B6C97" w:rsidRDefault="00E426D1">
      <w:pPr>
        <w:pBdr>
          <w:left w:val="none" w:sz="0" w:space="0" w:color="auto"/>
        </w:pBd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64298266" w14:textId="77777777" w:rsidR="007B6C97" w:rsidRDefault="00E426D1">
      <w:pPr>
        <w:jc w:val="center"/>
      </w:pPr>
      <w:r>
        <w:rPr>
          <w:rFonts w:ascii="Times New Roman" w:eastAsia="宋体" w:hAnsi="Times New Roman"/>
          <w:color w:val="000000"/>
          <w:sz w:val="20"/>
          <w:szCs w:val="20"/>
        </w:rPr>
        <w:t>22</w:t>
      </w:r>
    </w:p>
    <w:p w14:paraId="64298267" w14:textId="77777777" w:rsidR="007B6C97" w:rsidRDefault="00E426D1">
      <w:r>
        <w:pict w14:anchorId="642999F0">
          <v:rect id="_x0000_i1046" style="width:415.3pt;height:1.5pt" o:hralign="center" o:hrstd="t" o:hr="t" fillcolor="#a0a0a0" stroked="f"/>
        </w:pict>
      </w:r>
    </w:p>
    <w:p w14:paraId="64298268" w14:textId="77777777" w:rsidR="007B6C97" w:rsidRDefault="00E426D1">
      <w:hyperlink r:id="rId123" w:anchor="ie38a2b375c9840e583a36769999bbee6_7" w:history="1">
        <w:r>
          <w:rPr>
            <w:rStyle w:val="a5"/>
            <w:rFonts w:ascii="Times New Roman" w:eastAsia="宋体" w:hAnsi="Times New Roman"/>
            <w:sz w:val="20"/>
            <w:szCs w:val="20"/>
          </w:rPr>
          <w:t>Table</w:t>
        </w:r>
      </w:hyperlink>
      <w:hyperlink r:id="rId124" w:anchor="ie38a2b375c9840e583a36769999bbee6_7" w:history="1">
        <w:r>
          <w:rPr>
            <w:rStyle w:val="a5"/>
            <w:rFonts w:ascii="Times New Roman" w:eastAsia="宋体" w:hAnsi="Times New Roman"/>
            <w:sz w:val="20"/>
            <w:szCs w:val="20"/>
          </w:rPr>
          <w:t xml:space="preserve"> of Conte</w:t>
        </w:r>
        <w:r>
          <w:rPr>
            <w:rStyle w:val="a5"/>
            <w:rFonts w:ascii="Times New Roman" w:eastAsia="宋体" w:hAnsi="Times New Roman"/>
            <w:sz w:val="20"/>
            <w:szCs w:val="20"/>
          </w:rPr>
          <w:t>nts</w:t>
        </w:r>
      </w:hyperlink>
    </w:p>
    <w:p w14:paraId="64298269" w14:textId="77777777" w:rsidR="007B6C97" w:rsidRDefault="00E426D1">
      <w:pPr>
        <w:spacing w:before="120"/>
      </w:pPr>
      <w:r>
        <w:rPr>
          <w:rFonts w:ascii="Times New Roman" w:eastAsia="宋体" w:hAnsi="Times New Roman"/>
          <w:color w:val="000000"/>
          <w:sz w:val="20"/>
          <w:szCs w:val="20"/>
        </w:rPr>
        <w:t>The following table summarizes our long-term debt maturities as of July 3, 2022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6"/>
        <w:gridCol w:w="120"/>
        <w:gridCol w:w="1327"/>
        <w:gridCol w:w="36"/>
      </w:tblGrid>
      <w:tr w:rsidR="007B6C97" w14:paraId="64298270" w14:textId="77777777">
        <w:tc>
          <w:tcPr>
            <w:tcW w:w="50" w:type="pct"/>
            <w:shd w:val="clear" w:color="auto" w:fill="auto"/>
            <w:vAlign w:val="bottom"/>
          </w:tcPr>
          <w:p w14:paraId="6429826A" w14:textId="77777777" w:rsidR="007B6C97" w:rsidRDefault="007B6C97">
            <w:pPr>
              <w:rPr>
                <w:rFonts w:ascii="宋体"/>
              </w:rPr>
            </w:pPr>
          </w:p>
        </w:tc>
        <w:tc>
          <w:tcPr>
            <w:tcW w:w="4075" w:type="pct"/>
            <w:shd w:val="clear" w:color="auto" w:fill="auto"/>
            <w:vAlign w:val="bottom"/>
          </w:tcPr>
          <w:p w14:paraId="6429826B" w14:textId="77777777" w:rsidR="007B6C97" w:rsidRDefault="007B6C97">
            <w:pPr>
              <w:rPr>
                <w:rFonts w:ascii="宋体"/>
              </w:rPr>
            </w:pPr>
          </w:p>
        </w:tc>
        <w:tc>
          <w:tcPr>
            <w:tcW w:w="5" w:type="pct"/>
            <w:shd w:val="clear" w:color="auto" w:fill="auto"/>
            <w:vAlign w:val="bottom"/>
          </w:tcPr>
          <w:p w14:paraId="6429826C" w14:textId="77777777" w:rsidR="007B6C97" w:rsidRDefault="007B6C97">
            <w:pPr>
              <w:rPr>
                <w:rFonts w:ascii="宋体"/>
              </w:rPr>
            </w:pPr>
          </w:p>
        </w:tc>
        <w:tc>
          <w:tcPr>
            <w:tcW w:w="50" w:type="pct"/>
            <w:shd w:val="clear" w:color="auto" w:fill="auto"/>
            <w:vAlign w:val="bottom"/>
          </w:tcPr>
          <w:p w14:paraId="6429826D" w14:textId="77777777" w:rsidR="007B6C97" w:rsidRDefault="007B6C97">
            <w:pPr>
              <w:rPr>
                <w:rFonts w:ascii="宋体"/>
              </w:rPr>
            </w:pPr>
          </w:p>
        </w:tc>
        <w:tc>
          <w:tcPr>
            <w:tcW w:w="814" w:type="pct"/>
            <w:shd w:val="clear" w:color="auto" w:fill="auto"/>
            <w:vAlign w:val="bottom"/>
          </w:tcPr>
          <w:p w14:paraId="6429826E" w14:textId="77777777" w:rsidR="007B6C97" w:rsidRDefault="007B6C97">
            <w:pPr>
              <w:rPr>
                <w:rFonts w:ascii="宋体"/>
              </w:rPr>
            </w:pPr>
          </w:p>
        </w:tc>
        <w:tc>
          <w:tcPr>
            <w:tcW w:w="5" w:type="pct"/>
            <w:shd w:val="clear" w:color="auto" w:fill="auto"/>
            <w:vAlign w:val="bottom"/>
          </w:tcPr>
          <w:p w14:paraId="6429826F" w14:textId="77777777" w:rsidR="007B6C97" w:rsidRDefault="007B6C97">
            <w:pPr>
              <w:rPr>
                <w:rFonts w:ascii="宋体"/>
              </w:rPr>
            </w:pPr>
          </w:p>
        </w:tc>
      </w:tr>
      <w:tr w:rsidR="007B6C97" w14:paraId="64298273" w14:textId="77777777">
        <w:tc>
          <w:tcPr>
            <w:tcW w:w="0" w:type="auto"/>
            <w:gridSpan w:val="3"/>
            <w:shd w:val="clear" w:color="auto" w:fill="auto"/>
            <w:tcMar>
              <w:top w:w="40" w:type="dxa"/>
              <w:left w:w="20" w:type="dxa"/>
              <w:bottom w:w="40" w:type="dxa"/>
              <w:right w:w="20" w:type="dxa"/>
            </w:tcMar>
            <w:vAlign w:val="bottom"/>
          </w:tcPr>
          <w:p w14:paraId="64298271" w14:textId="77777777" w:rsidR="007B6C97" w:rsidRDefault="00E426D1">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64298272"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276" w14:textId="77777777">
        <w:trPr>
          <w:hidden/>
        </w:trPr>
        <w:tc>
          <w:tcPr>
            <w:tcW w:w="0" w:type="auto"/>
            <w:gridSpan w:val="3"/>
            <w:shd w:val="clear" w:color="auto" w:fill="auto"/>
            <w:vAlign w:val="bottom"/>
          </w:tcPr>
          <w:p w14:paraId="64298274" w14:textId="77777777" w:rsidR="007B6C97" w:rsidRDefault="007B6C97">
            <w:pPr>
              <w:rPr>
                <w:rFonts w:ascii="宋体"/>
                <w:vanish/>
              </w:rPr>
            </w:pPr>
          </w:p>
        </w:tc>
        <w:tc>
          <w:tcPr>
            <w:tcW w:w="0" w:type="auto"/>
            <w:gridSpan w:val="3"/>
            <w:shd w:val="clear" w:color="auto" w:fill="auto"/>
            <w:vAlign w:val="bottom"/>
          </w:tcPr>
          <w:p w14:paraId="64298275" w14:textId="77777777" w:rsidR="007B6C97" w:rsidRDefault="007B6C97">
            <w:pPr>
              <w:rPr>
                <w:rFonts w:ascii="宋体"/>
                <w:vanish/>
              </w:rPr>
            </w:pPr>
          </w:p>
        </w:tc>
      </w:tr>
      <w:tr w:rsidR="007B6C97" w14:paraId="64298279" w14:textId="77777777">
        <w:trPr>
          <w:hidden/>
        </w:trPr>
        <w:tc>
          <w:tcPr>
            <w:tcW w:w="0" w:type="auto"/>
            <w:gridSpan w:val="3"/>
            <w:shd w:val="clear" w:color="auto" w:fill="auto"/>
            <w:vAlign w:val="bottom"/>
          </w:tcPr>
          <w:p w14:paraId="64298277" w14:textId="77777777" w:rsidR="007B6C97" w:rsidRDefault="007B6C97">
            <w:pPr>
              <w:rPr>
                <w:rFonts w:ascii="宋体"/>
                <w:vanish/>
              </w:rPr>
            </w:pPr>
          </w:p>
        </w:tc>
        <w:tc>
          <w:tcPr>
            <w:tcW w:w="0" w:type="auto"/>
            <w:gridSpan w:val="3"/>
            <w:shd w:val="clear" w:color="auto" w:fill="auto"/>
            <w:vAlign w:val="bottom"/>
          </w:tcPr>
          <w:p w14:paraId="64298278" w14:textId="77777777" w:rsidR="007B6C97" w:rsidRDefault="007B6C97">
            <w:pPr>
              <w:rPr>
                <w:rFonts w:ascii="宋体"/>
                <w:vanish/>
              </w:rPr>
            </w:pPr>
          </w:p>
        </w:tc>
      </w:tr>
      <w:tr w:rsidR="007B6C97" w14:paraId="6429827E" w14:textId="77777777">
        <w:tc>
          <w:tcPr>
            <w:tcW w:w="0" w:type="auto"/>
            <w:gridSpan w:val="3"/>
            <w:shd w:val="clear" w:color="auto" w:fill="D7E4BC"/>
            <w:tcMar>
              <w:top w:w="40" w:type="dxa"/>
              <w:left w:w="20" w:type="dxa"/>
              <w:bottom w:w="40" w:type="dxa"/>
              <w:right w:w="20" w:type="dxa"/>
            </w:tcMar>
            <w:vAlign w:val="bottom"/>
          </w:tcPr>
          <w:p w14:paraId="6429827A" w14:textId="77777777" w:rsidR="007B6C97" w:rsidRDefault="00E426D1">
            <w:pPr>
              <w:textAlignment w:val="bottom"/>
            </w:pPr>
            <w:r>
              <w:rPr>
                <w:rFonts w:ascii="Times New Roman" w:eastAsia="宋体" w:hAnsi="Times New Roman"/>
                <w:color w:val="000000"/>
                <w:sz w:val="20"/>
                <w:szCs w:val="20"/>
              </w:rPr>
              <w:t>2023</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27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27C" w14:textId="77777777" w:rsidR="007B6C97" w:rsidRDefault="00E426D1">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27D" w14:textId="77777777" w:rsidR="007B6C97" w:rsidRDefault="007B6C97">
            <w:pPr>
              <w:jc w:val="right"/>
              <w:rPr>
                <w:rFonts w:ascii="宋体"/>
              </w:rPr>
            </w:pPr>
          </w:p>
        </w:tc>
      </w:tr>
      <w:tr w:rsidR="007B6C97" w14:paraId="64298282" w14:textId="77777777">
        <w:tc>
          <w:tcPr>
            <w:tcW w:w="0" w:type="auto"/>
            <w:gridSpan w:val="3"/>
            <w:shd w:val="clear" w:color="auto" w:fill="FFFFFF"/>
            <w:tcMar>
              <w:top w:w="40" w:type="dxa"/>
              <w:left w:w="20" w:type="dxa"/>
              <w:bottom w:w="40" w:type="dxa"/>
              <w:right w:w="20" w:type="dxa"/>
            </w:tcMar>
            <w:vAlign w:val="bottom"/>
          </w:tcPr>
          <w:p w14:paraId="6429827F" w14:textId="77777777" w:rsidR="007B6C97" w:rsidRDefault="00E426D1">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4298280" w14:textId="77777777" w:rsidR="007B6C97" w:rsidRDefault="00E426D1">
            <w:pPr>
              <w:jc w:val="right"/>
              <w:textAlignment w:val="bottom"/>
            </w:pPr>
            <w:r>
              <w:rPr>
                <w:rFonts w:ascii="Times New Roman" w:eastAsia="宋体" w:hAnsi="Times New Roman"/>
                <w:color w:val="000000"/>
                <w:sz w:val="20"/>
                <w:szCs w:val="20"/>
              </w:rPr>
              <w:t>1,876.3 </w:t>
            </w:r>
          </w:p>
        </w:tc>
        <w:tc>
          <w:tcPr>
            <w:tcW w:w="0" w:type="auto"/>
            <w:shd w:val="clear" w:color="auto" w:fill="FFFFFF"/>
            <w:tcMar>
              <w:top w:w="40" w:type="dxa"/>
              <w:left w:w="0" w:type="dxa"/>
              <w:bottom w:w="40" w:type="dxa"/>
              <w:right w:w="20" w:type="dxa"/>
            </w:tcMar>
            <w:vAlign w:val="bottom"/>
          </w:tcPr>
          <w:p w14:paraId="64298281" w14:textId="77777777" w:rsidR="007B6C97" w:rsidRDefault="007B6C97">
            <w:pPr>
              <w:jc w:val="right"/>
              <w:rPr>
                <w:rFonts w:ascii="宋体"/>
              </w:rPr>
            </w:pPr>
          </w:p>
        </w:tc>
      </w:tr>
      <w:tr w:rsidR="007B6C97" w14:paraId="64298286" w14:textId="77777777">
        <w:tc>
          <w:tcPr>
            <w:tcW w:w="0" w:type="auto"/>
            <w:gridSpan w:val="3"/>
            <w:shd w:val="clear" w:color="auto" w:fill="D7E4BC"/>
            <w:tcMar>
              <w:top w:w="40" w:type="dxa"/>
              <w:left w:w="20" w:type="dxa"/>
              <w:bottom w:w="40" w:type="dxa"/>
              <w:right w:w="20" w:type="dxa"/>
            </w:tcMar>
            <w:vAlign w:val="bottom"/>
          </w:tcPr>
          <w:p w14:paraId="64298283" w14:textId="77777777" w:rsidR="007B6C97" w:rsidRDefault="00E426D1">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64298284" w14:textId="77777777" w:rsidR="007B6C97" w:rsidRDefault="00E426D1">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4298285" w14:textId="77777777" w:rsidR="007B6C97" w:rsidRDefault="007B6C97">
            <w:pPr>
              <w:jc w:val="right"/>
              <w:rPr>
                <w:rFonts w:ascii="宋体"/>
              </w:rPr>
            </w:pPr>
          </w:p>
        </w:tc>
      </w:tr>
      <w:tr w:rsidR="007B6C97" w14:paraId="6429828A" w14:textId="77777777">
        <w:tc>
          <w:tcPr>
            <w:tcW w:w="0" w:type="auto"/>
            <w:gridSpan w:val="3"/>
            <w:shd w:val="clear" w:color="auto" w:fill="FFFFFF"/>
            <w:tcMar>
              <w:top w:w="40" w:type="dxa"/>
              <w:left w:w="20" w:type="dxa"/>
              <w:bottom w:w="40" w:type="dxa"/>
              <w:right w:w="20" w:type="dxa"/>
            </w:tcMar>
            <w:vAlign w:val="bottom"/>
          </w:tcPr>
          <w:p w14:paraId="64298287" w14:textId="77777777" w:rsidR="007B6C97" w:rsidRDefault="00E426D1">
            <w:pPr>
              <w:textAlignment w:val="bottom"/>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64298288" w14:textId="77777777" w:rsidR="007B6C97" w:rsidRDefault="00E426D1">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4298289" w14:textId="77777777" w:rsidR="007B6C97" w:rsidRDefault="007B6C97">
            <w:pPr>
              <w:jc w:val="right"/>
              <w:rPr>
                <w:rFonts w:ascii="宋体"/>
              </w:rPr>
            </w:pPr>
          </w:p>
        </w:tc>
      </w:tr>
      <w:tr w:rsidR="007B6C97" w14:paraId="6429828E" w14:textId="77777777">
        <w:tc>
          <w:tcPr>
            <w:tcW w:w="0" w:type="auto"/>
            <w:gridSpan w:val="3"/>
            <w:shd w:val="clear" w:color="auto" w:fill="D7E4BC"/>
            <w:tcMar>
              <w:top w:w="40" w:type="dxa"/>
              <w:left w:w="20" w:type="dxa"/>
              <w:bottom w:w="40" w:type="dxa"/>
              <w:right w:w="20" w:type="dxa"/>
            </w:tcMar>
            <w:vAlign w:val="bottom"/>
          </w:tcPr>
          <w:p w14:paraId="6429828B" w14:textId="77777777" w:rsidR="007B6C97" w:rsidRDefault="00E426D1">
            <w:pPr>
              <w:textAlignment w:val="bottom"/>
            </w:pPr>
            <w:r>
              <w:rPr>
                <w:rFonts w:ascii="Times New Roman" w:eastAsia="宋体" w:hAnsi="Times New Roman"/>
                <w:color w:val="000000"/>
                <w:sz w:val="20"/>
                <w:szCs w:val="20"/>
              </w:rPr>
              <w:t>Thereafter</w:t>
            </w:r>
          </w:p>
        </w:tc>
        <w:tc>
          <w:tcPr>
            <w:tcW w:w="0" w:type="auto"/>
            <w:gridSpan w:val="2"/>
            <w:shd w:val="clear" w:color="auto" w:fill="D7E4BC"/>
            <w:tcMar>
              <w:top w:w="40" w:type="dxa"/>
              <w:left w:w="20" w:type="dxa"/>
              <w:bottom w:w="40" w:type="dxa"/>
              <w:right w:w="0" w:type="dxa"/>
            </w:tcMar>
            <w:vAlign w:val="bottom"/>
          </w:tcPr>
          <w:p w14:paraId="6429828C" w14:textId="77777777" w:rsidR="007B6C97" w:rsidRDefault="00E426D1">
            <w:pPr>
              <w:jc w:val="right"/>
              <w:textAlignment w:val="bottom"/>
            </w:pPr>
            <w:r>
              <w:rPr>
                <w:rFonts w:ascii="Times New Roman" w:eastAsia="宋体" w:hAnsi="Times New Roman"/>
                <w:color w:val="000000"/>
                <w:sz w:val="20"/>
                <w:szCs w:val="20"/>
              </w:rPr>
              <w:t>10,450.0 </w:t>
            </w:r>
          </w:p>
        </w:tc>
        <w:tc>
          <w:tcPr>
            <w:tcW w:w="0" w:type="auto"/>
            <w:shd w:val="clear" w:color="auto" w:fill="D7E4BC"/>
            <w:tcMar>
              <w:top w:w="40" w:type="dxa"/>
              <w:left w:w="0" w:type="dxa"/>
              <w:bottom w:w="40" w:type="dxa"/>
              <w:right w:w="20" w:type="dxa"/>
            </w:tcMar>
            <w:vAlign w:val="bottom"/>
          </w:tcPr>
          <w:p w14:paraId="6429828D" w14:textId="77777777" w:rsidR="007B6C97" w:rsidRDefault="007B6C97">
            <w:pPr>
              <w:jc w:val="right"/>
              <w:rPr>
                <w:rFonts w:ascii="宋体"/>
              </w:rPr>
            </w:pPr>
          </w:p>
        </w:tc>
      </w:tr>
      <w:tr w:rsidR="007B6C97" w14:paraId="64298293" w14:textId="77777777">
        <w:tc>
          <w:tcPr>
            <w:tcW w:w="0" w:type="auto"/>
            <w:gridSpan w:val="3"/>
            <w:shd w:val="clear" w:color="auto" w:fill="FFFFFF"/>
            <w:tcMar>
              <w:top w:w="40" w:type="dxa"/>
              <w:left w:w="35" w:type="dxa"/>
              <w:bottom w:w="40" w:type="dxa"/>
              <w:right w:w="20" w:type="dxa"/>
            </w:tcMar>
          </w:tcPr>
          <w:p w14:paraId="6429828F" w14:textId="77777777" w:rsidR="007B6C97" w:rsidRDefault="00E426D1">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29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291" w14:textId="77777777" w:rsidR="007B6C97" w:rsidRDefault="00E426D1">
            <w:pPr>
              <w:jc w:val="right"/>
              <w:textAlignment w:val="bottom"/>
            </w:pPr>
            <w:r>
              <w:rPr>
                <w:rFonts w:ascii="Times New Roman" w:eastAsia="宋体" w:hAnsi="Times New Roman"/>
                <w:color w:val="000000"/>
                <w:sz w:val="20"/>
                <w:szCs w:val="20"/>
              </w:rPr>
              <w:t>15,076.3 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292" w14:textId="77777777" w:rsidR="007B6C97" w:rsidRDefault="007B6C97">
            <w:pPr>
              <w:jc w:val="right"/>
              <w:rPr>
                <w:rFonts w:ascii="宋体"/>
              </w:rPr>
            </w:pPr>
          </w:p>
        </w:tc>
      </w:tr>
    </w:tbl>
    <w:p w14:paraId="64298294" w14:textId="77777777" w:rsidR="007B6C97" w:rsidRDefault="00E426D1">
      <w:pPr>
        <w:spacing w:before="120"/>
      </w:pPr>
      <w:r>
        <w:rPr>
          <w:rFonts w:ascii="Times New Roman" w:eastAsia="宋体" w:hAnsi="Times New Roman"/>
          <w:b/>
          <w:bCs/>
          <w:color w:val="000000"/>
          <w:sz w:val="20"/>
          <w:szCs w:val="20"/>
        </w:rPr>
        <w:t>Note 8: Leases</w:t>
      </w:r>
    </w:p>
    <w:p w14:paraId="64298295" w14:textId="77777777" w:rsidR="007B6C97" w:rsidRDefault="00E426D1">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7B6C97" w14:paraId="642982AE" w14:textId="77777777">
        <w:tc>
          <w:tcPr>
            <w:tcW w:w="50" w:type="pct"/>
            <w:shd w:val="clear" w:color="auto" w:fill="auto"/>
            <w:vAlign w:val="bottom"/>
          </w:tcPr>
          <w:p w14:paraId="64298296" w14:textId="77777777" w:rsidR="007B6C97" w:rsidRDefault="007B6C97">
            <w:pPr>
              <w:rPr>
                <w:rFonts w:ascii="宋体"/>
              </w:rPr>
            </w:pPr>
          </w:p>
        </w:tc>
        <w:tc>
          <w:tcPr>
            <w:tcW w:w="1377" w:type="pct"/>
            <w:shd w:val="clear" w:color="auto" w:fill="auto"/>
            <w:vAlign w:val="bottom"/>
          </w:tcPr>
          <w:p w14:paraId="64298297" w14:textId="77777777" w:rsidR="007B6C97" w:rsidRDefault="007B6C97">
            <w:pPr>
              <w:rPr>
                <w:rFonts w:ascii="宋体"/>
              </w:rPr>
            </w:pPr>
          </w:p>
        </w:tc>
        <w:tc>
          <w:tcPr>
            <w:tcW w:w="5" w:type="pct"/>
            <w:shd w:val="clear" w:color="auto" w:fill="auto"/>
            <w:vAlign w:val="bottom"/>
          </w:tcPr>
          <w:p w14:paraId="64298298" w14:textId="77777777" w:rsidR="007B6C97" w:rsidRDefault="007B6C97">
            <w:pPr>
              <w:rPr>
                <w:rFonts w:ascii="宋体"/>
              </w:rPr>
            </w:pPr>
          </w:p>
        </w:tc>
        <w:tc>
          <w:tcPr>
            <w:tcW w:w="50" w:type="pct"/>
            <w:shd w:val="clear" w:color="auto" w:fill="auto"/>
            <w:vAlign w:val="bottom"/>
          </w:tcPr>
          <w:p w14:paraId="64298299" w14:textId="77777777" w:rsidR="007B6C97" w:rsidRDefault="007B6C97">
            <w:pPr>
              <w:rPr>
                <w:rFonts w:ascii="宋体"/>
              </w:rPr>
            </w:pPr>
          </w:p>
        </w:tc>
        <w:tc>
          <w:tcPr>
            <w:tcW w:w="814" w:type="pct"/>
            <w:shd w:val="clear" w:color="auto" w:fill="auto"/>
            <w:vAlign w:val="bottom"/>
          </w:tcPr>
          <w:p w14:paraId="6429829A" w14:textId="77777777" w:rsidR="007B6C97" w:rsidRDefault="007B6C97">
            <w:pPr>
              <w:rPr>
                <w:rFonts w:ascii="宋体"/>
              </w:rPr>
            </w:pPr>
          </w:p>
        </w:tc>
        <w:tc>
          <w:tcPr>
            <w:tcW w:w="5" w:type="pct"/>
            <w:shd w:val="clear" w:color="auto" w:fill="auto"/>
            <w:vAlign w:val="bottom"/>
          </w:tcPr>
          <w:p w14:paraId="6429829B" w14:textId="77777777" w:rsidR="007B6C97" w:rsidRDefault="007B6C97">
            <w:pPr>
              <w:rPr>
                <w:rFonts w:ascii="宋体"/>
              </w:rPr>
            </w:pPr>
          </w:p>
        </w:tc>
        <w:tc>
          <w:tcPr>
            <w:tcW w:w="5" w:type="pct"/>
            <w:shd w:val="clear" w:color="auto" w:fill="auto"/>
            <w:vAlign w:val="bottom"/>
          </w:tcPr>
          <w:p w14:paraId="6429829C" w14:textId="77777777" w:rsidR="007B6C97" w:rsidRDefault="007B6C97">
            <w:pPr>
              <w:rPr>
                <w:rFonts w:ascii="宋体"/>
              </w:rPr>
            </w:pPr>
          </w:p>
        </w:tc>
        <w:tc>
          <w:tcPr>
            <w:tcW w:w="19" w:type="pct"/>
            <w:shd w:val="clear" w:color="auto" w:fill="auto"/>
            <w:vAlign w:val="bottom"/>
          </w:tcPr>
          <w:p w14:paraId="6429829D" w14:textId="77777777" w:rsidR="007B6C97" w:rsidRDefault="007B6C97">
            <w:pPr>
              <w:rPr>
                <w:rFonts w:ascii="宋体"/>
              </w:rPr>
            </w:pPr>
          </w:p>
        </w:tc>
        <w:tc>
          <w:tcPr>
            <w:tcW w:w="5" w:type="pct"/>
            <w:shd w:val="clear" w:color="auto" w:fill="auto"/>
            <w:vAlign w:val="bottom"/>
          </w:tcPr>
          <w:p w14:paraId="6429829E" w14:textId="77777777" w:rsidR="007B6C97" w:rsidRDefault="007B6C97">
            <w:pPr>
              <w:rPr>
                <w:rFonts w:ascii="宋体"/>
              </w:rPr>
            </w:pPr>
          </w:p>
        </w:tc>
        <w:tc>
          <w:tcPr>
            <w:tcW w:w="50" w:type="pct"/>
            <w:shd w:val="clear" w:color="auto" w:fill="auto"/>
            <w:vAlign w:val="bottom"/>
          </w:tcPr>
          <w:p w14:paraId="6429829F" w14:textId="77777777" w:rsidR="007B6C97" w:rsidRDefault="007B6C97">
            <w:pPr>
              <w:rPr>
                <w:rFonts w:ascii="宋体"/>
              </w:rPr>
            </w:pPr>
          </w:p>
        </w:tc>
        <w:tc>
          <w:tcPr>
            <w:tcW w:w="814" w:type="pct"/>
            <w:shd w:val="clear" w:color="auto" w:fill="auto"/>
            <w:vAlign w:val="bottom"/>
          </w:tcPr>
          <w:p w14:paraId="642982A0" w14:textId="77777777" w:rsidR="007B6C97" w:rsidRDefault="007B6C97">
            <w:pPr>
              <w:rPr>
                <w:rFonts w:ascii="宋体"/>
              </w:rPr>
            </w:pPr>
          </w:p>
        </w:tc>
        <w:tc>
          <w:tcPr>
            <w:tcW w:w="5" w:type="pct"/>
            <w:shd w:val="clear" w:color="auto" w:fill="auto"/>
            <w:vAlign w:val="bottom"/>
          </w:tcPr>
          <w:p w14:paraId="642982A1" w14:textId="77777777" w:rsidR="007B6C97" w:rsidRDefault="007B6C97">
            <w:pPr>
              <w:rPr>
                <w:rFonts w:ascii="宋体"/>
              </w:rPr>
            </w:pPr>
          </w:p>
        </w:tc>
        <w:tc>
          <w:tcPr>
            <w:tcW w:w="5" w:type="pct"/>
            <w:shd w:val="clear" w:color="auto" w:fill="auto"/>
            <w:vAlign w:val="bottom"/>
          </w:tcPr>
          <w:p w14:paraId="642982A2" w14:textId="77777777" w:rsidR="007B6C97" w:rsidRDefault="007B6C97">
            <w:pPr>
              <w:rPr>
                <w:rFonts w:ascii="宋体"/>
              </w:rPr>
            </w:pPr>
          </w:p>
        </w:tc>
        <w:tc>
          <w:tcPr>
            <w:tcW w:w="19" w:type="pct"/>
            <w:shd w:val="clear" w:color="auto" w:fill="auto"/>
            <w:vAlign w:val="bottom"/>
          </w:tcPr>
          <w:p w14:paraId="642982A3" w14:textId="77777777" w:rsidR="007B6C97" w:rsidRDefault="007B6C97">
            <w:pPr>
              <w:rPr>
                <w:rFonts w:ascii="宋体"/>
              </w:rPr>
            </w:pPr>
          </w:p>
        </w:tc>
        <w:tc>
          <w:tcPr>
            <w:tcW w:w="5" w:type="pct"/>
            <w:shd w:val="clear" w:color="auto" w:fill="auto"/>
            <w:vAlign w:val="bottom"/>
          </w:tcPr>
          <w:p w14:paraId="642982A4" w14:textId="77777777" w:rsidR="007B6C97" w:rsidRDefault="007B6C97">
            <w:pPr>
              <w:rPr>
                <w:rFonts w:ascii="宋体"/>
              </w:rPr>
            </w:pPr>
          </w:p>
        </w:tc>
        <w:tc>
          <w:tcPr>
            <w:tcW w:w="50" w:type="pct"/>
            <w:shd w:val="clear" w:color="auto" w:fill="auto"/>
            <w:vAlign w:val="bottom"/>
          </w:tcPr>
          <w:p w14:paraId="642982A5" w14:textId="77777777" w:rsidR="007B6C97" w:rsidRDefault="007B6C97">
            <w:pPr>
              <w:rPr>
                <w:rFonts w:ascii="宋体"/>
              </w:rPr>
            </w:pPr>
          </w:p>
        </w:tc>
        <w:tc>
          <w:tcPr>
            <w:tcW w:w="814" w:type="pct"/>
            <w:shd w:val="clear" w:color="auto" w:fill="auto"/>
            <w:vAlign w:val="bottom"/>
          </w:tcPr>
          <w:p w14:paraId="642982A6" w14:textId="77777777" w:rsidR="007B6C97" w:rsidRDefault="007B6C97">
            <w:pPr>
              <w:rPr>
                <w:rFonts w:ascii="宋体"/>
              </w:rPr>
            </w:pPr>
          </w:p>
        </w:tc>
        <w:tc>
          <w:tcPr>
            <w:tcW w:w="5" w:type="pct"/>
            <w:shd w:val="clear" w:color="auto" w:fill="auto"/>
            <w:vAlign w:val="bottom"/>
          </w:tcPr>
          <w:p w14:paraId="642982A7" w14:textId="77777777" w:rsidR="007B6C97" w:rsidRDefault="007B6C97">
            <w:pPr>
              <w:rPr>
                <w:rFonts w:ascii="宋体"/>
              </w:rPr>
            </w:pPr>
          </w:p>
        </w:tc>
        <w:tc>
          <w:tcPr>
            <w:tcW w:w="5" w:type="pct"/>
            <w:shd w:val="clear" w:color="auto" w:fill="auto"/>
            <w:vAlign w:val="bottom"/>
          </w:tcPr>
          <w:p w14:paraId="642982A8" w14:textId="77777777" w:rsidR="007B6C97" w:rsidRDefault="007B6C97">
            <w:pPr>
              <w:rPr>
                <w:rFonts w:ascii="宋体"/>
              </w:rPr>
            </w:pPr>
          </w:p>
        </w:tc>
        <w:tc>
          <w:tcPr>
            <w:tcW w:w="19" w:type="pct"/>
            <w:shd w:val="clear" w:color="auto" w:fill="auto"/>
            <w:vAlign w:val="bottom"/>
          </w:tcPr>
          <w:p w14:paraId="642982A9" w14:textId="77777777" w:rsidR="007B6C97" w:rsidRDefault="007B6C97">
            <w:pPr>
              <w:rPr>
                <w:rFonts w:ascii="宋体"/>
              </w:rPr>
            </w:pPr>
          </w:p>
        </w:tc>
        <w:tc>
          <w:tcPr>
            <w:tcW w:w="5" w:type="pct"/>
            <w:shd w:val="clear" w:color="auto" w:fill="auto"/>
            <w:vAlign w:val="bottom"/>
          </w:tcPr>
          <w:p w14:paraId="642982AA" w14:textId="77777777" w:rsidR="007B6C97" w:rsidRDefault="007B6C97">
            <w:pPr>
              <w:rPr>
                <w:rFonts w:ascii="宋体"/>
              </w:rPr>
            </w:pPr>
          </w:p>
        </w:tc>
        <w:tc>
          <w:tcPr>
            <w:tcW w:w="50" w:type="pct"/>
            <w:shd w:val="clear" w:color="auto" w:fill="auto"/>
            <w:vAlign w:val="bottom"/>
          </w:tcPr>
          <w:p w14:paraId="642982AB" w14:textId="77777777" w:rsidR="007B6C97" w:rsidRDefault="007B6C97">
            <w:pPr>
              <w:rPr>
                <w:rFonts w:ascii="宋体"/>
              </w:rPr>
            </w:pPr>
          </w:p>
        </w:tc>
        <w:tc>
          <w:tcPr>
            <w:tcW w:w="815" w:type="pct"/>
            <w:shd w:val="clear" w:color="auto" w:fill="auto"/>
            <w:vAlign w:val="bottom"/>
          </w:tcPr>
          <w:p w14:paraId="642982AC" w14:textId="77777777" w:rsidR="007B6C97" w:rsidRDefault="007B6C97">
            <w:pPr>
              <w:rPr>
                <w:rFonts w:ascii="宋体"/>
              </w:rPr>
            </w:pPr>
          </w:p>
        </w:tc>
        <w:tc>
          <w:tcPr>
            <w:tcW w:w="5" w:type="pct"/>
            <w:shd w:val="clear" w:color="auto" w:fill="auto"/>
            <w:vAlign w:val="bottom"/>
          </w:tcPr>
          <w:p w14:paraId="642982AD" w14:textId="77777777" w:rsidR="007B6C97" w:rsidRDefault="007B6C97">
            <w:pPr>
              <w:rPr>
                <w:rFonts w:ascii="宋体"/>
              </w:rPr>
            </w:pPr>
          </w:p>
        </w:tc>
      </w:tr>
      <w:tr w:rsidR="007B6C97" w14:paraId="642982B3" w14:textId="77777777">
        <w:tc>
          <w:tcPr>
            <w:tcW w:w="0" w:type="auto"/>
            <w:gridSpan w:val="3"/>
            <w:shd w:val="clear" w:color="auto" w:fill="auto"/>
            <w:tcMar>
              <w:top w:w="0" w:type="dxa"/>
              <w:left w:w="20" w:type="dxa"/>
              <w:bottom w:w="0" w:type="dxa"/>
              <w:right w:w="20" w:type="dxa"/>
            </w:tcMar>
            <w:vAlign w:val="bottom"/>
          </w:tcPr>
          <w:p w14:paraId="642982AF"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2B0"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82B1"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2B2"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2BC" w14:textId="77777777">
        <w:tc>
          <w:tcPr>
            <w:tcW w:w="0" w:type="auto"/>
            <w:gridSpan w:val="3"/>
            <w:shd w:val="clear" w:color="auto" w:fill="auto"/>
            <w:tcMar>
              <w:top w:w="0" w:type="dxa"/>
              <w:left w:w="20" w:type="dxa"/>
              <w:bottom w:w="0" w:type="dxa"/>
              <w:right w:w="20" w:type="dxa"/>
            </w:tcMar>
            <w:vAlign w:val="bottom"/>
          </w:tcPr>
          <w:p w14:paraId="642982B4"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2B5"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82B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2B7"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82B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2B9"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82B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2BB"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2CD" w14:textId="77777777">
        <w:tc>
          <w:tcPr>
            <w:tcW w:w="0" w:type="auto"/>
            <w:gridSpan w:val="3"/>
            <w:shd w:val="clear" w:color="auto" w:fill="D7E4BC"/>
            <w:tcMar>
              <w:top w:w="40" w:type="dxa"/>
              <w:left w:w="20" w:type="dxa"/>
              <w:bottom w:w="40" w:type="dxa"/>
              <w:right w:w="20" w:type="dxa"/>
            </w:tcMar>
          </w:tcPr>
          <w:p w14:paraId="642982BD"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2B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2BF" w14:textId="77777777" w:rsidR="007B6C97" w:rsidRDefault="00E426D1">
            <w:pPr>
              <w:jc w:val="right"/>
              <w:textAlignment w:val="bottom"/>
            </w:pPr>
            <w:r>
              <w:rPr>
                <w:rFonts w:ascii="Times New Roman" w:eastAsia="宋体" w:hAnsi="Times New Roman"/>
                <w:color w:val="000000"/>
                <w:sz w:val="20"/>
                <w:szCs w:val="20"/>
              </w:rPr>
              <w:t>386.5 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2C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C1"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2C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2C3" w14:textId="77777777" w:rsidR="007B6C97" w:rsidRDefault="00E426D1">
            <w:pPr>
              <w:jc w:val="right"/>
              <w:textAlignment w:val="bottom"/>
            </w:pPr>
            <w:r>
              <w:rPr>
                <w:rFonts w:ascii="Times New Roman" w:eastAsia="宋体" w:hAnsi="Times New Roman"/>
                <w:color w:val="000000"/>
                <w:sz w:val="20"/>
                <w:szCs w:val="20"/>
              </w:rPr>
              <w:t>386.9 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2C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C5"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2C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2C7" w14:textId="77777777" w:rsidR="007B6C97" w:rsidRDefault="00E426D1">
            <w:pPr>
              <w:jc w:val="right"/>
              <w:textAlignment w:val="bottom"/>
            </w:pPr>
            <w:r>
              <w:rPr>
                <w:rFonts w:ascii="Times New Roman" w:eastAsia="宋体" w:hAnsi="Times New Roman"/>
                <w:color w:val="000000"/>
                <w:sz w:val="20"/>
                <w:szCs w:val="20"/>
              </w:rPr>
              <w:t>1,166.0 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2C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C9"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2C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2CB" w14:textId="77777777" w:rsidR="007B6C97" w:rsidRDefault="00E426D1">
            <w:pPr>
              <w:jc w:val="right"/>
              <w:textAlignment w:val="bottom"/>
            </w:pPr>
            <w:r>
              <w:rPr>
                <w:rFonts w:ascii="Times New Roman" w:eastAsia="宋体" w:hAnsi="Times New Roman"/>
                <w:color w:val="000000"/>
                <w:sz w:val="20"/>
                <w:szCs w:val="20"/>
              </w:rPr>
              <w:t>1,185.6 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2CC" w14:textId="77777777" w:rsidR="007B6C97" w:rsidRDefault="007B6C97">
            <w:pPr>
              <w:jc w:val="right"/>
              <w:rPr>
                <w:rFonts w:ascii="宋体"/>
              </w:rPr>
            </w:pPr>
          </w:p>
        </w:tc>
      </w:tr>
      <w:tr w:rsidR="007B6C97" w14:paraId="642982DA" w14:textId="77777777">
        <w:tc>
          <w:tcPr>
            <w:tcW w:w="0" w:type="auto"/>
            <w:gridSpan w:val="3"/>
            <w:shd w:val="clear" w:color="auto" w:fill="FFFFFF"/>
            <w:tcMar>
              <w:top w:w="40" w:type="dxa"/>
              <w:left w:w="20" w:type="dxa"/>
              <w:bottom w:w="40" w:type="dxa"/>
              <w:right w:w="20" w:type="dxa"/>
            </w:tcMar>
          </w:tcPr>
          <w:p w14:paraId="642982CE" w14:textId="77777777" w:rsidR="007B6C97" w:rsidRDefault="00E426D1">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642982CF" w14:textId="77777777" w:rsidR="007B6C97" w:rsidRDefault="00E426D1">
            <w:pPr>
              <w:jc w:val="right"/>
              <w:textAlignment w:val="bottom"/>
            </w:pPr>
            <w:r>
              <w:rPr>
                <w:rFonts w:ascii="Times New Roman" w:eastAsia="宋体" w:hAnsi="Times New Roman"/>
                <w:color w:val="000000"/>
                <w:sz w:val="20"/>
                <w:szCs w:val="20"/>
              </w:rPr>
              <w:t>221.5 </w:t>
            </w:r>
          </w:p>
        </w:tc>
        <w:tc>
          <w:tcPr>
            <w:tcW w:w="0" w:type="auto"/>
            <w:shd w:val="clear" w:color="auto" w:fill="FFFFFF"/>
            <w:tcMar>
              <w:top w:w="40" w:type="dxa"/>
              <w:left w:w="0" w:type="dxa"/>
              <w:bottom w:w="40" w:type="dxa"/>
              <w:right w:w="20" w:type="dxa"/>
            </w:tcMar>
            <w:vAlign w:val="bottom"/>
          </w:tcPr>
          <w:p w14:paraId="642982D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D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D2" w14:textId="77777777" w:rsidR="007B6C97" w:rsidRDefault="00E426D1">
            <w:pPr>
              <w:jc w:val="right"/>
              <w:textAlignment w:val="bottom"/>
            </w:pPr>
            <w:r>
              <w:rPr>
                <w:rFonts w:ascii="Times New Roman" w:eastAsia="宋体" w:hAnsi="Times New Roman"/>
                <w:color w:val="000000"/>
                <w:sz w:val="20"/>
                <w:szCs w:val="20"/>
              </w:rPr>
              <w:t>224.6 </w:t>
            </w:r>
          </w:p>
        </w:tc>
        <w:tc>
          <w:tcPr>
            <w:tcW w:w="0" w:type="auto"/>
            <w:shd w:val="clear" w:color="auto" w:fill="FFFFFF"/>
            <w:tcMar>
              <w:top w:w="40" w:type="dxa"/>
              <w:left w:w="0" w:type="dxa"/>
              <w:bottom w:w="40" w:type="dxa"/>
              <w:right w:w="20" w:type="dxa"/>
            </w:tcMar>
            <w:vAlign w:val="bottom"/>
          </w:tcPr>
          <w:p w14:paraId="642982D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D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D5" w14:textId="77777777" w:rsidR="007B6C97" w:rsidRDefault="00E426D1">
            <w:pPr>
              <w:jc w:val="right"/>
              <w:textAlignment w:val="bottom"/>
            </w:pPr>
            <w:r>
              <w:rPr>
                <w:rFonts w:ascii="Times New Roman" w:eastAsia="宋体" w:hAnsi="Times New Roman"/>
                <w:color w:val="000000"/>
                <w:sz w:val="20"/>
                <w:szCs w:val="20"/>
              </w:rPr>
              <w:t>687.1 </w:t>
            </w:r>
          </w:p>
        </w:tc>
        <w:tc>
          <w:tcPr>
            <w:tcW w:w="0" w:type="auto"/>
            <w:shd w:val="clear" w:color="auto" w:fill="FFFFFF"/>
            <w:tcMar>
              <w:top w:w="40" w:type="dxa"/>
              <w:left w:w="0" w:type="dxa"/>
              <w:bottom w:w="40" w:type="dxa"/>
              <w:right w:w="20" w:type="dxa"/>
            </w:tcMar>
            <w:vAlign w:val="bottom"/>
          </w:tcPr>
          <w:p w14:paraId="642982D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D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2D8" w14:textId="77777777" w:rsidR="007B6C97" w:rsidRDefault="00E426D1">
            <w:pPr>
              <w:jc w:val="right"/>
              <w:textAlignment w:val="bottom"/>
            </w:pPr>
            <w:r>
              <w:rPr>
                <w:rFonts w:ascii="Times New Roman" w:eastAsia="宋体" w:hAnsi="Times New Roman"/>
                <w:color w:val="000000"/>
                <w:sz w:val="20"/>
                <w:szCs w:val="20"/>
              </w:rPr>
              <w:t>671.3 </w:t>
            </w:r>
          </w:p>
        </w:tc>
        <w:tc>
          <w:tcPr>
            <w:tcW w:w="0" w:type="auto"/>
            <w:shd w:val="clear" w:color="auto" w:fill="FFFFFF"/>
            <w:tcMar>
              <w:top w:w="40" w:type="dxa"/>
              <w:left w:w="0" w:type="dxa"/>
              <w:bottom w:w="40" w:type="dxa"/>
              <w:right w:w="20" w:type="dxa"/>
            </w:tcMar>
            <w:vAlign w:val="bottom"/>
          </w:tcPr>
          <w:p w14:paraId="642982D9" w14:textId="77777777" w:rsidR="007B6C97" w:rsidRDefault="007B6C97">
            <w:pPr>
              <w:jc w:val="right"/>
              <w:rPr>
                <w:rFonts w:ascii="宋体"/>
              </w:rPr>
            </w:pPr>
          </w:p>
        </w:tc>
      </w:tr>
      <w:tr w:rsidR="007B6C97" w14:paraId="642982E7" w14:textId="77777777">
        <w:tc>
          <w:tcPr>
            <w:tcW w:w="0" w:type="auto"/>
            <w:gridSpan w:val="3"/>
            <w:shd w:val="clear" w:color="auto" w:fill="D7E4BC"/>
            <w:tcMar>
              <w:top w:w="40" w:type="dxa"/>
              <w:left w:w="20" w:type="dxa"/>
              <w:bottom w:w="40" w:type="dxa"/>
              <w:right w:w="20" w:type="dxa"/>
            </w:tcMar>
          </w:tcPr>
          <w:p w14:paraId="642982DB" w14:textId="77777777" w:rsidR="007B6C97" w:rsidRDefault="00E426D1">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642982DC" w14:textId="77777777" w:rsidR="007B6C97" w:rsidRDefault="00E426D1">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642982D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D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DF" w14:textId="77777777" w:rsidR="007B6C97" w:rsidRDefault="00E426D1">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42982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E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E2" w14:textId="77777777" w:rsidR="007B6C97" w:rsidRDefault="00E426D1">
            <w:pPr>
              <w:jc w:val="right"/>
              <w:textAlignment w:val="bottom"/>
            </w:pPr>
            <w:r>
              <w:rPr>
                <w:rFonts w:ascii="Times New Roman" w:eastAsia="宋体" w:hAnsi="Times New Roman"/>
                <w:color w:val="000000"/>
                <w:sz w:val="20"/>
                <w:szCs w:val="20"/>
              </w:rPr>
              <w:t>21.1 </w:t>
            </w:r>
          </w:p>
        </w:tc>
        <w:tc>
          <w:tcPr>
            <w:tcW w:w="0" w:type="auto"/>
            <w:shd w:val="clear" w:color="auto" w:fill="D7E4BC"/>
            <w:tcMar>
              <w:top w:w="40" w:type="dxa"/>
              <w:left w:w="0" w:type="dxa"/>
              <w:bottom w:w="40" w:type="dxa"/>
              <w:right w:w="20" w:type="dxa"/>
            </w:tcMar>
            <w:vAlign w:val="bottom"/>
          </w:tcPr>
          <w:p w14:paraId="642982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2E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2E5" w14:textId="77777777" w:rsidR="007B6C97" w:rsidRDefault="00E426D1">
            <w:pPr>
              <w:jc w:val="right"/>
              <w:textAlignment w:val="bottom"/>
            </w:pPr>
            <w:r>
              <w:rPr>
                <w:rFonts w:ascii="Times New Roman" w:eastAsia="宋体" w:hAnsi="Times New Roman"/>
                <w:color w:val="000000"/>
                <w:sz w:val="20"/>
                <w:szCs w:val="20"/>
              </w:rPr>
              <w:t>23.7 </w:t>
            </w:r>
          </w:p>
        </w:tc>
        <w:tc>
          <w:tcPr>
            <w:tcW w:w="0" w:type="auto"/>
            <w:shd w:val="clear" w:color="auto" w:fill="D7E4BC"/>
            <w:tcMar>
              <w:top w:w="40" w:type="dxa"/>
              <w:left w:w="0" w:type="dxa"/>
              <w:bottom w:w="40" w:type="dxa"/>
              <w:right w:w="20" w:type="dxa"/>
            </w:tcMar>
            <w:vAlign w:val="bottom"/>
          </w:tcPr>
          <w:p w14:paraId="642982E6" w14:textId="77777777" w:rsidR="007B6C97" w:rsidRDefault="007B6C97">
            <w:pPr>
              <w:jc w:val="right"/>
              <w:rPr>
                <w:rFonts w:ascii="宋体"/>
              </w:rPr>
            </w:pPr>
          </w:p>
        </w:tc>
      </w:tr>
      <w:tr w:rsidR="007B6C97" w14:paraId="642982F8" w14:textId="77777777">
        <w:tc>
          <w:tcPr>
            <w:tcW w:w="0" w:type="auto"/>
            <w:gridSpan w:val="3"/>
            <w:shd w:val="clear" w:color="auto" w:fill="FFFFFF"/>
            <w:tcMar>
              <w:top w:w="40" w:type="dxa"/>
              <w:left w:w="20" w:type="dxa"/>
              <w:bottom w:w="40" w:type="dxa"/>
              <w:right w:w="20" w:type="dxa"/>
            </w:tcMar>
          </w:tcPr>
          <w:p w14:paraId="642982E8" w14:textId="77777777" w:rsidR="007B6C97" w:rsidRDefault="00E426D1">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2E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2EA" w14:textId="77777777" w:rsidR="007B6C97" w:rsidRDefault="00E426D1">
            <w:pPr>
              <w:jc w:val="right"/>
              <w:textAlignment w:val="bottom"/>
            </w:pPr>
            <w:r>
              <w:rPr>
                <w:rFonts w:ascii="Times New Roman" w:eastAsia="宋体" w:hAnsi="Times New Roman"/>
                <w:color w:val="000000"/>
                <w:sz w:val="20"/>
                <w:szCs w:val="20"/>
              </w:rPr>
              <w:t>614.9 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2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EC"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2E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2EE" w14:textId="77777777" w:rsidR="007B6C97" w:rsidRDefault="00E426D1">
            <w:pPr>
              <w:jc w:val="right"/>
              <w:textAlignment w:val="bottom"/>
            </w:pPr>
            <w:r>
              <w:rPr>
                <w:rFonts w:ascii="Times New Roman" w:eastAsia="宋体" w:hAnsi="Times New Roman"/>
                <w:color w:val="000000"/>
                <w:sz w:val="20"/>
                <w:szCs w:val="20"/>
              </w:rPr>
              <w:t>618.9 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2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F0"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2F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2F2" w14:textId="77777777" w:rsidR="007B6C97" w:rsidRDefault="00E426D1">
            <w:pPr>
              <w:jc w:val="right"/>
              <w:textAlignment w:val="bottom"/>
            </w:pPr>
            <w:r>
              <w:rPr>
                <w:rFonts w:ascii="Times New Roman" w:eastAsia="宋体" w:hAnsi="Times New Roman"/>
                <w:color w:val="000000"/>
                <w:sz w:val="20"/>
                <w:szCs w:val="20"/>
              </w:rPr>
              <w:t>1,874.2 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2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2F4"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2F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2F6" w14:textId="77777777" w:rsidR="007B6C97" w:rsidRDefault="00E426D1">
            <w:pPr>
              <w:jc w:val="right"/>
              <w:textAlignment w:val="bottom"/>
            </w:pPr>
            <w:r>
              <w:rPr>
                <w:rFonts w:ascii="Times New Roman" w:eastAsia="宋体" w:hAnsi="Times New Roman"/>
                <w:color w:val="000000"/>
                <w:sz w:val="20"/>
                <w:szCs w:val="20"/>
              </w:rPr>
              <w:t>1,880.6 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2F7" w14:textId="77777777" w:rsidR="007B6C97" w:rsidRDefault="007B6C97">
            <w:pPr>
              <w:jc w:val="right"/>
              <w:rPr>
                <w:rFonts w:ascii="宋体"/>
              </w:rPr>
            </w:pPr>
          </w:p>
        </w:tc>
      </w:tr>
    </w:tbl>
    <w:p w14:paraId="642982F9" w14:textId="77777777" w:rsidR="007B6C97" w:rsidRDefault="00E426D1">
      <w:pPr>
        <w:pBdr>
          <w:left w:val="none" w:sz="0" w:space="0" w:color="auto"/>
        </w:pBd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immaterial amounts of sublease income and rent concessions.</w:t>
      </w:r>
    </w:p>
    <w:p w14:paraId="642982FA" w14:textId="77777777" w:rsidR="007B6C97" w:rsidRDefault="00E426D1">
      <w:pPr>
        <w:spacing w:before="120"/>
      </w:pPr>
      <w:r>
        <w:rPr>
          <w:rFonts w:ascii="Times New Roman" w:eastAsia="宋体" w:hAnsi="Times New Roman"/>
          <w:color w:val="000000"/>
          <w:sz w:val="20"/>
          <w:szCs w:val="20"/>
        </w:rPr>
        <w:t>The following table includes supplement</w:t>
      </w:r>
      <w:r>
        <w:rPr>
          <w:rFonts w:ascii="Times New Roman" w:eastAsia="宋体" w:hAnsi="Times New Roman"/>
          <w:color w:val="000000"/>
          <w:sz w:val="20"/>
          <w:szCs w:val="20"/>
        </w:rPr>
        <w:t xml:space="preserve">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5095"/>
        <w:gridCol w:w="37"/>
        <w:gridCol w:w="120"/>
        <w:gridCol w:w="1228"/>
        <w:gridCol w:w="187"/>
        <w:gridCol w:w="36"/>
        <w:gridCol w:w="36"/>
        <w:gridCol w:w="36"/>
        <w:gridCol w:w="120"/>
        <w:gridCol w:w="1216"/>
        <w:gridCol w:w="187"/>
      </w:tblGrid>
      <w:tr w:rsidR="007B6C97" w14:paraId="64298307" w14:textId="77777777">
        <w:tc>
          <w:tcPr>
            <w:tcW w:w="50" w:type="pct"/>
            <w:shd w:val="clear" w:color="auto" w:fill="auto"/>
            <w:vAlign w:val="bottom"/>
          </w:tcPr>
          <w:p w14:paraId="642982FB" w14:textId="77777777" w:rsidR="007B6C97" w:rsidRDefault="007B6C97">
            <w:pPr>
              <w:rPr>
                <w:rFonts w:ascii="宋体"/>
              </w:rPr>
            </w:pPr>
          </w:p>
        </w:tc>
        <w:tc>
          <w:tcPr>
            <w:tcW w:w="3183" w:type="pct"/>
            <w:shd w:val="clear" w:color="auto" w:fill="auto"/>
            <w:vAlign w:val="bottom"/>
          </w:tcPr>
          <w:p w14:paraId="642982FC" w14:textId="77777777" w:rsidR="007B6C97" w:rsidRDefault="007B6C97">
            <w:pPr>
              <w:rPr>
                <w:rFonts w:ascii="宋体"/>
              </w:rPr>
            </w:pPr>
          </w:p>
        </w:tc>
        <w:tc>
          <w:tcPr>
            <w:tcW w:w="5" w:type="pct"/>
            <w:shd w:val="clear" w:color="auto" w:fill="auto"/>
            <w:vAlign w:val="bottom"/>
          </w:tcPr>
          <w:p w14:paraId="642982FD" w14:textId="77777777" w:rsidR="007B6C97" w:rsidRDefault="007B6C97">
            <w:pPr>
              <w:rPr>
                <w:rFonts w:ascii="宋体"/>
              </w:rPr>
            </w:pPr>
          </w:p>
        </w:tc>
        <w:tc>
          <w:tcPr>
            <w:tcW w:w="50" w:type="pct"/>
            <w:shd w:val="clear" w:color="auto" w:fill="auto"/>
            <w:vAlign w:val="bottom"/>
          </w:tcPr>
          <w:p w14:paraId="642982FE" w14:textId="77777777" w:rsidR="007B6C97" w:rsidRDefault="007B6C97">
            <w:pPr>
              <w:rPr>
                <w:rFonts w:ascii="宋体"/>
              </w:rPr>
            </w:pPr>
          </w:p>
        </w:tc>
        <w:tc>
          <w:tcPr>
            <w:tcW w:w="814" w:type="pct"/>
            <w:shd w:val="clear" w:color="auto" w:fill="auto"/>
            <w:vAlign w:val="bottom"/>
          </w:tcPr>
          <w:p w14:paraId="642982FF" w14:textId="77777777" w:rsidR="007B6C97" w:rsidRDefault="007B6C97">
            <w:pPr>
              <w:rPr>
                <w:rFonts w:ascii="宋体"/>
              </w:rPr>
            </w:pPr>
          </w:p>
        </w:tc>
        <w:tc>
          <w:tcPr>
            <w:tcW w:w="5" w:type="pct"/>
            <w:shd w:val="clear" w:color="auto" w:fill="auto"/>
            <w:vAlign w:val="bottom"/>
          </w:tcPr>
          <w:p w14:paraId="64298300" w14:textId="77777777" w:rsidR="007B6C97" w:rsidRDefault="007B6C97">
            <w:pPr>
              <w:rPr>
                <w:rFonts w:ascii="宋体"/>
              </w:rPr>
            </w:pPr>
          </w:p>
        </w:tc>
        <w:tc>
          <w:tcPr>
            <w:tcW w:w="5" w:type="pct"/>
            <w:shd w:val="clear" w:color="auto" w:fill="auto"/>
            <w:vAlign w:val="bottom"/>
          </w:tcPr>
          <w:p w14:paraId="64298301" w14:textId="77777777" w:rsidR="007B6C97" w:rsidRDefault="007B6C97">
            <w:pPr>
              <w:rPr>
                <w:rFonts w:ascii="宋体"/>
              </w:rPr>
            </w:pPr>
          </w:p>
        </w:tc>
        <w:tc>
          <w:tcPr>
            <w:tcW w:w="19" w:type="pct"/>
            <w:shd w:val="clear" w:color="auto" w:fill="auto"/>
            <w:vAlign w:val="bottom"/>
          </w:tcPr>
          <w:p w14:paraId="64298302" w14:textId="77777777" w:rsidR="007B6C97" w:rsidRDefault="007B6C97">
            <w:pPr>
              <w:rPr>
                <w:rFonts w:ascii="宋体"/>
              </w:rPr>
            </w:pPr>
          </w:p>
        </w:tc>
        <w:tc>
          <w:tcPr>
            <w:tcW w:w="5" w:type="pct"/>
            <w:shd w:val="clear" w:color="auto" w:fill="auto"/>
            <w:vAlign w:val="bottom"/>
          </w:tcPr>
          <w:p w14:paraId="64298303" w14:textId="77777777" w:rsidR="007B6C97" w:rsidRDefault="007B6C97">
            <w:pPr>
              <w:rPr>
                <w:rFonts w:ascii="宋体"/>
              </w:rPr>
            </w:pPr>
          </w:p>
        </w:tc>
        <w:tc>
          <w:tcPr>
            <w:tcW w:w="50" w:type="pct"/>
            <w:shd w:val="clear" w:color="auto" w:fill="auto"/>
            <w:vAlign w:val="bottom"/>
          </w:tcPr>
          <w:p w14:paraId="64298304" w14:textId="77777777" w:rsidR="007B6C97" w:rsidRDefault="007B6C97">
            <w:pPr>
              <w:rPr>
                <w:rFonts w:ascii="宋体"/>
              </w:rPr>
            </w:pPr>
          </w:p>
        </w:tc>
        <w:tc>
          <w:tcPr>
            <w:tcW w:w="807" w:type="pct"/>
            <w:shd w:val="clear" w:color="auto" w:fill="auto"/>
            <w:vAlign w:val="bottom"/>
          </w:tcPr>
          <w:p w14:paraId="64298305" w14:textId="77777777" w:rsidR="007B6C97" w:rsidRDefault="007B6C97">
            <w:pPr>
              <w:rPr>
                <w:rFonts w:ascii="宋体"/>
              </w:rPr>
            </w:pPr>
          </w:p>
        </w:tc>
        <w:tc>
          <w:tcPr>
            <w:tcW w:w="5" w:type="pct"/>
            <w:shd w:val="clear" w:color="auto" w:fill="auto"/>
            <w:vAlign w:val="bottom"/>
          </w:tcPr>
          <w:p w14:paraId="64298306" w14:textId="77777777" w:rsidR="007B6C97" w:rsidRDefault="007B6C97">
            <w:pPr>
              <w:rPr>
                <w:rFonts w:ascii="宋体"/>
              </w:rPr>
            </w:pPr>
          </w:p>
        </w:tc>
      </w:tr>
      <w:tr w:rsidR="007B6C97" w14:paraId="6429830A" w14:textId="77777777">
        <w:tc>
          <w:tcPr>
            <w:tcW w:w="0" w:type="auto"/>
            <w:gridSpan w:val="3"/>
            <w:shd w:val="clear" w:color="auto" w:fill="auto"/>
            <w:tcMar>
              <w:top w:w="0" w:type="dxa"/>
              <w:left w:w="20" w:type="dxa"/>
              <w:bottom w:w="0" w:type="dxa"/>
              <w:right w:w="20" w:type="dxa"/>
            </w:tcMar>
            <w:vAlign w:val="bottom"/>
          </w:tcPr>
          <w:p w14:paraId="64298308"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309"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30F" w14:textId="77777777">
        <w:tc>
          <w:tcPr>
            <w:tcW w:w="0" w:type="auto"/>
            <w:gridSpan w:val="3"/>
            <w:shd w:val="clear" w:color="auto" w:fill="auto"/>
            <w:tcMar>
              <w:top w:w="0" w:type="dxa"/>
              <w:left w:w="20" w:type="dxa"/>
              <w:bottom w:w="0" w:type="dxa"/>
              <w:right w:w="20" w:type="dxa"/>
            </w:tcMar>
            <w:vAlign w:val="bottom"/>
          </w:tcPr>
          <w:p w14:paraId="6429830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30C"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30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30E"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318" w14:textId="77777777">
        <w:tc>
          <w:tcPr>
            <w:tcW w:w="0" w:type="auto"/>
            <w:gridSpan w:val="3"/>
            <w:shd w:val="clear" w:color="auto" w:fill="D7E4BC"/>
            <w:tcMar>
              <w:top w:w="40" w:type="dxa"/>
              <w:left w:w="20" w:type="dxa"/>
              <w:bottom w:w="40" w:type="dxa"/>
              <w:right w:w="20" w:type="dxa"/>
            </w:tcMar>
          </w:tcPr>
          <w:p w14:paraId="64298310" w14:textId="77777777" w:rsidR="007B6C97" w:rsidRDefault="00E426D1">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1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12" w14:textId="77777777" w:rsidR="007B6C97" w:rsidRDefault="00E426D1">
            <w:pPr>
              <w:jc w:val="right"/>
              <w:textAlignment w:val="bottom"/>
            </w:pPr>
            <w:r>
              <w:rPr>
                <w:rFonts w:ascii="Times New Roman" w:eastAsia="宋体" w:hAnsi="Times New Roman"/>
                <w:color w:val="000000"/>
                <w:sz w:val="20"/>
                <w:szCs w:val="20"/>
              </w:rPr>
              <w:t>1,248.7 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1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31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31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16" w14:textId="77777777" w:rsidR="007B6C97" w:rsidRDefault="00E426D1">
            <w:pPr>
              <w:jc w:val="right"/>
              <w:textAlignment w:val="bottom"/>
            </w:pPr>
            <w:r>
              <w:rPr>
                <w:rFonts w:ascii="Times New Roman" w:eastAsia="宋体" w:hAnsi="Times New Roman"/>
                <w:color w:val="000000"/>
                <w:sz w:val="20"/>
                <w:szCs w:val="20"/>
              </w:rPr>
              <w:t>1,200.6 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17" w14:textId="77777777" w:rsidR="007B6C97" w:rsidRDefault="007B6C97">
            <w:pPr>
              <w:jc w:val="right"/>
              <w:rPr>
                <w:rFonts w:ascii="宋体"/>
              </w:rPr>
            </w:pPr>
          </w:p>
        </w:tc>
      </w:tr>
      <w:tr w:rsidR="007B6C97" w14:paraId="6429831F" w14:textId="77777777">
        <w:tc>
          <w:tcPr>
            <w:tcW w:w="0" w:type="auto"/>
            <w:gridSpan w:val="3"/>
            <w:shd w:val="clear" w:color="auto" w:fill="FFFFFF"/>
            <w:tcMar>
              <w:top w:w="40" w:type="dxa"/>
              <w:left w:w="20" w:type="dxa"/>
              <w:bottom w:w="40" w:type="dxa"/>
              <w:right w:w="20" w:type="dxa"/>
            </w:tcMar>
            <w:vAlign w:val="bottom"/>
          </w:tcPr>
          <w:p w14:paraId="64298319" w14:textId="77777777" w:rsidR="007B6C97" w:rsidRDefault="00E426D1">
            <w:pPr>
              <w:textAlignment w:val="bottom"/>
            </w:pPr>
            <w:r>
              <w:rPr>
                <w:rFonts w:ascii="Times New Roman" w:eastAsia="宋体" w:hAnsi="Times New Roman"/>
                <w:color w:val="000000"/>
                <w:sz w:val="20"/>
                <w:szCs w:val="20"/>
              </w:rPr>
              <w:t>Operating lease liabilities arising from obtaining ROU assets</w:t>
            </w:r>
          </w:p>
        </w:tc>
        <w:tc>
          <w:tcPr>
            <w:tcW w:w="0" w:type="auto"/>
            <w:gridSpan w:val="2"/>
            <w:shd w:val="clear" w:color="auto" w:fill="FFFFFF"/>
            <w:tcMar>
              <w:top w:w="40" w:type="dxa"/>
              <w:left w:w="20" w:type="dxa"/>
              <w:bottom w:w="40" w:type="dxa"/>
              <w:right w:w="0" w:type="dxa"/>
            </w:tcMar>
            <w:vAlign w:val="bottom"/>
          </w:tcPr>
          <w:p w14:paraId="6429831A" w14:textId="77777777" w:rsidR="007B6C97" w:rsidRDefault="00E426D1">
            <w:pPr>
              <w:jc w:val="right"/>
              <w:textAlignment w:val="bottom"/>
            </w:pPr>
            <w:r>
              <w:rPr>
                <w:rFonts w:ascii="Times New Roman" w:eastAsia="宋体" w:hAnsi="Times New Roman"/>
                <w:color w:val="000000"/>
                <w:sz w:val="20"/>
                <w:szCs w:val="20"/>
              </w:rPr>
              <w:t>1,121.6 </w:t>
            </w:r>
          </w:p>
        </w:tc>
        <w:tc>
          <w:tcPr>
            <w:tcW w:w="0" w:type="auto"/>
            <w:shd w:val="clear" w:color="auto" w:fill="FFFFFF"/>
            <w:tcMar>
              <w:top w:w="40" w:type="dxa"/>
              <w:left w:w="0" w:type="dxa"/>
              <w:bottom w:w="40" w:type="dxa"/>
              <w:right w:w="20" w:type="dxa"/>
            </w:tcMar>
            <w:vAlign w:val="bottom"/>
          </w:tcPr>
          <w:p w14:paraId="6429831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31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31D" w14:textId="77777777" w:rsidR="007B6C97" w:rsidRDefault="00E426D1">
            <w:pPr>
              <w:jc w:val="right"/>
              <w:textAlignment w:val="bottom"/>
            </w:pPr>
            <w:r>
              <w:rPr>
                <w:rFonts w:ascii="Times New Roman" w:eastAsia="宋体" w:hAnsi="Times New Roman"/>
                <w:color w:val="000000"/>
                <w:sz w:val="20"/>
                <w:szCs w:val="20"/>
              </w:rPr>
              <w:t>1,030.7 </w:t>
            </w:r>
          </w:p>
        </w:tc>
        <w:tc>
          <w:tcPr>
            <w:tcW w:w="0" w:type="auto"/>
            <w:shd w:val="clear" w:color="auto" w:fill="FFFFFF"/>
            <w:tcMar>
              <w:top w:w="40" w:type="dxa"/>
              <w:left w:w="0" w:type="dxa"/>
              <w:bottom w:w="40" w:type="dxa"/>
              <w:right w:w="20" w:type="dxa"/>
            </w:tcMar>
            <w:vAlign w:val="bottom"/>
          </w:tcPr>
          <w:p w14:paraId="6429831E" w14:textId="77777777" w:rsidR="007B6C97" w:rsidRDefault="007B6C97">
            <w:pPr>
              <w:jc w:val="right"/>
              <w:rPr>
                <w:rFonts w:ascii="宋体"/>
              </w:rPr>
            </w:pPr>
          </w:p>
        </w:tc>
      </w:tr>
      <w:tr w:rsidR="007B6C97" w14:paraId="64298324" w14:textId="77777777">
        <w:trPr>
          <w:trHeight w:val="300"/>
        </w:trPr>
        <w:tc>
          <w:tcPr>
            <w:tcW w:w="0" w:type="auto"/>
            <w:gridSpan w:val="3"/>
            <w:shd w:val="clear" w:color="auto" w:fill="FFFFFF"/>
            <w:tcMar>
              <w:top w:w="0" w:type="dxa"/>
              <w:left w:w="20" w:type="dxa"/>
              <w:bottom w:w="0" w:type="dxa"/>
              <w:right w:w="20" w:type="dxa"/>
            </w:tcMar>
            <w:vAlign w:val="bottom"/>
          </w:tcPr>
          <w:p w14:paraId="6429832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32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32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323" w14:textId="77777777" w:rsidR="007B6C97" w:rsidRDefault="007B6C97">
            <w:pPr>
              <w:rPr>
                <w:rFonts w:ascii="宋体"/>
              </w:rPr>
            </w:pPr>
          </w:p>
        </w:tc>
      </w:tr>
      <w:tr w:rsidR="007B6C97" w14:paraId="64298329" w14:textId="77777777">
        <w:tc>
          <w:tcPr>
            <w:tcW w:w="0" w:type="auto"/>
            <w:gridSpan w:val="3"/>
            <w:shd w:val="clear" w:color="auto" w:fill="FFFFFF"/>
            <w:tcMar>
              <w:top w:w="0" w:type="dxa"/>
              <w:left w:w="20" w:type="dxa"/>
              <w:bottom w:w="0" w:type="dxa"/>
              <w:right w:w="20" w:type="dxa"/>
            </w:tcMar>
            <w:vAlign w:val="bottom"/>
          </w:tcPr>
          <w:p w14:paraId="6429832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326"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832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328"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32E" w14:textId="77777777">
        <w:tc>
          <w:tcPr>
            <w:tcW w:w="0" w:type="auto"/>
            <w:gridSpan w:val="3"/>
            <w:shd w:val="clear" w:color="auto" w:fill="D7E4BC"/>
            <w:tcMar>
              <w:top w:w="40" w:type="dxa"/>
              <w:left w:w="20" w:type="dxa"/>
              <w:bottom w:w="40" w:type="dxa"/>
              <w:right w:w="20" w:type="dxa"/>
            </w:tcMar>
          </w:tcPr>
          <w:p w14:paraId="6429832A" w14:textId="77777777" w:rsidR="007B6C97" w:rsidRDefault="00E426D1">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429832B" w14:textId="77777777" w:rsidR="007B6C97" w:rsidRDefault="00E426D1">
            <w:pPr>
              <w:jc w:val="right"/>
              <w:textAlignment w:val="bottom"/>
            </w:pPr>
            <w:r>
              <w:rPr>
                <w:rFonts w:ascii="Times New Roman" w:eastAsia="宋体" w:hAnsi="Times New Roman"/>
                <w:color w:val="000000"/>
                <w:sz w:val="20"/>
                <w:szCs w:val="20"/>
              </w:rPr>
              <w:t>8.5 years</w:t>
            </w:r>
          </w:p>
        </w:tc>
        <w:tc>
          <w:tcPr>
            <w:tcW w:w="0" w:type="auto"/>
            <w:gridSpan w:val="3"/>
            <w:shd w:val="clear" w:color="auto" w:fill="D7E4BC"/>
            <w:tcMar>
              <w:top w:w="0" w:type="dxa"/>
              <w:left w:w="20" w:type="dxa"/>
              <w:bottom w:w="0" w:type="dxa"/>
              <w:right w:w="20" w:type="dxa"/>
            </w:tcMar>
            <w:vAlign w:val="bottom"/>
          </w:tcPr>
          <w:p w14:paraId="6429832C"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429832D" w14:textId="77777777" w:rsidR="007B6C97" w:rsidRDefault="00E426D1">
            <w:pPr>
              <w:jc w:val="right"/>
              <w:textAlignment w:val="bottom"/>
            </w:pPr>
            <w:r>
              <w:rPr>
                <w:rFonts w:ascii="Times New Roman" w:eastAsia="宋体" w:hAnsi="Times New Roman"/>
                <w:color w:val="000000"/>
                <w:sz w:val="20"/>
                <w:szCs w:val="20"/>
              </w:rPr>
              <w:t>8.6 years</w:t>
            </w:r>
          </w:p>
        </w:tc>
      </w:tr>
      <w:tr w:rsidR="007B6C97" w14:paraId="64298335" w14:textId="77777777">
        <w:tc>
          <w:tcPr>
            <w:tcW w:w="0" w:type="auto"/>
            <w:gridSpan w:val="3"/>
            <w:shd w:val="clear" w:color="auto" w:fill="FFFFFF"/>
            <w:tcMar>
              <w:top w:w="40" w:type="dxa"/>
              <w:left w:w="20" w:type="dxa"/>
              <w:bottom w:w="40" w:type="dxa"/>
              <w:right w:w="20" w:type="dxa"/>
            </w:tcMar>
          </w:tcPr>
          <w:p w14:paraId="6429832F" w14:textId="77777777" w:rsidR="007B6C97" w:rsidRDefault="00E426D1">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64298330" w14:textId="77777777" w:rsidR="007B6C97" w:rsidRDefault="00E426D1">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4298331"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33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333" w14:textId="77777777" w:rsidR="007B6C97" w:rsidRDefault="00E426D1">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4298334" w14:textId="77777777" w:rsidR="007B6C97" w:rsidRDefault="00E426D1">
            <w:pPr>
              <w:jc w:val="right"/>
              <w:textAlignment w:val="bottom"/>
            </w:pPr>
            <w:r>
              <w:rPr>
                <w:rFonts w:ascii="Times New Roman" w:eastAsia="宋体" w:hAnsi="Times New Roman"/>
                <w:color w:val="000000"/>
                <w:sz w:val="20"/>
                <w:szCs w:val="20"/>
              </w:rPr>
              <w:t>%</w:t>
            </w:r>
          </w:p>
        </w:tc>
      </w:tr>
    </w:tbl>
    <w:p w14:paraId="64298336" w14:textId="77777777" w:rsidR="007B6C97" w:rsidRDefault="00E426D1">
      <w:pPr>
        <w:spacing w:before="120"/>
      </w:pPr>
      <w:r>
        <w:rPr>
          <w:rFonts w:ascii="Times New Roman" w:eastAsia="宋体" w:hAnsi="Times New Roman"/>
          <w:color w:val="000000"/>
          <w:sz w:val="20"/>
          <w:szCs w:val="20"/>
        </w:rPr>
        <w:t xml:space="preserve">Finance lease assets are recorded in property, plant and equipment, net </w:t>
      </w:r>
      <w:r>
        <w:rPr>
          <w:rFonts w:ascii="Times New Roman" w:eastAsia="宋体" w:hAnsi="Times New Roman"/>
          <w:color w:val="000000"/>
          <w:sz w:val="20"/>
          <w:szCs w:val="20"/>
        </w:rPr>
        <w:t>with the corresponding lease liabilities included in accrued liabilities and other long-term liabilities on the consolidated balance sheet. There were no material finance leases as of July 3, 2022 and October 3, 2021.</w:t>
      </w:r>
    </w:p>
    <w:p w14:paraId="64298337" w14:textId="77777777" w:rsidR="007B6C97" w:rsidRDefault="00E426D1">
      <w:pPr>
        <w:spacing w:before="120"/>
      </w:pPr>
      <w:r>
        <w:rPr>
          <w:rFonts w:ascii="Times New Roman" w:eastAsia="宋体" w:hAnsi="Times New Roman"/>
          <w:color w:val="000000"/>
          <w:sz w:val="20"/>
          <w:szCs w:val="20"/>
        </w:rPr>
        <w:t>Minimum future maturities of operating</w:t>
      </w:r>
      <w:r>
        <w:rPr>
          <w:rFonts w:ascii="Times New Roman" w:eastAsia="宋体" w:hAnsi="Times New Roman"/>
          <w:color w:val="000000"/>
          <w:sz w:val="20"/>
          <w:szCs w:val="20"/>
        </w:rPr>
        <w:t xml:space="preserve">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7B6C97" w14:paraId="6429833E" w14:textId="77777777">
        <w:tc>
          <w:tcPr>
            <w:tcW w:w="50" w:type="pct"/>
            <w:shd w:val="clear" w:color="auto" w:fill="auto"/>
            <w:vAlign w:val="bottom"/>
          </w:tcPr>
          <w:p w14:paraId="64298338" w14:textId="77777777" w:rsidR="007B6C97" w:rsidRDefault="007B6C97">
            <w:pPr>
              <w:rPr>
                <w:rFonts w:ascii="宋体"/>
              </w:rPr>
            </w:pPr>
          </w:p>
        </w:tc>
        <w:tc>
          <w:tcPr>
            <w:tcW w:w="4075" w:type="pct"/>
            <w:shd w:val="clear" w:color="auto" w:fill="auto"/>
            <w:vAlign w:val="bottom"/>
          </w:tcPr>
          <w:p w14:paraId="64298339" w14:textId="77777777" w:rsidR="007B6C97" w:rsidRDefault="007B6C97">
            <w:pPr>
              <w:rPr>
                <w:rFonts w:ascii="宋体"/>
              </w:rPr>
            </w:pPr>
          </w:p>
        </w:tc>
        <w:tc>
          <w:tcPr>
            <w:tcW w:w="5" w:type="pct"/>
            <w:shd w:val="clear" w:color="auto" w:fill="auto"/>
            <w:vAlign w:val="bottom"/>
          </w:tcPr>
          <w:p w14:paraId="6429833A" w14:textId="77777777" w:rsidR="007B6C97" w:rsidRDefault="007B6C97">
            <w:pPr>
              <w:rPr>
                <w:rFonts w:ascii="宋体"/>
              </w:rPr>
            </w:pPr>
          </w:p>
        </w:tc>
        <w:tc>
          <w:tcPr>
            <w:tcW w:w="50" w:type="pct"/>
            <w:shd w:val="clear" w:color="auto" w:fill="auto"/>
            <w:vAlign w:val="bottom"/>
          </w:tcPr>
          <w:p w14:paraId="6429833B" w14:textId="77777777" w:rsidR="007B6C97" w:rsidRDefault="007B6C97">
            <w:pPr>
              <w:rPr>
                <w:rFonts w:ascii="宋体"/>
              </w:rPr>
            </w:pPr>
          </w:p>
        </w:tc>
        <w:tc>
          <w:tcPr>
            <w:tcW w:w="814" w:type="pct"/>
            <w:shd w:val="clear" w:color="auto" w:fill="auto"/>
            <w:vAlign w:val="bottom"/>
          </w:tcPr>
          <w:p w14:paraId="6429833C" w14:textId="77777777" w:rsidR="007B6C97" w:rsidRDefault="007B6C97">
            <w:pPr>
              <w:rPr>
                <w:rFonts w:ascii="宋体"/>
              </w:rPr>
            </w:pPr>
          </w:p>
        </w:tc>
        <w:tc>
          <w:tcPr>
            <w:tcW w:w="5" w:type="pct"/>
            <w:shd w:val="clear" w:color="auto" w:fill="auto"/>
            <w:vAlign w:val="bottom"/>
          </w:tcPr>
          <w:p w14:paraId="6429833D" w14:textId="77777777" w:rsidR="007B6C97" w:rsidRDefault="007B6C97">
            <w:pPr>
              <w:rPr>
                <w:rFonts w:ascii="宋体"/>
              </w:rPr>
            </w:pPr>
          </w:p>
        </w:tc>
      </w:tr>
      <w:tr w:rsidR="007B6C97" w14:paraId="64298341" w14:textId="77777777">
        <w:tc>
          <w:tcPr>
            <w:tcW w:w="0" w:type="auto"/>
            <w:gridSpan w:val="3"/>
            <w:shd w:val="clear" w:color="auto" w:fill="auto"/>
            <w:tcMar>
              <w:top w:w="40" w:type="dxa"/>
              <w:left w:w="20" w:type="dxa"/>
              <w:bottom w:w="40" w:type="dxa"/>
              <w:right w:w="20" w:type="dxa"/>
            </w:tcMar>
            <w:vAlign w:val="bottom"/>
          </w:tcPr>
          <w:p w14:paraId="6429833F" w14:textId="77777777" w:rsidR="007B6C97" w:rsidRDefault="00E426D1">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64298340" w14:textId="77777777" w:rsidR="007B6C97" w:rsidRDefault="00E426D1">
            <w:pPr>
              <w:jc w:val="center"/>
              <w:textAlignment w:val="bottom"/>
            </w:pPr>
            <w:r>
              <w:rPr>
                <w:rFonts w:ascii="Times New Roman" w:eastAsia="宋体" w:hAnsi="Times New Roman"/>
                <w:b/>
                <w:bCs/>
                <w:color w:val="FFFFFF"/>
                <w:sz w:val="16"/>
                <w:szCs w:val="16"/>
              </w:rPr>
              <w:t xml:space="preserve">Total </w:t>
            </w:r>
          </w:p>
        </w:tc>
      </w:tr>
      <w:tr w:rsidR="007B6C97" w14:paraId="64298346" w14:textId="77777777">
        <w:tc>
          <w:tcPr>
            <w:tcW w:w="0" w:type="auto"/>
            <w:gridSpan w:val="3"/>
            <w:shd w:val="clear" w:color="auto" w:fill="D7E4BC"/>
            <w:tcMar>
              <w:top w:w="40" w:type="dxa"/>
              <w:left w:w="20" w:type="dxa"/>
              <w:bottom w:w="40" w:type="dxa"/>
              <w:right w:w="20" w:type="dxa"/>
            </w:tcMar>
          </w:tcPr>
          <w:p w14:paraId="64298342"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2022 (excluding the three quarters ended July 3,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4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44" w14:textId="77777777" w:rsidR="007B6C97" w:rsidRDefault="00E426D1">
            <w:pPr>
              <w:jc w:val="right"/>
              <w:textAlignment w:val="bottom"/>
            </w:pPr>
            <w:r>
              <w:rPr>
                <w:rFonts w:ascii="Times New Roman" w:eastAsia="宋体" w:hAnsi="Times New Roman"/>
                <w:color w:val="000000"/>
                <w:sz w:val="20"/>
                <w:szCs w:val="20"/>
              </w:rPr>
              <w:t>369.6 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45" w14:textId="77777777" w:rsidR="007B6C97" w:rsidRDefault="007B6C97">
            <w:pPr>
              <w:jc w:val="right"/>
              <w:rPr>
                <w:rFonts w:ascii="宋体"/>
              </w:rPr>
            </w:pPr>
          </w:p>
        </w:tc>
      </w:tr>
      <w:tr w:rsidR="007B6C97" w14:paraId="6429834A" w14:textId="77777777">
        <w:tc>
          <w:tcPr>
            <w:tcW w:w="0" w:type="auto"/>
            <w:gridSpan w:val="3"/>
            <w:shd w:val="clear" w:color="auto" w:fill="FFFFFF"/>
            <w:tcMar>
              <w:top w:w="40" w:type="dxa"/>
              <w:left w:w="20" w:type="dxa"/>
              <w:bottom w:w="40" w:type="dxa"/>
              <w:right w:w="20" w:type="dxa"/>
            </w:tcMar>
          </w:tcPr>
          <w:p w14:paraId="64298347" w14:textId="77777777" w:rsidR="007B6C97" w:rsidRDefault="00E426D1">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4298348" w14:textId="77777777" w:rsidR="007B6C97" w:rsidRDefault="00E426D1">
            <w:pPr>
              <w:jc w:val="right"/>
              <w:textAlignment w:val="bottom"/>
            </w:pPr>
            <w:r>
              <w:rPr>
                <w:rFonts w:ascii="Times New Roman" w:eastAsia="宋体" w:hAnsi="Times New Roman"/>
                <w:color w:val="000000"/>
                <w:sz w:val="20"/>
                <w:szCs w:val="20"/>
              </w:rPr>
              <w:t>1,467.7 </w:t>
            </w:r>
          </w:p>
        </w:tc>
        <w:tc>
          <w:tcPr>
            <w:tcW w:w="0" w:type="auto"/>
            <w:shd w:val="clear" w:color="auto" w:fill="FFFFFF"/>
            <w:tcMar>
              <w:top w:w="40" w:type="dxa"/>
              <w:left w:w="0" w:type="dxa"/>
              <w:bottom w:w="40" w:type="dxa"/>
              <w:right w:w="20" w:type="dxa"/>
            </w:tcMar>
            <w:vAlign w:val="bottom"/>
          </w:tcPr>
          <w:p w14:paraId="64298349" w14:textId="77777777" w:rsidR="007B6C97" w:rsidRDefault="007B6C97">
            <w:pPr>
              <w:jc w:val="right"/>
              <w:rPr>
                <w:rFonts w:ascii="宋体"/>
              </w:rPr>
            </w:pPr>
          </w:p>
        </w:tc>
      </w:tr>
      <w:tr w:rsidR="007B6C97" w14:paraId="6429834E" w14:textId="77777777">
        <w:tc>
          <w:tcPr>
            <w:tcW w:w="0" w:type="auto"/>
            <w:gridSpan w:val="3"/>
            <w:shd w:val="clear" w:color="auto" w:fill="D7E4BC"/>
            <w:tcMar>
              <w:top w:w="40" w:type="dxa"/>
              <w:left w:w="20" w:type="dxa"/>
              <w:bottom w:w="40" w:type="dxa"/>
              <w:right w:w="20" w:type="dxa"/>
            </w:tcMar>
          </w:tcPr>
          <w:p w14:paraId="6429834B" w14:textId="77777777" w:rsidR="007B6C97" w:rsidRDefault="00E426D1">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6429834C" w14:textId="77777777" w:rsidR="007B6C97" w:rsidRDefault="00E426D1">
            <w:pPr>
              <w:jc w:val="right"/>
              <w:textAlignment w:val="bottom"/>
            </w:pPr>
            <w:r>
              <w:rPr>
                <w:rFonts w:ascii="Times New Roman" w:eastAsia="宋体" w:hAnsi="Times New Roman"/>
                <w:color w:val="000000"/>
                <w:sz w:val="20"/>
                <w:szCs w:val="20"/>
              </w:rPr>
              <w:t>1,400.5 </w:t>
            </w:r>
          </w:p>
        </w:tc>
        <w:tc>
          <w:tcPr>
            <w:tcW w:w="0" w:type="auto"/>
            <w:shd w:val="clear" w:color="auto" w:fill="D7E4BC"/>
            <w:tcMar>
              <w:top w:w="40" w:type="dxa"/>
              <w:left w:w="0" w:type="dxa"/>
              <w:bottom w:w="40" w:type="dxa"/>
              <w:right w:w="20" w:type="dxa"/>
            </w:tcMar>
            <w:vAlign w:val="bottom"/>
          </w:tcPr>
          <w:p w14:paraId="6429834D" w14:textId="77777777" w:rsidR="007B6C97" w:rsidRDefault="007B6C97">
            <w:pPr>
              <w:jc w:val="right"/>
              <w:rPr>
                <w:rFonts w:ascii="宋体"/>
              </w:rPr>
            </w:pPr>
          </w:p>
        </w:tc>
      </w:tr>
      <w:tr w:rsidR="007B6C97" w14:paraId="64298352" w14:textId="77777777">
        <w:tc>
          <w:tcPr>
            <w:tcW w:w="0" w:type="auto"/>
            <w:gridSpan w:val="3"/>
            <w:shd w:val="clear" w:color="auto" w:fill="FFFFFF"/>
            <w:tcMar>
              <w:top w:w="40" w:type="dxa"/>
              <w:left w:w="20" w:type="dxa"/>
              <w:bottom w:w="40" w:type="dxa"/>
              <w:right w:w="20" w:type="dxa"/>
            </w:tcMar>
          </w:tcPr>
          <w:p w14:paraId="6429834F" w14:textId="77777777" w:rsidR="007B6C97" w:rsidRDefault="00E426D1">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4298350" w14:textId="77777777" w:rsidR="007B6C97" w:rsidRDefault="00E426D1">
            <w:pPr>
              <w:jc w:val="right"/>
              <w:textAlignment w:val="bottom"/>
            </w:pPr>
            <w:r>
              <w:rPr>
                <w:rFonts w:ascii="Times New Roman" w:eastAsia="宋体" w:hAnsi="Times New Roman"/>
                <w:color w:val="000000"/>
                <w:sz w:val="20"/>
                <w:szCs w:val="20"/>
              </w:rPr>
              <w:t>1,259.3 </w:t>
            </w:r>
          </w:p>
        </w:tc>
        <w:tc>
          <w:tcPr>
            <w:tcW w:w="0" w:type="auto"/>
            <w:shd w:val="clear" w:color="auto" w:fill="FFFFFF"/>
            <w:tcMar>
              <w:top w:w="40" w:type="dxa"/>
              <w:left w:w="0" w:type="dxa"/>
              <w:bottom w:w="40" w:type="dxa"/>
              <w:right w:w="20" w:type="dxa"/>
            </w:tcMar>
            <w:vAlign w:val="bottom"/>
          </w:tcPr>
          <w:p w14:paraId="64298351" w14:textId="77777777" w:rsidR="007B6C97" w:rsidRDefault="007B6C97">
            <w:pPr>
              <w:jc w:val="right"/>
              <w:rPr>
                <w:rFonts w:ascii="宋体"/>
              </w:rPr>
            </w:pPr>
          </w:p>
        </w:tc>
      </w:tr>
      <w:tr w:rsidR="007B6C97" w14:paraId="64298356" w14:textId="77777777">
        <w:tc>
          <w:tcPr>
            <w:tcW w:w="0" w:type="auto"/>
            <w:gridSpan w:val="3"/>
            <w:shd w:val="clear" w:color="auto" w:fill="D7E4BC"/>
            <w:tcMar>
              <w:top w:w="40" w:type="dxa"/>
              <w:left w:w="20" w:type="dxa"/>
              <w:bottom w:w="40" w:type="dxa"/>
              <w:right w:w="20" w:type="dxa"/>
            </w:tcMar>
          </w:tcPr>
          <w:p w14:paraId="64298353" w14:textId="77777777" w:rsidR="007B6C97" w:rsidRDefault="00E426D1">
            <w:pPr>
              <w:textAlignment w:val="top"/>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64298354" w14:textId="77777777" w:rsidR="007B6C97" w:rsidRDefault="00E426D1">
            <w:pPr>
              <w:jc w:val="right"/>
              <w:textAlignment w:val="bottom"/>
            </w:pPr>
            <w:r>
              <w:rPr>
                <w:rFonts w:ascii="Times New Roman" w:eastAsia="宋体" w:hAnsi="Times New Roman"/>
                <w:color w:val="000000"/>
                <w:sz w:val="20"/>
                <w:szCs w:val="20"/>
              </w:rPr>
              <w:t>1,109.5 </w:t>
            </w:r>
          </w:p>
        </w:tc>
        <w:tc>
          <w:tcPr>
            <w:tcW w:w="0" w:type="auto"/>
            <w:shd w:val="clear" w:color="auto" w:fill="D7E4BC"/>
            <w:tcMar>
              <w:top w:w="40" w:type="dxa"/>
              <w:left w:w="0" w:type="dxa"/>
              <w:bottom w:w="40" w:type="dxa"/>
              <w:right w:w="20" w:type="dxa"/>
            </w:tcMar>
            <w:vAlign w:val="bottom"/>
          </w:tcPr>
          <w:p w14:paraId="64298355" w14:textId="77777777" w:rsidR="007B6C97" w:rsidRDefault="007B6C97">
            <w:pPr>
              <w:jc w:val="right"/>
              <w:rPr>
                <w:rFonts w:ascii="宋体"/>
              </w:rPr>
            </w:pPr>
          </w:p>
        </w:tc>
      </w:tr>
      <w:tr w:rsidR="007B6C97" w14:paraId="6429835A" w14:textId="77777777">
        <w:tc>
          <w:tcPr>
            <w:tcW w:w="0" w:type="auto"/>
            <w:gridSpan w:val="3"/>
            <w:shd w:val="clear" w:color="auto" w:fill="FFFFFF"/>
            <w:tcMar>
              <w:top w:w="40" w:type="dxa"/>
              <w:left w:w="20" w:type="dxa"/>
              <w:bottom w:w="40" w:type="dxa"/>
              <w:right w:w="20" w:type="dxa"/>
            </w:tcMar>
          </w:tcPr>
          <w:p w14:paraId="64298357" w14:textId="77777777" w:rsidR="007B6C97" w:rsidRDefault="00E426D1">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4298358" w14:textId="77777777" w:rsidR="007B6C97" w:rsidRDefault="00E426D1">
            <w:pPr>
              <w:jc w:val="right"/>
              <w:textAlignment w:val="bottom"/>
            </w:pPr>
            <w:r>
              <w:rPr>
                <w:rFonts w:ascii="Times New Roman" w:eastAsia="宋体" w:hAnsi="Times New Roman"/>
                <w:color w:val="000000"/>
                <w:sz w:val="20"/>
                <w:szCs w:val="20"/>
              </w:rPr>
              <w:t>4,244.9 </w:t>
            </w:r>
          </w:p>
        </w:tc>
        <w:tc>
          <w:tcPr>
            <w:tcW w:w="0" w:type="auto"/>
            <w:shd w:val="clear" w:color="auto" w:fill="FFFFFF"/>
            <w:tcMar>
              <w:top w:w="40" w:type="dxa"/>
              <w:left w:w="0" w:type="dxa"/>
              <w:bottom w:w="40" w:type="dxa"/>
              <w:right w:w="20" w:type="dxa"/>
            </w:tcMar>
            <w:vAlign w:val="bottom"/>
          </w:tcPr>
          <w:p w14:paraId="64298359" w14:textId="77777777" w:rsidR="007B6C97" w:rsidRDefault="007B6C97">
            <w:pPr>
              <w:jc w:val="right"/>
              <w:rPr>
                <w:rFonts w:ascii="宋体"/>
              </w:rPr>
            </w:pPr>
          </w:p>
        </w:tc>
      </w:tr>
      <w:tr w:rsidR="007B6C97" w14:paraId="6429835E" w14:textId="77777777">
        <w:tc>
          <w:tcPr>
            <w:tcW w:w="0" w:type="auto"/>
            <w:gridSpan w:val="3"/>
            <w:shd w:val="clear" w:color="auto" w:fill="D7E4BC"/>
            <w:tcMar>
              <w:top w:w="40" w:type="dxa"/>
              <w:left w:w="20" w:type="dxa"/>
              <w:bottom w:w="40" w:type="dxa"/>
              <w:right w:w="20" w:type="dxa"/>
            </w:tcMar>
          </w:tcPr>
          <w:p w14:paraId="6429835B" w14:textId="77777777" w:rsidR="007B6C97" w:rsidRDefault="00E426D1">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35C" w14:textId="77777777" w:rsidR="007B6C97" w:rsidRDefault="00E426D1">
            <w:pPr>
              <w:jc w:val="right"/>
              <w:textAlignment w:val="bottom"/>
            </w:pPr>
            <w:r>
              <w:rPr>
                <w:rFonts w:ascii="Times New Roman" w:eastAsia="宋体" w:hAnsi="Times New Roman"/>
                <w:color w:val="000000"/>
                <w:sz w:val="20"/>
                <w:szCs w:val="20"/>
              </w:rPr>
              <w:t>9,851.5 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5D" w14:textId="77777777" w:rsidR="007B6C97" w:rsidRDefault="007B6C97">
            <w:pPr>
              <w:jc w:val="right"/>
              <w:rPr>
                <w:rFonts w:ascii="宋体"/>
              </w:rPr>
            </w:pPr>
          </w:p>
        </w:tc>
      </w:tr>
      <w:tr w:rsidR="007B6C97" w14:paraId="64298362" w14:textId="77777777">
        <w:tc>
          <w:tcPr>
            <w:tcW w:w="0" w:type="auto"/>
            <w:gridSpan w:val="3"/>
            <w:shd w:val="clear" w:color="auto" w:fill="FFFFFF"/>
            <w:tcMar>
              <w:top w:w="40" w:type="dxa"/>
              <w:left w:w="20" w:type="dxa"/>
              <w:bottom w:w="40" w:type="dxa"/>
              <w:right w:w="20" w:type="dxa"/>
            </w:tcMar>
          </w:tcPr>
          <w:p w14:paraId="6429835F" w14:textId="77777777" w:rsidR="007B6C97" w:rsidRDefault="00E426D1">
            <w:pPr>
              <w:textAlignment w:val="top"/>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imputed interest</w:t>
            </w:r>
          </w:p>
        </w:tc>
        <w:tc>
          <w:tcPr>
            <w:tcW w:w="0" w:type="auto"/>
            <w:gridSpan w:val="2"/>
            <w:shd w:val="clear" w:color="auto" w:fill="FFFFFF"/>
            <w:tcMar>
              <w:top w:w="40" w:type="dxa"/>
              <w:left w:w="20" w:type="dxa"/>
              <w:bottom w:w="40" w:type="dxa"/>
              <w:right w:w="0" w:type="dxa"/>
            </w:tcMar>
            <w:vAlign w:val="bottom"/>
          </w:tcPr>
          <w:p w14:paraId="64298360" w14:textId="77777777" w:rsidR="007B6C97" w:rsidRDefault="00E426D1">
            <w:pPr>
              <w:jc w:val="right"/>
              <w:textAlignment w:val="bottom"/>
            </w:pPr>
            <w:r>
              <w:rPr>
                <w:rFonts w:ascii="Times New Roman" w:eastAsia="宋体" w:hAnsi="Times New Roman"/>
                <w:color w:val="000000"/>
                <w:sz w:val="20"/>
                <w:szCs w:val="20"/>
              </w:rPr>
              <w:t>(1,082.3)</w:t>
            </w:r>
          </w:p>
        </w:tc>
        <w:tc>
          <w:tcPr>
            <w:tcW w:w="0" w:type="auto"/>
            <w:shd w:val="clear" w:color="auto" w:fill="FFFFFF"/>
            <w:tcMar>
              <w:top w:w="40" w:type="dxa"/>
              <w:left w:w="0" w:type="dxa"/>
              <w:bottom w:w="40" w:type="dxa"/>
              <w:right w:w="20" w:type="dxa"/>
            </w:tcMar>
            <w:vAlign w:val="bottom"/>
          </w:tcPr>
          <w:p w14:paraId="64298361" w14:textId="77777777" w:rsidR="007B6C97" w:rsidRDefault="007B6C97">
            <w:pPr>
              <w:jc w:val="right"/>
              <w:rPr>
                <w:rFonts w:ascii="宋体"/>
              </w:rPr>
            </w:pPr>
          </w:p>
        </w:tc>
      </w:tr>
      <w:tr w:rsidR="007B6C97" w14:paraId="64298367" w14:textId="77777777">
        <w:tc>
          <w:tcPr>
            <w:tcW w:w="0" w:type="auto"/>
            <w:gridSpan w:val="3"/>
            <w:shd w:val="clear" w:color="auto" w:fill="D7E4BC"/>
            <w:tcMar>
              <w:top w:w="40" w:type="dxa"/>
              <w:left w:w="20" w:type="dxa"/>
              <w:bottom w:w="40" w:type="dxa"/>
              <w:right w:w="20" w:type="dxa"/>
            </w:tcMar>
          </w:tcPr>
          <w:p w14:paraId="64298363" w14:textId="77777777" w:rsidR="007B6C97" w:rsidRDefault="00E426D1">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36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365" w14:textId="77777777" w:rsidR="007B6C97" w:rsidRDefault="00E426D1">
            <w:pPr>
              <w:jc w:val="right"/>
              <w:textAlignment w:val="bottom"/>
            </w:pPr>
            <w:r>
              <w:rPr>
                <w:rFonts w:ascii="Times New Roman" w:eastAsia="宋体" w:hAnsi="Times New Roman"/>
                <w:color w:val="000000"/>
                <w:sz w:val="20"/>
                <w:szCs w:val="20"/>
              </w:rPr>
              <w:t>8,769.2 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366" w14:textId="77777777" w:rsidR="007B6C97" w:rsidRDefault="007B6C97">
            <w:pPr>
              <w:jc w:val="right"/>
              <w:rPr>
                <w:rFonts w:ascii="宋体"/>
              </w:rPr>
            </w:pPr>
          </w:p>
        </w:tc>
      </w:tr>
    </w:tbl>
    <w:p w14:paraId="64298368" w14:textId="77777777" w:rsidR="007B6C97" w:rsidRDefault="00E426D1">
      <w:pPr>
        <w:spacing w:before="120"/>
      </w:pPr>
      <w:r>
        <w:rPr>
          <w:rFonts w:ascii="Times New Roman" w:eastAsia="宋体" w:hAnsi="Times New Roman"/>
          <w:color w:val="000000"/>
          <w:sz w:val="20"/>
          <w:szCs w:val="20"/>
        </w:rPr>
        <w:t xml:space="preserve">As of July 3, 2022, we have entered into operating leases that have not yet commenced of $1.1 billion, primarily related to real estate leases. These leases will commence between fiscal year 2022 and </w:t>
      </w:r>
      <w:r>
        <w:rPr>
          <w:rFonts w:ascii="Times New Roman" w:eastAsia="宋体" w:hAnsi="Times New Roman"/>
          <w:color w:val="000000"/>
          <w:sz w:val="20"/>
          <w:szCs w:val="20"/>
        </w:rPr>
        <w:t>fiscal year 2028 with lease terms ranging from ten to twenty years.</w:t>
      </w:r>
    </w:p>
    <w:p w14:paraId="64298369" w14:textId="77777777" w:rsidR="007B6C97" w:rsidRDefault="00E426D1">
      <w:pPr>
        <w:jc w:val="center"/>
      </w:pPr>
      <w:r>
        <w:rPr>
          <w:rFonts w:ascii="Times New Roman" w:eastAsia="宋体" w:hAnsi="Times New Roman"/>
          <w:color w:val="000000"/>
          <w:sz w:val="20"/>
          <w:szCs w:val="20"/>
        </w:rPr>
        <w:t>23</w:t>
      </w:r>
    </w:p>
    <w:p w14:paraId="6429836A" w14:textId="77777777" w:rsidR="007B6C97" w:rsidRDefault="00E426D1">
      <w:r>
        <w:pict w14:anchorId="642999F1">
          <v:rect id="_x0000_i1047" style="width:415.3pt;height:1.5pt" o:hralign="center" o:hrstd="t" o:hr="t" fillcolor="#a0a0a0" stroked="f"/>
        </w:pict>
      </w:r>
    </w:p>
    <w:p w14:paraId="6429836B" w14:textId="77777777" w:rsidR="007B6C97" w:rsidRDefault="00E426D1">
      <w:hyperlink r:id="rId125" w:anchor="ie38a2b375c9840e583a36769999bbee6_7" w:history="1">
        <w:r>
          <w:rPr>
            <w:rStyle w:val="a5"/>
            <w:rFonts w:ascii="Times New Roman" w:eastAsia="宋体" w:hAnsi="Times New Roman"/>
            <w:sz w:val="20"/>
            <w:szCs w:val="20"/>
          </w:rPr>
          <w:t>Table</w:t>
        </w:r>
      </w:hyperlink>
      <w:hyperlink r:id="rId126" w:anchor="ie38a2b375c9840e583a36769999bbee6_7" w:history="1">
        <w:r>
          <w:rPr>
            <w:rStyle w:val="a5"/>
            <w:rFonts w:ascii="Times New Roman" w:eastAsia="宋体" w:hAnsi="Times New Roman"/>
            <w:sz w:val="20"/>
            <w:szCs w:val="20"/>
          </w:rPr>
          <w:t xml:space="preserve"> of Contents</w:t>
        </w:r>
      </w:hyperlink>
    </w:p>
    <w:p w14:paraId="6429836C" w14:textId="77777777" w:rsidR="007B6C97" w:rsidRDefault="00E426D1">
      <w:pPr>
        <w:spacing w:before="120"/>
      </w:pPr>
      <w:r>
        <w:rPr>
          <w:rFonts w:ascii="Times New Roman" w:eastAsia="宋体" w:hAnsi="Times New Roman"/>
          <w:b/>
          <w:bCs/>
          <w:color w:val="000000"/>
          <w:sz w:val="20"/>
          <w:szCs w:val="20"/>
        </w:rPr>
        <w:t>Note 9: Deferred Revenue</w:t>
      </w:r>
    </w:p>
    <w:p w14:paraId="6429836D" w14:textId="77777777" w:rsidR="007B6C97" w:rsidRDefault="00E426D1">
      <w:pPr>
        <w:spacing w:before="120"/>
      </w:pPr>
      <w:r>
        <w:rPr>
          <w:rFonts w:ascii="Times New Roman" w:eastAsia="宋体" w:hAnsi="Times New Roman"/>
          <w:color w:val="000000"/>
          <w:sz w:val="20"/>
          <w:szCs w:val="20"/>
        </w:rPr>
        <w:t xml:space="preserve">Our deferred revenue primarily consists of the prepaid royalty from Nestlé, for which we </w:t>
      </w:r>
      <w:r>
        <w:rPr>
          <w:rFonts w:ascii="Times New Roman" w:eastAsia="宋体" w:hAnsi="Times New Roman"/>
          <w:color w:val="000000"/>
          <w:sz w:val="20"/>
          <w:szCs w:val="20"/>
        </w:rPr>
        <w:t>have continuing performance obligations to support the Global Coffee Alliance, our unredeemed stored value card liability and unredeemed loyalty points (“Stars”) associated with our loyalty program.</w:t>
      </w:r>
    </w:p>
    <w:p w14:paraId="6429836E" w14:textId="77777777" w:rsidR="007B6C97" w:rsidRDefault="00E426D1">
      <w:pPr>
        <w:spacing w:before="120"/>
      </w:pPr>
      <w:r>
        <w:rPr>
          <w:rFonts w:ascii="Times New Roman" w:eastAsia="宋体" w:hAnsi="Times New Roman"/>
          <w:color w:val="000000"/>
          <w:sz w:val="20"/>
          <w:szCs w:val="20"/>
        </w:rPr>
        <w:t>As of July 3, 2022, the current and long-term deferred re</w:t>
      </w:r>
      <w:r>
        <w:rPr>
          <w:rFonts w:ascii="Times New Roman" w:eastAsia="宋体" w:hAnsi="Times New Roman"/>
          <w:color w:val="000000"/>
          <w:sz w:val="20"/>
          <w:szCs w:val="20"/>
        </w:rPr>
        <w:t>venue related to Nestlé was $177.0 million and $6.2 billion, respectively. As of October 3, 2021, the current and long-term deferred revenue related to the Nestlé up-front payment was $177.0 million and $6.4 billion, respectively. During the quarter and th</w:t>
      </w:r>
      <w:r>
        <w:rPr>
          <w:rFonts w:ascii="Times New Roman" w:eastAsia="宋体" w:hAnsi="Times New Roman"/>
          <w:color w:val="000000"/>
          <w:sz w:val="20"/>
          <w:szCs w:val="20"/>
        </w:rPr>
        <w:t>ree quarters ended July 3, 2022, we recognized $44.1 million and $132.5 million of prepaid royalty revenue related to Nestlé, respectively. During the quarter and three quarters ended June 27, 2021, we recognized $44.2 million and $132.5 million of prepaid</w:t>
      </w:r>
      <w:r>
        <w:rPr>
          <w:rFonts w:ascii="Times New Roman" w:eastAsia="宋体" w:hAnsi="Times New Roman"/>
          <w:color w:val="000000"/>
          <w:sz w:val="20"/>
          <w:szCs w:val="20"/>
        </w:rPr>
        <w:t xml:space="preserve"> royalty revenue related to Nestlé, respectively.</w:t>
      </w:r>
    </w:p>
    <w:p w14:paraId="6429836F" w14:textId="77777777" w:rsidR="007B6C97" w:rsidRDefault="00E426D1">
      <w:pPr>
        <w:spacing w:before="120"/>
      </w:pPr>
      <w:r>
        <w:rPr>
          <w:rFonts w:ascii="Times New Roman" w:eastAsia="宋体" w:hAnsi="Times New Roman"/>
          <w:color w:val="000000"/>
          <w:sz w:val="20"/>
          <w:szCs w:val="20"/>
        </w:rPr>
        <w:t>Changes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
        <w:gridCol w:w="6764"/>
        <w:gridCol w:w="39"/>
        <w:gridCol w:w="121"/>
        <w:gridCol w:w="1325"/>
        <w:gridCol w:w="36"/>
      </w:tblGrid>
      <w:tr w:rsidR="007B6C97" w14:paraId="64298376" w14:textId="77777777">
        <w:tc>
          <w:tcPr>
            <w:tcW w:w="50" w:type="pct"/>
            <w:shd w:val="clear" w:color="auto" w:fill="auto"/>
            <w:vAlign w:val="bottom"/>
          </w:tcPr>
          <w:p w14:paraId="64298370" w14:textId="77777777" w:rsidR="007B6C97" w:rsidRDefault="007B6C97">
            <w:pPr>
              <w:rPr>
                <w:rFonts w:ascii="宋体"/>
              </w:rPr>
            </w:pPr>
          </w:p>
        </w:tc>
        <w:tc>
          <w:tcPr>
            <w:tcW w:w="4075" w:type="pct"/>
            <w:shd w:val="clear" w:color="auto" w:fill="auto"/>
            <w:vAlign w:val="bottom"/>
          </w:tcPr>
          <w:p w14:paraId="64298371" w14:textId="77777777" w:rsidR="007B6C97" w:rsidRDefault="007B6C97">
            <w:pPr>
              <w:rPr>
                <w:rFonts w:ascii="宋体"/>
              </w:rPr>
            </w:pPr>
          </w:p>
        </w:tc>
        <w:tc>
          <w:tcPr>
            <w:tcW w:w="5" w:type="pct"/>
            <w:shd w:val="clear" w:color="auto" w:fill="auto"/>
            <w:vAlign w:val="bottom"/>
          </w:tcPr>
          <w:p w14:paraId="64298372" w14:textId="77777777" w:rsidR="007B6C97" w:rsidRDefault="007B6C97">
            <w:pPr>
              <w:rPr>
                <w:rFonts w:ascii="宋体"/>
              </w:rPr>
            </w:pPr>
          </w:p>
        </w:tc>
        <w:tc>
          <w:tcPr>
            <w:tcW w:w="50" w:type="pct"/>
            <w:shd w:val="clear" w:color="auto" w:fill="auto"/>
            <w:vAlign w:val="bottom"/>
          </w:tcPr>
          <w:p w14:paraId="64298373" w14:textId="77777777" w:rsidR="007B6C97" w:rsidRDefault="007B6C97">
            <w:pPr>
              <w:rPr>
                <w:rFonts w:ascii="宋体"/>
              </w:rPr>
            </w:pPr>
          </w:p>
        </w:tc>
        <w:tc>
          <w:tcPr>
            <w:tcW w:w="814" w:type="pct"/>
            <w:shd w:val="clear" w:color="auto" w:fill="auto"/>
            <w:vAlign w:val="bottom"/>
          </w:tcPr>
          <w:p w14:paraId="64298374" w14:textId="77777777" w:rsidR="007B6C97" w:rsidRDefault="007B6C97">
            <w:pPr>
              <w:rPr>
                <w:rFonts w:ascii="宋体"/>
              </w:rPr>
            </w:pPr>
          </w:p>
        </w:tc>
        <w:tc>
          <w:tcPr>
            <w:tcW w:w="5" w:type="pct"/>
            <w:shd w:val="clear" w:color="auto" w:fill="auto"/>
            <w:vAlign w:val="bottom"/>
          </w:tcPr>
          <w:p w14:paraId="64298375" w14:textId="77777777" w:rsidR="007B6C97" w:rsidRDefault="007B6C97">
            <w:pPr>
              <w:rPr>
                <w:rFonts w:ascii="宋体"/>
              </w:rPr>
            </w:pPr>
          </w:p>
        </w:tc>
      </w:tr>
      <w:tr w:rsidR="007B6C97" w14:paraId="64298379" w14:textId="77777777">
        <w:tc>
          <w:tcPr>
            <w:tcW w:w="0" w:type="auto"/>
            <w:gridSpan w:val="3"/>
            <w:shd w:val="clear" w:color="auto" w:fill="auto"/>
            <w:tcMar>
              <w:top w:w="40" w:type="dxa"/>
              <w:left w:w="20" w:type="dxa"/>
              <w:bottom w:w="40" w:type="dxa"/>
              <w:right w:w="20" w:type="dxa"/>
            </w:tcMar>
            <w:vAlign w:val="bottom"/>
          </w:tcPr>
          <w:p w14:paraId="64298377"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Quarter Ended July 3, 2022</w:t>
            </w:r>
          </w:p>
        </w:tc>
        <w:tc>
          <w:tcPr>
            <w:tcW w:w="0" w:type="auto"/>
            <w:gridSpan w:val="3"/>
            <w:shd w:val="clear" w:color="auto" w:fill="00704A"/>
            <w:tcMar>
              <w:top w:w="40" w:type="dxa"/>
              <w:left w:w="20" w:type="dxa"/>
              <w:bottom w:w="40" w:type="dxa"/>
              <w:right w:w="20" w:type="dxa"/>
            </w:tcMar>
            <w:vAlign w:val="bottom"/>
          </w:tcPr>
          <w:p w14:paraId="64298378"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37E" w14:textId="77777777">
        <w:tc>
          <w:tcPr>
            <w:tcW w:w="0" w:type="auto"/>
            <w:gridSpan w:val="3"/>
            <w:shd w:val="clear" w:color="auto" w:fill="D7E4BC"/>
            <w:tcMar>
              <w:top w:w="40" w:type="dxa"/>
              <w:left w:w="20" w:type="dxa"/>
              <w:bottom w:w="40" w:type="dxa"/>
              <w:right w:w="20" w:type="dxa"/>
            </w:tcMar>
            <w:vAlign w:val="bottom"/>
          </w:tcPr>
          <w:p w14:paraId="6429837A"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Stored value cards and loyalty program at </w:t>
            </w:r>
            <w:r>
              <w:rPr>
                <w:rFonts w:ascii="Times New Roman" w:eastAsia="宋体" w:hAnsi="Times New Roman"/>
                <w:color w:val="000000"/>
                <w:sz w:val="20"/>
                <w:szCs w:val="20"/>
              </w:rPr>
              <w:t>April 3,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7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7C" w14:textId="77777777" w:rsidR="007B6C97" w:rsidRDefault="00E426D1">
            <w:pPr>
              <w:jc w:val="right"/>
              <w:textAlignment w:val="bottom"/>
            </w:pPr>
            <w:r>
              <w:rPr>
                <w:rFonts w:ascii="Times New Roman" w:eastAsia="宋体" w:hAnsi="Times New Roman"/>
                <w:color w:val="000000"/>
                <w:sz w:val="20"/>
                <w:szCs w:val="20"/>
              </w:rPr>
              <w:t>1,645.2 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7D" w14:textId="77777777" w:rsidR="007B6C97" w:rsidRDefault="007B6C97">
            <w:pPr>
              <w:jc w:val="right"/>
              <w:rPr>
                <w:rFonts w:ascii="宋体"/>
              </w:rPr>
            </w:pPr>
          </w:p>
        </w:tc>
      </w:tr>
      <w:tr w:rsidR="007B6C97" w14:paraId="64298382" w14:textId="77777777">
        <w:tc>
          <w:tcPr>
            <w:tcW w:w="0" w:type="auto"/>
            <w:gridSpan w:val="3"/>
            <w:shd w:val="clear" w:color="auto" w:fill="FFFFFF"/>
            <w:tcMar>
              <w:top w:w="40" w:type="dxa"/>
              <w:left w:w="20" w:type="dxa"/>
              <w:bottom w:w="40" w:type="dxa"/>
              <w:right w:w="20" w:type="dxa"/>
            </w:tcMar>
            <w:vAlign w:val="bottom"/>
          </w:tcPr>
          <w:p w14:paraId="6429837F" w14:textId="77777777" w:rsidR="007B6C97" w:rsidRDefault="00E426D1">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64298380" w14:textId="77777777" w:rsidR="007B6C97" w:rsidRDefault="00E426D1">
            <w:pPr>
              <w:jc w:val="right"/>
              <w:textAlignment w:val="bottom"/>
            </w:pPr>
            <w:r>
              <w:rPr>
                <w:rFonts w:ascii="Times New Roman" w:eastAsia="宋体" w:hAnsi="Times New Roman"/>
                <w:color w:val="000000"/>
                <w:sz w:val="20"/>
                <w:szCs w:val="20"/>
              </w:rPr>
              <w:t>3,282.6 </w:t>
            </w:r>
          </w:p>
        </w:tc>
        <w:tc>
          <w:tcPr>
            <w:tcW w:w="0" w:type="auto"/>
            <w:shd w:val="clear" w:color="auto" w:fill="FFFFFF"/>
            <w:tcMar>
              <w:top w:w="40" w:type="dxa"/>
              <w:left w:w="0" w:type="dxa"/>
              <w:bottom w:w="40" w:type="dxa"/>
              <w:right w:w="20" w:type="dxa"/>
            </w:tcMar>
            <w:vAlign w:val="bottom"/>
          </w:tcPr>
          <w:p w14:paraId="64298381" w14:textId="77777777" w:rsidR="007B6C97" w:rsidRDefault="007B6C97">
            <w:pPr>
              <w:jc w:val="right"/>
              <w:rPr>
                <w:rFonts w:ascii="宋体"/>
              </w:rPr>
            </w:pPr>
          </w:p>
        </w:tc>
      </w:tr>
      <w:tr w:rsidR="007B6C97" w14:paraId="64298386" w14:textId="77777777">
        <w:tc>
          <w:tcPr>
            <w:tcW w:w="0" w:type="auto"/>
            <w:gridSpan w:val="3"/>
            <w:shd w:val="clear" w:color="auto" w:fill="D7E4BC"/>
            <w:tcMar>
              <w:top w:w="40" w:type="dxa"/>
              <w:left w:w="20" w:type="dxa"/>
              <w:bottom w:w="40" w:type="dxa"/>
              <w:right w:w="20" w:type="dxa"/>
            </w:tcMar>
            <w:vAlign w:val="bottom"/>
          </w:tcPr>
          <w:p w14:paraId="64298383" w14:textId="77777777" w:rsidR="007B6C97" w:rsidRDefault="00E426D1">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4298384" w14:textId="77777777" w:rsidR="007B6C97" w:rsidRDefault="00E426D1">
            <w:pPr>
              <w:jc w:val="right"/>
              <w:textAlignment w:val="bottom"/>
            </w:pPr>
            <w:r>
              <w:rPr>
                <w:rFonts w:ascii="Times New Roman" w:eastAsia="宋体" w:hAnsi="Times New Roman"/>
                <w:color w:val="000000"/>
                <w:sz w:val="20"/>
                <w:szCs w:val="20"/>
              </w:rPr>
              <w:t>(3,312.3)</w:t>
            </w:r>
          </w:p>
        </w:tc>
        <w:tc>
          <w:tcPr>
            <w:tcW w:w="0" w:type="auto"/>
            <w:shd w:val="clear" w:color="auto" w:fill="D7E4BC"/>
            <w:tcMar>
              <w:top w:w="40" w:type="dxa"/>
              <w:left w:w="0" w:type="dxa"/>
              <w:bottom w:w="40" w:type="dxa"/>
              <w:right w:w="20" w:type="dxa"/>
            </w:tcMar>
            <w:vAlign w:val="bottom"/>
          </w:tcPr>
          <w:p w14:paraId="64298385" w14:textId="77777777" w:rsidR="007B6C97" w:rsidRDefault="007B6C97">
            <w:pPr>
              <w:jc w:val="right"/>
              <w:rPr>
                <w:rFonts w:ascii="宋体"/>
              </w:rPr>
            </w:pPr>
          </w:p>
        </w:tc>
      </w:tr>
      <w:tr w:rsidR="007B6C97" w14:paraId="6429838A" w14:textId="77777777">
        <w:tc>
          <w:tcPr>
            <w:tcW w:w="0" w:type="auto"/>
            <w:gridSpan w:val="3"/>
            <w:shd w:val="clear" w:color="auto" w:fill="FFFFFF"/>
            <w:tcMar>
              <w:top w:w="40" w:type="dxa"/>
              <w:left w:w="20" w:type="dxa"/>
              <w:bottom w:w="40" w:type="dxa"/>
              <w:right w:w="20" w:type="dxa"/>
            </w:tcMar>
            <w:vAlign w:val="bottom"/>
          </w:tcPr>
          <w:p w14:paraId="64298387"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4298388" w14:textId="77777777" w:rsidR="007B6C97" w:rsidRDefault="00E426D1">
            <w:pPr>
              <w:jc w:val="right"/>
              <w:textAlignment w:val="bottom"/>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bottom"/>
          </w:tcPr>
          <w:p w14:paraId="64298389" w14:textId="77777777" w:rsidR="007B6C97" w:rsidRDefault="007B6C97">
            <w:pPr>
              <w:jc w:val="right"/>
              <w:rPr>
                <w:rFonts w:ascii="宋体"/>
              </w:rPr>
            </w:pPr>
          </w:p>
        </w:tc>
      </w:tr>
      <w:tr w:rsidR="007B6C97" w14:paraId="6429838F" w14:textId="77777777">
        <w:tc>
          <w:tcPr>
            <w:tcW w:w="0" w:type="auto"/>
            <w:gridSpan w:val="3"/>
            <w:shd w:val="clear" w:color="auto" w:fill="D7E4BC"/>
            <w:tcMar>
              <w:top w:w="40" w:type="dxa"/>
              <w:left w:w="20" w:type="dxa"/>
              <w:bottom w:w="40" w:type="dxa"/>
              <w:right w:w="20" w:type="dxa"/>
            </w:tcMar>
            <w:vAlign w:val="bottom"/>
          </w:tcPr>
          <w:p w14:paraId="6429838B"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July 3, 2022</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8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8D" w14:textId="77777777" w:rsidR="007B6C97" w:rsidRDefault="00E426D1">
            <w:pPr>
              <w:jc w:val="right"/>
              <w:textAlignment w:val="bottom"/>
            </w:pPr>
            <w:r>
              <w:rPr>
                <w:rFonts w:ascii="Times New Roman" w:eastAsia="宋体" w:hAnsi="Times New Roman"/>
                <w:color w:val="000000"/>
                <w:sz w:val="20"/>
                <w:szCs w:val="20"/>
              </w:rPr>
              <w:t>1,593.8 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8E" w14:textId="77777777" w:rsidR="007B6C97" w:rsidRDefault="007B6C97">
            <w:pPr>
              <w:jc w:val="right"/>
              <w:rPr>
                <w:rFonts w:ascii="宋体"/>
              </w:rPr>
            </w:pPr>
          </w:p>
        </w:tc>
      </w:tr>
      <w:tr w:rsidR="007B6C97" w14:paraId="64298392" w14:textId="77777777">
        <w:trPr>
          <w:trHeight w:val="240"/>
        </w:trPr>
        <w:tc>
          <w:tcPr>
            <w:tcW w:w="0" w:type="auto"/>
            <w:gridSpan w:val="3"/>
            <w:shd w:val="clear" w:color="auto" w:fill="auto"/>
            <w:tcMar>
              <w:top w:w="0" w:type="dxa"/>
              <w:left w:w="20" w:type="dxa"/>
              <w:bottom w:w="0" w:type="dxa"/>
              <w:right w:w="20" w:type="dxa"/>
            </w:tcMar>
            <w:vAlign w:val="bottom"/>
          </w:tcPr>
          <w:p w14:paraId="64298390"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391" w14:textId="77777777" w:rsidR="007B6C97" w:rsidRDefault="007B6C97">
            <w:pPr>
              <w:rPr>
                <w:rFonts w:ascii="宋体"/>
              </w:rPr>
            </w:pPr>
          </w:p>
        </w:tc>
      </w:tr>
      <w:tr w:rsidR="007B6C97" w14:paraId="64298395" w14:textId="77777777">
        <w:tc>
          <w:tcPr>
            <w:tcW w:w="0" w:type="auto"/>
            <w:gridSpan w:val="3"/>
            <w:shd w:val="clear" w:color="auto" w:fill="auto"/>
            <w:tcMar>
              <w:top w:w="40" w:type="dxa"/>
              <w:left w:w="20" w:type="dxa"/>
              <w:bottom w:w="40" w:type="dxa"/>
              <w:right w:w="20" w:type="dxa"/>
            </w:tcMar>
            <w:vAlign w:val="bottom"/>
          </w:tcPr>
          <w:p w14:paraId="64298393"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Quarter Ended June 27, 2021</w:t>
            </w:r>
          </w:p>
        </w:tc>
        <w:tc>
          <w:tcPr>
            <w:tcW w:w="0" w:type="auto"/>
            <w:gridSpan w:val="3"/>
            <w:shd w:val="clear" w:color="auto" w:fill="00704A"/>
            <w:tcMar>
              <w:top w:w="40" w:type="dxa"/>
              <w:left w:w="20" w:type="dxa"/>
              <w:bottom w:w="40" w:type="dxa"/>
              <w:right w:w="20" w:type="dxa"/>
            </w:tcMar>
            <w:vAlign w:val="bottom"/>
          </w:tcPr>
          <w:p w14:paraId="64298394"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39A" w14:textId="77777777">
        <w:tc>
          <w:tcPr>
            <w:tcW w:w="0" w:type="auto"/>
            <w:gridSpan w:val="3"/>
            <w:shd w:val="clear" w:color="auto" w:fill="D7E4BC"/>
            <w:tcMar>
              <w:top w:w="40" w:type="dxa"/>
              <w:left w:w="20" w:type="dxa"/>
              <w:bottom w:w="40" w:type="dxa"/>
              <w:right w:w="20" w:type="dxa"/>
            </w:tcMar>
            <w:vAlign w:val="bottom"/>
          </w:tcPr>
          <w:p w14:paraId="64298396"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March 28,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9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98" w14:textId="77777777" w:rsidR="007B6C97" w:rsidRDefault="00E426D1">
            <w:pPr>
              <w:jc w:val="right"/>
              <w:textAlignment w:val="bottom"/>
            </w:pPr>
            <w:r>
              <w:rPr>
                <w:rFonts w:ascii="Times New Roman" w:eastAsia="宋体" w:hAnsi="Times New Roman"/>
                <w:color w:val="000000"/>
                <w:sz w:val="20"/>
                <w:szCs w:val="20"/>
              </w:rPr>
              <w:t>1,475.2 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99" w14:textId="77777777" w:rsidR="007B6C97" w:rsidRDefault="007B6C97">
            <w:pPr>
              <w:jc w:val="right"/>
              <w:rPr>
                <w:rFonts w:ascii="宋体"/>
              </w:rPr>
            </w:pPr>
          </w:p>
        </w:tc>
      </w:tr>
      <w:tr w:rsidR="007B6C97" w14:paraId="6429839E" w14:textId="77777777">
        <w:tc>
          <w:tcPr>
            <w:tcW w:w="0" w:type="auto"/>
            <w:gridSpan w:val="3"/>
            <w:shd w:val="clear" w:color="auto" w:fill="FFFFFF"/>
            <w:tcMar>
              <w:top w:w="40" w:type="dxa"/>
              <w:left w:w="20" w:type="dxa"/>
              <w:bottom w:w="40" w:type="dxa"/>
              <w:right w:w="20" w:type="dxa"/>
            </w:tcMar>
            <w:vAlign w:val="bottom"/>
          </w:tcPr>
          <w:p w14:paraId="6429839B" w14:textId="77777777" w:rsidR="007B6C97" w:rsidRDefault="00E426D1">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6429839C" w14:textId="77777777" w:rsidR="007B6C97" w:rsidRDefault="00E426D1">
            <w:pPr>
              <w:jc w:val="right"/>
              <w:textAlignment w:val="bottom"/>
            </w:pPr>
            <w:r>
              <w:rPr>
                <w:rFonts w:ascii="Times New Roman" w:eastAsia="宋体" w:hAnsi="Times New Roman"/>
                <w:color w:val="000000"/>
                <w:sz w:val="20"/>
                <w:szCs w:val="20"/>
              </w:rPr>
              <w:t>3,170.7 </w:t>
            </w:r>
          </w:p>
        </w:tc>
        <w:tc>
          <w:tcPr>
            <w:tcW w:w="0" w:type="auto"/>
            <w:shd w:val="clear" w:color="auto" w:fill="FFFFFF"/>
            <w:tcMar>
              <w:top w:w="40" w:type="dxa"/>
              <w:left w:w="0" w:type="dxa"/>
              <w:bottom w:w="40" w:type="dxa"/>
              <w:right w:w="20" w:type="dxa"/>
            </w:tcMar>
            <w:vAlign w:val="bottom"/>
          </w:tcPr>
          <w:p w14:paraId="6429839D" w14:textId="77777777" w:rsidR="007B6C97" w:rsidRDefault="007B6C97">
            <w:pPr>
              <w:jc w:val="right"/>
              <w:rPr>
                <w:rFonts w:ascii="宋体"/>
              </w:rPr>
            </w:pPr>
          </w:p>
        </w:tc>
      </w:tr>
      <w:tr w:rsidR="007B6C97" w14:paraId="642983A2" w14:textId="77777777">
        <w:tc>
          <w:tcPr>
            <w:tcW w:w="0" w:type="auto"/>
            <w:gridSpan w:val="3"/>
            <w:shd w:val="clear" w:color="auto" w:fill="D7E4BC"/>
            <w:tcMar>
              <w:top w:w="40" w:type="dxa"/>
              <w:left w:w="20" w:type="dxa"/>
              <w:bottom w:w="40" w:type="dxa"/>
              <w:right w:w="20" w:type="dxa"/>
            </w:tcMar>
            <w:vAlign w:val="bottom"/>
          </w:tcPr>
          <w:p w14:paraId="6429839F" w14:textId="77777777" w:rsidR="007B6C97" w:rsidRDefault="00E426D1">
            <w:pPr>
              <w:textAlignment w:val="bottom"/>
            </w:pPr>
            <w:r>
              <w:rPr>
                <w:rFonts w:ascii="Times New Roman" w:eastAsia="宋体" w:hAnsi="Times New Roman"/>
                <w:color w:val="000000"/>
                <w:sz w:val="20"/>
                <w:szCs w:val="20"/>
              </w:rPr>
              <w:t xml:space="preserve">Revenue recognized - card and Stars redemptions and </w:t>
            </w:r>
            <w:r>
              <w:rPr>
                <w:rFonts w:ascii="Times New Roman" w:eastAsia="宋体" w:hAnsi="Times New Roman"/>
                <w:color w:val="000000"/>
                <w:sz w:val="20"/>
                <w:szCs w:val="20"/>
              </w:rPr>
              <w:t>breakage</w:t>
            </w:r>
          </w:p>
        </w:tc>
        <w:tc>
          <w:tcPr>
            <w:tcW w:w="0" w:type="auto"/>
            <w:gridSpan w:val="2"/>
            <w:shd w:val="clear" w:color="auto" w:fill="D7E4BC"/>
            <w:tcMar>
              <w:top w:w="40" w:type="dxa"/>
              <w:left w:w="20" w:type="dxa"/>
              <w:bottom w:w="40" w:type="dxa"/>
              <w:right w:w="0" w:type="dxa"/>
            </w:tcMar>
            <w:vAlign w:val="bottom"/>
          </w:tcPr>
          <w:p w14:paraId="642983A0" w14:textId="77777777" w:rsidR="007B6C97" w:rsidRDefault="00E426D1">
            <w:pPr>
              <w:jc w:val="right"/>
              <w:textAlignment w:val="bottom"/>
            </w:pPr>
            <w:r>
              <w:rPr>
                <w:rFonts w:ascii="Times New Roman" w:eastAsia="宋体" w:hAnsi="Times New Roman"/>
                <w:color w:val="000000"/>
                <w:sz w:val="20"/>
                <w:szCs w:val="20"/>
              </w:rPr>
              <w:t>(3,160.0)</w:t>
            </w:r>
          </w:p>
        </w:tc>
        <w:tc>
          <w:tcPr>
            <w:tcW w:w="0" w:type="auto"/>
            <w:shd w:val="clear" w:color="auto" w:fill="D7E4BC"/>
            <w:tcMar>
              <w:top w:w="40" w:type="dxa"/>
              <w:left w:w="0" w:type="dxa"/>
              <w:bottom w:w="40" w:type="dxa"/>
              <w:right w:w="20" w:type="dxa"/>
            </w:tcMar>
            <w:vAlign w:val="bottom"/>
          </w:tcPr>
          <w:p w14:paraId="642983A1" w14:textId="77777777" w:rsidR="007B6C97" w:rsidRDefault="007B6C97">
            <w:pPr>
              <w:jc w:val="right"/>
              <w:rPr>
                <w:rFonts w:ascii="宋体"/>
              </w:rPr>
            </w:pPr>
          </w:p>
        </w:tc>
      </w:tr>
      <w:tr w:rsidR="007B6C97" w14:paraId="642983A6" w14:textId="77777777">
        <w:tc>
          <w:tcPr>
            <w:tcW w:w="0" w:type="auto"/>
            <w:gridSpan w:val="3"/>
            <w:shd w:val="clear" w:color="auto" w:fill="FFFFFF"/>
            <w:tcMar>
              <w:top w:w="40" w:type="dxa"/>
              <w:left w:w="20" w:type="dxa"/>
              <w:bottom w:w="40" w:type="dxa"/>
              <w:right w:w="20" w:type="dxa"/>
            </w:tcMar>
            <w:vAlign w:val="bottom"/>
          </w:tcPr>
          <w:p w14:paraId="642983A3"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42983A4" w14:textId="77777777" w:rsidR="007B6C97" w:rsidRDefault="00E426D1">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642983A5" w14:textId="77777777" w:rsidR="007B6C97" w:rsidRDefault="007B6C97">
            <w:pPr>
              <w:jc w:val="right"/>
              <w:rPr>
                <w:rFonts w:ascii="宋体"/>
              </w:rPr>
            </w:pPr>
          </w:p>
        </w:tc>
      </w:tr>
      <w:tr w:rsidR="007B6C97" w14:paraId="642983AB" w14:textId="77777777">
        <w:tc>
          <w:tcPr>
            <w:tcW w:w="0" w:type="auto"/>
            <w:gridSpan w:val="3"/>
            <w:shd w:val="clear" w:color="auto" w:fill="D7E4BC"/>
            <w:tcMar>
              <w:top w:w="40" w:type="dxa"/>
              <w:left w:w="20" w:type="dxa"/>
              <w:bottom w:w="40" w:type="dxa"/>
              <w:right w:w="20" w:type="dxa"/>
            </w:tcMar>
            <w:vAlign w:val="bottom"/>
          </w:tcPr>
          <w:p w14:paraId="642983A7"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June 27,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A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A9" w14:textId="77777777" w:rsidR="007B6C97" w:rsidRDefault="00E426D1">
            <w:pPr>
              <w:jc w:val="right"/>
              <w:textAlignment w:val="bottom"/>
            </w:pPr>
            <w:r>
              <w:rPr>
                <w:rFonts w:ascii="Times New Roman" w:eastAsia="宋体" w:hAnsi="Times New Roman"/>
                <w:color w:val="000000"/>
                <w:sz w:val="20"/>
                <w:szCs w:val="20"/>
              </w:rPr>
              <w:t>1,488.0 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AA" w14:textId="77777777" w:rsidR="007B6C97" w:rsidRDefault="007B6C97">
            <w:pPr>
              <w:jc w:val="right"/>
              <w:rPr>
                <w:rFonts w:ascii="宋体"/>
              </w:rPr>
            </w:pPr>
          </w:p>
        </w:tc>
      </w:tr>
      <w:tr w:rsidR="007B6C97" w14:paraId="642983AE" w14:textId="77777777">
        <w:trPr>
          <w:trHeight w:val="280"/>
        </w:trPr>
        <w:tc>
          <w:tcPr>
            <w:tcW w:w="0" w:type="auto"/>
            <w:gridSpan w:val="3"/>
            <w:shd w:val="clear" w:color="auto" w:fill="auto"/>
            <w:tcMar>
              <w:top w:w="0" w:type="dxa"/>
              <w:left w:w="20" w:type="dxa"/>
              <w:bottom w:w="0" w:type="dxa"/>
              <w:right w:w="20" w:type="dxa"/>
            </w:tcMar>
            <w:vAlign w:val="bottom"/>
          </w:tcPr>
          <w:p w14:paraId="642983AC"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3AD" w14:textId="77777777" w:rsidR="007B6C97" w:rsidRDefault="007B6C97">
            <w:pPr>
              <w:rPr>
                <w:rFonts w:ascii="宋体"/>
              </w:rPr>
            </w:pPr>
          </w:p>
        </w:tc>
      </w:tr>
      <w:tr w:rsidR="007B6C97" w14:paraId="642983B1" w14:textId="77777777">
        <w:tc>
          <w:tcPr>
            <w:tcW w:w="0" w:type="auto"/>
            <w:gridSpan w:val="3"/>
            <w:shd w:val="clear" w:color="auto" w:fill="auto"/>
            <w:tcMar>
              <w:top w:w="40" w:type="dxa"/>
              <w:left w:w="20" w:type="dxa"/>
              <w:bottom w:w="40" w:type="dxa"/>
              <w:right w:w="20" w:type="dxa"/>
            </w:tcMar>
            <w:vAlign w:val="bottom"/>
          </w:tcPr>
          <w:p w14:paraId="642983AF"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Three Quarters Ended July 3, 2022</w:t>
            </w:r>
          </w:p>
        </w:tc>
        <w:tc>
          <w:tcPr>
            <w:tcW w:w="0" w:type="auto"/>
            <w:gridSpan w:val="3"/>
            <w:shd w:val="clear" w:color="auto" w:fill="00704A"/>
            <w:tcMar>
              <w:top w:w="40" w:type="dxa"/>
              <w:left w:w="20" w:type="dxa"/>
              <w:bottom w:w="40" w:type="dxa"/>
              <w:right w:w="20" w:type="dxa"/>
            </w:tcMar>
            <w:vAlign w:val="bottom"/>
          </w:tcPr>
          <w:p w14:paraId="642983B0"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3B6" w14:textId="77777777">
        <w:tc>
          <w:tcPr>
            <w:tcW w:w="0" w:type="auto"/>
            <w:gridSpan w:val="3"/>
            <w:shd w:val="clear" w:color="auto" w:fill="D7E4BC"/>
            <w:tcMar>
              <w:top w:w="40" w:type="dxa"/>
              <w:left w:w="20" w:type="dxa"/>
              <w:bottom w:w="40" w:type="dxa"/>
              <w:right w:w="20" w:type="dxa"/>
            </w:tcMar>
            <w:vAlign w:val="bottom"/>
          </w:tcPr>
          <w:p w14:paraId="642983B2"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B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B4" w14:textId="77777777" w:rsidR="007B6C97" w:rsidRDefault="00E426D1">
            <w:pPr>
              <w:jc w:val="right"/>
              <w:textAlignment w:val="bottom"/>
            </w:pPr>
            <w:r>
              <w:rPr>
                <w:rFonts w:ascii="Times New Roman" w:eastAsia="宋体" w:hAnsi="Times New Roman"/>
                <w:color w:val="000000"/>
                <w:sz w:val="20"/>
                <w:szCs w:val="20"/>
              </w:rPr>
              <w:t>1,448.5 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B5" w14:textId="77777777" w:rsidR="007B6C97" w:rsidRDefault="007B6C97">
            <w:pPr>
              <w:jc w:val="right"/>
              <w:rPr>
                <w:rFonts w:ascii="宋体"/>
              </w:rPr>
            </w:pPr>
          </w:p>
        </w:tc>
      </w:tr>
      <w:tr w:rsidR="007B6C97" w14:paraId="642983BA" w14:textId="77777777">
        <w:tc>
          <w:tcPr>
            <w:tcW w:w="0" w:type="auto"/>
            <w:gridSpan w:val="3"/>
            <w:shd w:val="clear" w:color="auto" w:fill="FFFFFF"/>
            <w:tcMar>
              <w:top w:w="40" w:type="dxa"/>
              <w:left w:w="20" w:type="dxa"/>
              <w:bottom w:w="40" w:type="dxa"/>
              <w:right w:w="20" w:type="dxa"/>
            </w:tcMar>
            <w:vAlign w:val="bottom"/>
          </w:tcPr>
          <w:p w14:paraId="642983B7" w14:textId="77777777" w:rsidR="007B6C97" w:rsidRDefault="00E426D1">
            <w:pPr>
              <w:textAlignment w:val="bottom"/>
            </w:pPr>
            <w:r>
              <w:rPr>
                <w:rFonts w:ascii="Times New Roman" w:eastAsia="宋体" w:hAnsi="Times New Roman"/>
                <w:color w:val="000000"/>
                <w:sz w:val="20"/>
                <w:szCs w:val="20"/>
              </w:rPr>
              <w:t xml:space="preserve">Revenue deferred - card </w:t>
            </w:r>
            <w:r>
              <w:rPr>
                <w:rFonts w:ascii="Times New Roman" w:eastAsia="宋体" w:hAnsi="Times New Roman"/>
                <w:color w:val="000000"/>
                <w:sz w:val="20"/>
                <w:szCs w:val="20"/>
              </w:rPr>
              <w:t>activations, card reloads and Stars earned</w:t>
            </w:r>
          </w:p>
        </w:tc>
        <w:tc>
          <w:tcPr>
            <w:tcW w:w="0" w:type="auto"/>
            <w:gridSpan w:val="2"/>
            <w:shd w:val="clear" w:color="auto" w:fill="FFFFFF"/>
            <w:tcMar>
              <w:top w:w="40" w:type="dxa"/>
              <w:left w:w="20" w:type="dxa"/>
              <w:bottom w:w="40" w:type="dxa"/>
              <w:right w:w="0" w:type="dxa"/>
            </w:tcMar>
            <w:vAlign w:val="bottom"/>
          </w:tcPr>
          <w:p w14:paraId="642983B8" w14:textId="77777777" w:rsidR="007B6C97" w:rsidRDefault="00E426D1">
            <w:pPr>
              <w:jc w:val="right"/>
              <w:textAlignment w:val="bottom"/>
            </w:pPr>
            <w:r>
              <w:rPr>
                <w:rFonts w:ascii="Times New Roman" w:eastAsia="宋体" w:hAnsi="Times New Roman"/>
                <w:color w:val="000000"/>
                <w:sz w:val="20"/>
                <w:szCs w:val="20"/>
              </w:rPr>
              <w:t>10,324.1 </w:t>
            </w:r>
          </w:p>
        </w:tc>
        <w:tc>
          <w:tcPr>
            <w:tcW w:w="0" w:type="auto"/>
            <w:shd w:val="clear" w:color="auto" w:fill="FFFFFF"/>
            <w:tcMar>
              <w:top w:w="40" w:type="dxa"/>
              <w:left w:w="0" w:type="dxa"/>
              <w:bottom w:w="40" w:type="dxa"/>
              <w:right w:w="20" w:type="dxa"/>
            </w:tcMar>
            <w:vAlign w:val="bottom"/>
          </w:tcPr>
          <w:p w14:paraId="642983B9" w14:textId="77777777" w:rsidR="007B6C97" w:rsidRDefault="007B6C97">
            <w:pPr>
              <w:jc w:val="right"/>
              <w:rPr>
                <w:rFonts w:ascii="宋体"/>
              </w:rPr>
            </w:pPr>
          </w:p>
        </w:tc>
      </w:tr>
      <w:tr w:rsidR="007B6C97" w14:paraId="642983BE" w14:textId="77777777">
        <w:tc>
          <w:tcPr>
            <w:tcW w:w="0" w:type="auto"/>
            <w:gridSpan w:val="3"/>
            <w:shd w:val="clear" w:color="auto" w:fill="D7E4BC"/>
            <w:tcMar>
              <w:top w:w="40" w:type="dxa"/>
              <w:left w:w="20" w:type="dxa"/>
              <w:bottom w:w="40" w:type="dxa"/>
              <w:right w:w="20" w:type="dxa"/>
            </w:tcMar>
            <w:vAlign w:val="bottom"/>
          </w:tcPr>
          <w:p w14:paraId="642983BB" w14:textId="77777777" w:rsidR="007B6C97" w:rsidRDefault="00E426D1">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42983BC" w14:textId="77777777" w:rsidR="007B6C97" w:rsidRDefault="00E426D1">
            <w:pPr>
              <w:jc w:val="right"/>
              <w:textAlignment w:val="bottom"/>
            </w:pPr>
            <w:r>
              <w:rPr>
                <w:rFonts w:ascii="Times New Roman" w:eastAsia="宋体" w:hAnsi="Times New Roman"/>
                <w:color w:val="000000"/>
                <w:sz w:val="20"/>
                <w:szCs w:val="20"/>
              </w:rPr>
              <w:t>(10,149.4)</w:t>
            </w:r>
          </w:p>
        </w:tc>
        <w:tc>
          <w:tcPr>
            <w:tcW w:w="0" w:type="auto"/>
            <w:shd w:val="clear" w:color="auto" w:fill="D7E4BC"/>
            <w:tcMar>
              <w:top w:w="40" w:type="dxa"/>
              <w:left w:w="0" w:type="dxa"/>
              <w:bottom w:w="40" w:type="dxa"/>
              <w:right w:w="20" w:type="dxa"/>
            </w:tcMar>
            <w:vAlign w:val="bottom"/>
          </w:tcPr>
          <w:p w14:paraId="642983BD" w14:textId="77777777" w:rsidR="007B6C97" w:rsidRDefault="007B6C97">
            <w:pPr>
              <w:jc w:val="right"/>
              <w:rPr>
                <w:rFonts w:ascii="宋体"/>
              </w:rPr>
            </w:pPr>
          </w:p>
        </w:tc>
      </w:tr>
      <w:tr w:rsidR="007B6C97" w14:paraId="642983C2" w14:textId="77777777">
        <w:tc>
          <w:tcPr>
            <w:tcW w:w="0" w:type="auto"/>
            <w:gridSpan w:val="3"/>
            <w:shd w:val="clear" w:color="auto" w:fill="FFFFFF"/>
            <w:tcMar>
              <w:top w:w="40" w:type="dxa"/>
              <w:left w:w="20" w:type="dxa"/>
              <w:bottom w:w="40" w:type="dxa"/>
              <w:right w:w="20" w:type="dxa"/>
            </w:tcMar>
            <w:vAlign w:val="bottom"/>
          </w:tcPr>
          <w:p w14:paraId="642983BF"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42983C0" w14:textId="77777777" w:rsidR="007B6C97" w:rsidRDefault="00E426D1">
            <w:pPr>
              <w:jc w:val="right"/>
              <w:textAlignment w:val="bottom"/>
            </w:pPr>
            <w:r>
              <w:rPr>
                <w:rFonts w:ascii="Times New Roman" w:eastAsia="宋体" w:hAnsi="Times New Roman"/>
                <w:color w:val="000000"/>
                <w:sz w:val="20"/>
                <w:szCs w:val="20"/>
              </w:rPr>
              <w:t>(29.4)</w:t>
            </w:r>
          </w:p>
        </w:tc>
        <w:tc>
          <w:tcPr>
            <w:tcW w:w="0" w:type="auto"/>
            <w:shd w:val="clear" w:color="auto" w:fill="FFFFFF"/>
            <w:tcMar>
              <w:top w:w="40" w:type="dxa"/>
              <w:left w:w="0" w:type="dxa"/>
              <w:bottom w:w="40" w:type="dxa"/>
              <w:right w:w="20" w:type="dxa"/>
            </w:tcMar>
            <w:vAlign w:val="bottom"/>
          </w:tcPr>
          <w:p w14:paraId="642983C1" w14:textId="77777777" w:rsidR="007B6C97" w:rsidRDefault="007B6C97">
            <w:pPr>
              <w:jc w:val="right"/>
              <w:rPr>
                <w:rFonts w:ascii="宋体"/>
              </w:rPr>
            </w:pPr>
          </w:p>
        </w:tc>
      </w:tr>
      <w:tr w:rsidR="007B6C97" w14:paraId="642983C7" w14:textId="77777777">
        <w:tc>
          <w:tcPr>
            <w:tcW w:w="0" w:type="auto"/>
            <w:gridSpan w:val="3"/>
            <w:shd w:val="clear" w:color="auto" w:fill="D7E4BC"/>
            <w:tcMar>
              <w:top w:w="40" w:type="dxa"/>
              <w:left w:w="20" w:type="dxa"/>
              <w:bottom w:w="40" w:type="dxa"/>
              <w:right w:w="20" w:type="dxa"/>
            </w:tcMar>
            <w:vAlign w:val="bottom"/>
          </w:tcPr>
          <w:p w14:paraId="642983C3"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July 3, 2022</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C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C5" w14:textId="77777777" w:rsidR="007B6C97" w:rsidRDefault="00E426D1">
            <w:pPr>
              <w:jc w:val="right"/>
              <w:textAlignment w:val="bottom"/>
            </w:pPr>
            <w:r>
              <w:rPr>
                <w:rFonts w:ascii="Times New Roman" w:eastAsia="宋体" w:hAnsi="Times New Roman"/>
                <w:color w:val="000000"/>
                <w:sz w:val="20"/>
                <w:szCs w:val="20"/>
              </w:rPr>
              <w:t>1,593.8 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C6" w14:textId="77777777" w:rsidR="007B6C97" w:rsidRDefault="007B6C97">
            <w:pPr>
              <w:jc w:val="right"/>
              <w:rPr>
                <w:rFonts w:ascii="宋体"/>
              </w:rPr>
            </w:pPr>
          </w:p>
        </w:tc>
      </w:tr>
      <w:tr w:rsidR="007B6C97" w14:paraId="642983CA" w14:textId="77777777">
        <w:trPr>
          <w:trHeight w:val="300"/>
        </w:trPr>
        <w:tc>
          <w:tcPr>
            <w:tcW w:w="0" w:type="auto"/>
            <w:gridSpan w:val="3"/>
            <w:shd w:val="clear" w:color="auto" w:fill="auto"/>
            <w:tcMar>
              <w:top w:w="0" w:type="dxa"/>
              <w:left w:w="20" w:type="dxa"/>
              <w:bottom w:w="0" w:type="dxa"/>
              <w:right w:w="20" w:type="dxa"/>
            </w:tcMar>
            <w:vAlign w:val="bottom"/>
          </w:tcPr>
          <w:p w14:paraId="642983C8"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3C9" w14:textId="77777777" w:rsidR="007B6C97" w:rsidRDefault="007B6C97">
            <w:pPr>
              <w:rPr>
                <w:rFonts w:ascii="宋体"/>
              </w:rPr>
            </w:pPr>
          </w:p>
        </w:tc>
      </w:tr>
      <w:tr w:rsidR="007B6C97" w14:paraId="642983CD" w14:textId="77777777">
        <w:tc>
          <w:tcPr>
            <w:tcW w:w="0" w:type="auto"/>
            <w:gridSpan w:val="3"/>
            <w:shd w:val="clear" w:color="auto" w:fill="auto"/>
            <w:tcMar>
              <w:top w:w="40" w:type="dxa"/>
              <w:left w:w="20" w:type="dxa"/>
              <w:bottom w:w="40" w:type="dxa"/>
              <w:right w:w="20" w:type="dxa"/>
            </w:tcMar>
            <w:vAlign w:val="bottom"/>
          </w:tcPr>
          <w:p w14:paraId="642983CB"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b/>
                <w:bCs/>
                <w:color w:val="000000"/>
                <w:sz w:val="20"/>
                <w:szCs w:val="20"/>
              </w:rPr>
              <w:t xml:space="preserve">Three Quarters Ended </w:t>
            </w:r>
            <w:r>
              <w:rPr>
                <w:rFonts w:ascii="Times New Roman" w:eastAsia="宋体" w:hAnsi="Times New Roman"/>
                <w:b/>
                <w:bCs/>
                <w:color w:val="000000"/>
                <w:sz w:val="20"/>
                <w:szCs w:val="20"/>
              </w:rPr>
              <w:t>June 27, 2021</w:t>
            </w:r>
          </w:p>
        </w:tc>
        <w:tc>
          <w:tcPr>
            <w:tcW w:w="0" w:type="auto"/>
            <w:gridSpan w:val="3"/>
            <w:shd w:val="clear" w:color="auto" w:fill="00704A"/>
            <w:tcMar>
              <w:top w:w="40" w:type="dxa"/>
              <w:left w:w="20" w:type="dxa"/>
              <w:bottom w:w="40" w:type="dxa"/>
              <w:right w:w="20" w:type="dxa"/>
            </w:tcMar>
            <w:vAlign w:val="bottom"/>
          </w:tcPr>
          <w:p w14:paraId="642983CC"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3D2" w14:textId="77777777">
        <w:tc>
          <w:tcPr>
            <w:tcW w:w="0" w:type="auto"/>
            <w:gridSpan w:val="3"/>
            <w:shd w:val="clear" w:color="auto" w:fill="D7E4BC"/>
            <w:tcMar>
              <w:top w:w="40" w:type="dxa"/>
              <w:left w:w="20" w:type="dxa"/>
              <w:bottom w:w="40" w:type="dxa"/>
              <w:right w:w="20" w:type="dxa"/>
            </w:tcMar>
            <w:vAlign w:val="bottom"/>
          </w:tcPr>
          <w:p w14:paraId="642983CE"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3C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3D0" w14:textId="77777777" w:rsidR="007B6C97" w:rsidRDefault="00E426D1">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3D1" w14:textId="77777777" w:rsidR="007B6C97" w:rsidRDefault="007B6C97">
            <w:pPr>
              <w:jc w:val="right"/>
              <w:rPr>
                <w:rFonts w:ascii="宋体"/>
              </w:rPr>
            </w:pPr>
          </w:p>
        </w:tc>
      </w:tr>
      <w:tr w:rsidR="007B6C97" w14:paraId="642983D6" w14:textId="77777777">
        <w:tc>
          <w:tcPr>
            <w:tcW w:w="0" w:type="auto"/>
            <w:gridSpan w:val="3"/>
            <w:shd w:val="clear" w:color="auto" w:fill="FFFFFF"/>
            <w:tcMar>
              <w:top w:w="40" w:type="dxa"/>
              <w:left w:w="20" w:type="dxa"/>
              <w:bottom w:w="40" w:type="dxa"/>
              <w:right w:w="20" w:type="dxa"/>
            </w:tcMar>
            <w:vAlign w:val="bottom"/>
          </w:tcPr>
          <w:p w14:paraId="642983D3" w14:textId="77777777" w:rsidR="007B6C97" w:rsidRDefault="00E426D1">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642983D4" w14:textId="77777777" w:rsidR="007B6C97" w:rsidRDefault="00E426D1">
            <w:pPr>
              <w:jc w:val="right"/>
              <w:textAlignment w:val="bottom"/>
            </w:pPr>
            <w:r>
              <w:rPr>
                <w:rFonts w:ascii="Times New Roman" w:eastAsia="宋体" w:hAnsi="Times New Roman"/>
                <w:color w:val="000000"/>
                <w:sz w:val="20"/>
                <w:szCs w:val="20"/>
              </w:rPr>
              <w:t>9,317.8 </w:t>
            </w:r>
          </w:p>
        </w:tc>
        <w:tc>
          <w:tcPr>
            <w:tcW w:w="0" w:type="auto"/>
            <w:shd w:val="clear" w:color="auto" w:fill="FFFFFF"/>
            <w:tcMar>
              <w:top w:w="40" w:type="dxa"/>
              <w:left w:w="0" w:type="dxa"/>
              <w:bottom w:w="40" w:type="dxa"/>
              <w:right w:w="20" w:type="dxa"/>
            </w:tcMar>
            <w:vAlign w:val="bottom"/>
          </w:tcPr>
          <w:p w14:paraId="642983D5" w14:textId="77777777" w:rsidR="007B6C97" w:rsidRDefault="007B6C97">
            <w:pPr>
              <w:jc w:val="right"/>
              <w:rPr>
                <w:rFonts w:ascii="宋体"/>
              </w:rPr>
            </w:pPr>
          </w:p>
        </w:tc>
      </w:tr>
      <w:tr w:rsidR="007B6C97" w14:paraId="642983DA" w14:textId="77777777">
        <w:tc>
          <w:tcPr>
            <w:tcW w:w="0" w:type="auto"/>
            <w:gridSpan w:val="3"/>
            <w:shd w:val="clear" w:color="auto" w:fill="D7E4BC"/>
            <w:tcMar>
              <w:top w:w="40" w:type="dxa"/>
              <w:left w:w="20" w:type="dxa"/>
              <w:bottom w:w="40" w:type="dxa"/>
              <w:right w:w="20" w:type="dxa"/>
            </w:tcMar>
            <w:vAlign w:val="bottom"/>
          </w:tcPr>
          <w:p w14:paraId="642983D7" w14:textId="77777777" w:rsidR="007B6C97" w:rsidRDefault="00E426D1">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42983D8" w14:textId="77777777" w:rsidR="007B6C97" w:rsidRDefault="00E426D1">
            <w:pPr>
              <w:jc w:val="right"/>
              <w:textAlignment w:val="bottom"/>
            </w:pPr>
            <w:r>
              <w:rPr>
                <w:rFonts w:ascii="Times New Roman" w:eastAsia="宋体" w:hAnsi="Times New Roman"/>
                <w:color w:val="000000"/>
                <w:sz w:val="20"/>
                <w:szCs w:val="20"/>
              </w:rPr>
              <w:t>(9,118.0)</w:t>
            </w:r>
          </w:p>
        </w:tc>
        <w:tc>
          <w:tcPr>
            <w:tcW w:w="0" w:type="auto"/>
            <w:shd w:val="clear" w:color="auto" w:fill="D7E4BC"/>
            <w:tcMar>
              <w:top w:w="40" w:type="dxa"/>
              <w:left w:w="0" w:type="dxa"/>
              <w:bottom w:w="40" w:type="dxa"/>
              <w:right w:w="20" w:type="dxa"/>
            </w:tcMar>
            <w:vAlign w:val="bottom"/>
          </w:tcPr>
          <w:p w14:paraId="642983D9" w14:textId="77777777" w:rsidR="007B6C97" w:rsidRDefault="007B6C97">
            <w:pPr>
              <w:jc w:val="right"/>
              <w:rPr>
                <w:rFonts w:ascii="宋体"/>
              </w:rPr>
            </w:pPr>
          </w:p>
        </w:tc>
      </w:tr>
      <w:tr w:rsidR="007B6C97" w14:paraId="642983DE" w14:textId="77777777">
        <w:tc>
          <w:tcPr>
            <w:tcW w:w="0" w:type="auto"/>
            <w:gridSpan w:val="3"/>
            <w:shd w:val="clear" w:color="auto" w:fill="FFFFFF"/>
            <w:tcMar>
              <w:top w:w="40" w:type="dxa"/>
              <w:left w:w="20" w:type="dxa"/>
              <w:bottom w:w="40" w:type="dxa"/>
              <w:right w:w="20" w:type="dxa"/>
            </w:tcMar>
            <w:vAlign w:val="bottom"/>
          </w:tcPr>
          <w:p w14:paraId="642983DB"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42983DC" w14:textId="77777777" w:rsidR="007B6C97" w:rsidRDefault="00E426D1">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642983DD" w14:textId="77777777" w:rsidR="007B6C97" w:rsidRDefault="007B6C97">
            <w:pPr>
              <w:jc w:val="right"/>
              <w:rPr>
                <w:rFonts w:ascii="宋体"/>
              </w:rPr>
            </w:pPr>
          </w:p>
        </w:tc>
      </w:tr>
      <w:tr w:rsidR="007B6C97" w14:paraId="642983E3" w14:textId="77777777">
        <w:tc>
          <w:tcPr>
            <w:tcW w:w="0" w:type="auto"/>
            <w:gridSpan w:val="3"/>
            <w:shd w:val="clear" w:color="auto" w:fill="D7E4BC"/>
            <w:tcMar>
              <w:top w:w="40" w:type="dxa"/>
              <w:left w:w="20" w:type="dxa"/>
              <w:bottom w:w="40" w:type="dxa"/>
              <w:right w:w="20" w:type="dxa"/>
            </w:tcMar>
            <w:vAlign w:val="bottom"/>
          </w:tcPr>
          <w:p w14:paraId="642983DF"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Stored value cards and loyalty program at June 27, 2021</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3E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3E1" w14:textId="77777777" w:rsidR="007B6C97" w:rsidRDefault="00E426D1">
            <w:pPr>
              <w:jc w:val="right"/>
              <w:textAlignment w:val="bottom"/>
            </w:pPr>
            <w:r>
              <w:rPr>
                <w:rFonts w:ascii="Times New Roman" w:eastAsia="宋体" w:hAnsi="Times New Roman"/>
                <w:color w:val="000000"/>
                <w:sz w:val="20"/>
                <w:szCs w:val="20"/>
              </w:rPr>
              <w:t>1,488.0 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3E2" w14:textId="77777777" w:rsidR="007B6C97" w:rsidRDefault="007B6C97">
            <w:pPr>
              <w:jc w:val="right"/>
              <w:rPr>
                <w:rFonts w:ascii="宋体"/>
              </w:rPr>
            </w:pPr>
          </w:p>
        </w:tc>
      </w:tr>
    </w:tbl>
    <w:p w14:paraId="642983E4" w14:textId="77777777" w:rsidR="007B6C97" w:rsidRDefault="00E426D1">
      <w:pPr>
        <w:pBdr>
          <w:left w:val="none" w:sz="0" w:space="0" w:color="auto"/>
        </w:pBd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642983E5" w14:textId="77777777" w:rsidR="007B6C97" w:rsidRDefault="00E426D1">
      <w:pPr>
        <w:pBdr>
          <w:left w:val="none" w:sz="0" w:space="0" w:color="auto"/>
        </w:pBd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July 3, 2022 and </w:t>
      </w:r>
      <w:r>
        <w:rPr>
          <w:rFonts w:ascii="Times New Roman" w:eastAsia="宋体" w:hAnsi="Times New Roman"/>
          <w:color w:val="000000"/>
          <w:sz w:val="20"/>
          <w:szCs w:val="20"/>
        </w:rPr>
        <w:t>June 27, 2021, approximately $1.5 billion and $1.4 billion of these amounts were current, respectively.</w:t>
      </w:r>
    </w:p>
    <w:p w14:paraId="642983E6" w14:textId="77777777" w:rsidR="007B6C97" w:rsidRDefault="00E426D1">
      <w:pPr>
        <w:jc w:val="center"/>
      </w:pPr>
      <w:r>
        <w:rPr>
          <w:rFonts w:ascii="Times New Roman" w:eastAsia="宋体" w:hAnsi="Times New Roman"/>
          <w:color w:val="000000"/>
          <w:sz w:val="20"/>
          <w:szCs w:val="20"/>
        </w:rPr>
        <w:t>24</w:t>
      </w:r>
    </w:p>
    <w:p w14:paraId="642983E7" w14:textId="77777777" w:rsidR="007B6C97" w:rsidRDefault="00E426D1">
      <w:r>
        <w:pict w14:anchorId="642999F2">
          <v:rect id="_x0000_i1048" style="width:415.3pt;height:1.5pt" o:hralign="center" o:hrstd="t" o:hr="t" fillcolor="#a0a0a0" stroked="f"/>
        </w:pict>
      </w:r>
    </w:p>
    <w:p w14:paraId="642983E8" w14:textId="77777777" w:rsidR="007B6C97" w:rsidRDefault="00E426D1">
      <w:hyperlink r:id="rId127" w:anchor="ie38a2b375c9840e583a36769999bbee6_7" w:history="1">
        <w:r>
          <w:rPr>
            <w:rStyle w:val="a5"/>
            <w:rFonts w:ascii="Times New Roman" w:eastAsia="宋体" w:hAnsi="Times New Roman"/>
            <w:sz w:val="20"/>
            <w:szCs w:val="20"/>
          </w:rPr>
          <w:t>Table</w:t>
        </w:r>
      </w:hyperlink>
      <w:hyperlink r:id="rId128" w:anchor="ie38a2b375c9840e583a36769999bbee6_7" w:history="1">
        <w:r>
          <w:rPr>
            <w:rStyle w:val="a5"/>
            <w:rFonts w:ascii="Times New Roman" w:eastAsia="宋体" w:hAnsi="Times New Roman"/>
            <w:sz w:val="20"/>
            <w:szCs w:val="20"/>
          </w:rPr>
          <w:t xml:space="preserve"> of Contents</w:t>
        </w:r>
      </w:hyperlink>
    </w:p>
    <w:p w14:paraId="642983E9" w14:textId="77777777" w:rsidR="007B6C97" w:rsidRDefault="00E426D1">
      <w:pPr>
        <w:spacing w:before="120"/>
      </w:pPr>
      <w:r>
        <w:rPr>
          <w:rFonts w:ascii="Times New Roman" w:eastAsia="宋体" w:hAnsi="Times New Roman"/>
          <w:b/>
          <w:bCs/>
          <w:color w:val="000000"/>
          <w:sz w:val="20"/>
          <w:szCs w:val="20"/>
        </w:rPr>
        <w:t>Note 10:     Equity</w:t>
      </w:r>
      <w:r>
        <w:rPr>
          <w:rFonts w:ascii="Times New Roman" w:eastAsia="宋体" w:hAnsi="Times New Roman"/>
          <w:b/>
          <w:bCs/>
          <w:i/>
          <w:iCs/>
          <w:color w:val="000000"/>
          <w:sz w:val="20"/>
          <w:szCs w:val="20"/>
        </w:rPr>
        <w:t xml:space="preserve"> </w:t>
      </w:r>
    </w:p>
    <w:p w14:paraId="642983EA" w14:textId="77777777" w:rsidR="007B6C97" w:rsidRDefault="00E426D1">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1"/>
        <w:gridCol w:w="2979"/>
        <w:gridCol w:w="38"/>
        <w:gridCol w:w="121"/>
        <w:gridCol w:w="1200"/>
        <w:gridCol w:w="36"/>
        <w:gridCol w:w="36"/>
        <w:gridCol w:w="36"/>
        <w:gridCol w:w="36"/>
        <w:gridCol w:w="120"/>
        <w:gridCol w:w="712"/>
        <w:gridCol w:w="36"/>
        <w:gridCol w:w="36"/>
        <w:gridCol w:w="36"/>
        <w:gridCol w:w="36"/>
        <w:gridCol w:w="121"/>
        <w:gridCol w:w="730"/>
        <w:gridCol w:w="36"/>
        <w:gridCol w:w="36"/>
        <w:gridCol w:w="36"/>
        <w:gridCol w:w="36"/>
        <w:gridCol w:w="121"/>
        <w:gridCol w:w="769"/>
        <w:gridCol w:w="36"/>
        <w:gridCol w:w="36"/>
        <w:gridCol w:w="36"/>
        <w:gridCol w:w="36"/>
        <w:gridCol w:w="120"/>
        <w:gridCol w:w="640"/>
        <w:gridCol w:w="36"/>
      </w:tblGrid>
      <w:tr w:rsidR="007B6C97" w14:paraId="64298409" w14:textId="77777777">
        <w:tc>
          <w:tcPr>
            <w:tcW w:w="50" w:type="pct"/>
            <w:shd w:val="clear" w:color="auto" w:fill="auto"/>
            <w:vAlign w:val="bottom"/>
          </w:tcPr>
          <w:p w14:paraId="642983EB" w14:textId="77777777" w:rsidR="007B6C97" w:rsidRDefault="007B6C97">
            <w:pPr>
              <w:rPr>
                <w:rFonts w:ascii="宋体"/>
              </w:rPr>
            </w:pPr>
          </w:p>
        </w:tc>
        <w:tc>
          <w:tcPr>
            <w:tcW w:w="1870" w:type="pct"/>
            <w:shd w:val="clear" w:color="auto" w:fill="auto"/>
            <w:vAlign w:val="bottom"/>
          </w:tcPr>
          <w:p w14:paraId="642983EC" w14:textId="77777777" w:rsidR="007B6C97" w:rsidRDefault="007B6C97">
            <w:pPr>
              <w:rPr>
                <w:rFonts w:ascii="宋体"/>
              </w:rPr>
            </w:pPr>
          </w:p>
        </w:tc>
        <w:tc>
          <w:tcPr>
            <w:tcW w:w="5" w:type="pct"/>
            <w:shd w:val="clear" w:color="auto" w:fill="auto"/>
            <w:vAlign w:val="bottom"/>
          </w:tcPr>
          <w:p w14:paraId="642983ED" w14:textId="77777777" w:rsidR="007B6C97" w:rsidRDefault="007B6C97">
            <w:pPr>
              <w:rPr>
                <w:rFonts w:ascii="宋体"/>
              </w:rPr>
            </w:pPr>
          </w:p>
        </w:tc>
        <w:tc>
          <w:tcPr>
            <w:tcW w:w="50" w:type="pct"/>
            <w:shd w:val="clear" w:color="auto" w:fill="auto"/>
            <w:vAlign w:val="bottom"/>
          </w:tcPr>
          <w:p w14:paraId="642983EE" w14:textId="77777777" w:rsidR="007B6C97" w:rsidRDefault="007B6C97">
            <w:pPr>
              <w:rPr>
                <w:rFonts w:ascii="宋体"/>
              </w:rPr>
            </w:pPr>
          </w:p>
        </w:tc>
        <w:tc>
          <w:tcPr>
            <w:tcW w:w="530" w:type="pct"/>
            <w:shd w:val="clear" w:color="auto" w:fill="auto"/>
            <w:vAlign w:val="bottom"/>
          </w:tcPr>
          <w:p w14:paraId="642983EF" w14:textId="77777777" w:rsidR="007B6C97" w:rsidRDefault="007B6C97">
            <w:pPr>
              <w:rPr>
                <w:rFonts w:ascii="宋体"/>
              </w:rPr>
            </w:pPr>
          </w:p>
        </w:tc>
        <w:tc>
          <w:tcPr>
            <w:tcW w:w="5" w:type="pct"/>
            <w:shd w:val="clear" w:color="auto" w:fill="auto"/>
            <w:vAlign w:val="bottom"/>
          </w:tcPr>
          <w:p w14:paraId="642983F0" w14:textId="77777777" w:rsidR="007B6C97" w:rsidRDefault="007B6C97">
            <w:pPr>
              <w:rPr>
                <w:rFonts w:ascii="宋体"/>
              </w:rPr>
            </w:pPr>
          </w:p>
        </w:tc>
        <w:tc>
          <w:tcPr>
            <w:tcW w:w="5" w:type="pct"/>
            <w:shd w:val="clear" w:color="auto" w:fill="auto"/>
            <w:vAlign w:val="bottom"/>
          </w:tcPr>
          <w:p w14:paraId="642983F1" w14:textId="77777777" w:rsidR="007B6C97" w:rsidRDefault="007B6C97">
            <w:pPr>
              <w:rPr>
                <w:rFonts w:ascii="宋体"/>
              </w:rPr>
            </w:pPr>
          </w:p>
        </w:tc>
        <w:tc>
          <w:tcPr>
            <w:tcW w:w="26" w:type="pct"/>
            <w:shd w:val="clear" w:color="auto" w:fill="auto"/>
            <w:vAlign w:val="bottom"/>
          </w:tcPr>
          <w:p w14:paraId="642983F2" w14:textId="77777777" w:rsidR="007B6C97" w:rsidRDefault="007B6C97">
            <w:pPr>
              <w:rPr>
                <w:rFonts w:ascii="宋体"/>
              </w:rPr>
            </w:pPr>
          </w:p>
        </w:tc>
        <w:tc>
          <w:tcPr>
            <w:tcW w:w="5" w:type="pct"/>
            <w:shd w:val="clear" w:color="auto" w:fill="auto"/>
            <w:vAlign w:val="bottom"/>
          </w:tcPr>
          <w:p w14:paraId="642983F3" w14:textId="77777777" w:rsidR="007B6C97" w:rsidRDefault="007B6C97">
            <w:pPr>
              <w:rPr>
                <w:rFonts w:ascii="宋体"/>
              </w:rPr>
            </w:pPr>
          </w:p>
        </w:tc>
        <w:tc>
          <w:tcPr>
            <w:tcW w:w="50" w:type="pct"/>
            <w:shd w:val="clear" w:color="auto" w:fill="auto"/>
            <w:vAlign w:val="bottom"/>
          </w:tcPr>
          <w:p w14:paraId="642983F4" w14:textId="77777777" w:rsidR="007B6C97" w:rsidRDefault="007B6C97">
            <w:pPr>
              <w:rPr>
                <w:rFonts w:ascii="宋体"/>
              </w:rPr>
            </w:pPr>
          </w:p>
        </w:tc>
        <w:tc>
          <w:tcPr>
            <w:tcW w:w="530" w:type="pct"/>
            <w:shd w:val="clear" w:color="auto" w:fill="auto"/>
            <w:vAlign w:val="bottom"/>
          </w:tcPr>
          <w:p w14:paraId="642983F5" w14:textId="77777777" w:rsidR="007B6C97" w:rsidRDefault="007B6C97">
            <w:pPr>
              <w:rPr>
                <w:rFonts w:ascii="宋体"/>
              </w:rPr>
            </w:pPr>
          </w:p>
        </w:tc>
        <w:tc>
          <w:tcPr>
            <w:tcW w:w="5" w:type="pct"/>
            <w:shd w:val="clear" w:color="auto" w:fill="auto"/>
            <w:vAlign w:val="bottom"/>
          </w:tcPr>
          <w:p w14:paraId="642983F6" w14:textId="77777777" w:rsidR="007B6C97" w:rsidRDefault="007B6C97">
            <w:pPr>
              <w:rPr>
                <w:rFonts w:ascii="宋体"/>
              </w:rPr>
            </w:pPr>
          </w:p>
        </w:tc>
        <w:tc>
          <w:tcPr>
            <w:tcW w:w="5" w:type="pct"/>
            <w:shd w:val="clear" w:color="auto" w:fill="auto"/>
            <w:vAlign w:val="bottom"/>
          </w:tcPr>
          <w:p w14:paraId="642983F7" w14:textId="77777777" w:rsidR="007B6C97" w:rsidRDefault="007B6C97">
            <w:pPr>
              <w:rPr>
                <w:rFonts w:ascii="宋体"/>
              </w:rPr>
            </w:pPr>
          </w:p>
        </w:tc>
        <w:tc>
          <w:tcPr>
            <w:tcW w:w="26" w:type="pct"/>
            <w:shd w:val="clear" w:color="auto" w:fill="auto"/>
            <w:vAlign w:val="bottom"/>
          </w:tcPr>
          <w:p w14:paraId="642983F8" w14:textId="77777777" w:rsidR="007B6C97" w:rsidRDefault="007B6C97">
            <w:pPr>
              <w:rPr>
                <w:rFonts w:ascii="宋体"/>
              </w:rPr>
            </w:pPr>
          </w:p>
        </w:tc>
        <w:tc>
          <w:tcPr>
            <w:tcW w:w="5" w:type="pct"/>
            <w:shd w:val="clear" w:color="auto" w:fill="auto"/>
            <w:vAlign w:val="bottom"/>
          </w:tcPr>
          <w:p w14:paraId="642983F9" w14:textId="77777777" w:rsidR="007B6C97" w:rsidRDefault="007B6C97">
            <w:pPr>
              <w:rPr>
                <w:rFonts w:ascii="宋体"/>
              </w:rPr>
            </w:pPr>
          </w:p>
        </w:tc>
        <w:tc>
          <w:tcPr>
            <w:tcW w:w="50" w:type="pct"/>
            <w:shd w:val="clear" w:color="auto" w:fill="auto"/>
            <w:vAlign w:val="bottom"/>
          </w:tcPr>
          <w:p w14:paraId="642983FA" w14:textId="77777777" w:rsidR="007B6C97" w:rsidRDefault="007B6C97">
            <w:pPr>
              <w:rPr>
                <w:rFonts w:ascii="宋体"/>
              </w:rPr>
            </w:pPr>
          </w:p>
        </w:tc>
        <w:tc>
          <w:tcPr>
            <w:tcW w:w="530" w:type="pct"/>
            <w:shd w:val="clear" w:color="auto" w:fill="auto"/>
            <w:vAlign w:val="bottom"/>
          </w:tcPr>
          <w:p w14:paraId="642983FB" w14:textId="77777777" w:rsidR="007B6C97" w:rsidRDefault="007B6C97">
            <w:pPr>
              <w:rPr>
                <w:rFonts w:ascii="宋体"/>
              </w:rPr>
            </w:pPr>
          </w:p>
        </w:tc>
        <w:tc>
          <w:tcPr>
            <w:tcW w:w="5" w:type="pct"/>
            <w:shd w:val="clear" w:color="auto" w:fill="auto"/>
            <w:vAlign w:val="bottom"/>
          </w:tcPr>
          <w:p w14:paraId="642983FC" w14:textId="77777777" w:rsidR="007B6C97" w:rsidRDefault="007B6C97">
            <w:pPr>
              <w:rPr>
                <w:rFonts w:ascii="宋体"/>
              </w:rPr>
            </w:pPr>
          </w:p>
        </w:tc>
        <w:tc>
          <w:tcPr>
            <w:tcW w:w="5" w:type="pct"/>
            <w:shd w:val="clear" w:color="auto" w:fill="auto"/>
            <w:vAlign w:val="bottom"/>
          </w:tcPr>
          <w:p w14:paraId="642983FD" w14:textId="77777777" w:rsidR="007B6C97" w:rsidRDefault="007B6C97">
            <w:pPr>
              <w:rPr>
                <w:rFonts w:ascii="宋体"/>
              </w:rPr>
            </w:pPr>
          </w:p>
        </w:tc>
        <w:tc>
          <w:tcPr>
            <w:tcW w:w="26" w:type="pct"/>
            <w:shd w:val="clear" w:color="auto" w:fill="auto"/>
            <w:vAlign w:val="bottom"/>
          </w:tcPr>
          <w:p w14:paraId="642983FE" w14:textId="77777777" w:rsidR="007B6C97" w:rsidRDefault="007B6C97">
            <w:pPr>
              <w:rPr>
                <w:rFonts w:ascii="宋体"/>
              </w:rPr>
            </w:pPr>
          </w:p>
        </w:tc>
        <w:tc>
          <w:tcPr>
            <w:tcW w:w="5" w:type="pct"/>
            <w:shd w:val="clear" w:color="auto" w:fill="auto"/>
            <w:vAlign w:val="bottom"/>
          </w:tcPr>
          <w:p w14:paraId="642983FF" w14:textId="77777777" w:rsidR="007B6C97" w:rsidRDefault="007B6C97">
            <w:pPr>
              <w:rPr>
                <w:rFonts w:ascii="宋体"/>
              </w:rPr>
            </w:pPr>
          </w:p>
        </w:tc>
        <w:tc>
          <w:tcPr>
            <w:tcW w:w="50" w:type="pct"/>
            <w:shd w:val="clear" w:color="auto" w:fill="auto"/>
            <w:vAlign w:val="bottom"/>
          </w:tcPr>
          <w:p w14:paraId="64298400" w14:textId="77777777" w:rsidR="007B6C97" w:rsidRDefault="007B6C97">
            <w:pPr>
              <w:rPr>
                <w:rFonts w:ascii="宋体"/>
              </w:rPr>
            </w:pPr>
          </w:p>
        </w:tc>
        <w:tc>
          <w:tcPr>
            <w:tcW w:w="530" w:type="pct"/>
            <w:shd w:val="clear" w:color="auto" w:fill="auto"/>
            <w:vAlign w:val="bottom"/>
          </w:tcPr>
          <w:p w14:paraId="64298401" w14:textId="77777777" w:rsidR="007B6C97" w:rsidRDefault="007B6C97">
            <w:pPr>
              <w:rPr>
                <w:rFonts w:ascii="宋体"/>
              </w:rPr>
            </w:pPr>
          </w:p>
        </w:tc>
        <w:tc>
          <w:tcPr>
            <w:tcW w:w="5" w:type="pct"/>
            <w:shd w:val="clear" w:color="auto" w:fill="auto"/>
            <w:vAlign w:val="bottom"/>
          </w:tcPr>
          <w:p w14:paraId="64298402" w14:textId="77777777" w:rsidR="007B6C97" w:rsidRDefault="007B6C97">
            <w:pPr>
              <w:rPr>
                <w:rFonts w:ascii="宋体"/>
              </w:rPr>
            </w:pPr>
          </w:p>
        </w:tc>
        <w:tc>
          <w:tcPr>
            <w:tcW w:w="5" w:type="pct"/>
            <w:shd w:val="clear" w:color="auto" w:fill="auto"/>
            <w:vAlign w:val="bottom"/>
          </w:tcPr>
          <w:p w14:paraId="64298403" w14:textId="77777777" w:rsidR="007B6C97" w:rsidRDefault="007B6C97">
            <w:pPr>
              <w:rPr>
                <w:rFonts w:ascii="宋体"/>
              </w:rPr>
            </w:pPr>
          </w:p>
        </w:tc>
        <w:tc>
          <w:tcPr>
            <w:tcW w:w="26" w:type="pct"/>
            <w:shd w:val="clear" w:color="auto" w:fill="auto"/>
            <w:vAlign w:val="bottom"/>
          </w:tcPr>
          <w:p w14:paraId="64298404" w14:textId="77777777" w:rsidR="007B6C97" w:rsidRDefault="007B6C97">
            <w:pPr>
              <w:rPr>
                <w:rFonts w:ascii="宋体"/>
              </w:rPr>
            </w:pPr>
          </w:p>
        </w:tc>
        <w:tc>
          <w:tcPr>
            <w:tcW w:w="5" w:type="pct"/>
            <w:shd w:val="clear" w:color="auto" w:fill="auto"/>
            <w:vAlign w:val="bottom"/>
          </w:tcPr>
          <w:p w14:paraId="64298405" w14:textId="77777777" w:rsidR="007B6C97" w:rsidRDefault="007B6C97">
            <w:pPr>
              <w:rPr>
                <w:rFonts w:ascii="宋体"/>
              </w:rPr>
            </w:pPr>
          </w:p>
        </w:tc>
        <w:tc>
          <w:tcPr>
            <w:tcW w:w="50" w:type="pct"/>
            <w:shd w:val="clear" w:color="auto" w:fill="auto"/>
            <w:vAlign w:val="bottom"/>
          </w:tcPr>
          <w:p w14:paraId="64298406" w14:textId="77777777" w:rsidR="007B6C97" w:rsidRDefault="007B6C97">
            <w:pPr>
              <w:rPr>
                <w:rFonts w:ascii="宋体"/>
              </w:rPr>
            </w:pPr>
          </w:p>
        </w:tc>
        <w:tc>
          <w:tcPr>
            <w:tcW w:w="530" w:type="pct"/>
            <w:shd w:val="clear" w:color="auto" w:fill="auto"/>
            <w:vAlign w:val="bottom"/>
          </w:tcPr>
          <w:p w14:paraId="64298407" w14:textId="77777777" w:rsidR="007B6C97" w:rsidRDefault="007B6C97">
            <w:pPr>
              <w:rPr>
                <w:rFonts w:ascii="宋体"/>
              </w:rPr>
            </w:pPr>
          </w:p>
        </w:tc>
        <w:tc>
          <w:tcPr>
            <w:tcW w:w="5" w:type="pct"/>
            <w:shd w:val="clear" w:color="auto" w:fill="auto"/>
            <w:vAlign w:val="bottom"/>
          </w:tcPr>
          <w:p w14:paraId="64298408" w14:textId="77777777" w:rsidR="007B6C97" w:rsidRDefault="007B6C97">
            <w:pPr>
              <w:rPr>
                <w:rFonts w:ascii="宋体"/>
              </w:rPr>
            </w:pPr>
          </w:p>
        </w:tc>
      </w:tr>
      <w:tr w:rsidR="007B6C97" w14:paraId="64298414" w14:textId="77777777">
        <w:tc>
          <w:tcPr>
            <w:tcW w:w="0" w:type="auto"/>
            <w:gridSpan w:val="3"/>
            <w:shd w:val="clear" w:color="auto" w:fill="auto"/>
            <w:tcMar>
              <w:top w:w="40" w:type="dxa"/>
              <w:left w:w="20" w:type="dxa"/>
              <w:bottom w:w="40" w:type="dxa"/>
              <w:right w:w="20" w:type="dxa"/>
            </w:tcMar>
            <w:vAlign w:val="bottom"/>
          </w:tcPr>
          <w:p w14:paraId="6429840A" w14:textId="77777777" w:rsidR="007B6C97" w:rsidRDefault="00E426D1">
            <w:pPr>
              <w:textAlignment w:val="bottom"/>
            </w:pPr>
            <w:r>
              <w:rPr>
                <w:rFonts w:ascii="Times New Roman" w:eastAsia="宋体" w:hAnsi="Times New Roman"/>
                <w:b/>
                <w:bCs/>
                <w:color w:val="000000"/>
                <w:sz w:val="20"/>
                <w:szCs w:val="20"/>
              </w:rPr>
              <w:t>Quarter Ended</w:t>
            </w: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40B" w14:textId="77777777" w:rsidR="007B6C97" w:rsidRDefault="00E426D1">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top w:w="0" w:type="dxa"/>
              <w:left w:w="20" w:type="dxa"/>
              <w:bottom w:w="0" w:type="dxa"/>
              <w:right w:w="20" w:type="dxa"/>
            </w:tcMar>
            <w:vAlign w:val="bottom"/>
          </w:tcPr>
          <w:p w14:paraId="6429840C"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40D" w14:textId="77777777" w:rsidR="007B6C97" w:rsidRDefault="00E426D1">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6429840E"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40F" w14:textId="77777777" w:rsidR="007B6C97" w:rsidRDefault="00E426D1">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64298410"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411" w14:textId="77777777" w:rsidR="007B6C97" w:rsidRDefault="00E426D1">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64298412"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413"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41F" w14:textId="77777777">
        <w:tc>
          <w:tcPr>
            <w:tcW w:w="0" w:type="auto"/>
            <w:gridSpan w:val="3"/>
            <w:shd w:val="clear" w:color="auto" w:fill="D7E4BC"/>
            <w:tcMar>
              <w:top w:w="40" w:type="dxa"/>
              <w:left w:w="20" w:type="dxa"/>
              <w:bottom w:w="40" w:type="dxa"/>
              <w:right w:w="20" w:type="dxa"/>
            </w:tcMar>
          </w:tcPr>
          <w:p w14:paraId="64298415" w14:textId="77777777" w:rsidR="007B6C97" w:rsidRDefault="00E426D1">
            <w:pPr>
              <w:textAlignment w:val="top"/>
            </w:pPr>
            <w:r>
              <w:rPr>
                <w:rFonts w:ascii="Times New Roman" w:eastAsia="宋体" w:hAnsi="Times New Roman"/>
                <w:i/>
                <w:iCs/>
                <w:color w:val="000000"/>
                <w:sz w:val="20"/>
                <w:szCs w:val="20"/>
              </w:rPr>
              <w:t xml:space="preserve">July 3, </w:t>
            </w:r>
            <w:r>
              <w:rPr>
                <w:rFonts w:ascii="Times New Roman" w:eastAsia="宋体" w:hAnsi="Times New Roman"/>
                <w:i/>
                <w:iCs/>
                <w:color w:val="000000"/>
                <w:sz w:val="20"/>
                <w:szCs w:val="20"/>
              </w:rPr>
              <w:t>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41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1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41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1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41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1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41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1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41E" w14:textId="77777777" w:rsidR="007B6C97" w:rsidRDefault="007B6C97">
            <w:pPr>
              <w:rPr>
                <w:rFonts w:ascii="宋体"/>
              </w:rPr>
            </w:pPr>
          </w:p>
        </w:tc>
      </w:tr>
      <w:tr w:rsidR="007B6C97" w14:paraId="64298434" w14:textId="77777777">
        <w:tc>
          <w:tcPr>
            <w:tcW w:w="0" w:type="auto"/>
            <w:gridSpan w:val="3"/>
            <w:shd w:val="clear" w:color="auto" w:fill="FFFFFF"/>
            <w:tcMar>
              <w:top w:w="40" w:type="dxa"/>
              <w:left w:w="20" w:type="dxa"/>
              <w:bottom w:w="40" w:type="dxa"/>
              <w:right w:w="20" w:type="dxa"/>
            </w:tcMar>
          </w:tcPr>
          <w:p w14:paraId="64298420" w14:textId="77777777" w:rsidR="007B6C97" w:rsidRDefault="00E426D1">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6429842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22" w14:textId="77777777" w:rsidR="007B6C97" w:rsidRDefault="00E426D1">
            <w:pPr>
              <w:jc w:val="right"/>
              <w:textAlignment w:val="bottom"/>
            </w:pPr>
            <w:r>
              <w:rPr>
                <w:rFonts w:ascii="Times New Roman" w:eastAsia="宋体" w:hAnsi="Times New Roman"/>
                <w:color w:val="000000"/>
                <w:sz w:val="20"/>
                <w:szCs w:val="20"/>
              </w:rPr>
              <w:t>(9.0)</w:t>
            </w:r>
          </w:p>
        </w:tc>
        <w:tc>
          <w:tcPr>
            <w:tcW w:w="0" w:type="auto"/>
            <w:shd w:val="clear" w:color="auto" w:fill="FFFFFF"/>
            <w:tcMar>
              <w:top w:w="40" w:type="dxa"/>
              <w:left w:w="0" w:type="dxa"/>
              <w:bottom w:w="40" w:type="dxa"/>
              <w:right w:w="20" w:type="dxa"/>
            </w:tcMar>
            <w:vAlign w:val="bottom"/>
          </w:tcPr>
          <w:p w14:paraId="6429842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2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2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26" w14:textId="77777777" w:rsidR="007B6C97" w:rsidRDefault="00E426D1">
            <w:pPr>
              <w:jc w:val="right"/>
              <w:textAlignment w:val="bottom"/>
            </w:pPr>
            <w:r>
              <w:rPr>
                <w:rFonts w:ascii="Times New Roman" w:eastAsia="宋体" w:hAnsi="Times New Roman"/>
                <w:color w:val="000000"/>
                <w:sz w:val="20"/>
                <w:szCs w:val="20"/>
              </w:rPr>
              <w:t>251.7 </w:t>
            </w:r>
          </w:p>
        </w:tc>
        <w:tc>
          <w:tcPr>
            <w:tcW w:w="0" w:type="auto"/>
            <w:shd w:val="clear" w:color="auto" w:fill="FFFFFF"/>
            <w:tcMar>
              <w:top w:w="40" w:type="dxa"/>
              <w:left w:w="0" w:type="dxa"/>
              <w:bottom w:w="40" w:type="dxa"/>
              <w:right w:w="20" w:type="dxa"/>
            </w:tcMar>
            <w:vAlign w:val="bottom"/>
          </w:tcPr>
          <w:p w14:paraId="6429842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2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2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2A" w14:textId="77777777" w:rsidR="007B6C97" w:rsidRDefault="00E426D1">
            <w:pPr>
              <w:jc w:val="right"/>
              <w:textAlignment w:val="bottom"/>
            </w:pPr>
            <w:r>
              <w:rPr>
                <w:rFonts w:ascii="Times New Roman" w:eastAsia="宋体" w:hAnsi="Times New Roman"/>
                <w:color w:val="000000"/>
                <w:sz w:val="20"/>
                <w:szCs w:val="20"/>
              </w:rPr>
              <w:t>103.0 </w:t>
            </w:r>
          </w:p>
        </w:tc>
        <w:tc>
          <w:tcPr>
            <w:tcW w:w="0" w:type="auto"/>
            <w:shd w:val="clear" w:color="auto" w:fill="FFFFFF"/>
            <w:tcMar>
              <w:top w:w="40" w:type="dxa"/>
              <w:left w:w="0" w:type="dxa"/>
              <w:bottom w:w="40" w:type="dxa"/>
              <w:right w:w="20" w:type="dxa"/>
            </w:tcMar>
            <w:vAlign w:val="bottom"/>
          </w:tcPr>
          <w:p w14:paraId="6429842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2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2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2E" w14:textId="77777777" w:rsidR="007B6C97" w:rsidRDefault="00E426D1">
            <w:pPr>
              <w:jc w:val="right"/>
              <w:textAlignment w:val="bottom"/>
            </w:pPr>
            <w:r>
              <w:rPr>
                <w:rFonts w:ascii="Times New Roman" w:eastAsia="宋体" w:hAnsi="Times New Roman"/>
                <w:color w:val="000000"/>
                <w:sz w:val="20"/>
                <w:szCs w:val="20"/>
              </w:rPr>
              <w:t>(85.4)</w:t>
            </w:r>
          </w:p>
        </w:tc>
        <w:tc>
          <w:tcPr>
            <w:tcW w:w="0" w:type="auto"/>
            <w:shd w:val="clear" w:color="auto" w:fill="FFFFFF"/>
            <w:tcMar>
              <w:top w:w="40" w:type="dxa"/>
              <w:left w:w="0" w:type="dxa"/>
              <w:bottom w:w="40" w:type="dxa"/>
              <w:right w:w="20" w:type="dxa"/>
            </w:tcMar>
            <w:vAlign w:val="bottom"/>
          </w:tcPr>
          <w:p w14:paraId="6429842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3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3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32" w14:textId="77777777" w:rsidR="007B6C97" w:rsidRDefault="00E426D1">
            <w:pPr>
              <w:jc w:val="right"/>
              <w:textAlignment w:val="bottom"/>
            </w:pPr>
            <w:r>
              <w:rPr>
                <w:rFonts w:ascii="Times New Roman" w:eastAsia="宋体" w:hAnsi="Times New Roman"/>
                <w:color w:val="000000"/>
                <w:sz w:val="20"/>
                <w:szCs w:val="20"/>
              </w:rPr>
              <w:t>260.3 </w:t>
            </w:r>
          </w:p>
        </w:tc>
        <w:tc>
          <w:tcPr>
            <w:tcW w:w="0" w:type="auto"/>
            <w:shd w:val="clear" w:color="auto" w:fill="FFFFFF"/>
            <w:tcMar>
              <w:top w:w="40" w:type="dxa"/>
              <w:left w:w="0" w:type="dxa"/>
              <w:bottom w:w="40" w:type="dxa"/>
              <w:right w:w="20" w:type="dxa"/>
            </w:tcMar>
            <w:vAlign w:val="bottom"/>
          </w:tcPr>
          <w:p w14:paraId="64298433" w14:textId="77777777" w:rsidR="007B6C97" w:rsidRDefault="007B6C97">
            <w:pPr>
              <w:jc w:val="right"/>
              <w:rPr>
                <w:rFonts w:ascii="宋体"/>
              </w:rPr>
            </w:pPr>
          </w:p>
        </w:tc>
      </w:tr>
      <w:tr w:rsidR="007B6C97" w14:paraId="64298444" w14:textId="77777777">
        <w:tc>
          <w:tcPr>
            <w:tcW w:w="0" w:type="auto"/>
            <w:gridSpan w:val="3"/>
            <w:shd w:val="clear" w:color="auto" w:fill="D7E4BC"/>
            <w:tcMar>
              <w:top w:w="40" w:type="dxa"/>
              <w:left w:w="245" w:type="dxa"/>
              <w:bottom w:w="40" w:type="dxa"/>
              <w:right w:w="20" w:type="dxa"/>
            </w:tcMar>
          </w:tcPr>
          <w:p w14:paraId="64298435" w14:textId="77777777" w:rsidR="007B6C97" w:rsidRDefault="00E426D1">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4298436" w14:textId="77777777" w:rsidR="007B6C97" w:rsidRDefault="00E426D1">
            <w:pPr>
              <w:jc w:val="right"/>
              <w:textAlignment w:val="bottom"/>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bottom"/>
          </w:tcPr>
          <w:p w14:paraId="6429843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3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39" w14:textId="77777777" w:rsidR="007B6C97" w:rsidRDefault="00E426D1">
            <w:pPr>
              <w:jc w:val="right"/>
              <w:textAlignment w:val="bottom"/>
            </w:pPr>
            <w:r>
              <w:rPr>
                <w:rFonts w:ascii="Times New Roman" w:eastAsia="宋体" w:hAnsi="Times New Roman"/>
                <w:color w:val="000000"/>
                <w:sz w:val="20"/>
                <w:szCs w:val="20"/>
              </w:rPr>
              <w:t>41.0 </w:t>
            </w:r>
          </w:p>
        </w:tc>
        <w:tc>
          <w:tcPr>
            <w:tcW w:w="0" w:type="auto"/>
            <w:shd w:val="clear" w:color="auto" w:fill="D7E4BC"/>
            <w:tcMar>
              <w:top w:w="40" w:type="dxa"/>
              <w:left w:w="0" w:type="dxa"/>
              <w:bottom w:w="40" w:type="dxa"/>
              <w:right w:w="20" w:type="dxa"/>
            </w:tcMar>
            <w:vAlign w:val="bottom"/>
          </w:tcPr>
          <w:p w14:paraId="6429843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3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3C" w14:textId="77777777" w:rsidR="007B6C97" w:rsidRDefault="00E426D1">
            <w:pPr>
              <w:jc w:val="right"/>
              <w:textAlignment w:val="bottom"/>
            </w:pPr>
            <w:r>
              <w:rPr>
                <w:rFonts w:ascii="Times New Roman" w:eastAsia="宋体" w:hAnsi="Times New Roman"/>
                <w:color w:val="000000"/>
                <w:sz w:val="20"/>
                <w:szCs w:val="20"/>
              </w:rPr>
              <w:t>81.6 </w:t>
            </w:r>
          </w:p>
        </w:tc>
        <w:tc>
          <w:tcPr>
            <w:tcW w:w="0" w:type="auto"/>
            <w:shd w:val="clear" w:color="auto" w:fill="D7E4BC"/>
            <w:tcMar>
              <w:top w:w="40" w:type="dxa"/>
              <w:left w:w="0" w:type="dxa"/>
              <w:bottom w:w="40" w:type="dxa"/>
              <w:right w:w="20" w:type="dxa"/>
            </w:tcMar>
            <w:vAlign w:val="bottom"/>
          </w:tcPr>
          <w:p w14:paraId="6429843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3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3F" w14:textId="77777777" w:rsidR="007B6C97" w:rsidRDefault="00E426D1">
            <w:pPr>
              <w:jc w:val="right"/>
              <w:textAlignment w:val="bottom"/>
            </w:pPr>
            <w:r>
              <w:rPr>
                <w:rFonts w:ascii="Times New Roman" w:eastAsia="宋体" w:hAnsi="Times New Roman"/>
                <w:color w:val="000000"/>
                <w:sz w:val="20"/>
                <w:szCs w:val="20"/>
              </w:rPr>
              <w:t>(396.9)</w:t>
            </w:r>
          </w:p>
        </w:tc>
        <w:tc>
          <w:tcPr>
            <w:tcW w:w="0" w:type="auto"/>
            <w:shd w:val="clear" w:color="auto" w:fill="D7E4BC"/>
            <w:tcMar>
              <w:top w:w="40" w:type="dxa"/>
              <w:left w:w="0" w:type="dxa"/>
              <w:bottom w:w="40" w:type="dxa"/>
              <w:right w:w="20" w:type="dxa"/>
            </w:tcMar>
            <w:vAlign w:val="bottom"/>
          </w:tcPr>
          <w:p w14:paraId="6429844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4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42" w14:textId="77777777" w:rsidR="007B6C97" w:rsidRDefault="00E426D1">
            <w:pPr>
              <w:jc w:val="right"/>
              <w:textAlignment w:val="bottom"/>
            </w:pPr>
            <w:r>
              <w:rPr>
                <w:rFonts w:ascii="Times New Roman" w:eastAsia="宋体" w:hAnsi="Times New Roman"/>
                <w:color w:val="000000"/>
                <w:sz w:val="20"/>
                <w:szCs w:val="20"/>
              </w:rPr>
              <w:t>(275.9)</w:t>
            </w:r>
          </w:p>
        </w:tc>
        <w:tc>
          <w:tcPr>
            <w:tcW w:w="0" w:type="auto"/>
            <w:shd w:val="clear" w:color="auto" w:fill="D7E4BC"/>
            <w:tcMar>
              <w:top w:w="40" w:type="dxa"/>
              <w:left w:w="0" w:type="dxa"/>
              <w:bottom w:w="40" w:type="dxa"/>
              <w:right w:w="20" w:type="dxa"/>
            </w:tcMar>
            <w:vAlign w:val="bottom"/>
          </w:tcPr>
          <w:p w14:paraId="64298443" w14:textId="77777777" w:rsidR="007B6C97" w:rsidRDefault="007B6C97">
            <w:pPr>
              <w:jc w:val="right"/>
              <w:rPr>
                <w:rFonts w:ascii="宋体"/>
              </w:rPr>
            </w:pPr>
          </w:p>
        </w:tc>
      </w:tr>
      <w:tr w:rsidR="007B6C97" w14:paraId="64298454" w14:textId="77777777">
        <w:tc>
          <w:tcPr>
            <w:tcW w:w="0" w:type="auto"/>
            <w:gridSpan w:val="3"/>
            <w:shd w:val="clear" w:color="auto" w:fill="FFFFFF"/>
            <w:tcMar>
              <w:top w:w="40" w:type="dxa"/>
              <w:left w:w="245" w:type="dxa"/>
              <w:bottom w:w="40" w:type="dxa"/>
              <w:right w:w="20" w:type="dxa"/>
            </w:tcMar>
          </w:tcPr>
          <w:p w14:paraId="64298445" w14:textId="77777777" w:rsidR="007B6C97" w:rsidRDefault="00E426D1">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4298446"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429844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4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49" w14:textId="77777777" w:rsidR="007B6C97" w:rsidRDefault="00E426D1">
            <w:pPr>
              <w:jc w:val="right"/>
              <w:textAlignment w:val="bottom"/>
            </w:pPr>
            <w:r>
              <w:rPr>
                <w:rFonts w:ascii="Times New Roman" w:eastAsia="宋体" w:hAnsi="Times New Roman"/>
                <w:color w:val="000000"/>
                <w:sz w:val="20"/>
                <w:szCs w:val="20"/>
              </w:rPr>
              <w:t>(46.7)</w:t>
            </w:r>
          </w:p>
        </w:tc>
        <w:tc>
          <w:tcPr>
            <w:tcW w:w="0" w:type="auto"/>
            <w:shd w:val="clear" w:color="auto" w:fill="FFFFFF"/>
            <w:tcMar>
              <w:top w:w="40" w:type="dxa"/>
              <w:left w:w="0" w:type="dxa"/>
              <w:bottom w:w="40" w:type="dxa"/>
              <w:right w:w="20" w:type="dxa"/>
            </w:tcMar>
            <w:vAlign w:val="bottom"/>
          </w:tcPr>
          <w:p w14:paraId="6429844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4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4C" w14:textId="77777777" w:rsidR="007B6C97" w:rsidRDefault="00E426D1">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6429844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4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4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45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5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52" w14:textId="77777777" w:rsidR="007B6C97" w:rsidRDefault="00E426D1">
            <w:pPr>
              <w:jc w:val="right"/>
              <w:textAlignment w:val="bottom"/>
            </w:pPr>
            <w:r>
              <w:rPr>
                <w:rFonts w:ascii="Times New Roman" w:eastAsia="宋体" w:hAnsi="Times New Roman"/>
                <w:color w:val="000000"/>
                <w:sz w:val="20"/>
                <w:szCs w:val="20"/>
              </w:rPr>
              <w:t>(49.4)</w:t>
            </w:r>
          </w:p>
        </w:tc>
        <w:tc>
          <w:tcPr>
            <w:tcW w:w="0" w:type="auto"/>
            <w:shd w:val="clear" w:color="auto" w:fill="FFFFFF"/>
            <w:tcMar>
              <w:top w:w="40" w:type="dxa"/>
              <w:left w:w="0" w:type="dxa"/>
              <w:bottom w:w="40" w:type="dxa"/>
              <w:right w:w="20" w:type="dxa"/>
            </w:tcMar>
            <w:vAlign w:val="bottom"/>
          </w:tcPr>
          <w:p w14:paraId="64298453" w14:textId="77777777" w:rsidR="007B6C97" w:rsidRDefault="007B6C97">
            <w:pPr>
              <w:jc w:val="right"/>
              <w:rPr>
                <w:rFonts w:ascii="宋体"/>
              </w:rPr>
            </w:pPr>
          </w:p>
        </w:tc>
      </w:tr>
      <w:tr w:rsidR="007B6C97" w14:paraId="64298464" w14:textId="77777777">
        <w:tc>
          <w:tcPr>
            <w:tcW w:w="0" w:type="auto"/>
            <w:gridSpan w:val="3"/>
            <w:shd w:val="clear" w:color="auto" w:fill="D7E4BC"/>
            <w:tcMar>
              <w:top w:w="40" w:type="dxa"/>
              <w:left w:w="20" w:type="dxa"/>
              <w:bottom w:w="40" w:type="dxa"/>
              <w:right w:w="20" w:type="dxa"/>
            </w:tcMar>
          </w:tcPr>
          <w:p w14:paraId="64298455" w14:textId="77777777" w:rsidR="007B6C97" w:rsidRDefault="00E426D1">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56" w14:textId="77777777" w:rsidR="007B6C97" w:rsidRDefault="00E426D1">
            <w:pPr>
              <w:jc w:val="right"/>
              <w:textAlignment w:val="bottom"/>
            </w:pPr>
            <w:r>
              <w:rPr>
                <w:rFonts w:ascii="Times New Roman" w:eastAsia="宋体" w:hAnsi="Times New Roman"/>
                <w:color w:val="000000"/>
                <w:sz w:val="20"/>
                <w:szCs w:val="20"/>
              </w:rPr>
              <w:t>(1.5)</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5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5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59" w14:textId="77777777" w:rsidR="007B6C97" w:rsidRDefault="00E426D1">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5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5B"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5C" w14:textId="77777777" w:rsidR="007B6C97" w:rsidRDefault="00E426D1">
            <w:pPr>
              <w:jc w:val="right"/>
              <w:textAlignment w:val="bottom"/>
            </w:pPr>
            <w:r>
              <w:rPr>
                <w:rFonts w:ascii="Times New Roman" w:eastAsia="宋体" w:hAnsi="Times New Roman"/>
                <w:color w:val="000000"/>
                <w:sz w:val="20"/>
                <w:szCs w:val="20"/>
              </w:rPr>
              <w:t>78.8 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5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5F" w14:textId="77777777" w:rsidR="007B6C97" w:rsidRDefault="00E426D1">
            <w:pPr>
              <w:jc w:val="right"/>
              <w:textAlignment w:val="bottom"/>
            </w:pPr>
            <w:r>
              <w:rPr>
                <w:rFonts w:ascii="Times New Roman" w:eastAsia="宋体" w:hAnsi="Times New Roman"/>
                <w:color w:val="000000"/>
                <w:sz w:val="20"/>
                <w:szCs w:val="20"/>
              </w:rPr>
              <w:t>(396.9)</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6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6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62" w14:textId="77777777" w:rsidR="007B6C97" w:rsidRDefault="00E426D1">
            <w:pPr>
              <w:jc w:val="right"/>
              <w:textAlignment w:val="bottom"/>
            </w:pPr>
            <w:r>
              <w:rPr>
                <w:rFonts w:ascii="Times New Roman" w:eastAsia="宋体" w:hAnsi="Times New Roman"/>
                <w:color w:val="000000"/>
                <w:sz w:val="20"/>
                <w:szCs w:val="20"/>
              </w:rPr>
              <w:t>(325.3)</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63" w14:textId="77777777" w:rsidR="007B6C97" w:rsidRDefault="007B6C97">
            <w:pPr>
              <w:jc w:val="right"/>
              <w:rPr>
                <w:rFonts w:ascii="宋体"/>
              </w:rPr>
            </w:pPr>
          </w:p>
        </w:tc>
      </w:tr>
      <w:tr w:rsidR="007B6C97" w14:paraId="6429846F" w14:textId="77777777">
        <w:trPr>
          <w:hidden/>
        </w:trPr>
        <w:tc>
          <w:tcPr>
            <w:tcW w:w="0" w:type="auto"/>
            <w:gridSpan w:val="3"/>
            <w:shd w:val="clear" w:color="auto" w:fill="auto"/>
            <w:vAlign w:val="bottom"/>
          </w:tcPr>
          <w:p w14:paraId="64298465" w14:textId="77777777" w:rsidR="007B6C97" w:rsidRDefault="007B6C97">
            <w:pPr>
              <w:rPr>
                <w:rFonts w:ascii="宋体"/>
                <w:vanish/>
              </w:rPr>
            </w:pPr>
          </w:p>
        </w:tc>
        <w:tc>
          <w:tcPr>
            <w:tcW w:w="0" w:type="auto"/>
            <w:gridSpan w:val="3"/>
            <w:shd w:val="clear" w:color="auto" w:fill="auto"/>
            <w:vAlign w:val="bottom"/>
          </w:tcPr>
          <w:p w14:paraId="64298466" w14:textId="77777777" w:rsidR="007B6C97" w:rsidRDefault="007B6C97">
            <w:pPr>
              <w:rPr>
                <w:rFonts w:ascii="宋体"/>
                <w:vanish/>
              </w:rPr>
            </w:pPr>
          </w:p>
        </w:tc>
        <w:tc>
          <w:tcPr>
            <w:tcW w:w="0" w:type="auto"/>
            <w:gridSpan w:val="3"/>
            <w:shd w:val="clear" w:color="auto" w:fill="auto"/>
            <w:vAlign w:val="bottom"/>
          </w:tcPr>
          <w:p w14:paraId="64298467" w14:textId="77777777" w:rsidR="007B6C97" w:rsidRDefault="007B6C97">
            <w:pPr>
              <w:rPr>
                <w:rFonts w:ascii="宋体"/>
                <w:vanish/>
              </w:rPr>
            </w:pPr>
          </w:p>
        </w:tc>
        <w:tc>
          <w:tcPr>
            <w:tcW w:w="0" w:type="auto"/>
            <w:gridSpan w:val="3"/>
            <w:shd w:val="clear" w:color="auto" w:fill="auto"/>
            <w:vAlign w:val="bottom"/>
          </w:tcPr>
          <w:p w14:paraId="64298468" w14:textId="77777777" w:rsidR="007B6C97" w:rsidRDefault="007B6C97">
            <w:pPr>
              <w:rPr>
                <w:rFonts w:ascii="宋体"/>
                <w:vanish/>
              </w:rPr>
            </w:pPr>
          </w:p>
        </w:tc>
        <w:tc>
          <w:tcPr>
            <w:tcW w:w="0" w:type="auto"/>
            <w:gridSpan w:val="3"/>
            <w:shd w:val="clear" w:color="auto" w:fill="auto"/>
            <w:vAlign w:val="bottom"/>
          </w:tcPr>
          <w:p w14:paraId="64298469" w14:textId="77777777" w:rsidR="007B6C97" w:rsidRDefault="007B6C97">
            <w:pPr>
              <w:rPr>
                <w:rFonts w:ascii="宋体"/>
                <w:vanish/>
              </w:rPr>
            </w:pPr>
          </w:p>
        </w:tc>
        <w:tc>
          <w:tcPr>
            <w:tcW w:w="0" w:type="auto"/>
            <w:gridSpan w:val="3"/>
            <w:shd w:val="clear" w:color="auto" w:fill="auto"/>
            <w:vAlign w:val="bottom"/>
          </w:tcPr>
          <w:p w14:paraId="6429846A" w14:textId="77777777" w:rsidR="007B6C97" w:rsidRDefault="007B6C97">
            <w:pPr>
              <w:rPr>
                <w:rFonts w:ascii="宋体"/>
                <w:vanish/>
              </w:rPr>
            </w:pPr>
          </w:p>
        </w:tc>
        <w:tc>
          <w:tcPr>
            <w:tcW w:w="0" w:type="auto"/>
            <w:gridSpan w:val="3"/>
            <w:shd w:val="clear" w:color="auto" w:fill="auto"/>
            <w:vAlign w:val="bottom"/>
          </w:tcPr>
          <w:p w14:paraId="6429846B" w14:textId="77777777" w:rsidR="007B6C97" w:rsidRDefault="007B6C97">
            <w:pPr>
              <w:rPr>
                <w:rFonts w:ascii="宋体"/>
                <w:vanish/>
              </w:rPr>
            </w:pPr>
          </w:p>
        </w:tc>
        <w:tc>
          <w:tcPr>
            <w:tcW w:w="0" w:type="auto"/>
            <w:gridSpan w:val="3"/>
            <w:shd w:val="clear" w:color="auto" w:fill="auto"/>
            <w:vAlign w:val="bottom"/>
          </w:tcPr>
          <w:p w14:paraId="6429846C" w14:textId="77777777" w:rsidR="007B6C97" w:rsidRDefault="007B6C97">
            <w:pPr>
              <w:rPr>
                <w:rFonts w:ascii="宋体"/>
                <w:vanish/>
              </w:rPr>
            </w:pPr>
          </w:p>
        </w:tc>
        <w:tc>
          <w:tcPr>
            <w:tcW w:w="0" w:type="auto"/>
            <w:gridSpan w:val="3"/>
            <w:shd w:val="clear" w:color="auto" w:fill="auto"/>
            <w:vAlign w:val="bottom"/>
          </w:tcPr>
          <w:p w14:paraId="6429846D" w14:textId="77777777" w:rsidR="007B6C97" w:rsidRDefault="007B6C97">
            <w:pPr>
              <w:rPr>
                <w:rFonts w:ascii="宋体"/>
                <w:vanish/>
              </w:rPr>
            </w:pPr>
          </w:p>
        </w:tc>
        <w:tc>
          <w:tcPr>
            <w:tcW w:w="0" w:type="auto"/>
            <w:gridSpan w:val="3"/>
            <w:shd w:val="clear" w:color="auto" w:fill="auto"/>
            <w:vAlign w:val="bottom"/>
          </w:tcPr>
          <w:p w14:paraId="6429846E" w14:textId="77777777" w:rsidR="007B6C97" w:rsidRDefault="007B6C97">
            <w:pPr>
              <w:rPr>
                <w:rFonts w:ascii="宋体"/>
                <w:vanish/>
              </w:rPr>
            </w:pPr>
          </w:p>
        </w:tc>
      </w:tr>
      <w:tr w:rsidR="007B6C97" w14:paraId="6429847A" w14:textId="77777777">
        <w:trPr>
          <w:hidden/>
        </w:trPr>
        <w:tc>
          <w:tcPr>
            <w:tcW w:w="0" w:type="auto"/>
            <w:gridSpan w:val="3"/>
            <w:shd w:val="clear" w:color="auto" w:fill="auto"/>
            <w:vAlign w:val="bottom"/>
          </w:tcPr>
          <w:p w14:paraId="64298470" w14:textId="77777777" w:rsidR="007B6C97" w:rsidRDefault="007B6C97">
            <w:pPr>
              <w:rPr>
                <w:rFonts w:ascii="宋体"/>
                <w:vanish/>
              </w:rPr>
            </w:pPr>
          </w:p>
        </w:tc>
        <w:tc>
          <w:tcPr>
            <w:tcW w:w="0" w:type="auto"/>
            <w:gridSpan w:val="3"/>
            <w:shd w:val="clear" w:color="auto" w:fill="auto"/>
            <w:vAlign w:val="bottom"/>
          </w:tcPr>
          <w:p w14:paraId="64298471" w14:textId="77777777" w:rsidR="007B6C97" w:rsidRDefault="007B6C97">
            <w:pPr>
              <w:rPr>
                <w:rFonts w:ascii="宋体"/>
                <w:vanish/>
              </w:rPr>
            </w:pPr>
          </w:p>
        </w:tc>
        <w:tc>
          <w:tcPr>
            <w:tcW w:w="0" w:type="auto"/>
            <w:gridSpan w:val="3"/>
            <w:shd w:val="clear" w:color="auto" w:fill="auto"/>
            <w:vAlign w:val="bottom"/>
          </w:tcPr>
          <w:p w14:paraId="64298472" w14:textId="77777777" w:rsidR="007B6C97" w:rsidRDefault="007B6C97">
            <w:pPr>
              <w:rPr>
                <w:rFonts w:ascii="宋体"/>
                <w:vanish/>
              </w:rPr>
            </w:pPr>
          </w:p>
        </w:tc>
        <w:tc>
          <w:tcPr>
            <w:tcW w:w="0" w:type="auto"/>
            <w:gridSpan w:val="3"/>
            <w:shd w:val="clear" w:color="auto" w:fill="auto"/>
            <w:vAlign w:val="bottom"/>
          </w:tcPr>
          <w:p w14:paraId="64298473" w14:textId="77777777" w:rsidR="007B6C97" w:rsidRDefault="007B6C97">
            <w:pPr>
              <w:rPr>
                <w:rFonts w:ascii="宋体"/>
                <w:vanish/>
              </w:rPr>
            </w:pPr>
          </w:p>
        </w:tc>
        <w:tc>
          <w:tcPr>
            <w:tcW w:w="0" w:type="auto"/>
            <w:gridSpan w:val="3"/>
            <w:shd w:val="clear" w:color="auto" w:fill="auto"/>
            <w:vAlign w:val="bottom"/>
          </w:tcPr>
          <w:p w14:paraId="64298474" w14:textId="77777777" w:rsidR="007B6C97" w:rsidRDefault="007B6C97">
            <w:pPr>
              <w:rPr>
                <w:rFonts w:ascii="宋体"/>
                <w:vanish/>
              </w:rPr>
            </w:pPr>
          </w:p>
        </w:tc>
        <w:tc>
          <w:tcPr>
            <w:tcW w:w="0" w:type="auto"/>
            <w:gridSpan w:val="3"/>
            <w:shd w:val="clear" w:color="auto" w:fill="auto"/>
            <w:vAlign w:val="bottom"/>
          </w:tcPr>
          <w:p w14:paraId="64298475" w14:textId="77777777" w:rsidR="007B6C97" w:rsidRDefault="007B6C97">
            <w:pPr>
              <w:rPr>
                <w:rFonts w:ascii="宋体"/>
                <w:vanish/>
              </w:rPr>
            </w:pPr>
          </w:p>
        </w:tc>
        <w:tc>
          <w:tcPr>
            <w:tcW w:w="0" w:type="auto"/>
            <w:gridSpan w:val="3"/>
            <w:shd w:val="clear" w:color="auto" w:fill="auto"/>
            <w:vAlign w:val="bottom"/>
          </w:tcPr>
          <w:p w14:paraId="64298476" w14:textId="77777777" w:rsidR="007B6C97" w:rsidRDefault="007B6C97">
            <w:pPr>
              <w:rPr>
                <w:rFonts w:ascii="宋体"/>
                <w:vanish/>
              </w:rPr>
            </w:pPr>
          </w:p>
        </w:tc>
        <w:tc>
          <w:tcPr>
            <w:tcW w:w="0" w:type="auto"/>
            <w:gridSpan w:val="3"/>
            <w:shd w:val="clear" w:color="auto" w:fill="auto"/>
            <w:vAlign w:val="bottom"/>
          </w:tcPr>
          <w:p w14:paraId="64298477" w14:textId="77777777" w:rsidR="007B6C97" w:rsidRDefault="007B6C97">
            <w:pPr>
              <w:rPr>
                <w:rFonts w:ascii="宋体"/>
                <w:vanish/>
              </w:rPr>
            </w:pPr>
          </w:p>
        </w:tc>
        <w:tc>
          <w:tcPr>
            <w:tcW w:w="0" w:type="auto"/>
            <w:gridSpan w:val="3"/>
            <w:shd w:val="clear" w:color="auto" w:fill="auto"/>
            <w:vAlign w:val="bottom"/>
          </w:tcPr>
          <w:p w14:paraId="64298478" w14:textId="77777777" w:rsidR="007B6C97" w:rsidRDefault="007B6C97">
            <w:pPr>
              <w:rPr>
                <w:rFonts w:ascii="宋体"/>
                <w:vanish/>
              </w:rPr>
            </w:pPr>
          </w:p>
        </w:tc>
        <w:tc>
          <w:tcPr>
            <w:tcW w:w="0" w:type="auto"/>
            <w:gridSpan w:val="3"/>
            <w:shd w:val="clear" w:color="auto" w:fill="auto"/>
            <w:vAlign w:val="bottom"/>
          </w:tcPr>
          <w:p w14:paraId="64298479" w14:textId="77777777" w:rsidR="007B6C97" w:rsidRDefault="007B6C97">
            <w:pPr>
              <w:rPr>
                <w:rFonts w:ascii="宋体"/>
                <w:vanish/>
              </w:rPr>
            </w:pPr>
          </w:p>
        </w:tc>
      </w:tr>
      <w:tr w:rsidR="007B6C97" w14:paraId="6429848F" w14:textId="77777777">
        <w:tc>
          <w:tcPr>
            <w:tcW w:w="0" w:type="auto"/>
            <w:gridSpan w:val="3"/>
            <w:shd w:val="clear" w:color="auto" w:fill="FFFFFF"/>
            <w:tcMar>
              <w:top w:w="40" w:type="dxa"/>
              <w:left w:w="20" w:type="dxa"/>
              <w:bottom w:w="40" w:type="dxa"/>
              <w:right w:w="20" w:type="dxa"/>
            </w:tcMar>
          </w:tcPr>
          <w:p w14:paraId="6429847B" w14:textId="77777777" w:rsidR="007B6C97" w:rsidRDefault="00E426D1">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847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47D" w14:textId="77777777" w:rsidR="007B6C97" w:rsidRDefault="00E426D1">
            <w:pPr>
              <w:jc w:val="right"/>
              <w:textAlignment w:val="bottom"/>
            </w:pPr>
            <w:r>
              <w:rPr>
                <w:rFonts w:ascii="Times New Roman" w:eastAsia="宋体" w:hAnsi="Times New Roman"/>
                <w:color w:val="000000"/>
                <w:sz w:val="20"/>
                <w:szCs w:val="20"/>
              </w:rPr>
              <w:t>(10.5)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47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7F"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48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481" w14:textId="77777777" w:rsidR="007B6C97" w:rsidRDefault="00E426D1">
            <w:pPr>
              <w:jc w:val="right"/>
              <w:textAlignment w:val="bottom"/>
            </w:pPr>
            <w:r>
              <w:rPr>
                <w:rFonts w:ascii="Times New Roman" w:eastAsia="宋体" w:hAnsi="Times New Roman"/>
                <w:color w:val="000000"/>
                <w:sz w:val="20"/>
                <w:szCs w:val="20"/>
              </w:rPr>
              <w:t>246.0 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48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83"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48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485" w14:textId="77777777" w:rsidR="007B6C97" w:rsidRDefault="00E426D1">
            <w:pPr>
              <w:jc w:val="right"/>
              <w:textAlignment w:val="bottom"/>
            </w:pPr>
            <w:r>
              <w:rPr>
                <w:rFonts w:ascii="Times New Roman" w:eastAsia="宋体" w:hAnsi="Times New Roman"/>
                <w:color w:val="000000"/>
                <w:sz w:val="20"/>
                <w:szCs w:val="20"/>
              </w:rPr>
              <w:t>181.8 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48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87"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48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489" w14:textId="77777777" w:rsidR="007B6C97" w:rsidRDefault="00E426D1">
            <w:pPr>
              <w:jc w:val="right"/>
              <w:textAlignment w:val="bottom"/>
            </w:pPr>
            <w:r>
              <w:rPr>
                <w:rFonts w:ascii="Times New Roman" w:eastAsia="宋体" w:hAnsi="Times New Roman"/>
                <w:color w:val="000000"/>
                <w:sz w:val="20"/>
                <w:szCs w:val="20"/>
              </w:rPr>
              <w:t>(482.3)</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48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8B"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48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48D" w14:textId="77777777" w:rsidR="007B6C97" w:rsidRDefault="00E426D1">
            <w:pPr>
              <w:jc w:val="right"/>
              <w:textAlignment w:val="bottom"/>
            </w:pPr>
            <w:r>
              <w:rPr>
                <w:rFonts w:ascii="Times New Roman" w:eastAsia="宋体" w:hAnsi="Times New Roman"/>
                <w:color w:val="000000"/>
                <w:sz w:val="20"/>
                <w:szCs w:val="20"/>
              </w:rPr>
              <w:t>(65.0)</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48E" w14:textId="77777777" w:rsidR="007B6C97" w:rsidRDefault="007B6C97">
            <w:pPr>
              <w:jc w:val="right"/>
              <w:rPr>
                <w:rFonts w:ascii="宋体"/>
              </w:rPr>
            </w:pPr>
          </w:p>
        </w:tc>
      </w:tr>
      <w:tr w:rsidR="007B6C97" w14:paraId="6429849A" w14:textId="77777777">
        <w:trPr>
          <w:trHeight w:val="240"/>
        </w:trPr>
        <w:tc>
          <w:tcPr>
            <w:tcW w:w="0" w:type="auto"/>
            <w:gridSpan w:val="3"/>
            <w:shd w:val="clear" w:color="auto" w:fill="FFFFFF"/>
            <w:tcMar>
              <w:top w:w="0" w:type="dxa"/>
              <w:left w:w="20" w:type="dxa"/>
              <w:bottom w:w="0" w:type="dxa"/>
              <w:right w:w="20" w:type="dxa"/>
            </w:tcMar>
            <w:vAlign w:val="bottom"/>
          </w:tcPr>
          <w:p w14:paraId="64298490"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49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492"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49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494"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49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496"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49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498"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499" w14:textId="77777777" w:rsidR="007B6C97" w:rsidRDefault="007B6C97">
            <w:pPr>
              <w:rPr>
                <w:rFonts w:ascii="宋体"/>
              </w:rPr>
            </w:pPr>
          </w:p>
        </w:tc>
      </w:tr>
      <w:tr w:rsidR="007B6C97" w14:paraId="642984A5" w14:textId="77777777">
        <w:tc>
          <w:tcPr>
            <w:tcW w:w="0" w:type="auto"/>
            <w:gridSpan w:val="3"/>
            <w:shd w:val="clear" w:color="auto" w:fill="D7E4BC"/>
            <w:tcMar>
              <w:top w:w="40" w:type="dxa"/>
              <w:left w:w="20" w:type="dxa"/>
              <w:bottom w:w="40" w:type="dxa"/>
              <w:right w:w="20" w:type="dxa"/>
            </w:tcMar>
          </w:tcPr>
          <w:p w14:paraId="6429849B" w14:textId="77777777" w:rsidR="007B6C97" w:rsidRDefault="00E426D1">
            <w:pPr>
              <w:textAlignment w:val="top"/>
            </w:pPr>
            <w:r>
              <w:rPr>
                <w:rFonts w:ascii="Times New Roman" w:eastAsia="宋体" w:hAnsi="Times New Roman"/>
                <w:i/>
                <w:iCs/>
                <w:color w:val="000000"/>
                <w:sz w:val="20"/>
                <w:szCs w:val="20"/>
              </w:rPr>
              <w:t>June 27, 2021</w:t>
            </w:r>
          </w:p>
        </w:tc>
        <w:tc>
          <w:tcPr>
            <w:tcW w:w="0" w:type="auto"/>
            <w:gridSpan w:val="3"/>
            <w:shd w:val="clear" w:color="auto" w:fill="D7E4BC"/>
            <w:tcMar>
              <w:top w:w="0" w:type="dxa"/>
              <w:left w:w="20" w:type="dxa"/>
              <w:bottom w:w="0" w:type="dxa"/>
              <w:right w:w="20" w:type="dxa"/>
            </w:tcMar>
            <w:vAlign w:val="bottom"/>
          </w:tcPr>
          <w:p w14:paraId="6429849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9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9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9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A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A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A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A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4A4" w14:textId="77777777" w:rsidR="007B6C97" w:rsidRDefault="007B6C97">
            <w:pPr>
              <w:rPr>
                <w:rFonts w:ascii="宋体"/>
              </w:rPr>
            </w:pPr>
          </w:p>
        </w:tc>
      </w:tr>
      <w:tr w:rsidR="007B6C97" w14:paraId="642984BA" w14:textId="77777777">
        <w:tc>
          <w:tcPr>
            <w:tcW w:w="0" w:type="auto"/>
            <w:gridSpan w:val="3"/>
            <w:shd w:val="clear" w:color="auto" w:fill="FFFFFF"/>
            <w:tcMar>
              <w:top w:w="40" w:type="dxa"/>
              <w:left w:w="20" w:type="dxa"/>
              <w:bottom w:w="40" w:type="dxa"/>
              <w:right w:w="20" w:type="dxa"/>
            </w:tcMar>
          </w:tcPr>
          <w:p w14:paraId="642984A6" w14:textId="77777777" w:rsidR="007B6C97" w:rsidRDefault="00E426D1">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642984A7"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A8"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84A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AA"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A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AC" w14:textId="77777777" w:rsidR="007B6C97" w:rsidRDefault="00E426D1">
            <w:pPr>
              <w:jc w:val="right"/>
              <w:textAlignment w:val="bottom"/>
            </w:pPr>
            <w:r>
              <w:rPr>
                <w:rFonts w:ascii="Times New Roman" w:eastAsia="宋体" w:hAnsi="Times New Roman"/>
                <w:color w:val="000000"/>
                <w:sz w:val="20"/>
                <w:szCs w:val="20"/>
              </w:rPr>
              <w:t>(5.7)</w:t>
            </w:r>
          </w:p>
        </w:tc>
        <w:tc>
          <w:tcPr>
            <w:tcW w:w="0" w:type="auto"/>
            <w:shd w:val="clear" w:color="auto" w:fill="FFFFFF"/>
            <w:tcMar>
              <w:top w:w="40" w:type="dxa"/>
              <w:left w:w="0" w:type="dxa"/>
              <w:bottom w:w="40" w:type="dxa"/>
              <w:right w:w="20" w:type="dxa"/>
            </w:tcMar>
            <w:vAlign w:val="bottom"/>
          </w:tcPr>
          <w:p w14:paraId="642984A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AE"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A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B0" w14:textId="77777777" w:rsidR="007B6C97" w:rsidRDefault="00E426D1">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642984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B2"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B3"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B4" w14:textId="77777777" w:rsidR="007B6C97" w:rsidRDefault="00E426D1">
            <w:pPr>
              <w:jc w:val="right"/>
              <w:textAlignment w:val="bottom"/>
            </w:pPr>
            <w:r>
              <w:rPr>
                <w:rFonts w:ascii="Times New Roman" w:eastAsia="宋体" w:hAnsi="Times New Roman"/>
                <w:color w:val="000000"/>
                <w:sz w:val="20"/>
                <w:szCs w:val="20"/>
              </w:rPr>
              <w:t>(142.2)</w:t>
            </w:r>
          </w:p>
        </w:tc>
        <w:tc>
          <w:tcPr>
            <w:tcW w:w="0" w:type="auto"/>
            <w:shd w:val="clear" w:color="auto" w:fill="FFFFFF"/>
            <w:tcMar>
              <w:top w:w="40" w:type="dxa"/>
              <w:left w:w="0" w:type="dxa"/>
              <w:bottom w:w="40" w:type="dxa"/>
              <w:right w:w="20" w:type="dxa"/>
            </w:tcMar>
            <w:vAlign w:val="bottom"/>
          </w:tcPr>
          <w:p w14:paraId="642984B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B6"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4B7"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4B8" w14:textId="77777777" w:rsidR="007B6C97" w:rsidRDefault="00E426D1">
            <w:pPr>
              <w:jc w:val="right"/>
              <w:textAlignment w:val="bottom"/>
            </w:pPr>
            <w:r>
              <w:rPr>
                <w:rFonts w:ascii="Times New Roman" w:eastAsia="宋体" w:hAnsi="Times New Roman"/>
                <w:color w:val="000000"/>
                <w:sz w:val="20"/>
                <w:szCs w:val="20"/>
              </w:rPr>
              <w:t>(126.3)</w:t>
            </w:r>
          </w:p>
        </w:tc>
        <w:tc>
          <w:tcPr>
            <w:tcW w:w="0" w:type="auto"/>
            <w:shd w:val="clear" w:color="auto" w:fill="FFFFFF"/>
            <w:tcMar>
              <w:top w:w="40" w:type="dxa"/>
              <w:left w:w="0" w:type="dxa"/>
              <w:bottom w:w="40" w:type="dxa"/>
              <w:right w:w="20" w:type="dxa"/>
            </w:tcMar>
            <w:vAlign w:val="bottom"/>
          </w:tcPr>
          <w:p w14:paraId="642984B9" w14:textId="77777777" w:rsidR="007B6C97" w:rsidRDefault="007B6C97">
            <w:pPr>
              <w:jc w:val="right"/>
              <w:rPr>
                <w:rFonts w:ascii="宋体"/>
              </w:rPr>
            </w:pPr>
          </w:p>
        </w:tc>
      </w:tr>
      <w:tr w:rsidR="007B6C97" w14:paraId="642984CA" w14:textId="77777777">
        <w:tc>
          <w:tcPr>
            <w:tcW w:w="0" w:type="auto"/>
            <w:gridSpan w:val="3"/>
            <w:shd w:val="clear" w:color="auto" w:fill="D7E4BC"/>
            <w:tcMar>
              <w:top w:w="40" w:type="dxa"/>
              <w:left w:w="245" w:type="dxa"/>
              <w:bottom w:w="40" w:type="dxa"/>
              <w:right w:w="20" w:type="dxa"/>
            </w:tcMar>
          </w:tcPr>
          <w:p w14:paraId="642984BB" w14:textId="77777777" w:rsidR="007B6C97" w:rsidRDefault="00E426D1">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42984BC" w14:textId="77777777" w:rsidR="007B6C97" w:rsidRDefault="00E426D1">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642984B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B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BF" w14:textId="77777777" w:rsidR="007B6C97" w:rsidRDefault="00E426D1">
            <w:pPr>
              <w:jc w:val="right"/>
              <w:textAlignment w:val="bottom"/>
            </w:pPr>
            <w:r>
              <w:rPr>
                <w:rFonts w:ascii="Times New Roman" w:eastAsia="宋体" w:hAnsi="Times New Roman"/>
                <w:color w:val="000000"/>
                <w:sz w:val="20"/>
                <w:szCs w:val="20"/>
              </w:rPr>
              <w:t>32.9 </w:t>
            </w:r>
          </w:p>
        </w:tc>
        <w:tc>
          <w:tcPr>
            <w:tcW w:w="0" w:type="auto"/>
            <w:shd w:val="clear" w:color="auto" w:fill="D7E4BC"/>
            <w:tcMar>
              <w:top w:w="40" w:type="dxa"/>
              <w:left w:w="0" w:type="dxa"/>
              <w:bottom w:w="40" w:type="dxa"/>
              <w:right w:w="20" w:type="dxa"/>
            </w:tcMar>
            <w:vAlign w:val="bottom"/>
          </w:tcPr>
          <w:p w14:paraId="642984C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C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C2" w14:textId="77777777" w:rsidR="007B6C97" w:rsidRDefault="00E426D1">
            <w:pPr>
              <w:jc w:val="right"/>
              <w:textAlignment w:val="bottom"/>
            </w:pPr>
            <w:r>
              <w:rPr>
                <w:rFonts w:ascii="Times New Roman" w:eastAsia="宋体" w:hAnsi="Times New Roman"/>
                <w:color w:val="000000"/>
                <w:sz w:val="20"/>
                <w:szCs w:val="20"/>
              </w:rPr>
              <w:t>24.2 </w:t>
            </w:r>
          </w:p>
        </w:tc>
        <w:tc>
          <w:tcPr>
            <w:tcW w:w="0" w:type="auto"/>
            <w:shd w:val="clear" w:color="auto" w:fill="D7E4BC"/>
            <w:tcMar>
              <w:top w:w="40" w:type="dxa"/>
              <w:left w:w="0" w:type="dxa"/>
              <w:bottom w:w="40" w:type="dxa"/>
              <w:right w:w="20" w:type="dxa"/>
            </w:tcMar>
            <w:vAlign w:val="bottom"/>
          </w:tcPr>
          <w:p w14:paraId="642984C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C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C5" w14:textId="77777777" w:rsidR="007B6C97" w:rsidRDefault="00E426D1">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left w:w="0" w:type="dxa"/>
              <w:bottom w:w="40" w:type="dxa"/>
              <w:right w:w="20" w:type="dxa"/>
            </w:tcMar>
            <w:vAlign w:val="bottom"/>
          </w:tcPr>
          <w:p w14:paraId="642984C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C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4C8" w14:textId="77777777" w:rsidR="007B6C97" w:rsidRDefault="00E426D1">
            <w:pPr>
              <w:jc w:val="right"/>
              <w:textAlignment w:val="bottom"/>
            </w:pPr>
            <w:r>
              <w:rPr>
                <w:rFonts w:ascii="Times New Roman" w:eastAsia="宋体" w:hAnsi="Times New Roman"/>
                <w:color w:val="000000"/>
                <w:sz w:val="20"/>
                <w:szCs w:val="20"/>
              </w:rPr>
              <w:t>97.2 </w:t>
            </w:r>
          </w:p>
        </w:tc>
        <w:tc>
          <w:tcPr>
            <w:tcW w:w="0" w:type="auto"/>
            <w:shd w:val="clear" w:color="auto" w:fill="D7E4BC"/>
            <w:tcMar>
              <w:top w:w="40" w:type="dxa"/>
              <w:left w:w="0" w:type="dxa"/>
              <w:bottom w:w="40" w:type="dxa"/>
              <w:right w:w="20" w:type="dxa"/>
            </w:tcMar>
            <w:vAlign w:val="bottom"/>
          </w:tcPr>
          <w:p w14:paraId="642984C9" w14:textId="77777777" w:rsidR="007B6C97" w:rsidRDefault="007B6C97">
            <w:pPr>
              <w:jc w:val="right"/>
              <w:rPr>
                <w:rFonts w:ascii="宋体"/>
              </w:rPr>
            </w:pPr>
          </w:p>
        </w:tc>
      </w:tr>
      <w:tr w:rsidR="007B6C97" w14:paraId="642984DA" w14:textId="77777777">
        <w:tc>
          <w:tcPr>
            <w:tcW w:w="0" w:type="auto"/>
            <w:gridSpan w:val="3"/>
            <w:shd w:val="clear" w:color="auto" w:fill="FFFFFF"/>
            <w:tcMar>
              <w:top w:w="40" w:type="dxa"/>
              <w:left w:w="245" w:type="dxa"/>
              <w:bottom w:w="40" w:type="dxa"/>
              <w:right w:w="20" w:type="dxa"/>
            </w:tcMar>
          </w:tcPr>
          <w:p w14:paraId="642984CB" w14:textId="77777777" w:rsidR="007B6C97" w:rsidRDefault="00E426D1">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42984CC" w14:textId="77777777" w:rsidR="007B6C97" w:rsidRDefault="00E426D1">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642984C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C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CF" w14:textId="77777777" w:rsidR="007B6C97" w:rsidRDefault="00E426D1">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642984D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D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D2" w14:textId="77777777" w:rsidR="007B6C97" w:rsidRDefault="00E426D1">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642984D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D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D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4D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4D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4D8"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42984D9" w14:textId="77777777" w:rsidR="007B6C97" w:rsidRDefault="007B6C97">
            <w:pPr>
              <w:jc w:val="right"/>
              <w:rPr>
                <w:rFonts w:ascii="宋体"/>
              </w:rPr>
            </w:pPr>
          </w:p>
        </w:tc>
      </w:tr>
      <w:tr w:rsidR="007B6C97" w14:paraId="642984EA" w14:textId="77777777">
        <w:tc>
          <w:tcPr>
            <w:tcW w:w="0" w:type="auto"/>
            <w:gridSpan w:val="3"/>
            <w:shd w:val="clear" w:color="auto" w:fill="D7E4BC"/>
            <w:tcMar>
              <w:top w:w="40" w:type="dxa"/>
              <w:left w:w="20" w:type="dxa"/>
              <w:bottom w:w="40" w:type="dxa"/>
              <w:right w:w="20" w:type="dxa"/>
            </w:tcMar>
          </w:tcPr>
          <w:p w14:paraId="642984DB" w14:textId="77777777" w:rsidR="007B6C97" w:rsidRDefault="00E426D1">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DC" w14:textId="77777777" w:rsidR="007B6C97" w:rsidRDefault="00E426D1">
            <w:pPr>
              <w:jc w:val="right"/>
              <w:textAlignment w:val="bottom"/>
            </w:pPr>
            <w:r>
              <w:rPr>
                <w:rFonts w:ascii="Times New Roman" w:eastAsia="宋体" w:hAnsi="Times New Roman"/>
                <w:color w:val="000000"/>
                <w:sz w:val="20"/>
                <w:szCs w:val="20"/>
              </w:rPr>
              <w:t>(0.3)</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D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D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DF" w14:textId="77777777" w:rsidR="007B6C97" w:rsidRDefault="00E426D1">
            <w:pPr>
              <w:jc w:val="right"/>
              <w:textAlignment w:val="bottom"/>
            </w:pPr>
            <w:r>
              <w:rPr>
                <w:rFonts w:ascii="Times New Roman" w:eastAsia="宋体" w:hAnsi="Times New Roman"/>
                <w:color w:val="000000"/>
                <w:sz w:val="20"/>
                <w:szCs w:val="20"/>
              </w:rPr>
              <w:t>35.0 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E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E2" w14:textId="77777777" w:rsidR="007B6C97" w:rsidRDefault="00E426D1">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E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E5" w14:textId="77777777" w:rsidR="007B6C97" w:rsidRDefault="00E426D1">
            <w:pPr>
              <w:jc w:val="right"/>
              <w:textAlignment w:val="bottom"/>
            </w:pPr>
            <w:r>
              <w:rPr>
                <w:rFonts w:ascii="Times New Roman" w:eastAsia="宋体" w:hAnsi="Times New Roman"/>
                <w:color w:val="000000"/>
                <w:sz w:val="20"/>
                <w:szCs w:val="20"/>
              </w:rPr>
              <w:t>40.2 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E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4E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4E8" w14:textId="77777777" w:rsidR="007B6C97" w:rsidRDefault="00E426D1">
            <w:pPr>
              <w:jc w:val="right"/>
              <w:textAlignment w:val="bottom"/>
            </w:pPr>
            <w:r>
              <w:rPr>
                <w:rFonts w:ascii="Times New Roman" w:eastAsia="宋体" w:hAnsi="Times New Roman"/>
                <w:color w:val="000000"/>
                <w:sz w:val="20"/>
                <w:szCs w:val="20"/>
              </w:rPr>
              <w:t>96.6 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4E9" w14:textId="77777777" w:rsidR="007B6C97" w:rsidRDefault="007B6C97">
            <w:pPr>
              <w:jc w:val="right"/>
              <w:rPr>
                <w:rFonts w:ascii="宋体"/>
              </w:rPr>
            </w:pPr>
          </w:p>
        </w:tc>
      </w:tr>
      <w:tr w:rsidR="007B6C97" w14:paraId="642984F5" w14:textId="77777777">
        <w:trPr>
          <w:hidden/>
        </w:trPr>
        <w:tc>
          <w:tcPr>
            <w:tcW w:w="0" w:type="auto"/>
            <w:gridSpan w:val="3"/>
            <w:shd w:val="clear" w:color="auto" w:fill="auto"/>
            <w:vAlign w:val="bottom"/>
          </w:tcPr>
          <w:p w14:paraId="642984EB" w14:textId="77777777" w:rsidR="007B6C97" w:rsidRDefault="007B6C97">
            <w:pPr>
              <w:rPr>
                <w:rFonts w:ascii="宋体"/>
                <w:vanish/>
              </w:rPr>
            </w:pPr>
          </w:p>
        </w:tc>
        <w:tc>
          <w:tcPr>
            <w:tcW w:w="0" w:type="auto"/>
            <w:gridSpan w:val="3"/>
            <w:shd w:val="clear" w:color="auto" w:fill="auto"/>
            <w:vAlign w:val="bottom"/>
          </w:tcPr>
          <w:p w14:paraId="642984EC" w14:textId="77777777" w:rsidR="007B6C97" w:rsidRDefault="007B6C97">
            <w:pPr>
              <w:rPr>
                <w:rFonts w:ascii="宋体"/>
                <w:vanish/>
              </w:rPr>
            </w:pPr>
          </w:p>
        </w:tc>
        <w:tc>
          <w:tcPr>
            <w:tcW w:w="0" w:type="auto"/>
            <w:gridSpan w:val="3"/>
            <w:shd w:val="clear" w:color="auto" w:fill="auto"/>
            <w:vAlign w:val="bottom"/>
          </w:tcPr>
          <w:p w14:paraId="642984ED" w14:textId="77777777" w:rsidR="007B6C97" w:rsidRDefault="007B6C97">
            <w:pPr>
              <w:rPr>
                <w:rFonts w:ascii="宋体"/>
                <w:vanish/>
              </w:rPr>
            </w:pPr>
          </w:p>
        </w:tc>
        <w:tc>
          <w:tcPr>
            <w:tcW w:w="0" w:type="auto"/>
            <w:gridSpan w:val="3"/>
            <w:shd w:val="clear" w:color="auto" w:fill="auto"/>
            <w:vAlign w:val="bottom"/>
          </w:tcPr>
          <w:p w14:paraId="642984EE" w14:textId="77777777" w:rsidR="007B6C97" w:rsidRDefault="007B6C97">
            <w:pPr>
              <w:rPr>
                <w:rFonts w:ascii="宋体"/>
                <w:vanish/>
              </w:rPr>
            </w:pPr>
          </w:p>
        </w:tc>
        <w:tc>
          <w:tcPr>
            <w:tcW w:w="0" w:type="auto"/>
            <w:gridSpan w:val="3"/>
            <w:shd w:val="clear" w:color="auto" w:fill="auto"/>
            <w:vAlign w:val="bottom"/>
          </w:tcPr>
          <w:p w14:paraId="642984EF" w14:textId="77777777" w:rsidR="007B6C97" w:rsidRDefault="007B6C97">
            <w:pPr>
              <w:rPr>
                <w:rFonts w:ascii="宋体"/>
                <w:vanish/>
              </w:rPr>
            </w:pPr>
          </w:p>
        </w:tc>
        <w:tc>
          <w:tcPr>
            <w:tcW w:w="0" w:type="auto"/>
            <w:gridSpan w:val="3"/>
            <w:shd w:val="clear" w:color="auto" w:fill="auto"/>
            <w:vAlign w:val="bottom"/>
          </w:tcPr>
          <w:p w14:paraId="642984F0" w14:textId="77777777" w:rsidR="007B6C97" w:rsidRDefault="007B6C97">
            <w:pPr>
              <w:rPr>
                <w:rFonts w:ascii="宋体"/>
                <w:vanish/>
              </w:rPr>
            </w:pPr>
          </w:p>
        </w:tc>
        <w:tc>
          <w:tcPr>
            <w:tcW w:w="0" w:type="auto"/>
            <w:gridSpan w:val="3"/>
            <w:shd w:val="clear" w:color="auto" w:fill="auto"/>
            <w:vAlign w:val="bottom"/>
          </w:tcPr>
          <w:p w14:paraId="642984F1" w14:textId="77777777" w:rsidR="007B6C97" w:rsidRDefault="007B6C97">
            <w:pPr>
              <w:rPr>
                <w:rFonts w:ascii="宋体"/>
                <w:vanish/>
              </w:rPr>
            </w:pPr>
          </w:p>
        </w:tc>
        <w:tc>
          <w:tcPr>
            <w:tcW w:w="0" w:type="auto"/>
            <w:gridSpan w:val="3"/>
            <w:shd w:val="clear" w:color="auto" w:fill="auto"/>
            <w:vAlign w:val="bottom"/>
          </w:tcPr>
          <w:p w14:paraId="642984F2" w14:textId="77777777" w:rsidR="007B6C97" w:rsidRDefault="007B6C97">
            <w:pPr>
              <w:rPr>
                <w:rFonts w:ascii="宋体"/>
                <w:vanish/>
              </w:rPr>
            </w:pPr>
          </w:p>
        </w:tc>
        <w:tc>
          <w:tcPr>
            <w:tcW w:w="0" w:type="auto"/>
            <w:gridSpan w:val="3"/>
            <w:shd w:val="clear" w:color="auto" w:fill="auto"/>
            <w:vAlign w:val="bottom"/>
          </w:tcPr>
          <w:p w14:paraId="642984F3" w14:textId="77777777" w:rsidR="007B6C97" w:rsidRDefault="007B6C97">
            <w:pPr>
              <w:rPr>
                <w:rFonts w:ascii="宋体"/>
                <w:vanish/>
              </w:rPr>
            </w:pPr>
          </w:p>
        </w:tc>
        <w:tc>
          <w:tcPr>
            <w:tcW w:w="0" w:type="auto"/>
            <w:gridSpan w:val="3"/>
            <w:shd w:val="clear" w:color="auto" w:fill="auto"/>
            <w:vAlign w:val="bottom"/>
          </w:tcPr>
          <w:p w14:paraId="642984F4" w14:textId="77777777" w:rsidR="007B6C97" w:rsidRDefault="007B6C97">
            <w:pPr>
              <w:rPr>
                <w:rFonts w:ascii="宋体"/>
                <w:vanish/>
              </w:rPr>
            </w:pPr>
          </w:p>
        </w:tc>
      </w:tr>
      <w:tr w:rsidR="007B6C97" w14:paraId="64298500" w14:textId="77777777">
        <w:trPr>
          <w:hidden/>
        </w:trPr>
        <w:tc>
          <w:tcPr>
            <w:tcW w:w="0" w:type="auto"/>
            <w:gridSpan w:val="3"/>
            <w:shd w:val="clear" w:color="auto" w:fill="auto"/>
            <w:vAlign w:val="bottom"/>
          </w:tcPr>
          <w:p w14:paraId="642984F6" w14:textId="77777777" w:rsidR="007B6C97" w:rsidRDefault="007B6C97">
            <w:pPr>
              <w:rPr>
                <w:rFonts w:ascii="宋体"/>
                <w:vanish/>
              </w:rPr>
            </w:pPr>
          </w:p>
        </w:tc>
        <w:tc>
          <w:tcPr>
            <w:tcW w:w="0" w:type="auto"/>
            <w:gridSpan w:val="3"/>
            <w:shd w:val="clear" w:color="auto" w:fill="auto"/>
            <w:vAlign w:val="bottom"/>
          </w:tcPr>
          <w:p w14:paraId="642984F7" w14:textId="77777777" w:rsidR="007B6C97" w:rsidRDefault="007B6C97">
            <w:pPr>
              <w:rPr>
                <w:rFonts w:ascii="宋体"/>
                <w:vanish/>
              </w:rPr>
            </w:pPr>
          </w:p>
        </w:tc>
        <w:tc>
          <w:tcPr>
            <w:tcW w:w="0" w:type="auto"/>
            <w:gridSpan w:val="3"/>
            <w:shd w:val="clear" w:color="auto" w:fill="auto"/>
            <w:vAlign w:val="bottom"/>
          </w:tcPr>
          <w:p w14:paraId="642984F8" w14:textId="77777777" w:rsidR="007B6C97" w:rsidRDefault="007B6C97">
            <w:pPr>
              <w:rPr>
                <w:rFonts w:ascii="宋体"/>
                <w:vanish/>
              </w:rPr>
            </w:pPr>
          </w:p>
        </w:tc>
        <w:tc>
          <w:tcPr>
            <w:tcW w:w="0" w:type="auto"/>
            <w:gridSpan w:val="3"/>
            <w:shd w:val="clear" w:color="auto" w:fill="auto"/>
            <w:vAlign w:val="bottom"/>
          </w:tcPr>
          <w:p w14:paraId="642984F9" w14:textId="77777777" w:rsidR="007B6C97" w:rsidRDefault="007B6C97">
            <w:pPr>
              <w:rPr>
                <w:rFonts w:ascii="宋体"/>
                <w:vanish/>
              </w:rPr>
            </w:pPr>
          </w:p>
        </w:tc>
        <w:tc>
          <w:tcPr>
            <w:tcW w:w="0" w:type="auto"/>
            <w:gridSpan w:val="3"/>
            <w:shd w:val="clear" w:color="auto" w:fill="auto"/>
            <w:vAlign w:val="bottom"/>
          </w:tcPr>
          <w:p w14:paraId="642984FA" w14:textId="77777777" w:rsidR="007B6C97" w:rsidRDefault="007B6C97">
            <w:pPr>
              <w:rPr>
                <w:rFonts w:ascii="宋体"/>
                <w:vanish/>
              </w:rPr>
            </w:pPr>
          </w:p>
        </w:tc>
        <w:tc>
          <w:tcPr>
            <w:tcW w:w="0" w:type="auto"/>
            <w:gridSpan w:val="3"/>
            <w:shd w:val="clear" w:color="auto" w:fill="auto"/>
            <w:vAlign w:val="bottom"/>
          </w:tcPr>
          <w:p w14:paraId="642984FB" w14:textId="77777777" w:rsidR="007B6C97" w:rsidRDefault="007B6C97">
            <w:pPr>
              <w:rPr>
                <w:rFonts w:ascii="宋体"/>
                <w:vanish/>
              </w:rPr>
            </w:pPr>
          </w:p>
        </w:tc>
        <w:tc>
          <w:tcPr>
            <w:tcW w:w="0" w:type="auto"/>
            <w:gridSpan w:val="3"/>
            <w:shd w:val="clear" w:color="auto" w:fill="auto"/>
            <w:vAlign w:val="bottom"/>
          </w:tcPr>
          <w:p w14:paraId="642984FC" w14:textId="77777777" w:rsidR="007B6C97" w:rsidRDefault="007B6C97">
            <w:pPr>
              <w:rPr>
                <w:rFonts w:ascii="宋体"/>
                <w:vanish/>
              </w:rPr>
            </w:pPr>
          </w:p>
        </w:tc>
        <w:tc>
          <w:tcPr>
            <w:tcW w:w="0" w:type="auto"/>
            <w:gridSpan w:val="3"/>
            <w:shd w:val="clear" w:color="auto" w:fill="auto"/>
            <w:vAlign w:val="bottom"/>
          </w:tcPr>
          <w:p w14:paraId="642984FD" w14:textId="77777777" w:rsidR="007B6C97" w:rsidRDefault="007B6C97">
            <w:pPr>
              <w:rPr>
                <w:rFonts w:ascii="宋体"/>
                <w:vanish/>
              </w:rPr>
            </w:pPr>
          </w:p>
        </w:tc>
        <w:tc>
          <w:tcPr>
            <w:tcW w:w="0" w:type="auto"/>
            <w:gridSpan w:val="3"/>
            <w:shd w:val="clear" w:color="auto" w:fill="auto"/>
            <w:vAlign w:val="bottom"/>
          </w:tcPr>
          <w:p w14:paraId="642984FE" w14:textId="77777777" w:rsidR="007B6C97" w:rsidRDefault="007B6C97">
            <w:pPr>
              <w:rPr>
                <w:rFonts w:ascii="宋体"/>
                <w:vanish/>
              </w:rPr>
            </w:pPr>
          </w:p>
        </w:tc>
        <w:tc>
          <w:tcPr>
            <w:tcW w:w="0" w:type="auto"/>
            <w:gridSpan w:val="3"/>
            <w:shd w:val="clear" w:color="auto" w:fill="auto"/>
            <w:vAlign w:val="bottom"/>
          </w:tcPr>
          <w:p w14:paraId="642984FF" w14:textId="77777777" w:rsidR="007B6C97" w:rsidRDefault="007B6C97">
            <w:pPr>
              <w:rPr>
                <w:rFonts w:ascii="宋体"/>
                <w:vanish/>
              </w:rPr>
            </w:pPr>
          </w:p>
        </w:tc>
      </w:tr>
      <w:tr w:rsidR="007B6C97" w14:paraId="64298515" w14:textId="77777777">
        <w:tc>
          <w:tcPr>
            <w:tcW w:w="0" w:type="auto"/>
            <w:gridSpan w:val="3"/>
            <w:shd w:val="clear" w:color="auto" w:fill="FFFFFF"/>
            <w:tcMar>
              <w:top w:w="40" w:type="dxa"/>
              <w:left w:w="20" w:type="dxa"/>
              <w:bottom w:w="40" w:type="dxa"/>
              <w:right w:w="20" w:type="dxa"/>
            </w:tcMar>
          </w:tcPr>
          <w:p w14:paraId="64298501" w14:textId="77777777" w:rsidR="007B6C97" w:rsidRDefault="00E426D1">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850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503" w14:textId="77777777" w:rsidR="007B6C97" w:rsidRDefault="00E426D1">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0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05"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50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507" w14:textId="77777777" w:rsidR="007B6C97" w:rsidRDefault="00E426D1">
            <w:pPr>
              <w:jc w:val="right"/>
              <w:textAlignment w:val="bottom"/>
            </w:pPr>
            <w:r>
              <w:rPr>
                <w:rFonts w:ascii="Times New Roman" w:eastAsia="宋体" w:hAnsi="Times New Roman"/>
                <w:color w:val="000000"/>
                <w:sz w:val="20"/>
                <w:szCs w:val="20"/>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0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09"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50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50B" w14:textId="77777777" w:rsidR="007B6C97" w:rsidRDefault="00E426D1">
            <w:pPr>
              <w:jc w:val="right"/>
              <w:textAlignment w:val="bottom"/>
            </w:pPr>
            <w:r>
              <w:rPr>
                <w:rFonts w:ascii="Times New Roman" w:eastAsia="宋体" w:hAnsi="Times New Roman"/>
                <w:color w:val="000000"/>
                <w:sz w:val="20"/>
                <w:szCs w:val="20"/>
              </w:rPr>
              <w:t>41.3 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0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0D"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50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50F" w14:textId="77777777" w:rsidR="007B6C97" w:rsidRDefault="00E426D1">
            <w:pPr>
              <w:jc w:val="right"/>
              <w:textAlignment w:val="bottom"/>
            </w:pPr>
            <w:r>
              <w:rPr>
                <w:rFonts w:ascii="Times New Roman" w:eastAsia="宋体" w:hAnsi="Times New Roman"/>
                <w:color w:val="000000"/>
                <w:sz w:val="20"/>
                <w:szCs w:val="20"/>
              </w:rPr>
              <w:t>(102.0)</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1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11"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51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513" w14:textId="77777777" w:rsidR="007B6C97" w:rsidRDefault="00E426D1">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14" w14:textId="77777777" w:rsidR="007B6C97" w:rsidRDefault="007B6C97">
            <w:pPr>
              <w:jc w:val="right"/>
              <w:rPr>
                <w:rFonts w:ascii="宋体"/>
              </w:rPr>
            </w:pPr>
          </w:p>
        </w:tc>
      </w:tr>
      <w:tr w:rsidR="007B6C97" w14:paraId="64298520" w14:textId="77777777">
        <w:trPr>
          <w:trHeight w:val="160"/>
        </w:trPr>
        <w:tc>
          <w:tcPr>
            <w:tcW w:w="0" w:type="auto"/>
            <w:gridSpan w:val="3"/>
            <w:shd w:val="clear" w:color="auto" w:fill="auto"/>
            <w:tcMar>
              <w:top w:w="0" w:type="dxa"/>
              <w:left w:w="20" w:type="dxa"/>
              <w:bottom w:w="0" w:type="dxa"/>
              <w:right w:w="20" w:type="dxa"/>
            </w:tcMar>
            <w:vAlign w:val="bottom"/>
          </w:tcPr>
          <w:p w14:paraId="64298516" w14:textId="77777777" w:rsidR="007B6C97" w:rsidRDefault="007B6C9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4298517"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18" w14:textId="77777777" w:rsidR="007B6C97" w:rsidRDefault="007B6C9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429851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1A" w14:textId="77777777" w:rsidR="007B6C97" w:rsidRDefault="007B6C9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429851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1C" w14:textId="77777777" w:rsidR="007B6C97" w:rsidRDefault="007B6C9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429851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1E" w14:textId="77777777" w:rsidR="007B6C97" w:rsidRDefault="007B6C9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429851F" w14:textId="77777777" w:rsidR="007B6C97" w:rsidRDefault="007B6C97">
            <w:pPr>
              <w:rPr>
                <w:rFonts w:ascii="宋体"/>
              </w:rPr>
            </w:pPr>
          </w:p>
        </w:tc>
      </w:tr>
      <w:tr w:rsidR="007B6C97" w14:paraId="6429852B" w14:textId="77777777">
        <w:trPr>
          <w:trHeight w:val="160"/>
        </w:trPr>
        <w:tc>
          <w:tcPr>
            <w:tcW w:w="0" w:type="auto"/>
            <w:gridSpan w:val="3"/>
            <w:shd w:val="clear" w:color="auto" w:fill="auto"/>
            <w:tcMar>
              <w:top w:w="0" w:type="dxa"/>
              <w:left w:w="20" w:type="dxa"/>
              <w:bottom w:w="0" w:type="dxa"/>
              <w:right w:w="20" w:type="dxa"/>
            </w:tcMar>
            <w:vAlign w:val="bottom"/>
          </w:tcPr>
          <w:p w14:paraId="6429852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2"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3"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4"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5"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6"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7"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8"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52A" w14:textId="77777777" w:rsidR="007B6C97" w:rsidRDefault="007B6C97">
            <w:pPr>
              <w:rPr>
                <w:rFonts w:ascii="宋体"/>
              </w:rPr>
            </w:pPr>
          </w:p>
        </w:tc>
      </w:tr>
      <w:tr w:rsidR="007B6C97" w14:paraId="64298536" w14:textId="77777777">
        <w:trPr>
          <w:hidden/>
        </w:trPr>
        <w:tc>
          <w:tcPr>
            <w:tcW w:w="0" w:type="auto"/>
            <w:gridSpan w:val="3"/>
            <w:shd w:val="clear" w:color="auto" w:fill="auto"/>
            <w:vAlign w:val="bottom"/>
          </w:tcPr>
          <w:p w14:paraId="6429852C" w14:textId="77777777" w:rsidR="007B6C97" w:rsidRDefault="007B6C97">
            <w:pPr>
              <w:rPr>
                <w:rFonts w:ascii="宋体"/>
                <w:vanish/>
              </w:rPr>
            </w:pPr>
          </w:p>
        </w:tc>
        <w:tc>
          <w:tcPr>
            <w:tcW w:w="0" w:type="auto"/>
            <w:gridSpan w:val="3"/>
            <w:shd w:val="clear" w:color="auto" w:fill="auto"/>
            <w:vAlign w:val="bottom"/>
          </w:tcPr>
          <w:p w14:paraId="6429852D" w14:textId="77777777" w:rsidR="007B6C97" w:rsidRDefault="007B6C97">
            <w:pPr>
              <w:rPr>
                <w:rFonts w:ascii="宋体"/>
                <w:vanish/>
              </w:rPr>
            </w:pPr>
          </w:p>
        </w:tc>
        <w:tc>
          <w:tcPr>
            <w:tcW w:w="0" w:type="auto"/>
            <w:gridSpan w:val="3"/>
            <w:shd w:val="clear" w:color="auto" w:fill="auto"/>
            <w:vAlign w:val="bottom"/>
          </w:tcPr>
          <w:p w14:paraId="6429852E" w14:textId="77777777" w:rsidR="007B6C97" w:rsidRDefault="007B6C97">
            <w:pPr>
              <w:rPr>
                <w:rFonts w:ascii="宋体"/>
                <w:vanish/>
              </w:rPr>
            </w:pPr>
          </w:p>
        </w:tc>
        <w:tc>
          <w:tcPr>
            <w:tcW w:w="0" w:type="auto"/>
            <w:gridSpan w:val="3"/>
            <w:shd w:val="clear" w:color="auto" w:fill="auto"/>
            <w:vAlign w:val="bottom"/>
          </w:tcPr>
          <w:p w14:paraId="6429852F" w14:textId="77777777" w:rsidR="007B6C97" w:rsidRDefault="007B6C97">
            <w:pPr>
              <w:rPr>
                <w:rFonts w:ascii="宋体"/>
                <w:vanish/>
              </w:rPr>
            </w:pPr>
          </w:p>
        </w:tc>
        <w:tc>
          <w:tcPr>
            <w:tcW w:w="0" w:type="auto"/>
            <w:gridSpan w:val="3"/>
            <w:shd w:val="clear" w:color="auto" w:fill="auto"/>
            <w:vAlign w:val="bottom"/>
          </w:tcPr>
          <w:p w14:paraId="64298530" w14:textId="77777777" w:rsidR="007B6C97" w:rsidRDefault="007B6C97">
            <w:pPr>
              <w:rPr>
                <w:rFonts w:ascii="宋体"/>
                <w:vanish/>
              </w:rPr>
            </w:pPr>
          </w:p>
        </w:tc>
        <w:tc>
          <w:tcPr>
            <w:tcW w:w="0" w:type="auto"/>
            <w:gridSpan w:val="3"/>
            <w:shd w:val="clear" w:color="auto" w:fill="auto"/>
            <w:vAlign w:val="bottom"/>
          </w:tcPr>
          <w:p w14:paraId="64298531" w14:textId="77777777" w:rsidR="007B6C97" w:rsidRDefault="007B6C97">
            <w:pPr>
              <w:rPr>
                <w:rFonts w:ascii="宋体"/>
                <w:vanish/>
              </w:rPr>
            </w:pPr>
          </w:p>
        </w:tc>
        <w:tc>
          <w:tcPr>
            <w:tcW w:w="0" w:type="auto"/>
            <w:gridSpan w:val="3"/>
            <w:shd w:val="clear" w:color="auto" w:fill="auto"/>
            <w:vAlign w:val="bottom"/>
          </w:tcPr>
          <w:p w14:paraId="64298532" w14:textId="77777777" w:rsidR="007B6C97" w:rsidRDefault="007B6C97">
            <w:pPr>
              <w:rPr>
                <w:rFonts w:ascii="宋体"/>
                <w:vanish/>
              </w:rPr>
            </w:pPr>
          </w:p>
        </w:tc>
        <w:tc>
          <w:tcPr>
            <w:tcW w:w="0" w:type="auto"/>
            <w:gridSpan w:val="3"/>
            <w:shd w:val="clear" w:color="auto" w:fill="auto"/>
            <w:vAlign w:val="bottom"/>
          </w:tcPr>
          <w:p w14:paraId="64298533" w14:textId="77777777" w:rsidR="007B6C97" w:rsidRDefault="007B6C97">
            <w:pPr>
              <w:rPr>
                <w:rFonts w:ascii="宋体"/>
                <w:vanish/>
              </w:rPr>
            </w:pPr>
          </w:p>
        </w:tc>
        <w:tc>
          <w:tcPr>
            <w:tcW w:w="0" w:type="auto"/>
            <w:gridSpan w:val="3"/>
            <w:shd w:val="clear" w:color="auto" w:fill="auto"/>
            <w:vAlign w:val="bottom"/>
          </w:tcPr>
          <w:p w14:paraId="64298534" w14:textId="77777777" w:rsidR="007B6C97" w:rsidRDefault="007B6C97">
            <w:pPr>
              <w:rPr>
                <w:rFonts w:ascii="宋体"/>
                <w:vanish/>
              </w:rPr>
            </w:pPr>
          </w:p>
        </w:tc>
        <w:tc>
          <w:tcPr>
            <w:tcW w:w="0" w:type="auto"/>
            <w:gridSpan w:val="3"/>
            <w:shd w:val="clear" w:color="auto" w:fill="auto"/>
            <w:vAlign w:val="bottom"/>
          </w:tcPr>
          <w:p w14:paraId="64298535" w14:textId="77777777" w:rsidR="007B6C97" w:rsidRDefault="007B6C97">
            <w:pPr>
              <w:rPr>
                <w:rFonts w:ascii="宋体"/>
                <w:vanish/>
              </w:rPr>
            </w:pPr>
          </w:p>
        </w:tc>
      </w:tr>
      <w:tr w:rsidR="007B6C97" w14:paraId="64298541" w14:textId="77777777">
        <w:tc>
          <w:tcPr>
            <w:tcW w:w="0" w:type="auto"/>
            <w:gridSpan w:val="3"/>
            <w:shd w:val="clear" w:color="auto" w:fill="FFFFFF"/>
            <w:tcMar>
              <w:top w:w="40" w:type="dxa"/>
              <w:left w:w="20" w:type="dxa"/>
              <w:bottom w:w="40" w:type="dxa"/>
              <w:right w:w="20" w:type="dxa"/>
            </w:tcMar>
            <w:vAlign w:val="bottom"/>
          </w:tcPr>
          <w:p w14:paraId="64298537" w14:textId="77777777" w:rsidR="007B6C97" w:rsidRDefault="00E426D1">
            <w:pPr>
              <w:textAlignment w:val="bottom"/>
            </w:pPr>
            <w:r>
              <w:rPr>
                <w:rFonts w:ascii="Times New Roman" w:eastAsia="宋体" w:hAnsi="Times New Roman"/>
                <w:b/>
                <w:bCs/>
                <w:color w:val="000000"/>
                <w:sz w:val="20"/>
                <w:szCs w:val="20"/>
              </w:rPr>
              <w:t xml:space="preserve">Three Quarters </w:t>
            </w:r>
            <w:r>
              <w:rPr>
                <w:rFonts w:ascii="Times New Roman" w:eastAsia="宋体" w:hAnsi="Times New Roman"/>
                <w:b/>
                <w:bCs/>
                <w:color w:val="000000"/>
                <w:sz w:val="20"/>
                <w:szCs w:val="20"/>
              </w:rPr>
              <w:t>Ended</w:t>
            </w:r>
          </w:p>
        </w:tc>
        <w:tc>
          <w:tcPr>
            <w:tcW w:w="0" w:type="auto"/>
            <w:gridSpan w:val="3"/>
            <w:shd w:val="clear" w:color="auto" w:fill="00704A"/>
            <w:tcMar>
              <w:top w:w="40" w:type="dxa"/>
              <w:left w:w="20" w:type="dxa"/>
              <w:bottom w:w="40" w:type="dxa"/>
              <w:right w:w="20" w:type="dxa"/>
            </w:tcMar>
            <w:vAlign w:val="bottom"/>
          </w:tcPr>
          <w:p w14:paraId="64298538" w14:textId="77777777" w:rsidR="007B6C97" w:rsidRDefault="00E426D1">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top w:w="0" w:type="dxa"/>
              <w:left w:w="20" w:type="dxa"/>
              <w:bottom w:w="0" w:type="dxa"/>
              <w:right w:w="20" w:type="dxa"/>
            </w:tcMar>
            <w:vAlign w:val="bottom"/>
          </w:tcPr>
          <w:p w14:paraId="6429853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53A" w14:textId="77777777" w:rsidR="007B6C97" w:rsidRDefault="00E426D1">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top w:w="0" w:type="dxa"/>
              <w:left w:w="20" w:type="dxa"/>
              <w:bottom w:w="0" w:type="dxa"/>
              <w:right w:w="20" w:type="dxa"/>
            </w:tcMar>
            <w:vAlign w:val="bottom"/>
          </w:tcPr>
          <w:p w14:paraId="6429853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53C" w14:textId="77777777" w:rsidR="007B6C97" w:rsidRDefault="00E426D1">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top w:w="0" w:type="dxa"/>
              <w:left w:w="20" w:type="dxa"/>
              <w:bottom w:w="0" w:type="dxa"/>
              <w:right w:w="20" w:type="dxa"/>
            </w:tcMar>
            <w:vAlign w:val="bottom"/>
          </w:tcPr>
          <w:p w14:paraId="6429853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53E" w14:textId="77777777" w:rsidR="007B6C97" w:rsidRDefault="00E426D1">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FFFFFF"/>
            <w:tcMar>
              <w:top w:w="0" w:type="dxa"/>
              <w:left w:w="20" w:type="dxa"/>
              <w:bottom w:w="0" w:type="dxa"/>
              <w:right w:w="20" w:type="dxa"/>
            </w:tcMar>
            <w:vAlign w:val="bottom"/>
          </w:tcPr>
          <w:p w14:paraId="6429853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540"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54C" w14:textId="77777777">
        <w:tc>
          <w:tcPr>
            <w:tcW w:w="0" w:type="auto"/>
            <w:gridSpan w:val="3"/>
            <w:shd w:val="clear" w:color="auto" w:fill="FFFFFF"/>
            <w:tcMar>
              <w:top w:w="40" w:type="dxa"/>
              <w:left w:w="20" w:type="dxa"/>
              <w:bottom w:w="40" w:type="dxa"/>
              <w:right w:w="20" w:type="dxa"/>
            </w:tcMar>
          </w:tcPr>
          <w:p w14:paraId="64298542" w14:textId="77777777" w:rsidR="007B6C97" w:rsidRDefault="00E426D1">
            <w:pPr>
              <w:textAlignment w:val="top"/>
            </w:pPr>
            <w:r>
              <w:rPr>
                <w:rFonts w:ascii="Times New Roman" w:eastAsia="宋体" w:hAnsi="Times New Roman"/>
                <w:i/>
                <w:iCs/>
                <w:color w:val="000000"/>
                <w:sz w:val="20"/>
                <w:szCs w:val="20"/>
              </w:rPr>
              <w:t>July 3, 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854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44" w14:textId="77777777" w:rsidR="007B6C97" w:rsidRDefault="007B6C9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854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46" w14:textId="77777777" w:rsidR="007B6C97" w:rsidRDefault="007B6C9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854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48" w14:textId="77777777" w:rsidR="007B6C97" w:rsidRDefault="007B6C9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854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4A" w14:textId="77777777" w:rsidR="007B6C97" w:rsidRDefault="007B6C9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29854B" w14:textId="77777777" w:rsidR="007B6C97" w:rsidRDefault="007B6C97">
            <w:pPr>
              <w:rPr>
                <w:rFonts w:ascii="宋体"/>
              </w:rPr>
            </w:pPr>
          </w:p>
        </w:tc>
      </w:tr>
      <w:tr w:rsidR="007B6C97" w14:paraId="64298561" w14:textId="77777777">
        <w:tc>
          <w:tcPr>
            <w:tcW w:w="0" w:type="auto"/>
            <w:gridSpan w:val="3"/>
            <w:shd w:val="clear" w:color="auto" w:fill="D7E4BC"/>
            <w:tcMar>
              <w:top w:w="40" w:type="dxa"/>
              <w:left w:w="20" w:type="dxa"/>
              <w:bottom w:w="40" w:type="dxa"/>
              <w:right w:w="20" w:type="dxa"/>
            </w:tcMar>
          </w:tcPr>
          <w:p w14:paraId="6429854D" w14:textId="77777777" w:rsidR="007B6C97" w:rsidRDefault="00E426D1">
            <w:pPr>
              <w:textAlignment w:val="top"/>
            </w:pPr>
            <w:r>
              <w:rPr>
                <w:rFonts w:ascii="Times New Roman" w:eastAsia="宋体" w:hAnsi="Times New Roman"/>
                <w:color w:val="000000"/>
                <w:sz w:val="20"/>
                <w:szCs w:val="20"/>
              </w:rPr>
              <w:t>Net gains/(losses) in AOCI, beginning of period</w:t>
            </w:r>
          </w:p>
        </w:tc>
        <w:tc>
          <w:tcPr>
            <w:tcW w:w="0" w:type="auto"/>
            <w:shd w:val="clear" w:color="auto" w:fill="D7E4BC"/>
            <w:tcMar>
              <w:top w:w="40" w:type="dxa"/>
              <w:left w:w="20" w:type="dxa"/>
              <w:bottom w:w="40" w:type="dxa"/>
              <w:right w:w="0" w:type="dxa"/>
            </w:tcMar>
            <w:vAlign w:val="bottom"/>
          </w:tcPr>
          <w:p w14:paraId="6429854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54F"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42985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51"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55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553" w14:textId="77777777" w:rsidR="007B6C97" w:rsidRDefault="00E426D1">
            <w:pPr>
              <w:jc w:val="right"/>
              <w:textAlignment w:val="bottom"/>
            </w:pPr>
            <w:r>
              <w:rPr>
                <w:rFonts w:ascii="Times New Roman" w:eastAsia="宋体" w:hAnsi="Times New Roman"/>
                <w:color w:val="000000"/>
                <w:sz w:val="20"/>
                <w:szCs w:val="20"/>
              </w:rPr>
              <w:t>158.3 </w:t>
            </w:r>
          </w:p>
        </w:tc>
        <w:tc>
          <w:tcPr>
            <w:tcW w:w="0" w:type="auto"/>
            <w:shd w:val="clear" w:color="auto" w:fill="D7E4BC"/>
            <w:tcMar>
              <w:top w:w="40" w:type="dxa"/>
              <w:left w:w="0" w:type="dxa"/>
              <w:bottom w:w="40" w:type="dxa"/>
              <w:right w:w="20" w:type="dxa"/>
            </w:tcMar>
            <w:vAlign w:val="bottom"/>
          </w:tcPr>
          <w:p w14:paraId="642985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55"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55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557" w14:textId="77777777" w:rsidR="007B6C97" w:rsidRDefault="00E426D1">
            <w:pPr>
              <w:jc w:val="right"/>
              <w:textAlignment w:val="bottom"/>
            </w:pPr>
            <w:r>
              <w:rPr>
                <w:rFonts w:ascii="Times New Roman" w:eastAsia="宋体" w:hAnsi="Times New Roman"/>
                <w:color w:val="000000"/>
                <w:sz w:val="20"/>
                <w:szCs w:val="20"/>
              </w:rPr>
              <w:t>48.6 </w:t>
            </w:r>
          </w:p>
        </w:tc>
        <w:tc>
          <w:tcPr>
            <w:tcW w:w="0" w:type="auto"/>
            <w:shd w:val="clear" w:color="auto" w:fill="D7E4BC"/>
            <w:tcMar>
              <w:top w:w="40" w:type="dxa"/>
              <w:left w:w="0" w:type="dxa"/>
              <w:bottom w:w="40" w:type="dxa"/>
              <w:right w:w="20" w:type="dxa"/>
            </w:tcMar>
            <w:vAlign w:val="bottom"/>
          </w:tcPr>
          <w:p w14:paraId="6429855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59"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55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55B" w14:textId="77777777" w:rsidR="007B6C97" w:rsidRDefault="00E426D1">
            <w:pPr>
              <w:jc w:val="right"/>
              <w:textAlignment w:val="bottom"/>
            </w:pPr>
            <w:r>
              <w:rPr>
                <w:rFonts w:ascii="Times New Roman" w:eastAsia="宋体" w:hAnsi="Times New Roman"/>
                <w:color w:val="000000"/>
                <w:sz w:val="20"/>
                <w:szCs w:val="20"/>
              </w:rPr>
              <w:t>(61.2)</w:t>
            </w:r>
          </w:p>
        </w:tc>
        <w:tc>
          <w:tcPr>
            <w:tcW w:w="0" w:type="auto"/>
            <w:shd w:val="clear" w:color="auto" w:fill="D7E4BC"/>
            <w:tcMar>
              <w:top w:w="40" w:type="dxa"/>
              <w:left w:w="0" w:type="dxa"/>
              <w:bottom w:w="40" w:type="dxa"/>
              <w:right w:w="20" w:type="dxa"/>
            </w:tcMar>
            <w:vAlign w:val="bottom"/>
          </w:tcPr>
          <w:p w14:paraId="6429855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5D"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55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55F" w14:textId="77777777" w:rsidR="007B6C97" w:rsidRDefault="00E426D1">
            <w:pPr>
              <w:jc w:val="right"/>
              <w:textAlignment w:val="bottom"/>
            </w:pPr>
            <w:r>
              <w:rPr>
                <w:rFonts w:ascii="Times New Roman" w:eastAsia="宋体" w:hAnsi="Times New Roman"/>
                <w:color w:val="000000"/>
                <w:sz w:val="20"/>
                <w:szCs w:val="20"/>
              </w:rPr>
              <w:t>147.2 </w:t>
            </w:r>
          </w:p>
        </w:tc>
        <w:tc>
          <w:tcPr>
            <w:tcW w:w="0" w:type="auto"/>
            <w:shd w:val="clear" w:color="auto" w:fill="D7E4BC"/>
            <w:tcMar>
              <w:top w:w="40" w:type="dxa"/>
              <w:left w:w="0" w:type="dxa"/>
              <w:bottom w:w="40" w:type="dxa"/>
              <w:right w:w="20" w:type="dxa"/>
            </w:tcMar>
            <w:vAlign w:val="bottom"/>
          </w:tcPr>
          <w:p w14:paraId="64298560" w14:textId="77777777" w:rsidR="007B6C97" w:rsidRDefault="007B6C97">
            <w:pPr>
              <w:jc w:val="right"/>
              <w:rPr>
                <w:rFonts w:ascii="宋体"/>
              </w:rPr>
            </w:pPr>
          </w:p>
        </w:tc>
      </w:tr>
      <w:tr w:rsidR="007B6C97" w14:paraId="64298571" w14:textId="77777777">
        <w:tc>
          <w:tcPr>
            <w:tcW w:w="0" w:type="auto"/>
            <w:gridSpan w:val="3"/>
            <w:shd w:val="clear" w:color="auto" w:fill="FFFFFF"/>
            <w:tcMar>
              <w:top w:w="40" w:type="dxa"/>
              <w:left w:w="245" w:type="dxa"/>
              <w:bottom w:w="40" w:type="dxa"/>
              <w:right w:w="20" w:type="dxa"/>
            </w:tcMar>
          </w:tcPr>
          <w:p w14:paraId="64298562" w14:textId="77777777" w:rsidR="007B6C97" w:rsidRDefault="00E426D1">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FFFFFF"/>
            <w:tcMar>
              <w:top w:w="40" w:type="dxa"/>
              <w:left w:w="20" w:type="dxa"/>
              <w:bottom w:w="40" w:type="dxa"/>
              <w:right w:w="0" w:type="dxa"/>
            </w:tcMar>
            <w:vAlign w:val="bottom"/>
          </w:tcPr>
          <w:p w14:paraId="64298563" w14:textId="77777777" w:rsidR="007B6C97" w:rsidRDefault="00E426D1">
            <w:pPr>
              <w:jc w:val="right"/>
              <w:textAlignment w:val="bottom"/>
            </w:pPr>
            <w:r>
              <w:rPr>
                <w:rFonts w:ascii="Times New Roman" w:eastAsia="宋体" w:hAnsi="Times New Roman"/>
                <w:color w:val="000000"/>
                <w:sz w:val="20"/>
                <w:szCs w:val="20"/>
              </w:rPr>
              <w:t>(12.1)</w:t>
            </w:r>
          </w:p>
        </w:tc>
        <w:tc>
          <w:tcPr>
            <w:tcW w:w="0" w:type="auto"/>
            <w:shd w:val="clear" w:color="auto" w:fill="FFFFFF"/>
            <w:tcMar>
              <w:top w:w="40" w:type="dxa"/>
              <w:left w:w="0" w:type="dxa"/>
              <w:bottom w:w="40" w:type="dxa"/>
              <w:right w:w="20" w:type="dxa"/>
            </w:tcMar>
            <w:vAlign w:val="bottom"/>
          </w:tcPr>
          <w:p w14:paraId="6429856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6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66" w14:textId="77777777" w:rsidR="007B6C97" w:rsidRDefault="00E426D1">
            <w:pPr>
              <w:jc w:val="right"/>
              <w:textAlignment w:val="bottom"/>
            </w:pPr>
            <w:r>
              <w:rPr>
                <w:rFonts w:ascii="Times New Roman" w:eastAsia="宋体" w:hAnsi="Times New Roman"/>
                <w:color w:val="000000"/>
                <w:sz w:val="20"/>
                <w:szCs w:val="20"/>
              </w:rPr>
              <w:t>170.8 </w:t>
            </w:r>
          </w:p>
        </w:tc>
        <w:tc>
          <w:tcPr>
            <w:tcW w:w="0" w:type="auto"/>
            <w:shd w:val="clear" w:color="auto" w:fill="FFFFFF"/>
            <w:tcMar>
              <w:top w:w="40" w:type="dxa"/>
              <w:left w:w="0" w:type="dxa"/>
              <w:bottom w:w="40" w:type="dxa"/>
              <w:right w:w="20" w:type="dxa"/>
            </w:tcMar>
            <w:vAlign w:val="bottom"/>
          </w:tcPr>
          <w:p w14:paraId="6429856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6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69" w14:textId="77777777" w:rsidR="007B6C97" w:rsidRDefault="00E426D1">
            <w:pPr>
              <w:jc w:val="right"/>
              <w:textAlignment w:val="bottom"/>
            </w:pPr>
            <w:r>
              <w:rPr>
                <w:rFonts w:ascii="Times New Roman" w:eastAsia="宋体" w:hAnsi="Times New Roman"/>
                <w:color w:val="000000"/>
                <w:sz w:val="20"/>
                <w:szCs w:val="20"/>
              </w:rPr>
              <w:t>141.1 </w:t>
            </w:r>
          </w:p>
        </w:tc>
        <w:tc>
          <w:tcPr>
            <w:tcW w:w="0" w:type="auto"/>
            <w:shd w:val="clear" w:color="auto" w:fill="FFFFFF"/>
            <w:tcMar>
              <w:top w:w="40" w:type="dxa"/>
              <w:left w:w="0" w:type="dxa"/>
              <w:bottom w:w="40" w:type="dxa"/>
              <w:right w:w="20" w:type="dxa"/>
            </w:tcMar>
            <w:vAlign w:val="bottom"/>
          </w:tcPr>
          <w:p w14:paraId="6429856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6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6C" w14:textId="77777777" w:rsidR="007B6C97" w:rsidRDefault="00E426D1">
            <w:pPr>
              <w:jc w:val="right"/>
              <w:textAlignment w:val="bottom"/>
            </w:pPr>
            <w:r>
              <w:rPr>
                <w:rFonts w:ascii="Times New Roman" w:eastAsia="宋体" w:hAnsi="Times New Roman"/>
                <w:color w:val="000000"/>
                <w:sz w:val="20"/>
                <w:szCs w:val="20"/>
              </w:rPr>
              <w:t>(421.2)</w:t>
            </w:r>
          </w:p>
        </w:tc>
        <w:tc>
          <w:tcPr>
            <w:tcW w:w="0" w:type="auto"/>
            <w:shd w:val="clear" w:color="auto" w:fill="FFFFFF"/>
            <w:tcMar>
              <w:top w:w="40" w:type="dxa"/>
              <w:left w:w="0" w:type="dxa"/>
              <w:bottom w:w="40" w:type="dxa"/>
              <w:right w:w="20" w:type="dxa"/>
            </w:tcMar>
            <w:vAlign w:val="bottom"/>
          </w:tcPr>
          <w:p w14:paraId="6429856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6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6F" w14:textId="77777777" w:rsidR="007B6C97" w:rsidRDefault="00E426D1">
            <w:pPr>
              <w:jc w:val="right"/>
              <w:textAlignment w:val="bottom"/>
            </w:pPr>
            <w:r>
              <w:rPr>
                <w:rFonts w:ascii="Times New Roman" w:eastAsia="宋体" w:hAnsi="Times New Roman"/>
                <w:color w:val="000000"/>
                <w:sz w:val="20"/>
                <w:szCs w:val="20"/>
              </w:rPr>
              <w:t>(121.4)</w:t>
            </w:r>
          </w:p>
        </w:tc>
        <w:tc>
          <w:tcPr>
            <w:tcW w:w="0" w:type="auto"/>
            <w:shd w:val="clear" w:color="auto" w:fill="FFFFFF"/>
            <w:tcMar>
              <w:top w:w="40" w:type="dxa"/>
              <w:left w:w="0" w:type="dxa"/>
              <w:bottom w:w="40" w:type="dxa"/>
              <w:right w:w="20" w:type="dxa"/>
            </w:tcMar>
            <w:vAlign w:val="bottom"/>
          </w:tcPr>
          <w:p w14:paraId="64298570" w14:textId="77777777" w:rsidR="007B6C97" w:rsidRDefault="007B6C97">
            <w:pPr>
              <w:jc w:val="right"/>
              <w:rPr>
                <w:rFonts w:ascii="宋体"/>
              </w:rPr>
            </w:pPr>
          </w:p>
        </w:tc>
      </w:tr>
      <w:tr w:rsidR="007B6C97" w14:paraId="64298581" w14:textId="77777777">
        <w:tc>
          <w:tcPr>
            <w:tcW w:w="0" w:type="auto"/>
            <w:gridSpan w:val="3"/>
            <w:shd w:val="clear" w:color="auto" w:fill="D7E4BC"/>
            <w:tcMar>
              <w:top w:w="40" w:type="dxa"/>
              <w:left w:w="245" w:type="dxa"/>
              <w:bottom w:w="40" w:type="dxa"/>
              <w:right w:w="20" w:type="dxa"/>
            </w:tcMar>
          </w:tcPr>
          <w:p w14:paraId="64298572" w14:textId="77777777" w:rsidR="007B6C97" w:rsidRDefault="00E426D1">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64298573"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857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7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76" w14:textId="77777777" w:rsidR="007B6C97" w:rsidRDefault="00E426D1">
            <w:pPr>
              <w:jc w:val="right"/>
              <w:textAlignment w:val="bottom"/>
            </w:pPr>
            <w:r>
              <w:rPr>
                <w:rFonts w:ascii="Times New Roman" w:eastAsia="宋体" w:hAnsi="Times New Roman"/>
                <w:color w:val="000000"/>
                <w:sz w:val="20"/>
                <w:szCs w:val="20"/>
              </w:rPr>
              <w:t>(83.1)</w:t>
            </w:r>
          </w:p>
        </w:tc>
        <w:tc>
          <w:tcPr>
            <w:tcW w:w="0" w:type="auto"/>
            <w:shd w:val="clear" w:color="auto" w:fill="D7E4BC"/>
            <w:tcMar>
              <w:top w:w="40" w:type="dxa"/>
              <w:left w:w="0" w:type="dxa"/>
              <w:bottom w:w="40" w:type="dxa"/>
              <w:right w:w="20" w:type="dxa"/>
            </w:tcMar>
            <w:vAlign w:val="bottom"/>
          </w:tcPr>
          <w:p w14:paraId="6429857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7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79" w14:textId="77777777" w:rsidR="007B6C97" w:rsidRDefault="00E426D1">
            <w:pPr>
              <w:jc w:val="right"/>
              <w:textAlignment w:val="bottom"/>
            </w:pPr>
            <w:r>
              <w:rPr>
                <w:rFonts w:ascii="Times New Roman" w:eastAsia="宋体" w:hAnsi="Times New Roman"/>
                <w:color w:val="000000"/>
                <w:sz w:val="20"/>
                <w:szCs w:val="20"/>
              </w:rPr>
              <w:t>(7.9)</w:t>
            </w:r>
          </w:p>
        </w:tc>
        <w:tc>
          <w:tcPr>
            <w:tcW w:w="0" w:type="auto"/>
            <w:shd w:val="clear" w:color="auto" w:fill="D7E4BC"/>
            <w:tcMar>
              <w:top w:w="40" w:type="dxa"/>
              <w:left w:w="0" w:type="dxa"/>
              <w:bottom w:w="40" w:type="dxa"/>
              <w:right w:w="20" w:type="dxa"/>
            </w:tcMar>
            <w:vAlign w:val="bottom"/>
          </w:tcPr>
          <w:p w14:paraId="6429857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7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7C"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857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7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7F" w14:textId="77777777" w:rsidR="007B6C97" w:rsidRDefault="00E426D1">
            <w:pPr>
              <w:jc w:val="right"/>
              <w:textAlignment w:val="bottom"/>
            </w:pPr>
            <w:r>
              <w:rPr>
                <w:rFonts w:ascii="Times New Roman" w:eastAsia="宋体" w:hAnsi="Times New Roman"/>
                <w:color w:val="000000"/>
                <w:sz w:val="20"/>
                <w:szCs w:val="20"/>
              </w:rPr>
              <w:t>(90.8)</w:t>
            </w:r>
          </w:p>
        </w:tc>
        <w:tc>
          <w:tcPr>
            <w:tcW w:w="0" w:type="auto"/>
            <w:shd w:val="clear" w:color="auto" w:fill="D7E4BC"/>
            <w:tcMar>
              <w:top w:w="40" w:type="dxa"/>
              <w:left w:w="0" w:type="dxa"/>
              <w:bottom w:w="40" w:type="dxa"/>
              <w:right w:w="20" w:type="dxa"/>
            </w:tcMar>
            <w:vAlign w:val="bottom"/>
          </w:tcPr>
          <w:p w14:paraId="64298580" w14:textId="77777777" w:rsidR="007B6C97" w:rsidRDefault="007B6C97">
            <w:pPr>
              <w:jc w:val="right"/>
              <w:rPr>
                <w:rFonts w:ascii="宋体"/>
              </w:rPr>
            </w:pPr>
          </w:p>
        </w:tc>
      </w:tr>
      <w:tr w:rsidR="007B6C97" w14:paraId="64298591" w14:textId="77777777">
        <w:tc>
          <w:tcPr>
            <w:tcW w:w="0" w:type="auto"/>
            <w:gridSpan w:val="3"/>
            <w:shd w:val="clear" w:color="auto" w:fill="FFFFFF"/>
            <w:tcMar>
              <w:top w:w="40" w:type="dxa"/>
              <w:left w:w="20" w:type="dxa"/>
              <w:bottom w:w="40" w:type="dxa"/>
              <w:right w:w="20" w:type="dxa"/>
            </w:tcMar>
          </w:tcPr>
          <w:p w14:paraId="64298582" w14:textId="77777777" w:rsidR="007B6C97" w:rsidRDefault="00E426D1">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583" w14:textId="77777777" w:rsidR="007B6C97" w:rsidRDefault="00E426D1">
            <w:pPr>
              <w:jc w:val="right"/>
              <w:textAlignment w:val="bottom"/>
            </w:pPr>
            <w:r>
              <w:rPr>
                <w:rFonts w:ascii="Times New Roman" w:eastAsia="宋体" w:hAnsi="Times New Roman"/>
                <w:color w:val="000000"/>
                <w:sz w:val="20"/>
                <w:szCs w:val="20"/>
              </w:rPr>
              <w:t>(12.0)</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8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85"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586" w14:textId="77777777" w:rsidR="007B6C97" w:rsidRDefault="00E426D1">
            <w:pPr>
              <w:jc w:val="right"/>
              <w:textAlignment w:val="bottom"/>
            </w:pPr>
            <w:r>
              <w:rPr>
                <w:rFonts w:ascii="Times New Roman" w:eastAsia="宋体" w:hAnsi="Times New Roman"/>
                <w:color w:val="000000"/>
                <w:sz w:val="20"/>
                <w:szCs w:val="20"/>
              </w:rPr>
              <w:t>87.7 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8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88"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589" w14:textId="77777777" w:rsidR="007B6C97" w:rsidRDefault="00E426D1">
            <w:pPr>
              <w:jc w:val="right"/>
              <w:textAlignment w:val="bottom"/>
            </w:pPr>
            <w:r>
              <w:rPr>
                <w:rFonts w:ascii="Times New Roman" w:eastAsia="宋体" w:hAnsi="Times New Roman"/>
                <w:color w:val="000000"/>
                <w:sz w:val="20"/>
                <w:szCs w:val="20"/>
              </w:rPr>
              <w:t>133.2 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8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8B"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58C" w14:textId="77777777" w:rsidR="007B6C97" w:rsidRDefault="00E426D1">
            <w:pPr>
              <w:jc w:val="right"/>
              <w:textAlignment w:val="bottom"/>
            </w:pPr>
            <w:r>
              <w:rPr>
                <w:rFonts w:ascii="Times New Roman" w:eastAsia="宋体" w:hAnsi="Times New Roman"/>
                <w:color w:val="000000"/>
                <w:sz w:val="20"/>
                <w:szCs w:val="20"/>
              </w:rPr>
              <w:t>(421.1)</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8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8E"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58F" w14:textId="77777777" w:rsidR="007B6C97" w:rsidRDefault="00E426D1">
            <w:pPr>
              <w:jc w:val="right"/>
              <w:textAlignment w:val="bottom"/>
            </w:pPr>
            <w:r>
              <w:rPr>
                <w:rFonts w:ascii="Times New Roman" w:eastAsia="宋体" w:hAnsi="Times New Roman"/>
                <w:color w:val="000000"/>
                <w:sz w:val="20"/>
                <w:szCs w:val="20"/>
              </w:rPr>
              <w:t>(212.2)</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590" w14:textId="77777777" w:rsidR="007B6C97" w:rsidRDefault="007B6C97">
            <w:pPr>
              <w:jc w:val="right"/>
              <w:rPr>
                <w:rFonts w:ascii="宋体"/>
              </w:rPr>
            </w:pPr>
          </w:p>
        </w:tc>
      </w:tr>
      <w:tr w:rsidR="007B6C97" w14:paraId="6429859C" w14:textId="77777777">
        <w:trPr>
          <w:hidden/>
        </w:trPr>
        <w:tc>
          <w:tcPr>
            <w:tcW w:w="0" w:type="auto"/>
            <w:gridSpan w:val="3"/>
            <w:shd w:val="clear" w:color="auto" w:fill="auto"/>
            <w:vAlign w:val="bottom"/>
          </w:tcPr>
          <w:p w14:paraId="64298592" w14:textId="77777777" w:rsidR="007B6C97" w:rsidRDefault="007B6C97">
            <w:pPr>
              <w:rPr>
                <w:rFonts w:ascii="宋体"/>
                <w:vanish/>
              </w:rPr>
            </w:pPr>
          </w:p>
        </w:tc>
        <w:tc>
          <w:tcPr>
            <w:tcW w:w="0" w:type="auto"/>
            <w:gridSpan w:val="3"/>
            <w:shd w:val="clear" w:color="auto" w:fill="auto"/>
            <w:vAlign w:val="bottom"/>
          </w:tcPr>
          <w:p w14:paraId="64298593" w14:textId="77777777" w:rsidR="007B6C97" w:rsidRDefault="007B6C97">
            <w:pPr>
              <w:rPr>
                <w:rFonts w:ascii="宋体"/>
                <w:vanish/>
              </w:rPr>
            </w:pPr>
          </w:p>
        </w:tc>
        <w:tc>
          <w:tcPr>
            <w:tcW w:w="0" w:type="auto"/>
            <w:gridSpan w:val="3"/>
            <w:shd w:val="clear" w:color="auto" w:fill="auto"/>
            <w:vAlign w:val="bottom"/>
          </w:tcPr>
          <w:p w14:paraId="64298594" w14:textId="77777777" w:rsidR="007B6C97" w:rsidRDefault="007B6C97">
            <w:pPr>
              <w:rPr>
                <w:rFonts w:ascii="宋体"/>
                <w:vanish/>
              </w:rPr>
            </w:pPr>
          </w:p>
        </w:tc>
        <w:tc>
          <w:tcPr>
            <w:tcW w:w="0" w:type="auto"/>
            <w:gridSpan w:val="3"/>
            <w:shd w:val="clear" w:color="auto" w:fill="auto"/>
            <w:vAlign w:val="bottom"/>
          </w:tcPr>
          <w:p w14:paraId="64298595" w14:textId="77777777" w:rsidR="007B6C97" w:rsidRDefault="007B6C97">
            <w:pPr>
              <w:rPr>
                <w:rFonts w:ascii="宋体"/>
                <w:vanish/>
              </w:rPr>
            </w:pPr>
          </w:p>
        </w:tc>
        <w:tc>
          <w:tcPr>
            <w:tcW w:w="0" w:type="auto"/>
            <w:gridSpan w:val="3"/>
            <w:shd w:val="clear" w:color="auto" w:fill="auto"/>
            <w:vAlign w:val="bottom"/>
          </w:tcPr>
          <w:p w14:paraId="64298596" w14:textId="77777777" w:rsidR="007B6C97" w:rsidRDefault="007B6C97">
            <w:pPr>
              <w:rPr>
                <w:rFonts w:ascii="宋体"/>
                <w:vanish/>
              </w:rPr>
            </w:pPr>
          </w:p>
        </w:tc>
        <w:tc>
          <w:tcPr>
            <w:tcW w:w="0" w:type="auto"/>
            <w:gridSpan w:val="3"/>
            <w:shd w:val="clear" w:color="auto" w:fill="auto"/>
            <w:vAlign w:val="bottom"/>
          </w:tcPr>
          <w:p w14:paraId="64298597" w14:textId="77777777" w:rsidR="007B6C97" w:rsidRDefault="007B6C97">
            <w:pPr>
              <w:rPr>
                <w:rFonts w:ascii="宋体"/>
                <w:vanish/>
              </w:rPr>
            </w:pPr>
          </w:p>
        </w:tc>
        <w:tc>
          <w:tcPr>
            <w:tcW w:w="0" w:type="auto"/>
            <w:gridSpan w:val="3"/>
            <w:shd w:val="clear" w:color="auto" w:fill="auto"/>
            <w:vAlign w:val="bottom"/>
          </w:tcPr>
          <w:p w14:paraId="64298598" w14:textId="77777777" w:rsidR="007B6C97" w:rsidRDefault="007B6C97">
            <w:pPr>
              <w:rPr>
                <w:rFonts w:ascii="宋体"/>
                <w:vanish/>
              </w:rPr>
            </w:pPr>
          </w:p>
        </w:tc>
        <w:tc>
          <w:tcPr>
            <w:tcW w:w="0" w:type="auto"/>
            <w:gridSpan w:val="3"/>
            <w:shd w:val="clear" w:color="auto" w:fill="auto"/>
            <w:vAlign w:val="bottom"/>
          </w:tcPr>
          <w:p w14:paraId="64298599" w14:textId="77777777" w:rsidR="007B6C97" w:rsidRDefault="007B6C97">
            <w:pPr>
              <w:rPr>
                <w:rFonts w:ascii="宋体"/>
                <w:vanish/>
              </w:rPr>
            </w:pPr>
          </w:p>
        </w:tc>
        <w:tc>
          <w:tcPr>
            <w:tcW w:w="0" w:type="auto"/>
            <w:gridSpan w:val="3"/>
            <w:shd w:val="clear" w:color="auto" w:fill="auto"/>
            <w:vAlign w:val="bottom"/>
          </w:tcPr>
          <w:p w14:paraId="6429859A" w14:textId="77777777" w:rsidR="007B6C97" w:rsidRDefault="007B6C97">
            <w:pPr>
              <w:rPr>
                <w:rFonts w:ascii="宋体"/>
                <w:vanish/>
              </w:rPr>
            </w:pPr>
          </w:p>
        </w:tc>
        <w:tc>
          <w:tcPr>
            <w:tcW w:w="0" w:type="auto"/>
            <w:gridSpan w:val="3"/>
            <w:shd w:val="clear" w:color="auto" w:fill="auto"/>
            <w:vAlign w:val="bottom"/>
          </w:tcPr>
          <w:p w14:paraId="6429859B" w14:textId="77777777" w:rsidR="007B6C97" w:rsidRDefault="007B6C97">
            <w:pPr>
              <w:rPr>
                <w:rFonts w:ascii="宋体"/>
                <w:vanish/>
              </w:rPr>
            </w:pPr>
          </w:p>
        </w:tc>
      </w:tr>
      <w:tr w:rsidR="007B6C97" w14:paraId="642985A7" w14:textId="77777777">
        <w:trPr>
          <w:hidden/>
        </w:trPr>
        <w:tc>
          <w:tcPr>
            <w:tcW w:w="0" w:type="auto"/>
            <w:gridSpan w:val="3"/>
            <w:shd w:val="clear" w:color="auto" w:fill="auto"/>
            <w:vAlign w:val="bottom"/>
          </w:tcPr>
          <w:p w14:paraId="6429859D" w14:textId="77777777" w:rsidR="007B6C97" w:rsidRDefault="007B6C97">
            <w:pPr>
              <w:rPr>
                <w:rFonts w:ascii="宋体"/>
                <w:vanish/>
              </w:rPr>
            </w:pPr>
          </w:p>
        </w:tc>
        <w:tc>
          <w:tcPr>
            <w:tcW w:w="0" w:type="auto"/>
            <w:gridSpan w:val="3"/>
            <w:shd w:val="clear" w:color="auto" w:fill="auto"/>
            <w:vAlign w:val="bottom"/>
          </w:tcPr>
          <w:p w14:paraId="6429859E" w14:textId="77777777" w:rsidR="007B6C97" w:rsidRDefault="007B6C97">
            <w:pPr>
              <w:rPr>
                <w:rFonts w:ascii="宋体"/>
                <w:vanish/>
              </w:rPr>
            </w:pPr>
          </w:p>
        </w:tc>
        <w:tc>
          <w:tcPr>
            <w:tcW w:w="0" w:type="auto"/>
            <w:gridSpan w:val="3"/>
            <w:shd w:val="clear" w:color="auto" w:fill="auto"/>
            <w:vAlign w:val="bottom"/>
          </w:tcPr>
          <w:p w14:paraId="6429859F" w14:textId="77777777" w:rsidR="007B6C97" w:rsidRDefault="007B6C97">
            <w:pPr>
              <w:rPr>
                <w:rFonts w:ascii="宋体"/>
                <w:vanish/>
              </w:rPr>
            </w:pPr>
          </w:p>
        </w:tc>
        <w:tc>
          <w:tcPr>
            <w:tcW w:w="0" w:type="auto"/>
            <w:gridSpan w:val="3"/>
            <w:shd w:val="clear" w:color="auto" w:fill="auto"/>
            <w:vAlign w:val="bottom"/>
          </w:tcPr>
          <w:p w14:paraId="642985A0" w14:textId="77777777" w:rsidR="007B6C97" w:rsidRDefault="007B6C97">
            <w:pPr>
              <w:rPr>
                <w:rFonts w:ascii="宋体"/>
                <w:vanish/>
              </w:rPr>
            </w:pPr>
          </w:p>
        </w:tc>
        <w:tc>
          <w:tcPr>
            <w:tcW w:w="0" w:type="auto"/>
            <w:gridSpan w:val="3"/>
            <w:shd w:val="clear" w:color="auto" w:fill="auto"/>
            <w:vAlign w:val="bottom"/>
          </w:tcPr>
          <w:p w14:paraId="642985A1" w14:textId="77777777" w:rsidR="007B6C97" w:rsidRDefault="007B6C97">
            <w:pPr>
              <w:rPr>
                <w:rFonts w:ascii="宋体"/>
                <w:vanish/>
              </w:rPr>
            </w:pPr>
          </w:p>
        </w:tc>
        <w:tc>
          <w:tcPr>
            <w:tcW w:w="0" w:type="auto"/>
            <w:gridSpan w:val="3"/>
            <w:shd w:val="clear" w:color="auto" w:fill="auto"/>
            <w:vAlign w:val="bottom"/>
          </w:tcPr>
          <w:p w14:paraId="642985A2" w14:textId="77777777" w:rsidR="007B6C97" w:rsidRDefault="007B6C97">
            <w:pPr>
              <w:rPr>
                <w:rFonts w:ascii="宋体"/>
                <w:vanish/>
              </w:rPr>
            </w:pPr>
          </w:p>
        </w:tc>
        <w:tc>
          <w:tcPr>
            <w:tcW w:w="0" w:type="auto"/>
            <w:gridSpan w:val="3"/>
            <w:shd w:val="clear" w:color="auto" w:fill="auto"/>
            <w:vAlign w:val="bottom"/>
          </w:tcPr>
          <w:p w14:paraId="642985A3" w14:textId="77777777" w:rsidR="007B6C97" w:rsidRDefault="007B6C97">
            <w:pPr>
              <w:rPr>
                <w:rFonts w:ascii="宋体"/>
                <w:vanish/>
              </w:rPr>
            </w:pPr>
          </w:p>
        </w:tc>
        <w:tc>
          <w:tcPr>
            <w:tcW w:w="0" w:type="auto"/>
            <w:gridSpan w:val="3"/>
            <w:shd w:val="clear" w:color="auto" w:fill="auto"/>
            <w:vAlign w:val="bottom"/>
          </w:tcPr>
          <w:p w14:paraId="642985A4" w14:textId="77777777" w:rsidR="007B6C97" w:rsidRDefault="007B6C97">
            <w:pPr>
              <w:rPr>
                <w:rFonts w:ascii="宋体"/>
                <w:vanish/>
              </w:rPr>
            </w:pPr>
          </w:p>
        </w:tc>
        <w:tc>
          <w:tcPr>
            <w:tcW w:w="0" w:type="auto"/>
            <w:gridSpan w:val="3"/>
            <w:shd w:val="clear" w:color="auto" w:fill="auto"/>
            <w:vAlign w:val="bottom"/>
          </w:tcPr>
          <w:p w14:paraId="642985A5" w14:textId="77777777" w:rsidR="007B6C97" w:rsidRDefault="007B6C97">
            <w:pPr>
              <w:rPr>
                <w:rFonts w:ascii="宋体"/>
                <w:vanish/>
              </w:rPr>
            </w:pPr>
          </w:p>
        </w:tc>
        <w:tc>
          <w:tcPr>
            <w:tcW w:w="0" w:type="auto"/>
            <w:gridSpan w:val="3"/>
            <w:shd w:val="clear" w:color="auto" w:fill="auto"/>
            <w:vAlign w:val="bottom"/>
          </w:tcPr>
          <w:p w14:paraId="642985A6" w14:textId="77777777" w:rsidR="007B6C97" w:rsidRDefault="007B6C97">
            <w:pPr>
              <w:rPr>
                <w:rFonts w:ascii="宋体"/>
                <w:vanish/>
              </w:rPr>
            </w:pPr>
          </w:p>
        </w:tc>
      </w:tr>
      <w:tr w:rsidR="007B6C97" w14:paraId="642985BC" w14:textId="77777777">
        <w:tc>
          <w:tcPr>
            <w:tcW w:w="0" w:type="auto"/>
            <w:gridSpan w:val="3"/>
            <w:shd w:val="clear" w:color="auto" w:fill="D7E4BC"/>
            <w:tcMar>
              <w:top w:w="40" w:type="dxa"/>
              <w:left w:w="20" w:type="dxa"/>
              <w:bottom w:w="40" w:type="dxa"/>
              <w:right w:w="20" w:type="dxa"/>
            </w:tcMar>
          </w:tcPr>
          <w:p w14:paraId="642985A8" w14:textId="77777777" w:rsidR="007B6C97" w:rsidRDefault="00E426D1">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5A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5AA" w14:textId="77777777" w:rsidR="007B6C97" w:rsidRDefault="00E426D1">
            <w:pPr>
              <w:jc w:val="right"/>
              <w:textAlignment w:val="bottom"/>
            </w:pPr>
            <w:r>
              <w:rPr>
                <w:rFonts w:ascii="Times New Roman" w:eastAsia="宋体" w:hAnsi="Times New Roman"/>
                <w:color w:val="000000"/>
                <w:sz w:val="20"/>
                <w:szCs w:val="20"/>
              </w:rPr>
              <w:t>(10.5)</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5A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AC"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5AD"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5AE" w14:textId="77777777" w:rsidR="007B6C97" w:rsidRDefault="00E426D1">
            <w:pPr>
              <w:jc w:val="right"/>
              <w:textAlignment w:val="bottom"/>
            </w:pPr>
            <w:r>
              <w:rPr>
                <w:rFonts w:ascii="Times New Roman" w:eastAsia="宋体" w:hAnsi="Times New Roman"/>
                <w:color w:val="000000"/>
                <w:sz w:val="20"/>
                <w:szCs w:val="20"/>
              </w:rPr>
              <w:t>246.0 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5A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B0"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5B1"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5B2" w14:textId="77777777" w:rsidR="007B6C97" w:rsidRDefault="00E426D1">
            <w:pPr>
              <w:jc w:val="right"/>
              <w:textAlignment w:val="bottom"/>
            </w:pPr>
            <w:r>
              <w:rPr>
                <w:rFonts w:ascii="Times New Roman" w:eastAsia="宋体" w:hAnsi="Times New Roman"/>
                <w:color w:val="000000"/>
                <w:sz w:val="20"/>
                <w:szCs w:val="20"/>
              </w:rPr>
              <w:t>181.8 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5B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B4"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5B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5B6" w14:textId="77777777" w:rsidR="007B6C97" w:rsidRDefault="00E426D1">
            <w:pPr>
              <w:jc w:val="right"/>
              <w:textAlignment w:val="bottom"/>
            </w:pPr>
            <w:r>
              <w:rPr>
                <w:rFonts w:ascii="Times New Roman" w:eastAsia="宋体" w:hAnsi="Times New Roman"/>
                <w:color w:val="000000"/>
                <w:sz w:val="20"/>
                <w:szCs w:val="20"/>
              </w:rPr>
              <w:t>(482.3)</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5B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B8"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5B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5BA" w14:textId="77777777" w:rsidR="007B6C97" w:rsidRDefault="00E426D1">
            <w:pPr>
              <w:jc w:val="right"/>
              <w:textAlignment w:val="bottom"/>
            </w:pPr>
            <w:r>
              <w:rPr>
                <w:rFonts w:ascii="Times New Roman" w:eastAsia="宋体" w:hAnsi="Times New Roman"/>
                <w:color w:val="000000"/>
                <w:sz w:val="20"/>
                <w:szCs w:val="20"/>
              </w:rPr>
              <w:t>(65.0)</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5BB" w14:textId="77777777" w:rsidR="007B6C97" w:rsidRDefault="007B6C97">
            <w:pPr>
              <w:jc w:val="right"/>
              <w:rPr>
                <w:rFonts w:ascii="宋体"/>
              </w:rPr>
            </w:pPr>
          </w:p>
        </w:tc>
      </w:tr>
      <w:tr w:rsidR="007B6C97" w14:paraId="642985C7" w14:textId="77777777">
        <w:trPr>
          <w:trHeight w:val="300"/>
        </w:trPr>
        <w:tc>
          <w:tcPr>
            <w:tcW w:w="0" w:type="auto"/>
            <w:gridSpan w:val="3"/>
            <w:shd w:val="clear" w:color="auto" w:fill="FFFFFF"/>
            <w:tcMar>
              <w:top w:w="0" w:type="dxa"/>
              <w:left w:w="20" w:type="dxa"/>
              <w:bottom w:w="0" w:type="dxa"/>
              <w:right w:w="20" w:type="dxa"/>
            </w:tcMar>
            <w:vAlign w:val="bottom"/>
          </w:tcPr>
          <w:p w14:paraId="642985BD"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5B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BF"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5C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C1"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5C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C3"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5C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5C5"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5C6" w14:textId="77777777" w:rsidR="007B6C97" w:rsidRDefault="007B6C97">
            <w:pPr>
              <w:rPr>
                <w:rFonts w:ascii="宋体"/>
              </w:rPr>
            </w:pPr>
          </w:p>
        </w:tc>
      </w:tr>
      <w:tr w:rsidR="007B6C97" w14:paraId="642985D2" w14:textId="77777777">
        <w:tc>
          <w:tcPr>
            <w:tcW w:w="0" w:type="auto"/>
            <w:gridSpan w:val="3"/>
            <w:shd w:val="clear" w:color="auto" w:fill="D7E4BC"/>
            <w:tcMar>
              <w:top w:w="40" w:type="dxa"/>
              <w:left w:w="20" w:type="dxa"/>
              <w:bottom w:w="40" w:type="dxa"/>
              <w:right w:w="20" w:type="dxa"/>
            </w:tcMar>
          </w:tcPr>
          <w:p w14:paraId="642985C8" w14:textId="77777777" w:rsidR="007B6C97" w:rsidRDefault="00E426D1">
            <w:pPr>
              <w:textAlignment w:val="top"/>
            </w:pPr>
            <w:r>
              <w:rPr>
                <w:rFonts w:ascii="Times New Roman" w:eastAsia="宋体" w:hAnsi="Times New Roman"/>
                <w:i/>
                <w:iCs/>
                <w:color w:val="000000"/>
                <w:sz w:val="20"/>
                <w:szCs w:val="20"/>
              </w:rPr>
              <w:t>June 27, 2021</w:t>
            </w:r>
          </w:p>
        </w:tc>
        <w:tc>
          <w:tcPr>
            <w:tcW w:w="0" w:type="auto"/>
            <w:gridSpan w:val="3"/>
            <w:shd w:val="clear" w:color="auto" w:fill="D7E4BC"/>
            <w:tcMar>
              <w:top w:w="0" w:type="dxa"/>
              <w:left w:w="20" w:type="dxa"/>
              <w:bottom w:w="0" w:type="dxa"/>
              <w:right w:w="20" w:type="dxa"/>
            </w:tcMar>
            <w:vAlign w:val="bottom"/>
          </w:tcPr>
          <w:p w14:paraId="642985C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C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D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5D1" w14:textId="77777777" w:rsidR="007B6C97" w:rsidRDefault="007B6C97">
            <w:pPr>
              <w:rPr>
                <w:rFonts w:ascii="宋体"/>
              </w:rPr>
            </w:pPr>
          </w:p>
        </w:tc>
      </w:tr>
      <w:tr w:rsidR="007B6C97" w14:paraId="642985E7" w14:textId="77777777">
        <w:tc>
          <w:tcPr>
            <w:tcW w:w="0" w:type="auto"/>
            <w:gridSpan w:val="3"/>
            <w:shd w:val="clear" w:color="auto" w:fill="FFFFFF"/>
            <w:tcMar>
              <w:top w:w="40" w:type="dxa"/>
              <w:left w:w="20" w:type="dxa"/>
              <w:bottom w:w="40" w:type="dxa"/>
              <w:right w:w="20" w:type="dxa"/>
            </w:tcMar>
          </w:tcPr>
          <w:p w14:paraId="642985D3" w14:textId="77777777" w:rsidR="007B6C97" w:rsidRDefault="00E426D1">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642985D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5D5" w14:textId="77777777" w:rsidR="007B6C97" w:rsidRDefault="00E426D1">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42985D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D7"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5D8"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5D9" w14:textId="77777777" w:rsidR="007B6C97" w:rsidRDefault="00E426D1">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642985D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DB"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5D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5DD" w14:textId="77777777" w:rsidR="007B6C97" w:rsidRDefault="00E426D1">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642985D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DF"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5E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5E1" w14:textId="77777777" w:rsidR="007B6C97" w:rsidRDefault="00E426D1">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642985E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E3"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5E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5E5" w14:textId="77777777" w:rsidR="007B6C97" w:rsidRDefault="00E426D1">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642985E6" w14:textId="77777777" w:rsidR="007B6C97" w:rsidRDefault="007B6C97">
            <w:pPr>
              <w:jc w:val="right"/>
              <w:rPr>
                <w:rFonts w:ascii="宋体"/>
              </w:rPr>
            </w:pPr>
          </w:p>
        </w:tc>
      </w:tr>
      <w:tr w:rsidR="007B6C97" w14:paraId="642985F7" w14:textId="77777777">
        <w:tc>
          <w:tcPr>
            <w:tcW w:w="0" w:type="auto"/>
            <w:gridSpan w:val="3"/>
            <w:shd w:val="clear" w:color="auto" w:fill="D7E4BC"/>
            <w:tcMar>
              <w:top w:w="40" w:type="dxa"/>
              <w:left w:w="245" w:type="dxa"/>
              <w:bottom w:w="40" w:type="dxa"/>
              <w:right w:w="20" w:type="dxa"/>
            </w:tcMar>
          </w:tcPr>
          <w:p w14:paraId="642985E8" w14:textId="77777777" w:rsidR="007B6C97" w:rsidRDefault="00E426D1">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42985E9" w14:textId="77777777" w:rsidR="007B6C97" w:rsidRDefault="00E426D1">
            <w:pPr>
              <w:jc w:val="right"/>
              <w:textAlignment w:val="bottom"/>
            </w:pPr>
            <w:r>
              <w:rPr>
                <w:rFonts w:ascii="Times New Roman" w:eastAsia="宋体" w:hAnsi="Times New Roman"/>
                <w:color w:val="000000"/>
                <w:sz w:val="20"/>
                <w:szCs w:val="20"/>
              </w:rPr>
              <w:t>(2.5)</w:t>
            </w:r>
          </w:p>
        </w:tc>
        <w:tc>
          <w:tcPr>
            <w:tcW w:w="0" w:type="auto"/>
            <w:shd w:val="clear" w:color="auto" w:fill="D7E4BC"/>
            <w:tcMar>
              <w:top w:w="40" w:type="dxa"/>
              <w:left w:w="0" w:type="dxa"/>
              <w:bottom w:w="40" w:type="dxa"/>
              <w:right w:w="20" w:type="dxa"/>
            </w:tcMar>
            <w:vAlign w:val="bottom"/>
          </w:tcPr>
          <w:p w14:paraId="642985E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E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EC" w14:textId="77777777" w:rsidR="007B6C97" w:rsidRDefault="00E426D1">
            <w:pPr>
              <w:jc w:val="right"/>
              <w:textAlignment w:val="bottom"/>
            </w:pPr>
            <w:r>
              <w:rPr>
                <w:rFonts w:ascii="Times New Roman" w:eastAsia="宋体" w:hAnsi="Times New Roman"/>
                <w:color w:val="000000"/>
                <w:sz w:val="20"/>
                <w:szCs w:val="20"/>
              </w:rPr>
              <w:t>111.0 </w:t>
            </w:r>
          </w:p>
        </w:tc>
        <w:tc>
          <w:tcPr>
            <w:tcW w:w="0" w:type="auto"/>
            <w:shd w:val="clear" w:color="auto" w:fill="D7E4BC"/>
            <w:tcMar>
              <w:top w:w="40" w:type="dxa"/>
              <w:left w:w="0" w:type="dxa"/>
              <w:bottom w:w="40" w:type="dxa"/>
              <w:right w:w="20" w:type="dxa"/>
            </w:tcMar>
            <w:vAlign w:val="bottom"/>
          </w:tcPr>
          <w:p w14:paraId="642985E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E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EF" w14:textId="77777777" w:rsidR="007B6C97" w:rsidRDefault="00E426D1">
            <w:pPr>
              <w:jc w:val="right"/>
              <w:textAlignment w:val="bottom"/>
            </w:pPr>
            <w:r>
              <w:rPr>
                <w:rFonts w:ascii="Times New Roman" w:eastAsia="宋体" w:hAnsi="Times New Roman"/>
                <w:color w:val="000000"/>
                <w:sz w:val="20"/>
                <w:szCs w:val="20"/>
              </w:rPr>
              <w:t>37.2 </w:t>
            </w:r>
          </w:p>
        </w:tc>
        <w:tc>
          <w:tcPr>
            <w:tcW w:w="0" w:type="auto"/>
            <w:shd w:val="clear" w:color="auto" w:fill="D7E4BC"/>
            <w:tcMar>
              <w:top w:w="40" w:type="dxa"/>
              <w:left w:w="0" w:type="dxa"/>
              <w:bottom w:w="40" w:type="dxa"/>
              <w:right w:w="20" w:type="dxa"/>
            </w:tcMar>
            <w:vAlign w:val="bottom"/>
          </w:tcPr>
          <w:p w14:paraId="642985F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F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F2" w14:textId="77777777" w:rsidR="007B6C97" w:rsidRDefault="00E426D1">
            <w:pPr>
              <w:jc w:val="right"/>
              <w:textAlignment w:val="bottom"/>
            </w:pPr>
            <w:r>
              <w:rPr>
                <w:rFonts w:ascii="Times New Roman" w:eastAsia="宋体" w:hAnsi="Times New Roman"/>
                <w:color w:val="000000"/>
                <w:sz w:val="20"/>
                <w:szCs w:val="20"/>
              </w:rPr>
              <w:t>197.7 </w:t>
            </w:r>
          </w:p>
        </w:tc>
        <w:tc>
          <w:tcPr>
            <w:tcW w:w="0" w:type="auto"/>
            <w:shd w:val="clear" w:color="auto" w:fill="D7E4BC"/>
            <w:tcMar>
              <w:top w:w="40" w:type="dxa"/>
              <w:left w:w="0" w:type="dxa"/>
              <w:bottom w:w="40" w:type="dxa"/>
              <w:right w:w="20" w:type="dxa"/>
            </w:tcMar>
            <w:vAlign w:val="bottom"/>
          </w:tcPr>
          <w:p w14:paraId="642985F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5F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5F5" w14:textId="77777777" w:rsidR="007B6C97" w:rsidRDefault="00E426D1">
            <w:pPr>
              <w:jc w:val="right"/>
              <w:textAlignment w:val="bottom"/>
            </w:pPr>
            <w:r>
              <w:rPr>
                <w:rFonts w:ascii="Times New Roman" w:eastAsia="宋体" w:hAnsi="Times New Roman"/>
                <w:color w:val="000000"/>
                <w:sz w:val="20"/>
                <w:szCs w:val="20"/>
              </w:rPr>
              <w:t>343.4 </w:t>
            </w:r>
          </w:p>
        </w:tc>
        <w:tc>
          <w:tcPr>
            <w:tcW w:w="0" w:type="auto"/>
            <w:shd w:val="clear" w:color="auto" w:fill="D7E4BC"/>
            <w:tcMar>
              <w:top w:w="40" w:type="dxa"/>
              <w:left w:w="0" w:type="dxa"/>
              <w:bottom w:w="40" w:type="dxa"/>
              <w:right w:w="20" w:type="dxa"/>
            </w:tcMar>
            <w:vAlign w:val="bottom"/>
          </w:tcPr>
          <w:p w14:paraId="642985F6" w14:textId="77777777" w:rsidR="007B6C97" w:rsidRDefault="007B6C97">
            <w:pPr>
              <w:jc w:val="right"/>
              <w:rPr>
                <w:rFonts w:ascii="宋体"/>
              </w:rPr>
            </w:pPr>
          </w:p>
        </w:tc>
      </w:tr>
      <w:tr w:rsidR="007B6C97" w14:paraId="64298607" w14:textId="77777777">
        <w:tc>
          <w:tcPr>
            <w:tcW w:w="0" w:type="auto"/>
            <w:gridSpan w:val="3"/>
            <w:shd w:val="clear" w:color="auto" w:fill="FFFFFF"/>
            <w:tcMar>
              <w:top w:w="40" w:type="dxa"/>
              <w:left w:w="245" w:type="dxa"/>
              <w:bottom w:w="40" w:type="dxa"/>
              <w:right w:w="20" w:type="dxa"/>
            </w:tcMar>
          </w:tcPr>
          <w:p w14:paraId="642985F8" w14:textId="77777777" w:rsidR="007B6C97" w:rsidRDefault="00E426D1">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42985F9" w14:textId="77777777" w:rsidR="007B6C97" w:rsidRDefault="00E426D1">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642985F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F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FC" w14:textId="77777777" w:rsidR="007B6C97" w:rsidRDefault="00E426D1">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642985F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5F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5FF" w14:textId="77777777" w:rsidR="007B6C97" w:rsidRDefault="00E426D1">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642986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0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602"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6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0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605" w14:textId="77777777" w:rsidR="007B6C97" w:rsidRDefault="00E426D1">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left w:w="0" w:type="dxa"/>
              <w:bottom w:w="40" w:type="dxa"/>
              <w:right w:w="20" w:type="dxa"/>
            </w:tcMar>
            <w:vAlign w:val="bottom"/>
          </w:tcPr>
          <w:p w14:paraId="64298606" w14:textId="77777777" w:rsidR="007B6C97" w:rsidRDefault="007B6C97">
            <w:pPr>
              <w:jc w:val="right"/>
              <w:rPr>
                <w:rFonts w:ascii="宋体"/>
              </w:rPr>
            </w:pPr>
          </w:p>
        </w:tc>
      </w:tr>
      <w:tr w:rsidR="007B6C97" w14:paraId="64298617" w14:textId="77777777">
        <w:tc>
          <w:tcPr>
            <w:tcW w:w="0" w:type="auto"/>
            <w:gridSpan w:val="3"/>
            <w:shd w:val="clear" w:color="auto" w:fill="D7E4BC"/>
            <w:tcMar>
              <w:top w:w="40" w:type="dxa"/>
              <w:left w:w="20" w:type="dxa"/>
              <w:bottom w:w="40" w:type="dxa"/>
              <w:right w:w="20" w:type="dxa"/>
            </w:tcMar>
          </w:tcPr>
          <w:p w14:paraId="64298608" w14:textId="77777777" w:rsidR="007B6C97" w:rsidRDefault="00E426D1">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609" w14:textId="77777777" w:rsidR="007B6C97" w:rsidRDefault="00E426D1">
            <w:pPr>
              <w:jc w:val="right"/>
              <w:textAlignment w:val="bottom"/>
            </w:pPr>
            <w:r>
              <w:rPr>
                <w:rFonts w:ascii="Times New Roman" w:eastAsia="宋体" w:hAnsi="Times New Roman"/>
                <w:color w:val="000000"/>
                <w:sz w:val="20"/>
                <w:szCs w:val="20"/>
              </w:rPr>
              <w:t>(4.0)</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60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0B"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60C" w14:textId="77777777" w:rsidR="007B6C97" w:rsidRDefault="00E426D1">
            <w:pPr>
              <w:jc w:val="right"/>
              <w:textAlignment w:val="bottom"/>
            </w:pPr>
            <w:r>
              <w:rPr>
                <w:rFonts w:ascii="Times New Roman" w:eastAsia="宋体" w:hAnsi="Times New Roman"/>
                <w:color w:val="000000"/>
                <w:sz w:val="20"/>
                <w:szCs w:val="20"/>
              </w:rPr>
              <w:t>111.4 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60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0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60F" w14:textId="77777777" w:rsidR="007B6C97" w:rsidRDefault="00E426D1">
            <w:pPr>
              <w:jc w:val="right"/>
              <w:textAlignment w:val="bottom"/>
            </w:pPr>
            <w:r>
              <w:rPr>
                <w:rFonts w:ascii="Times New Roman" w:eastAsia="宋体" w:hAnsi="Times New Roman"/>
                <w:color w:val="000000"/>
                <w:sz w:val="20"/>
                <w:szCs w:val="20"/>
              </w:rPr>
              <w:t>29.8 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61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1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612" w14:textId="77777777" w:rsidR="007B6C97" w:rsidRDefault="00E426D1">
            <w:pPr>
              <w:jc w:val="right"/>
              <w:textAlignment w:val="bottom"/>
            </w:pPr>
            <w:r>
              <w:rPr>
                <w:rFonts w:ascii="Times New Roman" w:eastAsia="宋体" w:hAnsi="Times New Roman"/>
                <w:color w:val="000000"/>
                <w:sz w:val="20"/>
                <w:szCs w:val="20"/>
              </w:rPr>
              <w:t>197.7 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61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1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615" w14:textId="77777777" w:rsidR="007B6C97" w:rsidRDefault="00E426D1">
            <w:pPr>
              <w:jc w:val="right"/>
              <w:textAlignment w:val="bottom"/>
            </w:pPr>
            <w:r>
              <w:rPr>
                <w:rFonts w:ascii="Times New Roman" w:eastAsia="宋体" w:hAnsi="Times New Roman"/>
                <w:color w:val="000000"/>
                <w:sz w:val="20"/>
                <w:szCs w:val="20"/>
              </w:rPr>
              <w:t>334.9 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616" w14:textId="77777777" w:rsidR="007B6C97" w:rsidRDefault="007B6C97">
            <w:pPr>
              <w:jc w:val="right"/>
              <w:rPr>
                <w:rFonts w:ascii="宋体"/>
              </w:rPr>
            </w:pPr>
          </w:p>
        </w:tc>
      </w:tr>
      <w:tr w:rsidR="007B6C97" w14:paraId="64298622" w14:textId="77777777">
        <w:trPr>
          <w:hidden/>
        </w:trPr>
        <w:tc>
          <w:tcPr>
            <w:tcW w:w="0" w:type="auto"/>
            <w:gridSpan w:val="3"/>
            <w:shd w:val="clear" w:color="auto" w:fill="auto"/>
            <w:vAlign w:val="bottom"/>
          </w:tcPr>
          <w:p w14:paraId="64298618" w14:textId="77777777" w:rsidR="007B6C97" w:rsidRDefault="007B6C97">
            <w:pPr>
              <w:rPr>
                <w:rFonts w:ascii="宋体"/>
                <w:vanish/>
              </w:rPr>
            </w:pPr>
          </w:p>
        </w:tc>
        <w:tc>
          <w:tcPr>
            <w:tcW w:w="0" w:type="auto"/>
            <w:gridSpan w:val="3"/>
            <w:shd w:val="clear" w:color="auto" w:fill="auto"/>
            <w:vAlign w:val="bottom"/>
          </w:tcPr>
          <w:p w14:paraId="64298619" w14:textId="77777777" w:rsidR="007B6C97" w:rsidRDefault="007B6C97">
            <w:pPr>
              <w:rPr>
                <w:rFonts w:ascii="宋体"/>
                <w:vanish/>
              </w:rPr>
            </w:pPr>
          </w:p>
        </w:tc>
        <w:tc>
          <w:tcPr>
            <w:tcW w:w="0" w:type="auto"/>
            <w:gridSpan w:val="3"/>
            <w:shd w:val="clear" w:color="auto" w:fill="auto"/>
            <w:vAlign w:val="bottom"/>
          </w:tcPr>
          <w:p w14:paraId="6429861A" w14:textId="77777777" w:rsidR="007B6C97" w:rsidRDefault="007B6C97">
            <w:pPr>
              <w:rPr>
                <w:rFonts w:ascii="宋体"/>
                <w:vanish/>
              </w:rPr>
            </w:pPr>
          </w:p>
        </w:tc>
        <w:tc>
          <w:tcPr>
            <w:tcW w:w="0" w:type="auto"/>
            <w:gridSpan w:val="3"/>
            <w:shd w:val="clear" w:color="auto" w:fill="auto"/>
            <w:vAlign w:val="bottom"/>
          </w:tcPr>
          <w:p w14:paraId="6429861B" w14:textId="77777777" w:rsidR="007B6C97" w:rsidRDefault="007B6C97">
            <w:pPr>
              <w:rPr>
                <w:rFonts w:ascii="宋体"/>
                <w:vanish/>
              </w:rPr>
            </w:pPr>
          </w:p>
        </w:tc>
        <w:tc>
          <w:tcPr>
            <w:tcW w:w="0" w:type="auto"/>
            <w:gridSpan w:val="3"/>
            <w:shd w:val="clear" w:color="auto" w:fill="auto"/>
            <w:vAlign w:val="bottom"/>
          </w:tcPr>
          <w:p w14:paraId="6429861C" w14:textId="77777777" w:rsidR="007B6C97" w:rsidRDefault="007B6C97">
            <w:pPr>
              <w:rPr>
                <w:rFonts w:ascii="宋体"/>
                <w:vanish/>
              </w:rPr>
            </w:pPr>
          </w:p>
        </w:tc>
        <w:tc>
          <w:tcPr>
            <w:tcW w:w="0" w:type="auto"/>
            <w:gridSpan w:val="3"/>
            <w:shd w:val="clear" w:color="auto" w:fill="auto"/>
            <w:vAlign w:val="bottom"/>
          </w:tcPr>
          <w:p w14:paraId="6429861D" w14:textId="77777777" w:rsidR="007B6C97" w:rsidRDefault="007B6C97">
            <w:pPr>
              <w:rPr>
                <w:rFonts w:ascii="宋体"/>
                <w:vanish/>
              </w:rPr>
            </w:pPr>
          </w:p>
        </w:tc>
        <w:tc>
          <w:tcPr>
            <w:tcW w:w="0" w:type="auto"/>
            <w:gridSpan w:val="3"/>
            <w:shd w:val="clear" w:color="auto" w:fill="auto"/>
            <w:vAlign w:val="bottom"/>
          </w:tcPr>
          <w:p w14:paraId="6429861E" w14:textId="77777777" w:rsidR="007B6C97" w:rsidRDefault="007B6C97">
            <w:pPr>
              <w:rPr>
                <w:rFonts w:ascii="宋体"/>
                <w:vanish/>
              </w:rPr>
            </w:pPr>
          </w:p>
        </w:tc>
        <w:tc>
          <w:tcPr>
            <w:tcW w:w="0" w:type="auto"/>
            <w:gridSpan w:val="3"/>
            <w:shd w:val="clear" w:color="auto" w:fill="auto"/>
            <w:vAlign w:val="bottom"/>
          </w:tcPr>
          <w:p w14:paraId="6429861F" w14:textId="77777777" w:rsidR="007B6C97" w:rsidRDefault="007B6C97">
            <w:pPr>
              <w:rPr>
                <w:rFonts w:ascii="宋体"/>
                <w:vanish/>
              </w:rPr>
            </w:pPr>
          </w:p>
        </w:tc>
        <w:tc>
          <w:tcPr>
            <w:tcW w:w="0" w:type="auto"/>
            <w:gridSpan w:val="3"/>
            <w:shd w:val="clear" w:color="auto" w:fill="auto"/>
            <w:vAlign w:val="bottom"/>
          </w:tcPr>
          <w:p w14:paraId="64298620" w14:textId="77777777" w:rsidR="007B6C97" w:rsidRDefault="007B6C97">
            <w:pPr>
              <w:rPr>
                <w:rFonts w:ascii="宋体"/>
                <w:vanish/>
              </w:rPr>
            </w:pPr>
          </w:p>
        </w:tc>
        <w:tc>
          <w:tcPr>
            <w:tcW w:w="0" w:type="auto"/>
            <w:gridSpan w:val="3"/>
            <w:shd w:val="clear" w:color="auto" w:fill="auto"/>
            <w:vAlign w:val="bottom"/>
          </w:tcPr>
          <w:p w14:paraId="64298621" w14:textId="77777777" w:rsidR="007B6C97" w:rsidRDefault="007B6C97">
            <w:pPr>
              <w:rPr>
                <w:rFonts w:ascii="宋体"/>
                <w:vanish/>
              </w:rPr>
            </w:pPr>
          </w:p>
        </w:tc>
      </w:tr>
      <w:tr w:rsidR="007B6C97" w14:paraId="6429862D" w14:textId="77777777">
        <w:trPr>
          <w:hidden/>
        </w:trPr>
        <w:tc>
          <w:tcPr>
            <w:tcW w:w="0" w:type="auto"/>
            <w:gridSpan w:val="3"/>
            <w:shd w:val="clear" w:color="auto" w:fill="auto"/>
            <w:vAlign w:val="bottom"/>
          </w:tcPr>
          <w:p w14:paraId="64298623" w14:textId="77777777" w:rsidR="007B6C97" w:rsidRDefault="007B6C97">
            <w:pPr>
              <w:rPr>
                <w:rFonts w:ascii="宋体"/>
                <w:vanish/>
              </w:rPr>
            </w:pPr>
          </w:p>
        </w:tc>
        <w:tc>
          <w:tcPr>
            <w:tcW w:w="0" w:type="auto"/>
            <w:gridSpan w:val="3"/>
            <w:shd w:val="clear" w:color="auto" w:fill="auto"/>
            <w:vAlign w:val="bottom"/>
          </w:tcPr>
          <w:p w14:paraId="64298624" w14:textId="77777777" w:rsidR="007B6C97" w:rsidRDefault="007B6C97">
            <w:pPr>
              <w:rPr>
                <w:rFonts w:ascii="宋体"/>
                <w:vanish/>
              </w:rPr>
            </w:pPr>
          </w:p>
        </w:tc>
        <w:tc>
          <w:tcPr>
            <w:tcW w:w="0" w:type="auto"/>
            <w:gridSpan w:val="3"/>
            <w:shd w:val="clear" w:color="auto" w:fill="auto"/>
            <w:vAlign w:val="bottom"/>
          </w:tcPr>
          <w:p w14:paraId="64298625" w14:textId="77777777" w:rsidR="007B6C97" w:rsidRDefault="007B6C97">
            <w:pPr>
              <w:rPr>
                <w:rFonts w:ascii="宋体"/>
                <w:vanish/>
              </w:rPr>
            </w:pPr>
          </w:p>
        </w:tc>
        <w:tc>
          <w:tcPr>
            <w:tcW w:w="0" w:type="auto"/>
            <w:gridSpan w:val="3"/>
            <w:shd w:val="clear" w:color="auto" w:fill="auto"/>
            <w:vAlign w:val="bottom"/>
          </w:tcPr>
          <w:p w14:paraId="64298626" w14:textId="77777777" w:rsidR="007B6C97" w:rsidRDefault="007B6C97">
            <w:pPr>
              <w:rPr>
                <w:rFonts w:ascii="宋体"/>
                <w:vanish/>
              </w:rPr>
            </w:pPr>
          </w:p>
        </w:tc>
        <w:tc>
          <w:tcPr>
            <w:tcW w:w="0" w:type="auto"/>
            <w:gridSpan w:val="3"/>
            <w:shd w:val="clear" w:color="auto" w:fill="auto"/>
            <w:vAlign w:val="bottom"/>
          </w:tcPr>
          <w:p w14:paraId="64298627" w14:textId="77777777" w:rsidR="007B6C97" w:rsidRDefault="007B6C97">
            <w:pPr>
              <w:rPr>
                <w:rFonts w:ascii="宋体"/>
                <w:vanish/>
              </w:rPr>
            </w:pPr>
          </w:p>
        </w:tc>
        <w:tc>
          <w:tcPr>
            <w:tcW w:w="0" w:type="auto"/>
            <w:gridSpan w:val="3"/>
            <w:shd w:val="clear" w:color="auto" w:fill="auto"/>
            <w:vAlign w:val="bottom"/>
          </w:tcPr>
          <w:p w14:paraId="64298628" w14:textId="77777777" w:rsidR="007B6C97" w:rsidRDefault="007B6C97">
            <w:pPr>
              <w:rPr>
                <w:rFonts w:ascii="宋体"/>
                <w:vanish/>
              </w:rPr>
            </w:pPr>
          </w:p>
        </w:tc>
        <w:tc>
          <w:tcPr>
            <w:tcW w:w="0" w:type="auto"/>
            <w:gridSpan w:val="3"/>
            <w:shd w:val="clear" w:color="auto" w:fill="auto"/>
            <w:vAlign w:val="bottom"/>
          </w:tcPr>
          <w:p w14:paraId="64298629" w14:textId="77777777" w:rsidR="007B6C97" w:rsidRDefault="007B6C97">
            <w:pPr>
              <w:rPr>
                <w:rFonts w:ascii="宋体"/>
                <w:vanish/>
              </w:rPr>
            </w:pPr>
          </w:p>
        </w:tc>
        <w:tc>
          <w:tcPr>
            <w:tcW w:w="0" w:type="auto"/>
            <w:gridSpan w:val="3"/>
            <w:shd w:val="clear" w:color="auto" w:fill="auto"/>
            <w:vAlign w:val="bottom"/>
          </w:tcPr>
          <w:p w14:paraId="6429862A" w14:textId="77777777" w:rsidR="007B6C97" w:rsidRDefault="007B6C97">
            <w:pPr>
              <w:rPr>
                <w:rFonts w:ascii="宋体"/>
                <w:vanish/>
              </w:rPr>
            </w:pPr>
          </w:p>
        </w:tc>
        <w:tc>
          <w:tcPr>
            <w:tcW w:w="0" w:type="auto"/>
            <w:gridSpan w:val="3"/>
            <w:shd w:val="clear" w:color="auto" w:fill="auto"/>
            <w:vAlign w:val="bottom"/>
          </w:tcPr>
          <w:p w14:paraId="6429862B" w14:textId="77777777" w:rsidR="007B6C97" w:rsidRDefault="007B6C97">
            <w:pPr>
              <w:rPr>
                <w:rFonts w:ascii="宋体"/>
                <w:vanish/>
              </w:rPr>
            </w:pPr>
          </w:p>
        </w:tc>
        <w:tc>
          <w:tcPr>
            <w:tcW w:w="0" w:type="auto"/>
            <w:gridSpan w:val="3"/>
            <w:shd w:val="clear" w:color="auto" w:fill="auto"/>
            <w:vAlign w:val="bottom"/>
          </w:tcPr>
          <w:p w14:paraId="6429862C" w14:textId="77777777" w:rsidR="007B6C97" w:rsidRDefault="007B6C97">
            <w:pPr>
              <w:rPr>
                <w:rFonts w:ascii="宋体"/>
                <w:vanish/>
              </w:rPr>
            </w:pPr>
          </w:p>
        </w:tc>
      </w:tr>
      <w:tr w:rsidR="007B6C97" w14:paraId="64298642" w14:textId="77777777">
        <w:tc>
          <w:tcPr>
            <w:tcW w:w="0" w:type="auto"/>
            <w:gridSpan w:val="3"/>
            <w:shd w:val="clear" w:color="auto" w:fill="FFFFFF"/>
            <w:tcMar>
              <w:top w:w="40" w:type="dxa"/>
              <w:left w:w="20" w:type="dxa"/>
              <w:bottom w:w="40" w:type="dxa"/>
              <w:right w:w="20" w:type="dxa"/>
            </w:tcMar>
          </w:tcPr>
          <w:p w14:paraId="6429862E" w14:textId="77777777" w:rsidR="007B6C97" w:rsidRDefault="00E426D1">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62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630" w14:textId="77777777" w:rsidR="007B6C97" w:rsidRDefault="00E426D1">
            <w:pPr>
              <w:jc w:val="right"/>
              <w:textAlignment w:val="bottom"/>
            </w:pPr>
            <w:r>
              <w:rPr>
                <w:rFonts w:ascii="Times New Roman" w:eastAsia="宋体" w:hAnsi="Times New Roman"/>
                <w:color w:val="000000"/>
                <w:sz w:val="20"/>
                <w:szCs w:val="20"/>
              </w:rPr>
              <w:t>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63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32"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63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634" w14:textId="77777777" w:rsidR="007B6C97" w:rsidRDefault="00E426D1">
            <w:pPr>
              <w:jc w:val="right"/>
              <w:textAlignment w:val="bottom"/>
            </w:pPr>
            <w:r>
              <w:rPr>
                <w:rFonts w:ascii="Times New Roman" w:eastAsia="宋体" w:hAnsi="Times New Roman"/>
                <w:color w:val="000000"/>
                <w:sz w:val="20"/>
                <w:szCs w:val="20"/>
              </w:rPr>
              <w:t>29.3 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63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36"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63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638" w14:textId="77777777" w:rsidR="007B6C97" w:rsidRDefault="00E426D1">
            <w:pPr>
              <w:jc w:val="right"/>
              <w:textAlignment w:val="bottom"/>
            </w:pPr>
            <w:r>
              <w:rPr>
                <w:rFonts w:ascii="Times New Roman" w:eastAsia="宋体" w:hAnsi="Times New Roman"/>
                <w:color w:val="000000"/>
                <w:sz w:val="20"/>
                <w:szCs w:val="20"/>
              </w:rPr>
              <w:t>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63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3A"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63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63C" w14:textId="77777777" w:rsidR="007B6C97" w:rsidRDefault="00E426D1">
            <w:pPr>
              <w:jc w:val="right"/>
              <w:textAlignment w:val="bottom"/>
            </w:pPr>
            <w:r>
              <w:rPr>
                <w:rFonts w:ascii="Times New Roman" w:eastAsia="宋体" w:hAnsi="Times New Roman"/>
                <w:color w:val="000000"/>
                <w:sz w:val="20"/>
                <w:szCs w:val="20"/>
              </w:rPr>
              <w:t>(102.0)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63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3E"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63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640" w14:textId="77777777" w:rsidR="007B6C97" w:rsidRDefault="00E426D1">
            <w:pPr>
              <w:jc w:val="right"/>
              <w:textAlignment w:val="bottom"/>
            </w:pPr>
            <w:r>
              <w:rPr>
                <w:rFonts w:ascii="Times New Roman" w:eastAsia="宋体" w:hAnsi="Times New Roman"/>
                <w:color w:val="000000"/>
                <w:sz w:val="20"/>
                <w:szCs w:val="20"/>
              </w:rPr>
              <w:t>(29.7)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641" w14:textId="77777777" w:rsidR="007B6C97" w:rsidRDefault="007B6C97">
            <w:pPr>
              <w:jc w:val="right"/>
              <w:rPr>
                <w:rFonts w:ascii="宋体"/>
              </w:rPr>
            </w:pPr>
          </w:p>
        </w:tc>
      </w:tr>
      <w:tr w:rsidR="007B6C97" w14:paraId="6429864D" w14:textId="77777777">
        <w:trPr>
          <w:hidden/>
        </w:trPr>
        <w:tc>
          <w:tcPr>
            <w:tcW w:w="0" w:type="auto"/>
            <w:gridSpan w:val="3"/>
            <w:shd w:val="clear" w:color="auto" w:fill="auto"/>
            <w:vAlign w:val="bottom"/>
          </w:tcPr>
          <w:p w14:paraId="64298643" w14:textId="77777777" w:rsidR="007B6C97" w:rsidRDefault="007B6C97">
            <w:pPr>
              <w:rPr>
                <w:rFonts w:ascii="宋体"/>
                <w:vanish/>
              </w:rPr>
            </w:pPr>
          </w:p>
        </w:tc>
        <w:tc>
          <w:tcPr>
            <w:tcW w:w="0" w:type="auto"/>
            <w:gridSpan w:val="3"/>
            <w:shd w:val="clear" w:color="auto" w:fill="auto"/>
            <w:vAlign w:val="bottom"/>
          </w:tcPr>
          <w:p w14:paraId="64298644" w14:textId="77777777" w:rsidR="007B6C97" w:rsidRDefault="007B6C97">
            <w:pPr>
              <w:rPr>
                <w:rFonts w:ascii="宋体"/>
                <w:vanish/>
              </w:rPr>
            </w:pPr>
          </w:p>
        </w:tc>
        <w:tc>
          <w:tcPr>
            <w:tcW w:w="0" w:type="auto"/>
            <w:gridSpan w:val="3"/>
            <w:shd w:val="clear" w:color="auto" w:fill="auto"/>
            <w:vAlign w:val="bottom"/>
          </w:tcPr>
          <w:p w14:paraId="64298645" w14:textId="77777777" w:rsidR="007B6C97" w:rsidRDefault="007B6C97">
            <w:pPr>
              <w:rPr>
                <w:rFonts w:ascii="宋体"/>
                <w:vanish/>
              </w:rPr>
            </w:pPr>
          </w:p>
        </w:tc>
        <w:tc>
          <w:tcPr>
            <w:tcW w:w="0" w:type="auto"/>
            <w:gridSpan w:val="3"/>
            <w:shd w:val="clear" w:color="auto" w:fill="auto"/>
            <w:vAlign w:val="bottom"/>
          </w:tcPr>
          <w:p w14:paraId="64298646" w14:textId="77777777" w:rsidR="007B6C97" w:rsidRDefault="007B6C97">
            <w:pPr>
              <w:rPr>
                <w:rFonts w:ascii="宋体"/>
                <w:vanish/>
              </w:rPr>
            </w:pPr>
          </w:p>
        </w:tc>
        <w:tc>
          <w:tcPr>
            <w:tcW w:w="0" w:type="auto"/>
            <w:gridSpan w:val="3"/>
            <w:shd w:val="clear" w:color="auto" w:fill="auto"/>
            <w:vAlign w:val="bottom"/>
          </w:tcPr>
          <w:p w14:paraId="64298647" w14:textId="77777777" w:rsidR="007B6C97" w:rsidRDefault="007B6C97">
            <w:pPr>
              <w:rPr>
                <w:rFonts w:ascii="宋体"/>
                <w:vanish/>
              </w:rPr>
            </w:pPr>
          </w:p>
        </w:tc>
        <w:tc>
          <w:tcPr>
            <w:tcW w:w="0" w:type="auto"/>
            <w:gridSpan w:val="3"/>
            <w:shd w:val="clear" w:color="auto" w:fill="auto"/>
            <w:vAlign w:val="bottom"/>
          </w:tcPr>
          <w:p w14:paraId="64298648" w14:textId="77777777" w:rsidR="007B6C97" w:rsidRDefault="007B6C97">
            <w:pPr>
              <w:rPr>
                <w:rFonts w:ascii="宋体"/>
                <w:vanish/>
              </w:rPr>
            </w:pPr>
          </w:p>
        </w:tc>
        <w:tc>
          <w:tcPr>
            <w:tcW w:w="0" w:type="auto"/>
            <w:gridSpan w:val="3"/>
            <w:shd w:val="clear" w:color="auto" w:fill="auto"/>
            <w:vAlign w:val="bottom"/>
          </w:tcPr>
          <w:p w14:paraId="64298649" w14:textId="77777777" w:rsidR="007B6C97" w:rsidRDefault="007B6C97">
            <w:pPr>
              <w:rPr>
                <w:rFonts w:ascii="宋体"/>
                <w:vanish/>
              </w:rPr>
            </w:pPr>
          </w:p>
        </w:tc>
        <w:tc>
          <w:tcPr>
            <w:tcW w:w="0" w:type="auto"/>
            <w:gridSpan w:val="3"/>
            <w:shd w:val="clear" w:color="auto" w:fill="auto"/>
            <w:vAlign w:val="bottom"/>
          </w:tcPr>
          <w:p w14:paraId="6429864A" w14:textId="77777777" w:rsidR="007B6C97" w:rsidRDefault="007B6C97">
            <w:pPr>
              <w:rPr>
                <w:rFonts w:ascii="宋体"/>
                <w:vanish/>
              </w:rPr>
            </w:pPr>
          </w:p>
        </w:tc>
        <w:tc>
          <w:tcPr>
            <w:tcW w:w="0" w:type="auto"/>
            <w:gridSpan w:val="3"/>
            <w:shd w:val="clear" w:color="auto" w:fill="auto"/>
            <w:vAlign w:val="bottom"/>
          </w:tcPr>
          <w:p w14:paraId="6429864B" w14:textId="77777777" w:rsidR="007B6C97" w:rsidRDefault="007B6C97">
            <w:pPr>
              <w:rPr>
                <w:rFonts w:ascii="宋体"/>
                <w:vanish/>
              </w:rPr>
            </w:pPr>
          </w:p>
        </w:tc>
        <w:tc>
          <w:tcPr>
            <w:tcW w:w="0" w:type="auto"/>
            <w:gridSpan w:val="3"/>
            <w:shd w:val="clear" w:color="auto" w:fill="auto"/>
            <w:vAlign w:val="bottom"/>
          </w:tcPr>
          <w:p w14:paraId="6429864C" w14:textId="77777777" w:rsidR="007B6C97" w:rsidRDefault="007B6C97">
            <w:pPr>
              <w:rPr>
                <w:rFonts w:ascii="宋体"/>
                <w:vanish/>
              </w:rPr>
            </w:pPr>
          </w:p>
        </w:tc>
      </w:tr>
    </w:tbl>
    <w:p w14:paraId="6429864E" w14:textId="77777777" w:rsidR="007B6C97" w:rsidRDefault="00E426D1">
      <w:pPr>
        <w:jc w:val="center"/>
      </w:pPr>
      <w:r>
        <w:rPr>
          <w:rFonts w:ascii="Times New Roman" w:eastAsia="宋体" w:hAnsi="Times New Roman"/>
          <w:color w:val="000000"/>
          <w:sz w:val="20"/>
          <w:szCs w:val="20"/>
        </w:rPr>
        <w:t>25</w:t>
      </w:r>
    </w:p>
    <w:p w14:paraId="6429864F" w14:textId="77777777" w:rsidR="007B6C97" w:rsidRDefault="00E426D1">
      <w:r>
        <w:pict w14:anchorId="642999F3">
          <v:rect id="_x0000_i1049" style="width:415.3pt;height:1.5pt" o:hralign="center" o:hrstd="t" o:hr="t" fillcolor="#a0a0a0" stroked="f"/>
        </w:pict>
      </w:r>
    </w:p>
    <w:p w14:paraId="64298650" w14:textId="77777777" w:rsidR="007B6C97" w:rsidRDefault="00E426D1">
      <w:hyperlink r:id="rId129" w:anchor="ie38a2b375c9840e583a36769999bbee6_7" w:history="1">
        <w:r>
          <w:rPr>
            <w:rStyle w:val="a5"/>
            <w:rFonts w:ascii="Times New Roman" w:eastAsia="宋体" w:hAnsi="Times New Roman"/>
            <w:sz w:val="20"/>
            <w:szCs w:val="20"/>
          </w:rPr>
          <w:t>Table</w:t>
        </w:r>
      </w:hyperlink>
      <w:hyperlink r:id="rId130" w:anchor="ie38a2b375c9840e583a36769999bbee6_7" w:history="1">
        <w:r>
          <w:rPr>
            <w:rStyle w:val="a5"/>
            <w:rFonts w:ascii="Times New Roman" w:eastAsia="宋体" w:hAnsi="Times New Roman"/>
            <w:sz w:val="20"/>
            <w:szCs w:val="20"/>
          </w:rPr>
          <w:t xml:space="preserve"> of Contents</w:t>
        </w:r>
      </w:hyperlink>
    </w:p>
    <w:p w14:paraId="64298651" w14:textId="77777777" w:rsidR="007B6C97" w:rsidRDefault="00E426D1">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3064"/>
        <w:gridCol w:w="37"/>
        <w:gridCol w:w="36"/>
        <w:gridCol w:w="36"/>
        <w:gridCol w:w="36"/>
        <w:gridCol w:w="120"/>
        <w:gridCol w:w="788"/>
        <w:gridCol w:w="36"/>
        <w:gridCol w:w="36"/>
        <w:gridCol w:w="36"/>
        <w:gridCol w:w="36"/>
        <w:gridCol w:w="120"/>
        <w:gridCol w:w="788"/>
        <w:gridCol w:w="36"/>
        <w:gridCol w:w="36"/>
        <w:gridCol w:w="36"/>
        <w:gridCol w:w="36"/>
        <w:gridCol w:w="38"/>
        <w:gridCol w:w="2904"/>
        <w:gridCol w:w="37"/>
      </w:tblGrid>
      <w:tr w:rsidR="007B6C97" w14:paraId="64298667" w14:textId="77777777">
        <w:tc>
          <w:tcPr>
            <w:tcW w:w="50" w:type="pct"/>
            <w:shd w:val="clear" w:color="auto" w:fill="auto"/>
            <w:vAlign w:val="bottom"/>
          </w:tcPr>
          <w:p w14:paraId="64298652" w14:textId="77777777" w:rsidR="007B6C97" w:rsidRDefault="007B6C97">
            <w:pPr>
              <w:rPr>
                <w:rFonts w:ascii="宋体"/>
              </w:rPr>
            </w:pPr>
          </w:p>
        </w:tc>
        <w:tc>
          <w:tcPr>
            <w:tcW w:w="1860" w:type="pct"/>
            <w:shd w:val="clear" w:color="auto" w:fill="auto"/>
            <w:vAlign w:val="bottom"/>
          </w:tcPr>
          <w:p w14:paraId="64298653" w14:textId="77777777" w:rsidR="007B6C97" w:rsidRDefault="007B6C97">
            <w:pPr>
              <w:rPr>
                <w:rFonts w:ascii="宋体"/>
              </w:rPr>
            </w:pPr>
          </w:p>
        </w:tc>
        <w:tc>
          <w:tcPr>
            <w:tcW w:w="5" w:type="pct"/>
            <w:shd w:val="clear" w:color="auto" w:fill="auto"/>
            <w:vAlign w:val="bottom"/>
          </w:tcPr>
          <w:p w14:paraId="64298654" w14:textId="77777777" w:rsidR="007B6C97" w:rsidRDefault="007B6C97">
            <w:pPr>
              <w:rPr>
                <w:rFonts w:ascii="宋体"/>
              </w:rPr>
            </w:pPr>
          </w:p>
        </w:tc>
        <w:tc>
          <w:tcPr>
            <w:tcW w:w="5" w:type="pct"/>
            <w:shd w:val="clear" w:color="auto" w:fill="auto"/>
            <w:vAlign w:val="bottom"/>
          </w:tcPr>
          <w:p w14:paraId="64298655" w14:textId="77777777" w:rsidR="007B6C97" w:rsidRDefault="007B6C97">
            <w:pPr>
              <w:rPr>
                <w:rFonts w:ascii="宋体"/>
              </w:rPr>
            </w:pPr>
          </w:p>
        </w:tc>
        <w:tc>
          <w:tcPr>
            <w:tcW w:w="26" w:type="pct"/>
            <w:shd w:val="clear" w:color="auto" w:fill="auto"/>
            <w:vAlign w:val="bottom"/>
          </w:tcPr>
          <w:p w14:paraId="64298656" w14:textId="77777777" w:rsidR="007B6C97" w:rsidRDefault="007B6C97">
            <w:pPr>
              <w:rPr>
                <w:rFonts w:ascii="宋体"/>
              </w:rPr>
            </w:pPr>
          </w:p>
        </w:tc>
        <w:tc>
          <w:tcPr>
            <w:tcW w:w="5" w:type="pct"/>
            <w:shd w:val="clear" w:color="auto" w:fill="auto"/>
            <w:vAlign w:val="bottom"/>
          </w:tcPr>
          <w:p w14:paraId="64298657" w14:textId="77777777" w:rsidR="007B6C97" w:rsidRDefault="007B6C97">
            <w:pPr>
              <w:rPr>
                <w:rFonts w:ascii="宋体"/>
              </w:rPr>
            </w:pPr>
          </w:p>
        </w:tc>
        <w:tc>
          <w:tcPr>
            <w:tcW w:w="50" w:type="pct"/>
            <w:shd w:val="clear" w:color="auto" w:fill="auto"/>
            <w:vAlign w:val="bottom"/>
          </w:tcPr>
          <w:p w14:paraId="64298658" w14:textId="77777777" w:rsidR="007B6C97" w:rsidRDefault="007B6C97">
            <w:pPr>
              <w:rPr>
                <w:rFonts w:ascii="宋体"/>
              </w:rPr>
            </w:pPr>
          </w:p>
        </w:tc>
        <w:tc>
          <w:tcPr>
            <w:tcW w:w="515" w:type="pct"/>
            <w:shd w:val="clear" w:color="auto" w:fill="auto"/>
            <w:vAlign w:val="bottom"/>
          </w:tcPr>
          <w:p w14:paraId="64298659" w14:textId="77777777" w:rsidR="007B6C97" w:rsidRDefault="007B6C97">
            <w:pPr>
              <w:rPr>
                <w:rFonts w:ascii="宋体"/>
              </w:rPr>
            </w:pPr>
          </w:p>
        </w:tc>
        <w:tc>
          <w:tcPr>
            <w:tcW w:w="5" w:type="pct"/>
            <w:shd w:val="clear" w:color="auto" w:fill="auto"/>
            <w:vAlign w:val="bottom"/>
          </w:tcPr>
          <w:p w14:paraId="6429865A" w14:textId="77777777" w:rsidR="007B6C97" w:rsidRDefault="007B6C97">
            <w:pPr>
              <w:rPr>
                <w:rFonts w:ascii="宋体"/>
              </w:rPr>
            </w:pPr>
          </w:p>
        </w:tc>
        <w:tc>
          <w:tcPr>
            <w:tcW w:w="5" w:type="pct"/>
            <w:shd w:val="clear" w:color="auto" w:fill="auto"/>
            <w:vAlign w:val="bottom"/>
          </w:tcPr>
          <w:p w14:paraId="6429865B" w14:textId="77777777" w:rsidR="007B6C97" w:rsidRDefault="007B6C97">
            <w:pPr>
              <w:rPr>
                <w:rFonts w:ascii="宋体"/>
              </w:rPr>
            </w:pPr>
          </w:p>
        </w:tc>
        <w:tc>
          <w:tcPr>
            <w:tcW w:w="26" w:type="pct"/>
            <w:shd w:val="clear" w:color="auto" w:fill="auto"/>
            <w:vAlign w:val="bottom"/>
          </w:tcPr>
          <w:p w14:paraId="6429865C" w14:textId="77777777" w:rsidR="007B6C97" w:rsidRDefault="007B6C97">
            <w:pPr>
              <w:rPr>
                <w:rFonts w:ascii="宋体"/>
              </w:rPr>
            </w:pPr>
          </w:p>
        </w:tc>
        <w:tc>
          <w:tcPr>
            <w:tcW w:w="5" w:type="pct"/>
            <w:shd w:val="clear" w:color="auto" w:fill="auto"/>
            <w:vAlign w:val="bottom"/>
          </w:tcPr>
          <w:p w14:paraId="6429865D" w14:textId="77777777" w:rsidR="007B6C97" w:rsidRDefault="007B6C97">
            <w:pPr>
              <w:rPr>
                <w:rFonts w:ascii="宋体"/>
              </w:rPr>
            </w:pPr>
          </w:p>
        </w:tc>
        <w:tc>
          <w:tcPr>
            <w:tcW w:w="50" w:type="pct"/>
            <w:shd w:val="clear" w:color="auto" w:fill="auto"/>
            <w:vAlign w:val="bottom"/>
          </w:tcPr>
          <w:p w14:paraId="6429865E" w14:textId="77777777" w:rsidR="007B6C97" w:rsidRDefault="007B6C97">
            <w:pPr>
              <w:rPr>
                <w:rFonts w:ascii="宋体"/>
              </w:rPr>
            </w:pPr>
          </w:p>
        </w:tc>
        <w:tc>
          <w:tcPr>
            <w:tcW w:w="515" w:type="pct"/>
            <w:shd w:val="clear" w:color="auto" w:fill="auto"/>
            <w:vAlign w:val="bottom"/>
          </w:tcPr>
          <w:p w14:paraId="6429865F" w14:textId="77777777" w:rsidR="007B6C97" w:rsidRDefault="007B6C97">
            <w:pPr>
              <w:rPr>
                <w:rFonts w:ascii="宋体"/>
              </w:rPr>
            </w:pPr>
          </w:p>
        </w:tc>
        <w:tc>
          <w:tcPr>
            <w:tcW w:w="5" w:type="pct"/>
            <w:shd w:val="clear" w:color="auto" w:fill="auto"/>
            <w:vAlign w:val="bottom"/>
          </w:tcPr>
          <w:p w14:paraId="64298660" w14:textId="77777777" w:rsidR="007B6C97" w:rsidRDefault="007B6C97">
            <w:pPr>
              <w:rPr>
                <w:rFonts w:ascii="宋体"/>
              </w:rPr>
            </w:pPr>
          </w:p>
        </w:tc>
        <w:tc>
          <w:tcPr>
            <w:tcW w:w="5" w:type="pct"/>
            <w:shd w:val="clear" w:color="auto" w:fill="auto"/>
            <w:vAlign w:val="bottom"/>
          </w:tcPr>
          <w:p w14:paraId="64298661" w14:textId="77777777" w:rsidR="007B6C97" w:rsidRDefault="007B6C97">
            <w:pPr>
              <w:rPr>
                <w:rFonts w:ascii="宋体"/>
              </w:rPr>
            </w:pPr>
          </w:p>
        </w:tc>
        <w:tc>
          <w:tcPr>
            <w:tcW w:w="26" w:type="pct"/>
            <w:shd w:val="clear" w:color="auto" w:fill="auto"/>
            <w:vAlign w:val="bottom"/>
          </w:tcPr>
          <w:p w14:paraId="64298662" w14:textId="77777777" w:rsidR="007B6C97" w:rsidRDefault="007B6C97">
            <w:pPr>
              <w:rPr>
                <w:rFonts w:ascii="宋体"/>
              </w:rPr>
            </w:pPr>
          </w:p>
        </w:tc>
        <w:tc>
          <w:tcPr>
            <w:tcW w:w="5" w:type="pct"/>
            <w:shd w:val="clear" w:color="auto" w:fill="auto"/>
            <w:vAlign w:val="bottom"/>
          </w:tcPr>
          <w:p w14:paraId="64298663" w14:textId="77777777" w:rsidR="007B6C97" w:rsidRDefault="007B6C97">
            <w:pPr>
              <w:rPr>
                <w:rFonts w:ascii="宋体"/>
              </w:rPr>
            </w:pPr>
          </w:p>
        </w:tc>
        <w:tc>
          <w:tcPr>
            <w:tcW w:w="50" w:type="pct"/>
            <w:shd w:val="clear" w:color="auto" w:fill="auto"/>
            <w:vAlign w:val="bottom"/>
          </w:tcPr>
          <w:p w14:paraId="64298664" w14:textId="77777777" w:rsidR="007B6C97" w:rsidRDefault="007B6C97">
            <w:pPr>
              <w:rPr>
                <w:rFonts w:ascii="宋体"/>
              </w:rPr>
            </w:pPr>
          </w:p>
        </w:tc>
        <w:tc>
          <w:tcPr>
            <w:tcW w:w="1780" w:type="pct"/>
            <w:shd w:val="clear" w:color="auto" w:fill="auto"/>
            <w:vAlign w:val="bottom"/>
          </w:tcPr>
          <w:p w14:paraId="64298665" w14:textId="77777777" w:rsidR="007B6C97" w:rsidRDefault="007B6C97">
            <w:pPr>
              <w:rPr>
                <w:rFonts w:ascii="宋体"/>
              </w:rPr>
            </w:pPr>
          </w:p>
        </w:tc>
        <w:tc>
          <w:tcPr>
            <w:tcW w:w="5" w:type="pct"/>
            <w:shd w:val="clear" w:color="auto" w:fill="auto"/>
            <w:vAlign w:val="bottom"/>
          </w:tcPr>
          <w:p w14:paraId="64298666" w14:textId="77777777" w:rsidR="007B6C97" w:rsidRDefault="007B6C97">
            <w:pPr>
              <w:rPr>
                <w:rFonts w:ascii="宋体"/>
              </w:rPr>
            </w:pPr>
          </w:p>
        </w:tc>
      </w:tr>
      <w:tr w:rsidR="007B6C97" w14:paraId="6429866F" w14:textId="77777777">
        <w:tc>
          <w:tcPr>
            <w:tcW w:w="0" w:type="auto"/>
            <w:gridSpan w:val="3"/>
            <w:shd w:val="clear" w:color="auto" w:fill="auto"/>
            <w:tcMar>
              <w:top w:w="40" w:type="dxa"/>
              <w:left w:w="20" w:type="dxa"/>
              <w:bottom w:w="40" w:type="dxa"/>
              <w:right w:w="20" w:type="dxa"/>
            </w:tcMar>
            <w:vAlign w:val="bottom"/>
          </w:tcPr>
          <w:p w14:paraId="64298668" w14:textId="77777777" w:rsidR="007B6C97" w:rsidRDefault="00E426D1">
            <w:pPr>
              <w:textAlignment w:val="bottom"/>
            </w:pPr>
            <w:r>
              <w:rPr>
                <w:rFonts w:ascii="Times New Roman" w:eastAsia="宋体" w:hAnsi="Times New Roman"/>
                <w:b/>
                <w:bCs/>
                <w:color w:val="000000"/>
                <w:sz w:val="20"/>
                <w:szCs w:val="20"/>
              </w:rPr>
              <w:t>Quarter En</w:t>
            </w:r>
            <w:r>
              <w:rPr>
                <w:rFonts w:ascii="Times New Roman" w:eastAsia="宋体" w:hAnsi="Times New Roman"/>
                <w:b/>
                <w:bCs/>
                <w:color w:val="000000"/>
                <w:sz w:val="20"/>
                <w:szCs w:val="20"/>
              </w:rPr>
              <w:t>ded</w:t>
            </w:r>
          </w:p>
        </w:tc>
        <w:tc>
          <w:tcPr>
            <w:tcW w:w="0" w:type="auto"/>
            <w:gridSpan w:val="3"/>
            <w:shd w:val="clear" w:color="auto" w:fill="auto"/>
            <w:tcMar>
              <w:top w:w="0" w:type="dxa"/>
              <w:left w:w="20" w:type="dxa"/>
              <w:bottom w:w="0" w:type="dxa"/>
              <w:right w:w="20" w:type="dxa"/>
            </w:tcMar>
            <w:vAlign w:val="bottom"/>
          </w:tcPr>
          <w:p w14:paraId="6429866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66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66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66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66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66E" w14:textId="77777777" w:rsidR="007B6C97" w:rsidRDefault="007B6C97">
            <w:pPr>
              <w:rPr>
                <w:rFonts w:ascii="宋体"/>
              </w:rPr>
            </w:pPr>
          </w:p>
        </w:tc>
      </w:tr>
      <w:tr w:rsidR="007B6C97" w14:paraId="64298675"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64298670" w14:textId="77777777" w:rsidR="007B6C97" w:rsidRDefault="00E426D1">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top w:w="0" w:type="dxa"/>
              <w:left w:w="20" w:type="dxa"/>
              <w:bottom w:w="0" w:type="dxa"/>
              <w:right w:w="20" w:type="dxa"/>
            </w:tcMar>
            <w:vAlign w:val="bottom"/>
          </w:tcPr>
          <w:p w14:paraId="64298671"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672" w14:textId="77777777" w:rsidR="007B6C97" w:rsidRDefault="00E426D1">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vAlign w:val="bottom"/>
          </w:tcPr>
          <w:p w14:paraId="64298673"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8674" w14:textId="77777777" w:rsidR="007B6C97" w:rsidRDefault="00E426D1">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7B6C97" w14:paraId="6429867D" w14:textId="77777777">
        <w:trPr>
          <w:trHeight w:val="240"/>
        </w:trPr>
        <w:tc>
          <w:tcPr>
            <w:tcW w:w="0" w:type="auto"/>
            <w:gridSpan w:val="3"/>
            <w:vMerge/>
            <w:shd w:val="clear" w:color="auto" w:fill="00704A"/>
            <w:tcMar>
              <w:top w:w="40" w:type="dxa"/>
              <w:left w:w="20" w:type="dxa"/>
              <w:bottom w:w="40" w:type="dxa"/>
              <w:right w:w="20" w:type="dxa"/>
            </w:tcMar>
            <w:vAlign w:val="bottom"/>
          </w:tcPr>
          <w:p w14:paraId="64298676" w14:textId="77777777" w:rsidR="007B6C97" w:rsidRDefault="007B6C97">
            <w:pPr>
              <w:jc w:val="center"/>
              <w:rPr>
                <w:rFonts w:ascii="宋体"/>
              </w:rPr>
            </w:pPr>
          </w:p>
        </w:tc>
        <w:tc>
          <w:tcPr>
            <w:tcW w:w="0" w:type="auto"/>
            <w:gridSpan w:val="3"/>
            <w:shd w:val="clear" w:color="auto" w:fill="auto"/>
            <w:tcMar>
              <w:top w:w="0" w:type="dxa"/>
              <w:left w:w="20" w:type="dxa"/>
              <w:bottom w:w="0" w:type="dxa"/>
              <w:right w:w="20" w:type="dxa"/>
            </w:tcMar>
            <w:vAlign w:val="bottom"/>
          </w:tcPr>
          <w:p w14:paraId="6429867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678"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67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67A"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6429867B"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867C" w14:textId="77777777" w:rsidR="007B6C97" w:rsidRDefault="007B6C97">
            <w:pPr>
              <w:jc w:val="center"/>
              <w:rPr>
                <w:rFonts w:ascii="宋体"/>
              </w:rPr>
            </w:pPr>
          </w:p>
        </w:tc>
      </w:tr>
      <w:tr w:rsidR="007B6C97" w14:paraId="64298689"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6429867E" w14:textId="77777777" w:rsidR="007B6C97" w:rsidRDefault="00E426D1">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6429867F"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64298680"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64298681" w14:textId="77777777" w:rsidR="007B6C97" w:rsidRDefault="00E426D1">
            <w:pPr>
              <w:jc w:val="right"/>
              <w:textAlignment w:val="top"/>
            </w:pPr>
            <w:r>
              <w:rPr>
                <w:rFonts w:ascii="Times New Roman" w:eastAsia="宋体" w:hAnsi="Times New Roman"/>
                <w:color w:val="000000"/>
                <w:sz w:val="20"/>
                <w:szCs w:val="20"/>
              </w:rPr>
              <w:t>(0.2)</w:t>
            </w:r>
          </w:p>
        </w:tc>
        <w:tc>
          <w:tcPr>
            <w:tcW w:w="0" w:type="auto"/>
            <w:tcBorders>
              <w:top w:val="single" w:sz="8" w:space="0" w:color="000000"/>
            </w:tcBorders>
            <w:shd w:val="clear" w:color="auto" w:fill="D7E4BC"/>
            <w:tcMar>
              <w:top w:w="40" w:type="dxa"/>
              <w:left w:w="0" w:type="dxa"/>
              <w:bottom w:w="40" w:type="dxa"/>
              <w:right w:w="20" w:type="dxa"/>
            </w:tcMar>
          </w:tcPr>
          <w:p w14:paraId="6429868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83"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64298684"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64298685" w14:textId="77777777" w:rsidR="007B6C97" w:rsidRDefault="00E426D1">
            <w:pPr>
              <w:jc w:val="right"/>
              <w:textAlignment w:val="top"/>
            </w:pPr>
            <w:r>
              <w:rPr>
                <w:rFonts w:ascii="Times New Roman" w:eastAsia="宋体" w:hAnsi="Times New Roman"/>
                <w:color w:val="000000"/>
                <w:sz w:val="20"/>
                <w:szCs w:val="20"/>
              </w:rPr>
              <w:t>0.1 </w:t>
            </w:r>
          </w:p>
        </w:tc>
        <w:tc>
          <w:tcPr>
            <w:tcW w:w="0" w:type="auto"/>
            <w:tcBorders>
              <w:top w:val="single" w:sz="8" w:space="0" w:color="000000"/>
            </w:tcBorders>
            <w:shd w:val="clear" w:color="auto" w:fill="D7E4BC"/>
            <w:tcMar>
              <w:top w:w="40" w:type="dxa"/>
              <w:left w:w="0" w:type="dxa"/>
              <w:bottom w:w="40" w:type="dxa"/>
              <w:right w:w="20" w:type="dxa"/>
            </w:tcMar>
          </w:tcPr>
          <w:p w14:paraId="6429868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87"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64298688" w14:textId="77777777" w:rsidR="007B6C97" w:rsidRDefault="00E426D1">
            <w:pPr>
              <w:textAlignment w:val="top"/>
            </w:pPr>
            <w:r>
              <w:rPr>
                <w:rFonts w:ascii="Times New Roman" w:eastAsia="宋体" w:hAnsi="Times New Roman"/>
                <w:color w:val="000000"/>
                <w:sz w:val="20"/>
                <w:szCs w:val="20"/>
              </w:rPr>
              <w:t>Interest income and other, net</w:t>
            </w:r>
          </w:p>
        </w:tc>
      </w:tr>
      <w:tr w:rsidR="007B6C97" w14:paraId="64298693" w14:textId="77777777">
        <w:tc>
          <w:tcPr>
            <w:tcW w:w="0" w:type="auto"/>
            <w:gridSpan w:val="3"/>
            <w:shd w:val="clear" w:color="auto" w:fill="FFFFFF"/>
            <w:tcMar>
              <w:top w:w="40" w:type="dxa"/>
              <w:left w:w="20" w:type="dxa"/>
              <w:bottom w:w="40" w:type="dxa"/>
              <w:right w:w="20" w:type="dxa"/>
            </w:tcMar>
          </w:tcPr>
          <w:p w14:paraId="6429868A" w14:textId="77777777" w:rsidR="007B6C97" w:rsidRDefault="00E426D1">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6429868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68C" w14:textId="77777777" w:rsidR="007B6C97" w:rsidRDefault="00E426D1">
            <w:pPr>
              <w:jc w:val="right"/>
              <w:textAlignment w:val="top"/>
            </w:pPr>
            <w:r>
              <w:rPr>
                <w:rFonts w:ascii="Times New Roman" w:eastAsia="宋体" w:hAnsi="Times New Roman"/>
                <w:color w:val="000000"/>
                <w:sz w:val="20"/>
                <w:szCs w:val="20"/>
              </w:rPr>
              <w:t>55.6 </w:t>
            </w:r>
          </w:p>
        </w:tc>
        <w:tc>
          <w:tcPr>
            <w:tcW w:w="0" w:type="auto"/>
            <w:shd w:val="clear" w:color="auto" w:fill="FFFFFF"/>
            <w:tcMar>
              <w:top w:w="40" w:type="dxa"/>
              <w:left w:w="0" w:type="dxa"/>
              <w:bottom w:w="40" w:type="dxa"/>
              <w:right w:w="20" w:type="dxa"/>
            </w:tcMar>
          </w:tcPr>
          <w:p w14:paraId="6429868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8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68F" w14:textId="77777777" w:rsidR="007B6C97" w:rsidRDefault="00E426D1">
            <w:pPr>
              <w:jc w:val="right"/>
              <w:textAlignment w:val="top"/>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tcPr>
          <w:p w14:paraId="6429869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9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692"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Please refer to </w:t>
            </w:r>
            <w:hyperlink r:id="rId131" w:anchor="ie38a2b375c9840e583a36769999bbee6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additional information. </w:t>
            </w:r>
          </w:p>
        </w:tc>
      </w:tr>
      <w:tr w:rsidR="007B6C97" w14:paraId="6429869D" w14:textId="77777777">
        <w:tc>
          <w:tcPr>
            <w:tcW w:w="0" w:type="auto"/>
            <w:gridSpan w:val="3"/>
            <w:shd w:val="clear" w:color="auto" w:fill="D7E4BC"/>
            <w:tcMar>
              <w:top w:w="40" w:type="dxa"/>
              <w:left w:w="20" w:type="dxa"/>
              <w:bottom w:w="40" w:type="dxa"/>
              <w:right w:w="20" w:type="dxa"/>
            </w:tcMar>
            <w:vAlign w:val="center"/>
          </w:tcPr>
          <w:p w14:paraId="64298694" w14:textId="77777777" w:rsidR="007B6C97" w:rsidRDefault="00E426D1">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6429869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tcPr>
          <w:p w14:paraId="64298696" w14:textId="77777777" w:rsidR="007B6C97" w:rsidRDefault="00E426D1">
            <w:pPr>
              <w:jc w:val="right"/>
              <w:textAlignment w:val="top"/>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tcPr>
          <w:p w14:paraId="6429869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9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tcPr>
          <w:p w14:paraId="64298699" w14:textId="77777777" w:rsidR="007B6C97" w:rsidRDefault="00E426D1">
            <w:pPr>
              <w:jc w:val="right"/>
              <w:textAlignment w:val="top"/>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tcPr>
          <w:p w14:paraId="6429869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9B"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869C" w14:textId="77777777" w:rsidR="007B6C97" w:rsidRDefault="00E426D1">
            <w:pPr>
              <w:textAlignment w:val="top"/>
            </w:pPr>
            <w:r>
              <w:rPr>
                <w:rFonts w:ascii="Times New Roman" w:eastAsia="宋体" w:hAnsi="Times New Roman"/>
                <w:color w:val="000000"/>
                <w:sz w:val="20"/>
                <w:szCs w:val="20"/>
              </w:rPr>
              <w:t>Interest expense</w:t>
            </w:r>
          </w:p>
        </w:tc>
      </w:tr>
      <w:tr w:rsidR="007B6C97" w14:paraId="642986A5" w14:textId="77777777">
        <w:trPr>
          <w:hidden/>
        </w:trPr>
        <w:tc>
          <w:tcPr>
            <w:tcW w:w="0" w:type="auto"/>
            <w:gridSpan w:val="3"/>
            <w:shd w:val="clear" w:color="auto" w:fill="auto"/>
            <w:vAlign w:val="bottom"/>
          </w:tcPr>
          <w:p w14:paraId="6429869E" w14:textId="77777777" w:rsidR="007B6C97" w:rsidRDefault="007B6C97">
            <w:pPr>
              <w:rPr>
                <w:rFonts w:ascii="宋体"/>
                <w:vanish/>
              </w:rPr>
            </w:pPr>
          </w:p>
        </w:tc>
        <w:tc>
          <w:tcPr>
            <w:tcW w:w="0" w:type="auto"/>
            <w:gridSpan w:val="3"/>
            <w:shd w:val="clear" w:color="auto" w:fill="auto"/>
            <w:vAlign w:val="bottom"/>
          </w:tcPr>
          <w:p w14:paraId="6429869F" w14:textId="77777777" w:rsidR="007B6C97" w:rsidRDefault="007B6C97">
            <w:pPr>
              <w:rPr>
                <w:rFonts w:ascii="宋体"/>
                <w:vanish/>
              </w:rPr>
            </w:pPr>
          </w:p>
        </w:tc>
        <w:tc>
          <w:tcPr>
            <w:tcW w:w="0" w:type="auto"/>
            <w:gridSpan w:val="3"/>
            <w:shd w:val="clear" w:color="auto" w:fill="auto"/>
            <w:vAlign w:val="bottom"/>
          </w:tcPr>
          <w:p w14:paraId="642986A0" w14:textId="77777777" w:rsidR="007B6C97" w:rsidRDefault="007B6C97">
            <w:pPr>
              <w:rPr>
                <w:rFonts w:ascii="宋体"/>
                <w:vanish/>
              </w:rPr>
            </w:pPr>
          </w:p>
        </w:tc>
        <w:tc>
          <w:tcPr>
            <w:tcW w:w="0" w:type="auto"/>
            <w:gridSpan w:val="3"/>
            <w:shd w:val="clear" w:color="auto" w:fill="auto"/>
            <w:vAlign w:val="bottom"/>
          </w:tcPr>
          <w:p w14:paraId="642986A1" w14:textId="77777777" w:rsidR="007B6C97" w:rsidRDefault="007B6C97">
            <w:pPr>
              <w:rPr>
                <w:rFonts w:ascii="宋体"/>
                <w:vanish/>
              </w:rPr>
            </w:pPr>
          </w:p>
        </w:tc>
        <w:tc>
          <w:tcPr>
            <w:tcW w:w="0" w:type="auto"/>
            <w:gridSpan w:val="3"/>
            <w:shd w:val="clear" w:color="auto" w:fill="auto"/>
            <w:vAlign w:val="bottom"/>
          </w:tcPr>
          <w:p w14:paraId="642986A2" w14:textId="77777777" w:rsidR="007B6C97" w:rsidRDefault="007B6C97">
            <w:pPr>
              <w:rPr>
                <w:rFonts w:ascii="宋体"/>
                <w:vanish/>
              </w:rPr>
            </w:pPr>
          </w:p>
        </w:tc>
        <w:tc>
          <w:tcPr>
            <w:tcW w:w="0" w:type="auto"/>
            <w:gridSpan w:val="3"/>
            <w:shd w:val="clear" w:color="auto" w:fill="auto"/>
            <w:vAlign w:val="bottom"/>
          </w:tcPr>
          <w:p w14:paraId="642986A3" w14:textId="77777777" w:rsidR="007B6C97" w:rsidRDefault="007B6C97">
            <w:pPr>
              <w:rPr>
                <w:rFonts w:ascii="宋体"/>
                <w:vanish/>
              </w:rPr>
            </w:pPr>
          </w:p>
        </w:tc>
        <w:tc>
          <w:tcPr>
            <w:tcW w:w="0" w:type="auto"/>
            <w:gridSpan w:val="3"/>
            <w:shd w:val="clear" w:color="auto" w:fill="auto"/>
            <w:vAlign w:val="bottom"/>
          </w:tcPr>
          <w:p w14:paraId="642986A4" w14:textId="77777777" w:rsidR="007B6C97" w:rsidRDefault="007B6C97">
            <w:pPr>
              <w:rPr>
                <w:rFonts w:ascii="宋体"/>
                <w:vanish/>
              </w:rPr>
            </w:pPr>
          </w:p>
        </w:tc>
      </w:tr>
      <w:tr w:rsidR="007B6C97" w14:paraId="642986AD" w14:textId="77777777">
        <w:trPr>
          <w:hidden/>
        </w:trPr>
        <w:tc>
          <w:tcPr>
            <w:tcW w:w="0" w:type="auto"/>
            <w:gridSpan w:val="3"/>
            <w:shd w:val="clear" w:color="auto" w:fill="auto"/>
            <w:vAlign w:val="bottom"/>
          </w:tcPr>
          <w:p w14:paraId="642986A6" w14:textId="77777777" w:rsidR="007B6C97" w:rsidRDefault="007B6C97">
            <w:pPr>
              <w:rPr>
                <w:rFonts w:ascii="宋体"/>
                <w:vanish/>
              </w:rPr>
            </w:pPr>
          </w:p>
        </w:tc>
        <w:tc>
          <w:tcPr>
            <w:tcW w:w="0" w:type="auto"/>
            <w:gridSpan w:val="3"/>
            <w:shd w:val="clear" w:color="auto" w:fill="auto"/>
            <w:vAlign w:val="bottom"/>
          </w:tcPr>
          <w:p w14:paraId="642986A7" w14:textId="77777777" w:rsidR="007B6C97" w:rsidRDefault="007B6C97">
            <w:pPr>
              <w:rPr>
                <w:rFonts w:ascii="宋体"/>
                <w:vanish/>
              </w:rPr>
            </w:pPr>
          </w:p>
        </w:tc>
        <w:tc>
          <w:tcPr>
            <w:tcW w:w="0" w:type="auto"/>
            <w:gridSpan w:val="3"/>
            <w:shd w:val="clear" w:color="auto" w:fill="auto"/>
            <w:vAlign w:val="bottom"/>
          </w:tcPr>
          <w:p w14:paraId="642986A8" w14:textId="77777777" w:rsidR="007B6C97" w:rsidRDefault="007B6C97">
            <w:pPr>
              <w:rPr>
                <w:rFonts w:ascii="宋体"/>
                <w:vanish/>
              </w:rPr>
            </w:pPr>
          </w:p>
        </w:tc>
        <w:tc>
          <w:tcPr>
            <w:tcW w:w="0" w:type="auto"/>
            <w:gridSpan w:val="3"/>
            <w:shd w:val="clear" w:color="auto" w:fill="auto"/>
            <w:vAlign w:val="bottom"/>
          </w:tcPr>
          <w:p w14:paraId="642986A9" w14:textId="77777777" w:rsidR="007B6C97" w:rsidRDefault="007B6C97">
            <w:pPr>
              <w:rPr>
                <w:rFonts w:ascii="宋体"/>
                <w:vanish/>
              </w:rPr>
            </w:pPr>
          </w:p>
        </w:tc>
        <w:tc>
          <w:tcPr>
            <w:tcW w:w="0" w:type="auto"/>
            <w:gridSpan w:val="3"/>
            <w:shd w:val="clear" w:color="auto" w:fill="auto"/>
            <w:vAlign w:val="bottom"/>
          </w:tcPr>
          <w:p w14:paraId="642986AA" w14:textId="77777777" w:rsidR="007B6C97" w:rsidRDefault="007B6C97">
            <w:pPr>
              <w:rPr>
                <w:rFonts w:ascii="宋体"/>
                <w:vanish/>
              </w:rPr>
            </w:pPr>
          </w:p>
        </w:tc>
        <w:tc>
          <w:tcPr>
            <w:tcW w:w="0" w:type="auto"/>
            <w:gridSpan w:val="3"/>
            <w:shd w:val="clear" w:color="auto" w:fill="auto"/>
            <w:vAlign w:val="bottom"/>
          </w:tcPr>
          <w:p w14:paraId="642986AB" w14:textId="77777777" w:rsidR="007B6C97" w:rsidRDefault="007B6C97">
            <w:pPr>
              <w:rPr>
                <w:rFonts w:ascii="宋体"/>
                <w:vanish/>
              </w:rPr>
            </w:pPr>
          </w:p>
        </w:tc>
        <w:tc>
          <w:tcPr>
            <w:tcW w:w="0" w:type="auto"/>
            <w:gridSpan w:val="3"/>
            <w:shd w:val="clear" w:color="auto" w:fill="auto"/>
            <w:vAlign w:val="bottom"/>
          </w:tcPr>
          <w:p w14:paraId="642986AC" w14:textId="77777777" w:rsidR="007B6C97" w:rsidRDefault="007B6C97">
            <w:pPr>
              <w:rPr>
                <w:rFonts w:ascii="宋体"/>
                <w:vanish/>
              </w:rPr>
            </w:pPr>
          </w:p>
        </w:tc>
      </w:tr>
      <w:tr w:rsidR="007B6C97" w14:paraId="642986B7" w14:textId="77777777">
        <w:tc>
          <w:tcPr>
            <w:tcW w:w="0" w:type="auto"/>
            <w:gridSpan w:val="3"/>
            <w:shd w:val="clear" w:color="auto" w:fill="FFFFFF"/>
            <w:tcMar>
              <w:top w:w="0" w:type="dxa"/>
              <w:left w:w="20" w:type="dxa"/>
              <w:bottom w:w="0" w:type="dxa"/>
              <w:right w:w="20" w:type="dxa"/>
            </w:tcMar>
            <w:vAlign w:val="bottom"/>
          </w:tcPr>
          <w:p w14:paraId="642986A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A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42986B0" w14:textId="77777777" w:rsidR="007B6C97" w:rsidRDefault="00E426D1">
            <w:pPr>
              <w:jc w:val="right"/>
              <w:textAlignment w:val="top"/>
            </w:pPr>
            <w:r>
              <w:rPr>
                <w:rFonts w:ascii="Times New Roman" w:eastAsia="宋体" w:hAnsi="Times New Roman"/>
                <w:color w:val="000000"/>
                <w:sz w:val="20"/>
                <w:szCs w:val="20"/>
              </w:rPr>
              <w:t>59.2 </w:t>
            </w:r>
          </w:p>
        </w:tc>
        <w:tc>
          <w:tcPr>
            <w:tcW w:w="0" w:type="auto"/>
            <w:tcBorders>
              <w:top w:val="single" w:sz="8" w:space="0" w:color="000000"/>
            </w:tcBorders>
            <w:shd w:val="clear" w:color="auto" w:fill="FFFFFF"/>
            <w:tcMar>
              <w:top w:w="40" w:type="dxa"/>
              <w:left w:w="0" w:type="dxa"/>
              <w:bottom w:w="40" w:type="dxa"/>
              <w:right w:w="20" w:type="dxa"/>
            </w:tcMar>
          </w:tcPr>
          <w:p w14:paraId="642986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B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42986B3" w14:textId="77777777" w:rsidR="007B6C97" w:rsidRDefault="00E426D1">
            <w:pPr>
              <w:jc w:val="right"/>
              <w:textAlignment w:val="top"/>
            </w:pPr>
            <w:r>
              <w:rPr>
                <w:rFonts w:ascii="Times New Roman" w:eastAsia="宋体" w:hAnsi="Times New Roman"/>
                <w:color w:val="000000"/>
                <w:sz w:val="20"/>
                <w:szCs w:val="20"/>
              </w:rPr>
              <w:t>1.6 </w:t>
            </w:r>
          </w:p>
        </w:tc>
        <w:tc>
          <w:tcPr>
            <w:tcW w:w="0" w:type="auto"/>
            <w:tcBorders>
              <w:top w:val="single" w:sz="8" w:space="0" w:color="000000"/>
            </w:tcBorders>
            <w:shd w:val="clear" w:color="auto" w:fill="FFFFFF"/>
            <w:tcMar>
              <w:top w:w="40" w:type="dxa"/>
              <w:left w:w="0" w:type="dxa"/>
              <w:bottom w:w="40" w:type="dxa"/>
              <w:right w:w="20" w:type="dxa"/>
            </w:tcMar>
          </w:tcPr>
          <w:p w14:paraId="642986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B5"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6B6" w14:textId="77777777" w:rsidR="007B6C97" w:rsidRDefault="00E426D1">
            <w:pPr>
              <w:textAlignment w:val="top"/>
            </w:pPr>
            <w:r>
              <w:rPr>
                <w:rFonts w:ascii="Times New Roman" w:eastAsia="宋体" w:hAnsi="Times New Roman"/>
                <w:color w:val="000000"/>
                <w:sz w:val="20"/>
                <w:szCs w:val="20"/>
              </w:rPr>
              <w:t>Total before tax</w:t>
            </w:r>
          </w:p>
        </w:tc>
      </w:tr>
      <w:tr w:rsidR="007B6C97" w14:paraId="642986C1" w14:textId="77777777">
        <w:tc>
          <w:tcPr>
            <w:tcW w:w="0" w:type="auto"/>
            <w:gridSpan w:val="3"/>
            <w:shd w:val="clear" w:color="auto" w:fill="D7E4BC"/>
            <w:tcMar>
              <w:top w:w="0" w:type="dxa"/>
              <w:left w:w="20" w:type="dxa"/>
              <w:bottom w:w="0" w:type="dxa"/>
              <w:right w:w="20" w:type="dxa"/>
            </w:tcMar>
            <w:vAlign w:val="bottom"/>
          </w:tcPr>
          <w:p w14:paraId="642986B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6B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86BA" w14:textId="77777777" w:rsidR="007B6C97" w:rsidRDefault="00E426D1">
            <w:pPr>
              <w:jc w:val="right"/>
              <w:textAlignment w:val="center"/>
            </w:pPr>
            <w:r>
              <w:rPr>
                <w:rFonts w:ascii="Times New Roman" w:eastAsia="宋体" w:hAnsi="Times New Roman"/>
                <w:color w:val="000000"/>
                <w:sz w:val="20"/>
                <w:szCs w:val="20"/>
              </w:rPr>
              <w:t>(9.8)</w:t>
            </w:r>
          </w:p>
        </w:tc>
        <w:tc>
          <w:tcPr>
            <w:tcW w:w="0" w:type="auto"/>
            <w:shd w:val="clear" w:color="auto" w:fill="D7E4BC"/>
            <w:tcMar>
              <w:top w:w="40" w:type="dxa"/>
              <w:left w:w="0" w:type="dxa"/>
              <w:bottom w:w="40" w:type="dxa"/>
              <w:right w:w="20" w:type="dxa"/>
            </w:tcMar>
            <w:vAlign w:val="center"/>
          </w:tcPr>
          <w:p w14:paraId="642986B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B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86BD" w14:textId="77777777" w:rsidR="007B6C97" w:rsidRDefault="00E426D1">
            <w:pPr>
              <w:jc w:val="right"/>
              <w:textAlignment w:val="center"/>
            </w:pPr>
            <w:r>
              <w:rPr>
                <w:rFonts w:ascii="Times New Roman" w:eastAsia="宋体" w:hAnsi="Times New Roman"/>
                <w:color w:val="000000"/>
                <w:sz w:val="20"/>
                <w:szCs w:val="20"/>
              </w:rPr>
              <w:t>(1.0)</w:t>
            </w:r>
          </w:p>
        </w:tc>
        <w:tc>
          <w:tcPr>
            <w:tcW w:w="0" w:type="auto"/>
            <w:shd w:val="clear" w:color="auto" w:fill="D7E4BC"/>
            <w:tcMar>
              <w:top w:w="40" w:type="dxa"/>
              <w:left w:w="0" w:type="dxa"/>
              <w:bottom w:w="40" w:type="dxa"/>
              <w:right w:w="20" w:type="dxa"/>
            </w:tcMar>
            <w:vAlign w:val="center"/>
          </w:tcPr>
          <w:p w14:paraId="642986B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6BF"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86C0" w14:textId="77777777" w:rsidR="007B6C97" w:rsidRDefault="00E426D1">
            <w:pPr>
              <w:textAlignment w:val="top"/>
            </w:pPr>
            <w:r>
              <w:rPr>
                <w:rFonts w:ascii="Times New Roman" w:eastAsia="宋体" w:hAnsi="Times New Roman"/>
                <w:color w:val="000000"/>
                <w:sz w:val="20"/>
                <w:szCs w:val="20"/>
              </w:rPr>
              <w:t>Tax expense</w:t>
            </w:r>
          </w:p>
        </w:tc>
      </w:tr>
      <w:tr w:rsidR="007B6C97" w14:paraId="642986CD" w14:textId="77777777">
        <w:tc>
          <w:tcPr>
            <w:tcW w:w="0" w:type="auto"/>
            <w:gridSpan w:val="3"/>
            <w:shd w:val="clear" w:color="auto" w:fill="FFFFFF"/>
            <w:tcMar>
              <w:top w:w="0" w:type="dxa"/>
              <w:left w:w="20" w:type="dxa"/>
              <w:bottom w:w="0" w:type="dxa"/>
              <w:right w:w="20" w:type="dxa"/>
            </w:tcMar>
            <w:vAlign w:val="bottom"/>
          </w:tcPr>
          <w:p w14:paraId="642986C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C3"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642986C4"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642986C5" w14:textId="77777777" w:rsidR="007B6C97" w:rsidRDefault="00E426D1">
            <w:pPr>
              <w:jc w:val="right"/>
              <w:textAlignment w:val="top"/>
            </w:pPr>
            <w:r>
              <w:rPr>
                <w:rFonts w:ascii="Times New Roman" w:eastAsia="宋体" w:hAnsi="Times New Roman"/>
                <w:color w:val="000000"/>
                <w:sz w:val="20"/>
                <w:szCs w:val="20"/>
              </w:rPr>
              <w:t>49.4 </w:t>
            </w:r>
          </w:p>
        </w:tc>
        <w:tc>
          <w:tcPr>
            <w:tcW w:w="0" w:type="auto"/>
            <w:tcBorders>
              <w:top w:val="single" w:sz="8" w:space="0" w:color="000000"/>
            </w:tcBorders>
            <w:shd w:val="clear" w:color="auto" w:fill="FFFFFF"/>
            <w:tcMar>
              <w:top w:w="40" w:type="dxa"/>
              <w:left w:w="0" w:type="dxa"/>
              <w:bottom w:w="40" w:type="dxa"/>
              <w:right w:w="20" w:type="dxa"/>
            </w:tcMar>
          </w:tcPr>
          <w:p w14:paraId="642986C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C7"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642986C8"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642986C9" w14:textId="77777777" w:rsidR="007B6C97" w:rsidRDefault="00E426D1">
            <w:pPr>
              <w:jc w:val="right"/>
              <w:textAlignment w:val="top"/>
            </w:pPr>
            <w:r>
              <w:rPr>
                <w:rFonts w:ascii="Times New Roman" w:eastAsia="宋体" w:hAnsi="Times New Roman"/>
                <w:color w:val="000000"/>
                <w:sz w:val="20"/>
                <w:szCs w:val="20"/>
              </w:rPr>
              <w:t>0.6 </w:t>
            </w:r>
          </w:p>
        </w:tc>
        <w:tc>
          <w:tcPr>
            <w:tcW w:w="0" w:type="auto"/>
            <w:tcBorders>
              <w:top w:val="single" w:sz="8" w:space="0" w:color="000000"/>
            </w:tcBorders>
            <w:shd w:val="clear" w:color="auto" w:fill="FFFFFF"/>
            <w:tcMar>
              <w:top w:w="40" w:type="dxa"/>
              <w:left w:w="0" w:type="dxa"/>
              <w:bottom w:w="40" w:type="dxa"/>
              <w:right w:w="20" w:type="dxa"/>
            </w:tcMar>
          </w:tcPr>
          <w:p w14:paraId="642986C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6C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6CC" w14:textId="77777777" w:rsidR="007B6C97" w:rsidRDefault="00E426D1">
            <w:pPr>
              <w:textAlignment w:val="top"/>
            </w:pPr>
            <w:r>
              <w:rPr>
                <w:rFonts w:ascii="Times New Roman" w:eastAsia="宋体" w:hAnsi="Times New Roman"/>
                <w:color w:val="000000"/>
                <w:sz w:val="20"/>
                <w:szCs w:val="20"/>
              </w:rPr>
              <w:t>Net of tax</w:t>
            </w:r>
          </w:p>
        </w:tc>
      </w:tr>
      <w:tr w:rsidR="007B6C97" w14:paraId="642986E1" w14:textId="77777777">
        <w:trPr>
          <w:hidden/>
        </w:trPr>
        <w:tc>
          <w:tcPr>
            <w:tcW w:w="0" w:type="auto"/>
            <w:gridSpan w:val="3"/>
            <w:shd w:val="clear" w:color="auto" w:fill="auto"/>
            <w:vAlign w:val="bottom"/>
          </w:tcPr>
          <w:p w14:paraId="642986CE" w14:textId="77777777" w:rsidR="007B6C97" w:rsidRDefault="007B6C97">
            <w:pPr>
              <w:rPr>
                <w:rFonts w:ascii="宋体"/>
                <w:vanish/>
              </w:rPr>
            </w:pPr>
          </w:p>
        </w:tc>
        <w:tc>
          <w:tcPr>
            <w:tcW w:w="0" w:type="auto"/>
            <w:shd w:val="clear" w:color="auto" w:fill="auto"/>
            <w:vAlign w:val="bottom"/>
          </w:tcPr>
          <w:p w14:paraId="642986CF" w14:textId="77777777" w:rsidR="007B6C97" w:rsidRDefault="007B6C97">
            <w:pPr>
              <w:rPr>
                <w:rFonts w:ascii="宋体"/>
              </w:rPr>
            </w:pPr>
          </w:p>
        </w:tc>
        <w:tc>
          <w:tcPr>
            <w:tcW w:w="0" w:type="auto"/>
            <w:shd w:val="clear" w:color="auto" w:fill="auto"/>
            <w:vAlign w:val="bottom"/>
          </w:tcPr>
          <w:p w14:paraId="642986D0" w14:textId="77777777" w:rsidR="007B6C97" w:rsidRDefault="007B6C97">
            <w:pPr>
              <w:rPr>
                <w:rFonts w:ascii="宋体"/>
              </w:rPr>
            </w:pPr>
          </w:p>
        </w:tc>
        <w:tc>
          <w:tcPr>
            <w:tcW w:w="0" w:type="auto"/>
            <w:shd w:val="clear" w:color="auto" w:fill="auto"/>
            <w:vAlign w:val="bottom"/>
          </w:tcPr>
          <w:p w14:paraId="642986D1" w14:textId="77777777" w:rsidR="007B6C97" w:rsidRDefault="007B6C97">
            <w:pPr>
              <w:rPr>
                <w:rFonts w:ascii="宋体"/>
              </w:rPr>
            </w:pPr>
          </w:p>
        </w:tc>
        <w:tc>
          <w:tcPr>
            <w:tcW w:w="0" w:type="auto"/>
            <w:shd w:val="clear" w:color="auto" w:fill="auto"/>
            <w:vAlign w:val="bottom"/>
          </w:tcPr>
          <w:p w14:paraId="642986D2" w14:textId="77777777" w:rsidR="007B6C97" w:rsidRDefault="007B6C97">
            <w:pPr>
              <w:rPr>
                <w:rFonts w:ascii="宋体"/>
              </w:rPr>
            </w:pPr>
          </w:p>
        </w:tc>
        <w:tc>
          <w:tcPr>
            <w:tcW w:w="0" w:type="auto"/>
            <w:shd w:val="clear" w:color="auto" w:fill="auto"/>
            <w:vAlign w:val="bottom"/>
          </w:tcPr>
          <w:p w14:paraId="642986D3" w14:textId="77777777" w:rsidR="007B6C97" w:rsidRDefault="007B6C97">
            <w:pPr>
              <w:rPr>
                <w:rFonts w:ascii="宋体"/>
              </w:rPr>
            </w:pPr>
          </w:p>
        </w:tc>
        <w:tc>
          <w:tcPr>
            <w:tcW w:w="0" w:type="auto"/>
            <w:shd w:val="clear" w:color="auto" w:fill="auto"/>
            <w:vAlign w:val="bottom"/>
          </w:tcPr>
          <w:p w14:paraId="642986D4" w14:textId="77777777" w:rsidR="007B6C97" w:rsidRDefault="007B6C97">
            <w:pPr>
              <w:rPr>
                <w:rFonts w:ascii="宋体"/>
              </w:rPr>
            </w:pPr>
          </w:p>
        </w:tc>
        <w:tc>
          <w:tcPr>
            <w:tcW w:w="0" w:type="auto"/>
            <w:shd w:val="clear" w:color="auto" w:fill="auto"/>
            <w:vAlign w:val="bottom"/>
          </w:tcPr>
          <w:p w14:paraId="642986D5" w14:textId="77777777" w:rsidR="007B6C97" w:rsidRDefault="007B6C97">
            <w:pPr>
              <w:rPr>
                <w:rFonts w:ascii="宋体"/>
              </w:rPr>
            </w:pPr>
          </w:p>
        </w:tc>
        <w:tc>
          <w:tcPr>
            <w:tcW w:w="0" w:type="auto"/>
            <w:shd w:val="clear" w:color="auto" w:fill="auto"/>
            <w:vAlign w:val="bottom"/>
          </w:tcPr>
          <w:p w14:paraId="642986D6" w14:textId="77777777" w:rsidR="007B6C97" w:rsidRDefault="007B6C97">
            <w:pPr>
              <w:rPr>
                <w:rFonts w:ascii="宋体"/>
              </w:rPr>
            </w:pPr>
          </w:p>
        </w:tc>
        <w:tc>
          <w:tcPr>
            <w:tcW w:w="0" w:type="auto"/>
            <w:shd w:val="clear" w:color="auto" w:fill="auto"/>
            <w:vAlign w:val="bottom"/>
          </w:tcPr>
          <w:p w14:paraId="642986D7" w14:textId="77777777" w:rsidR="007B6C97" w:rsidRDefault="007B6C97">
            <w:pPr>
              <w:rPr>
                <w:rFonts w:ascii="宋体"/>
              </w:rPr>
            </w:pPr>
          </w:p>
        </w:tc>
        <w:tc>
          <w:tcPr>
            <w:tcW w:w="0" w:type="auto"/>
            <w:shd w:val="clear" w:color="auto" w:fill="auto"/>
            <w:vAlign w:val="bottom"/>
          </w:tcPr>
          <w:p w14:paraId="642986D8" w14:textId="77777777" w:rsidR="007B6C97" w:rsidRDefault="007B6C97">
            <w:pPr>
              <w:rPr>
                <w:rFonts w:ascii="宋体"/>
              </w:rPr>
            </w:pPr>
          </w:p>
        </w:tc>
        <w:tc>
          <w:tcPr>
            <w:tcW w:w="0" w:type="auto"/>
            <w:shd w:val="clear" w:color="auto" w:fill="auto"/>
            <w:vAlign w:val="bottom"/>
          </w:tcPr>
          <w:p w14:paraId="642986D9" w14:textId="77777777" w:rsidR="007B6C97" w:rsidRDefault="007B6C97">
            <w:pPr>
              <w:rPr>
                <w:rFonts w:ascii="宋体"/>
              </w:rPr>
            </w:pPr>
          </w:p>
        </w:tc>
        <w:tc>
          <w:tcPr>
            <w:tcW w:w="0" w:type="auto"/>
            <w:shd w:val="clear" w:color="auto" w:fill="auto"/>
            <w:vAlign w:val="bottom"/>
          </w:tcPr>
          <w:p w14:paraId="642986DA" w14:textId="77777777" w:rsidR="007B6C97" w:rsidRDefault="007B6C97">
            <w:pPr>
              <w:rPr>
                <w:rFonts w:ascii="宋体"/>
              </w:rPr>
            </w:pPr>
          </w:p>
        </w:tc>
        <w:tc>
          <w:tcPr>
            <w:tcW w:w="0" w:type="auto"/>
            <w:shd w:val="clear" w:color="auto" w:fill="auto"/>
            <w:vAlign w:val="bottom"/>
          </w:tcPr>
          <w:p w14:paraId="642986DB" w14:textId="77777777" w:rsidR="007B6C97" w:rsidRDefault="007B6C97">
            <w:pPr>
              <w:rPr>
                <w:rFonts w:ascii="宋体"/>
              </w:rPr>
            </w:pPr>
          </w:p>
        </w:tc>
        <w:tc>
          <w:tcPr>
            <w:tcW w:w="0" w:type="auto"/>
            <w:shd w:val="clear" w:color="auto" w:fill="auto"/>
            <w:vAlign w:val="bottom"/>
          </w:tcPr>
          <w:p w14:paraId="642986DC" w14:textId="77777777" w:rsidR="007B6C97" w:rsidRDefault="007B6C97">
            <w:pPr>
              <w:rPr>
                <w:rFonts w:ascii="宋体"/>
              </w:rPr>
            </w:pPr>
          </w:p>
        </w:tc>
        <w:tc>
          <w:tcPr>
            <w:tcW w:w="0" w:type="auto"/>
            <w:shd w:val="clear" w:color="auto" w:fill="auto"/>
            <w:vAlign w:val="bottom"/>
          </w:tcPr>
          <w:p w14:paraId="642986DD" w14:textId="77777777" w:rsidR="007B6C97" w:rsidRDefault="007B6C97">
            <w:pPr>
              <w:rPr>
                <w:rFonts w:ascii="宋体"/>
              </w:rPr>
            </w:pPr>
          </w:p>
        </w:tc>
        <w:tc>
          <w:tcPr>
            <w:tcW w:w="0" w:type="auto"/>
            <w:shd w:val="clear" w:color="auto" w:fill="auto"/>
            <w:vAlign w:val="bottom"/>
          </w:tcPr>
          <w:p w14:paraId="642986DE" w14:textId="77777777" w:rsidR="007B6C97" w:rsidRDefault="007B6C97">
            <w:pPr>
              <w:rPr>
                <w:rFonts w:ascii="宋体"/>
              </w:rPr>
            </w:pPr>
          </w:p>
        </w:tc>
        <w:tc>
          <w:tcPr>
            <w:tcW w:w="0" w:type="auto"/>
            <w:shd w:val="clear" w:color="auto" w:fill="auto"/>
            <w:vAlign w:val="bottom"/>
          </w:tcPr>
          <w:p w14:paraId="642986DF" w14:textId="77777777" w:rsidR="007B6C97" w:rsidRDefault="007B6C97">
            <w:pPr>
              <w:rPr>
                <w:rFonts w:ascii="宋体"/>
              </w:rPr>
            </w:pPr>
          </w:p>
        </w:tc>
        <w:tc>
          <w:tcPr>
            <w:tcW w:w="0" w:type="auto"/>
            <w:shd w:val="clear" w:color="auto" w:fill="auto"/>
            <w:vAlign w:val="bottom"/>
          </w:tcPr>
          <w:p w14:paraId="642986E0" w14:textId="77777777" w:rsidR="007B6C97" w:rsidRDefault="007B6C97">
            <w:pPr>
              <w:rPr>
                <w:rFonts w:ascii="宋体"/>
              </w:rPr>
            </w:pPr>
          </w:p>
        </w:tc>
      </w:tr>
      <w:tr w:rsidR="007B6C97" w14:paraId="642986E9" w14:textId="77777777">
        <w:trPr>
          <w:trHeight w:val="60"/>
        </w:trPr>
        <w:tc>
          <w:tcPr>
            <w:tcW w:w="0" w:type="auto"/>
            <w:gridSpan w:val="3"/>
            <w:shd w:val="clear" w:color="auto" w:fill="FFFFFF"/>
            <w:tcMar>
              <w:top w:w="0" w:type="dxa"/>
              <w:left w:w="20" w:type="dxa"/>
              <w:bottom w:w="0" w:type="dxa"/>
              <w:right w:w="20" w:type="dxa"/>
            </w:tcMar>
            <w:vAlign w:val="bottom"/>
          </w:tcPr>
          <w:p w14:paraId="642986E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3"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6E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5" w14:textId="77777777" w:rsidR="007B6C97" w:rsidRDefault="007B6C9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2986E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8" w14:textId="77777777" w:rsidR="007B6C97" w:rsidRDefault="007B6C97">
            <w:pPr>
              <w:rPr>
                <w:rFonts w:ascii="宋体"/>
              </w:rPr>
            </w:pPr>
          </w:p>
        </w:tc>
      </w:tr>
      <w:tr w:rsidR="007B6C97" w14:paraId="642986F1" w14:textId="77777777">
        <w:trPr>
          <w:trHeight w:val="60"/>
        </w:trPr>
        <w:tc>
          <w:tcPr>
            <w:tcW w:w="0" w:type="auto"/>
            <w:gridSpan w:val="3"/>
            <w:shd w:val="clear" w:color="auto" w:fill="FFFFFF"/>
            <w:tcMar>
              <w:top w:w="0" w:type="dxa"/>
              <w:left w:w="20" w:type="dxa"/>
              <w:bottom w:w="0" w:type="dxa"/>
              <w:right w:w="20" w:type="dxa"/>
            </w:tcMar>
            <w:vAlign w:val="bottom"/>
          </w:tcPr>
          <w:p w14:paraId="642986E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E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0" w14:textId="77777777" w:rsidR="007B6C97" w:rsidRDefault="007B6C97">
            <w:pPr>
              <w:rPr>
                <w:rFonts w:ascii="宋体"/>
              </w:rPr>
            </w:pPr>
          </w:p>
        </w:tc>
      </w:tr>
      <w:tr w:rsidR="007B6C97" w14:paraId="642986F9" w14:textId="77777777">
        <w:tc>
          <w:tcPr>
            <w:tcW w:w="0" w:type="auto"/>
            <w:gridSpan w:val="3"/>
            <w:shd w:val="clear" w:color="auto" w:fill="FFFFFF"/>
            <w:tcMar>
              <w:top w:w="40" w:type="dxa"/>
              <w:left w:w="20" w:type="dxa"/>
              <w:bottom w:w="40" w:type="dxa"/>
              <w:right w:w="20" w:type="dxa"/>
            </w:tcMar>
            <w:vAlign w:val="bottom"/>
          </w:tcPr>
          <w:p w14:paraId="642986F2" w14:textId="77777777" w:rsidR="007B6C97" w:rsidRDefault="00E426D1">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top w:w="0" w:type="dxa"/>
              <w:left w:w="20" w:type="dxa"/>
              <w:bottom w:w="0" w:type="dxa"/>
              <w:right w:w="20" w:type="dxa"/>
            </w:tcMar>
            <w:vAlign w:val="bottom"/>
          </w:tcPr>
          <w:p w14:paraId="642986F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6F8" w14:textId="77777777" w:rsidR="007B6C97" w:rsidRDefault="007B6C97">
            <w:pPr>
              <w:rPr>
                <w:rFonts w:ascii="宋体"/>
              </w:rPr>
            </w:pPr>
          </w:p>
        </w:tc>
      </w:tr>
      <w:tr w:rsidR="007B6C97" w14:paraId="642986FF"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642986FA" w14:textId="77777777" w:rsidR="007B6C97" w:rsidRDefault="00E426D1">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FFFFFF"/>
            <w:tcMar>
              <w:top w:w="0" w:type="dxa"/>
              <w:left w:w="20" w:type="dxa"/>
              <w:bottom w:w="0" w:type="dxa"/>
              <w:right w:w="20" w:type="dxa"/>
            </w:tcMar>
            <w:vAlign w:val="bottom"/>
          </w:tcPr>
          <w:p w14:paraId="642986FB"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6FC" w14:textId="77777777" w:rsidR="007B6C97" w:rsidRDefault="00E426D1">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FFFFFF"/>
            <w:tcMar>
              <w:top w:w="0" w:type="dxa"/>
              <w:left w:w="20" w:type="dxa"/>
              <w:bottom w:w="0" w:type="dxa"/>
              <w:right w:w="20" w:type="dxa"/>
            </w:tcMar>
            <w:vAlign w:val="bottom"/>
          </w:tcPr>
          <w:p w14:paraId="642986FD" w14:textId="77777777" w:rsidR="007B6C97" w:rsidRDefault="007B6C97">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42986FE" w14:textId="77777777" w:rsidR="007B6C97" w:rsidRDefault="00E426D1">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7B6C97" w14:paraId="64298707" w14:textId="77777777">
        <w:trPr>
          <w:trHeight w:val="240"/>
        </w:trPr>
        <w:tc>
          <w:tcPr>
            <w:tcW w:w="0" w:type="auto"/>
            <w:gridSpan w:val="3"/>
            <w:vMerge/>
            <w:shd w:val="clear" w:color="auto" w:fill="00704A"/>
            <w:tcMar>
              <w:top w:w="40" w:type="dxa"/>
              <w:left w:w="20" w:type="dxa"/>
              <w:bottom w:w="40" w:type="dxa"/>
              <w:right w:w="20" w:type="dxa"/>
            </w:tcMar>
            <w:vAlign w:val="bottom"/>
          </w:tcPr>
          <w:p w14:paraId="64298700" w14:textId="77777777" w:rsidR="007B6C97" w:rsidRDefault="007B6C97">
            <w:pPr>
              <w:jc w:val="center"/>
              <w:rPr>
                <w:rFonts w:ascii="宋体"/>
              </w:rPr>
            </w:pPr>
          </w:p>
        </w:tc>
        <w:tc>
          <w:tcPr>
            <w:tcW w:w="0" w:type="auto"/>
            <w:gridSpan w:val="3"/>
            <w:shd w:val="clear" w:color="auto" w:fill="FFFFFF"/>
            <w:tcMar>
              <w:top w:w="0" w:type="dxa"/>
              <w:left w:w="20" w:type="dxa"/>
              <w:bottom w:w="0" w:type="dxa"/>
              <w:right w:w="20" w:type="dxa"/>
            </w:tcMar>
            <w:vAlign w:val="bottom"/>
          </w:tcPr>
          <w:p w14:paraId="6429870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02"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870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04"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8705" w14:textId="77777777" w:rsidR="007B6C97" w:rsidRDefault="007B6C97">
            <w:pPr>
              <w:rPr>
                <w:rFonts w:ascii="宋体"/>
              </w:rPr>
            </w:pPr>
          </w:p>
        </w:tc>
        <w:tc>
          <w:tcPr>
            <w:tcW w:w="0" w:type="auto"/>
            <w:gridSpan w:val="3"/>
            <w:vMerge/>
            <w:shd w:val="clear" w:color="auto" w:fill="00704A"/>
            <w:tcMar>
              <w:top w:w="40" w:type="dxa"/>
              <w:left w:w="20" w:type="dxa"/>
              <w:bottom w:w="40" w:type="dxa"/>
              <w:right w:w="20" w:type="dxa"/>
            </w:tcMar>
            <w:vAlign w:val="bottom"/>
          </w:tcPr>
          <w:p w14:paraId="64298706" w14:textId="77777777" w:rsidR="007B6C97" w:rsidRDefault="007B6C97">
            <w:pPr>
              <w:jc w:val="center"/>
              <w:rPr>
                <w:rFonts w:ascii="宋体"/>
              </w:rPr>
            </w:pPr>
          </w:p>
        </w:tc>
      </w:tr>
      <w:tr w:rsidR="007B6C97" w14:paraId="64298713" w14:textId="77777777">
        <w:tc>
          <w:tcPr>
            <w:tcW w:w="0" w:type="auto"/>
            <w:gridSpan w:val="3"/>
            <w:shd w:val="clear" w:color="auto" w:fill="D7E4BC"/>
            <w:tcMar>
              <w:top w:w="40" w:type="dxa"/>
              <w:left w:w="20" w:type="dxa"/>
              <w:bottom w:w="40" w:type="dxa"/>
              <w:right w:w="20" w:type="dxa"/>
            </w:tcMar>
          </w:tcPr>
          <w:p w14:paraId="64298708" w14:textId="77777777" w:rsidR="007B6C97" w:rsidRDefault="00E426D1">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64298709" w14:textId="77777777" w:rsidR="007B6C97" w:rsidRDefault="007B6C97">
            <w:pPr>
              <w:rPr>
                <w:rFonts w:ascii="宋体"/>
              </w:rPr>
            </w:pPr>
          </w:p>
        </w:tc>
        <w:tc>
          <w:tcPr>
            <w:tcW w:w="0" w:type="auto"/>
            <w:shd w:val="clear" w:color="auto" w:fill="D7E4BC"/>
            <w:tcMar>
              <w:top w:w="40" w:type="dxa"/>
              <w:left w:w="20" w:type="dxa"/>
              <w:bottom w:w="40" w:type="dxa"/>
              <w:right w:w="0" w:type="dxa"/>
            </w:tcMar>
          </w:tcPr>
          <w:p w14:paraId="6429870A" w14:textId="77777777" w:rsidR="007B6C97" w:rsidRDefault="00E426D1">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6429870B" w14:textId="77777777" w:rsidR="007B6C97" w:rsidRDefault="00E426D1">
            <w:pPr>
              <w:jc w:val="right"/>
              <w:textAlignment w:val="top"/>
            </w:pPr>
            <w:r>
              <w:rPr>
                <w:rFonts w:ascii="Times New Roman" w:eastAsia="宋体" w:hAnsi="Times New Roman"/>
                <w:color w:val="000000"/>
                <w:sz w:val="20"/>
                <w:szCs w:val="20"/>
              </w:rPr>
              <w:t>(0.2)</w:t>
            </w:r>
          </w:p>
        </w:tc>
        <w:tc>
          <w:tcPr>
            <w:tcW w:w="0" w:type="auto"/>
            <w:shd w:val="clear" w:color="auto" w:fill="D7E4BC"/>
            <w:tcMar>
              <w:top w:w="40" w:type="dxa"/>
              <w:left w:w="0" w:type="dxa"/>
              <w:bottom w:w="40" w:type="dxa"/>
              <w:right w:w="20" w:type="dxa"/>
            </w:tcMar>
          </w:tcPr>
          <w:p w14:paraId="6429870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0D" w14:textId="77777777" w:rsidR="007B6C97" w:rsidRDefault="007B6C97">
            <w:pPr>
              <w:rPr>
                <w:rFonts w:ascii="宋体"/>
              </w:rPr>
            </w:pPr>
          </w:p>
        </w:tc>
        <w:tc>
          <w:tcPr>
            <w:tcW w:w="0" w:type="auto"/>
            <w:shd w:val="clear" w:color="auto" w:fill="D7E4BC"/>
            <w:tcMar>
              <w:top w:w="40" w:type="dxa"/>
              <w:left w:w="20" w:type="dxa"/>
              <w:bottom w:w="40" w:type="dxa"/>
              <w:right w:w="0" w:type="dxa"/>
            </w:tcMar>
          </w:tcPr>
          <w:p w14:paraId="6429870E" w14:textId="77777777" w:rsidR="007B6C97" w:rsidRDefault="00E426D1">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6429870F" w14:textId="77777777" w:rsidR="007B6C97" w:rsidRDefault="00E426D1">
            <w:pPr>
              <w:jc w:val="right"/>
              <w:textAlignment w:val="top"/>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tcPr>
          <w:p w14:paraId="6429871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11"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8712" w14:textId="77777777" w:rsidR="007B6C97" w:rsidRDefault="00E426D1">
            <w:pPr>
              <w:textAlignment w:val="top"/>
            </w:pPr>
            <w:r>
              <w:rPr>
                <w:rFonts w:ascii="Times New Roman" w:eastAsia="宋体" w:hAnsi="Times New Roman"/>
                <w:color w:val="000000"/>
                <w:sz w:val="20"/>
                <w:szCs w:val="20"/>
              </w:rPr>
              <w:t>Interest income and other, net</w:t>
            </w:r>
          </w:p>
        </w:tc>
      </w:tr>
      <w:tr w:rsidR="007B6C97" w14:paraId="6429871D" w14:textId="77777777">
        <w:tc>
          <w:tcPr>
            <w:tcW w:w="0" w:type="auto"/>
            <w:gridSpan w:val="3"/>
            <w:shd w:val="clear" w:color="auto" w:fill="FFFFFF"/>
            <w:tcMar>
              <w:top w:w="40" w:type="dxa"/>
              <w:left w:w="20" w:type="dxa"/>
              <w:bottom w:w="40" w:type="dxa"/>
              <w:right w:w="20" w:type="dxa"/>
            </w:tcMar>
          </w:tcPr>
          <w:p w14:paraId="64298714" w14:textId="77777777" w:rsidR="007B6C97" w:rsidRDefault="00E426D1">
            <w:pPr>
              <w:textAlignment w:val="top"/>
            </w:pPr>
            <w:r>
              <w:rPr>
                <w:rFonts w:ascii="Times New Roman" w:eastAsia="宋体" w:hAnsi="Times New Roman"/>
                <w:color w:val="000000"/>
                <w:sz w:val="20"/>
                <w:szCs w:val="20"/>
              </w:rPr>
              <w:t>Gains/(l</w:t>
            </w:r>
            <w:r>
              <w:rPr>
                <w:rFonts w:ascii="Times New Roman" w:eastAsia="宋体" w:hAnsi="Times New Roman"/>
                <w:color w:val="000000"/>
                <w:sz w:val="20"/>
                <w:szCs w:val="20"/>
              </w:rPr>
              <w:t>osses) on cash flow hedges</w:t>
            </w:r>
          </w:p>
        </w:tc>
        <w:tc>
          <w:tcPr>
            <w:tcW w:w="0" w:type="auto"/>
            <w:gridSpan w:val="3"/>
            <w:shd w:val="clear" w:color="auto" w:fill="FFFFFF"/>
            <w:tcMar>
              <w:top w:w="0" w:type="dxa"/>
              <w:left w:w="20" w:type="dxa"/>
              <w:bottom w:w="0" w:type="dxa"/>
              <w:right w:w="20" w:type="dxa"/>
            </w:tcMar>
            <w:vAlign w:val="bottom"/>
          </w:tcPr>
          <w:p w14:paraId="6429871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716" w14:textId="77777777" w:rsidR="007B6C97" w:rsidRDefault="00E426D1">
            <w:pPr>
              <w:jc w:val="right"/>
              <w:textAlignment w:val="top"/>
            </w:pPr>
            <w:r>
              <w:rPr>
                <w:rFonts w:ascii="Times New Roman" w:eastAsia="宋体" w:hAnsi="Times New Roman"/>
                <w:color w:val="000000"/>
                <w:sz w:val="20"/>
                <w:szCs w:val="20"/>
              </w:rPr>
              <w:t>99.0 </w:t>
            </w:r>
          </w:p>
        </w:tc>
        <w:tc>
          <w:tcPr>
            <w:tcW w:w="0" w:type="auto"/>
            <w:shd w:val="clear" w:color="auto" w:fill="FFFFFF"/>
            <w:tcMar>
              <w:top w:w="40" w:type="dxa"/>
              <w:left w:w="0" w:type="dxa"/>
              <w:bottom w:w="40" w:type="dxa"/>
              <w:right w:w="20" w:type="dxa"/>
            </w:tcMar>
          </w:tcPr>
          <w:p w14:paraId="6429871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1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719" w14:textId="77777777" w:rsidR="007B6C97" w:rsidRDefault="00E426D1">
            <w:pPr>
              <w:jc w:val="right"/>
              <w:textAlignment w:val="top"/>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tcPr>
          <w:p w14:paraId="6429871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1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71C"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Please refer to </w:t>
            </w:r>
            <w:hyperlink r:id="rId132" w:anchor="ie38a2b375c9840e583a36769999bbee6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additional information. </w:t>
            </w:r>
          </w:p>
        </w:tc>
      </w:tr>
      <w:tr w:rsidR="007B6C97" w14:paraId="64298727" w14:textId="77777777">
        <w:tc>
          <w:tcPr>
            <w:tcW w:w="0" w:type="auto"/>
            <w:gridSpan w:val="3"/>
            <w:shd w:val="clear" w:color="auto" w:fill="D7E4BC"/>
            <w:tcMar>
              <w:top w:w="40" w:type="dxa"/>
              <w:left w:w="20" w:type="dxa"/>
              <w:bottom w:w="40" w:type="dxa"/>
              <w:right w:w="20" w:type="dxa"/>
            </w:tcMar>
            <w:vAlign w:val="center"/>
          </w:tcPr>
          <w:p w14:paraId="6429871E" w14:textId="77777777" w:rsidR="007B6C97" w:rsidRDefault="00E426D1">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642987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tcPr>
          <w:p w14:paraId="64298720" w14:textId="77777777" w:rsidR="007B6C97" w:rsidRDefault="00E426D1">
            <w:pPr>
              <w:jc w:val="right"/>
              <w:textAlignment w:val="top"/>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tcPr>
          <w:p w14:paraId="642987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tcPr>
          <w:p w14:paraId="64298723" w14:textId="77777777" w:rsidR="007B6C97" w:rsidRDefault="00E426D1">
            <w:pPr>
              <w:jc w:val="right"/>
              <w:textAlignment w:val="top"/>
            </w:pPr>
            <w:r>
              <w:rPr>
                <w:rFonts w:ascii="Times New Roman" w:eastAsia="宋体" w:hAnsi="Times New Roman"/>
                <w:color w:val="000000"/>
                <w:sz w:val="20"/>
                <w:szCs w:val="20"/>
              </w:rPr>
              <w:t>9.9 </w:t>
            </w:r>
          </w:p>
        </w:tc>
        <w:tc>
          <w:tcPr>
            <w:tcW w:w="0" w:type="auto"/>
            <w:shd w:val="clear" w:color="auto" w:fill="D7E4BC"/>
            <w:tcMar>
              <w:top w:w="40" w:type="dxa"/>
              <w:left w:w="0" w:type="dxa"/>
              <w:bottom w:w="40" w:type="dxa"/>
              <w:right w:w="20" w:type="dxa"/>
            </w:tcMar>
          </w:tcPr>
          <w:p w14:paraId="642987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2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8726" w14:textId="77777777" w:rsidR="007B6C97" w:rsidRDefault="00E426D1">
            <w:pPr>
              <w:textAlignment w:val="top"/>
            </w:pPr>
            <w:r>
              <w:rPr>
                <w:rFonts w:ascii="Times New Roman" w:eastAsia="宋体" w:hAnsi="Times New Roman"/>
                <w:color w:val="000000"/>
                <w:sz w:val="20"/>
                <w:szCs w:val="20"/>
              </w:rPr>
              <w:t>Interest expense</w:t>
            </w:r>
          </w:p>
        </w:tc>
      </w:tr>
      <w:tr w:rsidR="007B6C97" w14:paraId="6429872F" w14:textId="77777777">
        <w:trPr>
          <w:hidden/>
        </w:trPr>
        <w:tc>
          <w:tcPr>
            <w:tcW w:w="0" w:type="auto"/>
            <w:gridSpan w:val="3"/>
            <w:shd w:val="clear" w:color="auto" w:fill="auto"/>
            <w:vAlign w:val="bottom"/>
          </w:tcPr>
          <w:p w14:paraId="64298728" w14:textId="77777777" w:rsidR="007B6C97" w:rsidRDefault="007B6C97">
            <w:pPr>
              <w:rPr>
                <w:rFonts w:ascii="宋体"/>
                <w:vanish/>
              </w:rPr>
            </w:pPr>
          </w:p>
        </w:tc>
        <w:tc>
          <w:tcPr>
            <w:tcW w:w="0" w:type="auto"/>
            <w:gridSpan w:val="3"/>
            <w:shd w:val="clear" w:color="auto" w:fill="auto"/>
            <w:vAlign w:val="bottom"/>
          </w:tcPr>
          <w:p w14:paraId="64298729" w14:textId="77777777" w:rsidR="007B6C97" w:rsidRDefault="007B6C97">
            <w:pPr>
              <w:rPr>
                <w:rFonts w:ascii="宋体"/>
                <w:vanish/>
              </w:rPr>
            </w:pPr>
          </w:p>
        </w:tc>
        <w:tc>
          <w:tcPr>
            <w:tcW w:w="0" w:type="auto"/>
            <w:gridSpan w:val="3"/>
            <w:shd w:val="clear" w:color="auto" w:fill="auto"/>
            <w:vAlign w:val="bottom"/>
          </w:tcPr>
          <w:p w14:paraId="6429872A" w14:textId="77777777" w:rsidR="007B6C97" w:rsidRDefault="007B6C97">
            <w:pPr>
              <w:rPr>
                <w:rFonts w:ascii="宋体"/>
                <w:vanish/>
              </w:rPr>
            </w:pPr>
          </w:p>
        </w:tc>
        <w:tc>
          <w:tcPr>
            <w:tcW w:w="0" w:type="auto"/>
            <w:gridSpan w:val="3"/>
            <w:shd w:val="clear" w:color="auto" w:fill="auto"/>
            <w:vAlign w:val="bottom"/>
          </w:tcPr>
          <w:p w14:paraId="6429872B" w14:textId="77777777" w:rsidR="007B6C97" w:rsidRDefault="007B6C97">
            <w:pPr>
              <w:rPr>
                <w:rFonts w:ascii="宋体"/>
                <w:vanish/>
              </w:rPr>
            </w:pPr>
          </w:p>
        </w:tc>
        <w:tc>
          <w:tcPr>
            <w:tcW w:w="0" w:type="auto"/>
            <w:gridSpan w:val="3"/>
            <w:shd w:val="clear" w:color="auto" w:fill="auto"/>
            <w:vAlign w:val="bottom"/>
          </w:tcPr>
          <w:p w14:paraId="6429872C" w14:textId="77777777" w:rsidR="007B6C97" w:rsidRDefault="007B6C97">
            <w:pPr>
              <w:rPr>
                <w:rFonts w:ascii="宋体"/>
                <w:vanish/>
              </w:rPr>
            </w:pPr>
          </w:p>
        </w:tc>
        <w:tc>
          <w:tcPr>
            <w:tcW w:w="0" w:type="auto"/>
            <w:gridSpan w:val="3"/>
            <w:shd w:val="clear" w:color="auto" w:fill="auto"/>
            <w:vAlign w:val="bottom"/>
          </w:tcPr>
          <w:p w14:paraId="6429872D" w14:textId="77777777" w:rsidR="007B6C97" w:rsidRDefault="007B6C97">
            <w:pPr>
              <w:rPr>
                <w:rFonts w:ascii="宋体"/>
                <w:vanish/>
              </w:rPr>
            </w:pPr>
          </w:p>
        </w:tc>
        <w:tc>
          <w:tcPr>
            <w:tcW w:w="0" w:type="auto"/>
            <w:gridSpan w:val="3"/>
            <w:shd w:val="clear" w:color="auto" w:fill="auto"/>
            <w:vAlign w:val="bottom"/>
          </w:tcPr>
          <w:p w14:paraId="6429872E" w14:textId="77777777" w:rsidR="007B6C97" w:rsidRDefault="007B6C97">
            <w:pPr>
              <w:rPr>
                <w:rFonts w:ascii="宋体"/>
                <w:vanish/>
              </w:rPr>
            </w:pPr>
          </w:p>
        </w:tc>
      </w:tr>
      <w:tr w:rsidR="007B6C97" w14:paraId="64298737" w14:textId="77777777">
        <w:trPr>
          <w:hidden/>
        </w:trPr>
        <w:tc>
          <w:tcPr>
            <w:tcW w:w="0" w:type="auto"/>
            <w:gridSpan w:val="3"/>
            <w:shd w:val="clear" w:color="auto" w:fill="auto"/>
            <w:vAlign w:val="bottom"/>
          </w:tcPr>
          <w:p w14:paraId="64298730" w14:textId="77777777" w:rsidR="007B6C97" w:rsidRDefault="007B6C97">
            <w:pPr>
              <w:rPr>
                <w:rFonts w:ascii="宋体"/>
                <w:vanish/>
              </w:rPr>
            </w:pPr>
          </w:p>
        </w:tc>
        <w:tc>
          <w:tcPr>
            <w:tcW w:w="0" w:type="auto"/>
            <w:gridSpan w:val="3"/>
            <w:shd w:val="clear" w:color="auto" w:fill="auto"/>
            <w:vAlign w:val="bottom"/>
          </w:tcPr>
          <w:p w14:paraId="64298731" w14:textId="77777777" w:rsidR="007B6C97" w:rsidRDefault="007B6C97">
            <w:pPr>
              <w:rPr>
                <w:rFonts w:ascii="宋体"/>
                <w:vanish/>
              </w:rPr>
            </w:pPr>
          </w:p>
        </w:tc>
        <w:tc>
          <w:tcPr>
            <w:tcW w:w="0" w:type="auto"/>
            <w:gridSpan w:val="3"/>
            <w:shd w:val="clear" w:color="auto" w:fill="auto"/>
            <w:vAlign w:val="bottom"/>
          </w:tcPr>
          <w:p w14:paraId="64298732" w14:textId="77777777" w:rsidR="007B6C97" w:rsidRDefault="007B6C97">
            <w:pPr>
              <w:rPr>
                <w:rFonts w:ascii="宋体"/>
                <w:vanish/>
              </w:rPr>
            </w:pPr>
          </w:p>
        </w:tc>
        <w:tc>
          <w:tcPr>
            <w:tcW w:w="0" w:type="auto"/>
            <w:gridSpan w:val="3"/>
            <w:shd w:val="clear" w:color="auto" w:fill="auto"/>
            <w:vAlign w:val="bottom"/>
          </w:tcPr>
          <w:p w14:paraId="64298733" w14:textId="77777777" w:rsidR="007B6C97" w:rsidRDefault="007B6C97">
            <w:pPr>
              <w:rPr>
                <w:rFonts w:ascii="宋体"/>
                <w:vanish/>
              </w:rPr>
            </w:pPr>
          </w:p>
        </w:tc>
        <w:tc>
          <w:tcPr>
            <w:tcW w:w="0" w:type="auto"/>
            <w:gridSpan w:val="3"/>
            <w:shd w:val="clear" w:color="auto" w:fill="auto"/>
            <w:vAlign w:val="bottom"/>
          </w:tcPr>
          <w:p w14:paraId="64298734" w14:textId="77777777" w:rsidR="007B6C97" w:rsidRDefault="007B6C97">
            <w:pPr>
              <w:rPr>
                <w:rFonts w:ascii="宋体"/>
                <w:vanish/>
              </w:rPr>
            </w:pPr>
          </w:p>
        </w:tc>
        <w:tc>
          <w:tcPr>
            <w:tcW w:w="0" w:type="auto"/>
            <w:gridSpan w:val="3"/>
            <w:shd w:val="clear" w:color="auto" w:fill="auto"/>
            <w:vAlign w:val="bottom"/>
          </w:tcPr>
          <w:p w14:paraId="64298735" w14:textId="77777777" w:rsidR="007B6C97" w:rsidRDefault="007B6C97">
            <w:pPr>
              <w:rPr>
                <w:rFonts w:ascii="宋体"/>
                <w:vanish/>
              </w:rPr>
            </w:pPr>
          </w:p>
        </w:tc>
        <w:tc>
          <w:tcPr>
            <w:tcW w:w="0" w:type="auto"/>
            <w:gridSpan w:val="3"/>
            <w:shd w:val="clear" w:color="auto" w:fill="auto"/>
            <w:vAlign w:val="bottom"/>
          </w:tcPr>
          <w:p w14:paraId="64298736" w14:textId="77777777" w:rsidR="007B6C97" w:rsidRDefault="007B6C97">
            <w:pPr>
              <w:rPr>
                <w:rFonts w:ascii="宋体"/>
                <w:vanish/>
              </w:rPr>
            </w:pPr>
          </w:p>
        </w:tc>
      </w:tr>
      <w:tr w:rsidR="007B6C97" w14:paraId="6429873F" w14:textId="77777777">
        <w:trPr>
          <w:hidden/>
        </w:trPr>
        <w:tc>
          <w:tcPr>
            <w:tcW w:w="0" w:type="auto"/>
            <w:gridSpan w:val="3"/>
            <w:shd w:val="clear" w:color="auto" w:fill="auto"/>
            <w:vAlign w:val="bottom"/>
          </w:tcPr>
          <w:p w14:paraId="64298738" w14:textId="77777777" w:rsidR="007B6C97" w:rsidRDefault="007B6C97">
            <w:pPr>
              <w:rPr>
                <w:rFonts w:ascii="宋体"/>
                <w:vanish/>
              </w:rPr>
            </w:pPr>
          </w:p>
        </w:tc>
        <w:tc>
          <w:tcPr>
            <w:tcW w:w="0" w:type="auto"/>
            <w:gridSpan w:val="3"/>
            <w:shd w:val="clear" w:color="auto" w:fill="auto"/>
            <w:vAlign w:val="bottom"/>
          </w:tcPr>
          <w:p w14:paraId="64298739" w14:textId="77777777" w:rsidR="007B6C97" w:rsidRDefault="007B6C97">
            <w:pPr>
              <w:rPr>
                <w:rFonts w:ascii="宋体"/>
                <w:vanish/>
              </w:rPr>
            </w:pPr>
          </w:p>
        </w:tc>
        <w:tc>
          <w:tcPr>
            <w:tcW w:w="0" w:type="auto"/>
            <w:gridSpan w:val="3"/>
            <w:shd w:val="clear" w:color="auto" w:fill="auto"/>
            <w:vAlign w:val="bottom"/>
          </w:tcPr>
          <w:p w14:paraId="6429873A" w14:textId="77777777" w:rsidR="007B6C97" w:rsidRDefault="007B6C97">
            <w:pPr>
              <w:rPr>
                <w:rFonts w:ascii="宋体"/>
                <w:vanish/>
              </w:rPr>
            </w:pPr>
          </w:p>
        </w:tc>
        <w:tc>
          <w:tcPr>
            <w:tcW w:w="0" w:type="auto"/>
            <w:gridSpan w:val="3"/>
            <w:shd w:val="clear" w:color="auto" w:fill="auto"/>
            <w:vAlign w:val="bottom"/>
          </w:tcPr>
          <w:p w14:paraId="6429873B" w14:textId="77777777" w:rsidR="007B6C97" w:rsidRDefault="007B6C97">
            <w:pPr>
              <w:rPr>
                <w:rFonts w:ascii="宋体"/>
                <w:vanish/>
              </w:rPr>
            </w:pPr>
          </w:p>
        </w:tc>
        <w:tc>
          <w:tcPr>
            <w:tcW w:w="0" w:type="auto"/>
            <w:gridSpan w:val="3"/>
            <w:shd w:val="clear" w:color="auto" w:fill="auto"/>
            <w:vAlign w:val="bottom"/>
          </w:tcPr>
          <w:p w14:paraId="6429873C" w14:textId="77777777" w:rsidR="007B6C97" w:rsidRDefault="007B6C97">
            <w:pPr>
              <w:rPr>
                <w:rFonts w:ascii="宋体"/>
                <w:vanish/>
              </w:rPr>
            </w:pPr>
          </w:p>
        </w:tc>
        <w:tc>
          <w:tcPr>
            <w:tcW w:w="0" w:type="auto"/>
            <w:gridSpan w:val="3"/>
            <w:shd w:val="clear" w:color="auto" w:fill="auto"/>
            <w:vAlign w:val="bottom"/>
          </w:tcPr>
          <w:p w14:paraId="6429873D" w14:textId="77777777" w:rsidR="007B6C97" w:rsidRDefault="007B6C97">
            <w:pPr>
              <w:rPr>
                <w:rFonts w:ascii="宋体"/>
                <w:vanish/>
              </w:rPr>
            </w:pPr>
          </w:p>
        </w:tc>
        <w:tc>
          <w:tcPr>
            <w:tcW w:w="0" w:type="auto"/>
            <w:gridSpan w:val="3"/>
            <w:shd w:val="clear" w:color="auto" w:fill="auto"/>
            <w:vAlign w:val="bottom"/>
          </w:tcPr>
          <w:p w14:paraId="6429873E" w14:textId="77777777" w:rsidR="007B6C97" w:rsidRDefault="007B6C97">
            <w:pPr>
              <w:rPr>
                <w:rFonts w:ascii="宋体"/>
                <w:vanish/>
              </w:rPr>
            </w:pPr>
          </w:p>
        </w:tc>
      </w:tr>
      <w:tr w:rsidR="007B6C97" w14:paraId="64298749" w14:textId="77777777">
        <w:tc>
          <w:tcPr>
            <w:tcW w:w="0" w:type="auto"/>
            <w:gridSpan w:val="3"/>
            <w:shd w:val="clear" w:color="auto" w:fill="FFFFFF"/>
            <w:tcMar>
              <w:top w:w="0" w:type="dxa"/>
              <w:left w:w="20" w:type="dxa"/>
              <w:bottom w:w="0" w:type="dxa"/>
              <w:right w:w="20" w:type="dxa"/>
            </w:tcMar>
            <w:vAlign w:val="bottom"/>
          </w:tcPr>
          <w:p w14:paraId="6429874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741"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4298742" w14:textId="77777777" w:rsidR="007B6C97" w:rsidRDefault="00E426D1">
            <w:pPr>
              <w:jc w:val="right"/>
              <w:textAlignment w:val="top"/>
            </w:pPr>
            <w:r>
              <w:rPr>
                <w:rFonts w:ascii="Times New Roman" w:eastAsia="宋体" w:hAnsi="Times New Roman"/>
                <w:color w:val="000000"/>
                <w:sz w:val="20"/>
                <w:szCs w:val="20"/>
              </w:rPr>
              <w:t>109.5 </w:t>
            </w:r>
          </w:p>
        </w:tc>
        <w:tc>
          <w:tcPr>
            <w:tcW w:w="0" w:type="auto"/>
            <w:tcBorders>
              <w:top w:val="single" w:sz="8" w:space="0" w:color="000000"/>
            </w:tcBorders>
            <w:shd w:val="clear" w:color="auto" w:fill="FFFFFF"/>
            <w:tcMar>
              <w:top w:w="40" w:type="dxa"/>
              <w:left w:w="0" w:type="dxa"/>
              <w:bottom w:w="40" w:type="dxa"/>
              <w:right w:w="20" w:type="dxa"/>
            </w:tcMar>
          </w:tcPr>
          <w:p w14:paraId="6429874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44"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4298745" w14:textId="77777777" w:rsidR="007B6C97" w:rsidRDefault="00E426D1">
            <w:pPr>
              <w:jc w:val="right"/>
              <w:textAlignment w:val="top"/>
            </w:pPr>
            <w:r>
              <w:rPr>
                <w:rFonts w:ascii="Times New Roman" w:eastAsia="宋体" w:hAnsi="Times New Roman"/>
                <w:color w:val="000000"/>
                <w:sz w:val="20"/>
                <w:szCs w:val="20"/>
              </w:rPr>
              <w:t>13.1 </w:t>
            </w:r>
          </w:p>
        </w:tc>
        <w:tc>
          <w:tcPr>
            <w:tcW w:w="0" w:type="auto"/>
            <w:tcBorders>
              <w:top w:val="single" w:sz="8" w:space="0" w:color="000000"/>
            </w:tcBorders>
            <w:shd w:val="clear" w:color="auto" w:fill="FFFFFF"/>
            <w:tcMar>
              <w:top w:w="40" w:type="dxa"/>
              <w:left w:w="0" w:type="dxa"/>
              <w:bottom w:w="40" w:type="dxa"/>
              <w:right w:w="20" w:type="dxa"/>
            </w:tcMar>
          </w:tcPr>
          <w:p w14:paraId="6429874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47"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748" w14:textId="77777777" w:rsidR="007B6C97" w:rsidRDefault="00E426D1">
            <w:pPr>
              <w:textAlignment w:val="top"/>
            </w:pPr>
            <w:r>
              <w:rPr>
                <w:rFonts w:ascii="Times New Roman" w:eastAsia="宋体" w:hAnsi="Times New Roman"/>
                <w:color w:val="000000"/>
                <w:sz w:val="20"/>
                <w:szCs w:val="20"/>
              </w:rPr>
              <w:t>Total before tax</w:t>
            </w:r>
          </w:p>
        </w:tc>
      </w:tr>
      <w:tr w:rsidR="007B6C97" w14:paraId="64298753" w14:textId="77777777">
        <w:tc>
          <w:tcPr>
            <w:tcW w:w="0" w:type="auto"/>
            <w:gridSpan w:val="3"/>
            <w:shd w:val="clear" w:color="auto" w:fill="D7E4BC"/>
            <w:tcMar>
              <w:top w:w="0" w:type="dxa"/>
              <w:left w:w="20" w:type="dxa"/>
              <w:bottom w:w="0" w:type="dxa"/>
              <w:right w:w="20" w:type="dxa"/>
            </w:tcMar>
            <w:vAlign w:val="bottom"/>
          </w:tcPr>
          <w:p w14:paraId="6429874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74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874C" w14:textId="77777777" w:rsidR="007B6C97" w:rsidRDefault="00E426D1">
            <w:pPr>
              <w:jc w:val="right"/>
              <w:textAlignment w:val="center"/>
            </w:pPr>
            <w:r>
              <w:rPr>
                <w:rFonts w:ascii="Times New Roman" w:eastAsia="宋体" w:hAnsi="Times New Roman"/>
                <w:color w:val="000000"/>
                <w:sz w:val="20"/>
                <w:szCs w:val="20"/>
              </w:rPr>
              <w:t>(18.7)</w:t>
            </w:r>
          </w:p>
        </w:tc>
        <w:tc>
          <w:tcPr>
            <w:tcW w:w="0" w:type="auto"/>
            <w:shd w:val="clear" w:color="auto" w:fill="D7E4BC"/>
            <w:tcMar>
              <w:top w:w="40" w:type="dxa"/>
              <w:left w:w="0" w:type="dxa"/>
              <w:bottom w:w="40" w:type="dxa"/>
              <w:right w:w="20" w:type="dxa"/>
            </w:tcMar>
            <w:vAlign w:val="center"/>
          </w:tcPr>
          <w:p w14:paraId="6429874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4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874F" w14:textId="77777777" w:rsidR="007B6C97" w:rsidRDefault="00E426D1">
            <w:pPr>
              <w:jc w:val="right"/>
              <w:textAlignment w:val="center"/>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center"/>
          </w:tcPr>
          <w:p w14:paraId="642987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51"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8752" w14:textId="77777777" w:rsidR="007B6C97" w:rsidRDefault="00E426D1">
            <w:pPr>
              <w:textAlignment w:val="top"/>
            </w:pPr>
            <w:r>
              <w:rPr>
                <w:rFonts w:ascii="Times New Roman" w:eastAsia="宋体" w:hAnsi="Times New Roman"/>
                <w:color w:val="000000"/>
                <w:sz w:val="20"/>
                <w:szCs w:val="20"/>
              </w:rPr>
              <w:t>Tax expense</w:t>
            </w:r>
          </w:p>
        </w:tc>
      </w:tr>
      <w:tr w:rsidR="007B6C97" w14:paraId="6429875F" w14:textId="77777777">
        <w:tc>
          <w:tcPr>
            <w:tcW w:w="0" w:type="auto"/>
            <w:gridSpan w:val="3"/>
            <w:shd w:val="clear" w:color="auto" w:fill="FFFFFF"/>
            <w:tcMar>
              <w:top w:w="0" w:type="dxa"/>
              <w:left w:w="20" w:type="dxa"/>
              <w:bottom w:w="0" w:type="dxa"/>
              <w:right w:w="20" w:type="dxa"/>
            </w:tcMar>
            <w:vAlign w:val="bottom"/>
          </w:tcPr>
          <w:p w14:paraId="6429875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755"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64298756"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64298757" w14:textId="77777777" w:rsidR="007B6C97" w:rsidRDefault="00E426D1">
            <w:pPr>
              <w:jc w:val="right"/>
              <w:textAlignment w:val="top"/>
            </w:pPr>
            <w:r>
              <w:rPr>
                <w:rFonts w:ascii="Times New Roman" w:eastAsia="宋体" w:hAnsi="Times New Roman"/>
                <w:color w:val="000000"/>
                <w:sz w:val="20"/>
                <w:szCs w:val="20"/>
              </w:rPr>
              <w:t>90.8 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6429875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59"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6429875A" w14:textId="77777777" w:rsidR="007B6C97" w:rsidRDefault="00E426D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6429875B" w14:textId="77777777" w:rsidR="007B6C97" w:rsidRDefault="00E426D1">
            <w:pPr>
              <w:jc w:val="right"/>
              <w:textAlignment w:val="top"/>
            </w:pPr>
            <w:r>
              <w:rPr>
                <w:rFonts w:ascii="Times New Roman" w:eastAsia="宋体" w:hAnsi="Times New Roman"/>
                <w:color w:val="000000"/>
                <w:sz w:val="20"/>
                <w:szCs w:val="20"/>
              </w:rPr>
              <w:t>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6429875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5D"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875E" w14:textId="77777777" w:rsidR="007B6C97" w:rsidRDefault="00E426D1">
            <w:pPr>
              <w:textAlignment w:val="top"/>
            </w:pPr>
            <w:r>
              <w:rPr>
                <w:rFonts w:ascii="Times New Roman" w:eastAsia="宋体" w:hAnsi="Times New Roman"/>
                <w:color w:val="000000"/>
                <w:sz w:val="20"/>
                <w:szCs w:val="20"/>
              </w:rPr>
              <w:t>Net of tax</w:t>
            </w:r>
          </w:p>
        </w:tc>
      </w:tr>
      <w:tr w:rsidR="007B6C97" w14:paraId="64298773" w14:textId="77777777">
        <w:trPr>
          <w:hidden/>
        </w:trPr>
        <w:tc>
          <w:tcPr>
            <w:tcW w:w="0" w:type="auto"/>
            <w:gridSpan w:val="3"/>
            <w:shd w:val="clear" w:color="auto" w:fill="auto"/>
            <w:vAlign w:val="bottom"/>
          </w:tcPr>
          <w:p w14:paraId="64298760" w14:textId="77777777" w:rsidR="007B6C97" w:rsidRDefault="007B6C97">
            <w:pPr>
              <w:rPr>
                <w:rFonts w:ascii="宋体"/>
                <w:vanish/>
              </w:rPr>
            </w:pPr>
          </w:p>
        </w:tc>
        <w:tc>
          <w:tcPr>
            <w:tcW w:w="0" w:type="auto"/>
            <w:shd w:val="clear" w:color="auto" w:fill="auto"/>
            <w:vAlign w:val="bottom"/>
          </w:tcPr>
          <w:p w14:paraId="64298761" w14:textId="77777777" w:rsidR="007B6C97" w:rsidRDefault="007B6C97">
            <w:pPr>
              <w:rPr>
                <w:rFonts w:ascii="宋体"/>
              </w:rPr>
            </w:pPr>
          </w:p>
        </w:tc>
        <w:tc>
          <w:tcPr>
            <w:tcW w:w="0" w:type="auto"/>
            <w:shd w:val="clear" w:color="auto" w:fill="auto"/>
            <w:vAlign w:val="bottom"/>
          </w:tcPr>
          <w:p w14:paraId="64298762" w14:textId="77777777" w:rsidR="007B6C97" w:rsidRDefault="007B6C97">
            <w:pPr>
              <w:rPr>
                <w:rFonts w:ascii="宋体"/>
              </w:rPr>
            </w:pPr>
          </w:p>
        </w:tc>
        <w:tc>
          <w:tcPr>
            <w:tcW w:w="0" w:type="auto"/>
            <w:shd w:val="clear" w:color="auto" w:fill="auto"/>
            <w:vAlign w:val="bottom"/>
          </w:tcPr>
          <w:p w14:paraId="64298763" w14:textId="77777777" w:rsidR="007B6C97" w:rsidRDefault="007B6C97">
            <w:pPr>
              <w:rPr>
                <w:rFonts w:ascii="宋体"/>
              </w:rPr>
            </w:pPr>
          </w:p>
        </w:tc>
        <w:tc>
          <w:tcPr>
            <w:tcW w:w="0" w:type="auto"/>
            <w:shd w:val="clear" w:color="auto" w:fill="auto"/>
            <w:vAlign w:val="bottom"/>
          </w:tcPr>
          <w:p w14:paraId="64298764" w14:textId="77777777" w:rsidR="007B6C97" w:rsidRDefault="007B6C97">
            <w:pPr>
              <w:rPr>
                <w:rFonts w:ascii="宋体"/>
              </w:rPr>
            </w:pPr>
          </w:p>
        </w:tc>
        <w:tc>
          <w:tcPr>
            <w:tcW w:w="0" w:type="auto"/>
            <w:shd w:val="clear" w:color="auto" w:fill="auto"/>
            <w:vAlign w:val="bottom"/>
          </w:tcPr>
          <w:p w14:paraId="64298765" w14:textId="77777777" w:rsidR="007B6C97" w:rsidRDefault="007B6C97">
            <w:pPr>
              <w:rPr>
                <w:rFonts w:ascii="宋体"/>
              </w:rPr>
            </w:pPr>
          </w:p>
        </w:tc>
        <w:tc>
          <w:tcPr>
            <w:tcW w:w="0" w:type="auto"/>
            <w:shd w:val="clear" w:color="auto" w:fill="auto"/>
            <w:vAlign w:val="bottom"/>
          </w:tcPr>
          <w:p w14:paraId="64298766" w14:textId="77777777" w:rsidR="007B6C97" w:rsidRDefault="007B6C97">
            <w:pPr>
              <w:rPr>
                <w:rFonts w:ascii="宋体"/>
              </w:rPr>
            </w:pPr>
          </w:p>
        </w:tc>
        <w:tc>
          <w:tcPr>
            <w:tcW w:w="0" w:type="auto"/>
            <w:shd w:val="clear" w:color="auto" w:fill="auto"/>
            <w:vAlign w:val="bottom"/>
          </w:tcPr>
          <w:p w14:paraId="64298767" w14:textId="77777777" w:rsidR="007B6C97" w:rsidRDefault="007B6C97">
            <w:pPr>
              <w:rPr>
                <w:rFonts w:ascii="宋体"/>
              </w:rPr>
            </w:pPr>
          </w:p>
        </w:tc>
        <w:tc>
          <w:tcPr>
            <w:tcW w:w="0" w:type="auto"/>
            <w:shd w:val="clear" w:color="auto" w:fill="auto"/>
            <w:vAlign w:val="bottom"/>
          </w:tcPr>
          <w:p w14:paraId="64298768" w14:textId="77777777" w:rsidR="007B6C97" w:rsidRDefault="007B6C97">
            <w:pPr>
              <w:rPr>
                <w:rFonts w:ascii="宋体"/>
              </w:rPr>
            </w:pPr>
          </w:p>
        </w:tc>
        <w:tc>
          <w:tcPr>
            <w:tcW w:w="0" w:type="auto"/>
            <w:shd w:val="clear" w:color="auto" w:fill="auto"/>
            <w:vAlign w:val="bottom"/>
          </w:tcPr>
          <w:p w14:paraId="64298769" w14:textId="77777777" w:rsidR="007B6C97" w:rsidRDefault="007B6C97">
            <w:pPr>
              <w:rPr>
                <w:rFonts w:ascii="宋体"/>
              </w:rPr>
            </w:pPr>
          </w:p>
        </w:tc>
        <w:tc>
          <w:tcPr>
            <w:tcW w:w="0" w:type="auto"/>
            <w:shd w:val="clear" w:color="auto" w:fill="auto"/>
            <w:vAlign w:val="bottom"/>
          </w:tcPr>
          <w:p w14:paraId="6429876A" w14:textId="77777777" w:rsidR="007B6C97" w:rsidRDefault="007B6C97">
            <w:pPr>
              <w:rPr>
                <w:rFonts w:ascii="宋体"/>
              </w:rPr>
            </w:pPr>
          </w:p>
        </w:tc>
        <w:tc>
          <w:tcPr>
            <w:tcW w:w="0" w:type="auto"/>
            <w:shd w:val="clear" w:color="auto" w:fill="auto"/>
            <w:vAlign w:val="bottom"/>
          </w:tcPr>
          <w:p w14:paraId="6429876B" w14:textId="77777777" w:rsidR="007B6C97" w:rsidRDefault="007B6C97">
            <w:pPr>
              <w:rPr>
                <w:rFonts w:ascii="宋体"/>
              </w:rPr>
            </w:pPr>
          </w:p>
        </w:tc>
        <w:tc>
          <w:tcPr>
            <w:tcW w:w="0" w:type="auto"/>
            <w:shd w:val="clear" w:color="auto" w:fill="auto"/>
            <w:vAlign w:val="bottom"/>
          </w:tcPr>
          <w:p w14:paraId="6429876C" w14:textId="77777777" w:rsidR="007B6C97" w:rsidRDefault="007B6C97">
            <w:pPr>
              <w:rPr>
                <w:rFonts w:ascii="宋体"/>
              </w:rPr>
            </w:pPr>
          </w:p>
        </w:tc>
        <w:tc>
          <w:tcPr>
            <w:tcW w:w="0" w:type="auto"/>
            <w:shd w:val="clear" w:color="auto" w:fill="auto"/>
            <w:vAlign w:val="bottom"/>
          </w:tcPr>
          <w:p w14:paraId="6429876D" w14:textId="77777777" w:rsidR="007B6C97" w:rsidRDefault="007B6C97">
            <w:pPr>
              <w:rPr>
                <w:rFonts w:ascii="宋体"/>
              </w:rPr>
            </w:pPr>
          </w:p>
        </w:tc>
        <w:tc>
          <w:tcPr>
            <w:tcW w:w="0" w:type="auto"/>
            <w:shd w:val="clear" w:color="auto" w:fill="auto"/>
            <w:vAlign w:val="bottom"/>
          </w:tcPr>
          <w:p w14:paraId="6429876E" w14:textId="77777777" w:rsidR="007B6C97" w:rsidRDefault="007B6C97">
            <w:pPr>
              <w:rPr>
                <w:rFonts w:ascii="宋体"/>
              </w:rPr>
            </w:pPr>
          </w:p>
        </w:tc>
        <w:tc>
          <w:tcPr>
            <w:tcW w:w="0" w:type="auto"/>
            <w:shd w:val="clear" w:color="auto" w:fill="auto"/>
            <w:vAlign w:val="bottom"/>
          </w:tcPr>
          <w:p w14:paraId="6429876F" w14:textId="77777777" w:rsidR="007B6C97" w:rsidRDefault="007B6C97">
            <w:pPr>
              <w:rPr>
                <w:rFonts w:ascii="宋体"/>
              </w:rPr>
            </w:pPr>
          </w:p>
        </w:tc>
        <w:tc>
          <w:tcPr>
            <w:tcW w:w="0" w:type="auto"/>
            <w:shd w:val="clear" w:color="auto" w:fill="auto"/>
            <w:vAlign w:val="bottom"/>
          </w:tcPr>
          <w:p w14:paraId="64298770" w14:textId="77777777" w:rsidR="007B6C97" w:rsidRDefault="007B6C97">
            <w:pPr>
              <w:rPr>
                <w:rFonts w:ascii="宋体"/>
              </w:rPr>
            </w:pPr>
          </w:p>
        </w:tc>
        <w:tc>
          <w:tcPr>
            <w:tcW w:w="0" w:type="auto"/>
            <w:shd w:val="clear" w:color="auto" w:fill="auto"/>
            <w:vAlign w:val="bottom"/>
          </w:tcPr>
          <w:p w14:paraId="64298771" w14:textId="77777777" w:rsidR="007B6C97" w:rsidRDefault="007B6C97">
            <w:pPr>
              <w:rPr>
                <w:rFonts w:ascii="宋体"/>
              </w:rPr>
            </w:pPr>
          </w:p>
        </w:tc>
        <w:tc>
          <w:tcPr>
            <w:tcW w:w="0" w:type="auto"/>
            <w:shd w:val="clear" w:color="auto" w:fill="auto"/>
            <w:vAlign w:val="bottom"/>
          </w:tcPr>
          <w:p w14:paraId="64298772" w14:textId="77777777" w:rsidR="007B6C97" w:rsidRDefault="007B6C97">
            <w:pPr>
              <w:rPr>
                <w:rFonts w:ascii="宋体"/>
              </w:rPr>
            </w:pPr>
          </w:p>
        </w:tc>
      </w:tr>
    </w:tbl>
    <w:p w14:paraId="64298774" w14:textId="77777777" w:rsidR="007B6C97" w:rsidRDefault="00E426D1">
      <w:pPr>
        <w:spacing w:before="120"/>
      </w:pPr>
      <w:r>
        <w:rPr>
          <w:rFonts w:ascii="Times New Roman" w:eastAsia="宋体" w:hAnsi="Times New Roman"/>
          <w:color w:val="000000"/>
          <w:sz w:val="20"/>
          <w:szCs w:val="20"/>
        </w:rPr>
        <w:t>In addition to 2.4 billion shares of authorized common stock with $0.001 par value per share, the Company has authorized 7.5 million shares of preferred stock, none of which was outstanding as of July 3, 2022.</w:t>
      </w:r>
    </w:p>
    <w:p w14:paraId="64298775" w14:textId="77777777" w:rsidR="007B6C97" w:rsidRDefault="00E426D1">
      <w:pPr>
        <w:spacing w:before="120"/>
      </w:pPr>
      <w:r>
        <w:rPr>
          <w:rFonts w:ascii="Times New Roman" w:eastAsia="宋体" w:hAnsi="Times New Roman"/>
          <w:color w:val="000000"/>
          <w:sz w:val="20"/>
          <w:szCs w:val="20"/>
        </w:rPr>
        <w:t>During the three quarters ended July 3, 2022, we repurchased 36.3 million shares of common stock for $4.0 billion. On March 15, 2022, we announced that our Board of Directors authorized the repurchase of up to an additional 40 million shares under our ongo</w:t>
      </w:r>
      <w:r>
        <w:rPr>
          <w:rFonts w:ascii="Times New Roman" w:eastAsia="宋体" w:hAnsi="Times New Roman"/>
          <w:color w:val="000000"/>
          <w:sz w:val="20"/>
          <w:szCs w:val="20"/>
        </w:rPr>
        <w:t>ing share repurchase program. On April 4, 2022, we announced a temporary suspension of our share repurchase program to allow us to augment investments in our stores and partners. Repurchases pursuant to this program were last made on April 1, 2022. As of J</w:t>
      </w:r>
      <w:r>
        <w:rPr>
          <w:rFonts w:ascii="Times New Roman" w:eastAsia="宋体" w:hAnsi="Times New Roman"/>
          <w:color w:val="000000"/>
          <w:sz w:val="20"/>
          <w:szCs w:val="20"/>
        </w:rPr>
        <w:t>uly 3, 2022, 52.6 million shares remained available for repurchase under current authorizations.</w:t>
      </w:r>
    </w:p>
    <w:p w14:paraId="64298776" w14:textId="77777777" w:rsidR="007B6C97" w:rsidRDefault="00E426D1">
      <w:pPr>
        <w:spacing w:before="120"/>
      </w:pPr>
      <w:r>
        <w:rPr>
          <w:rFonts w:ascii="Times New Roman" w:eastAsia="宋体" w:hAnsi="Times New Roman"/>
          <w:color w:val="000000"/>
          <w:sz w:val="20"/>
          <w:szCs w:val="20"/>
        </w:rPr>
        <w:t xml:space="preserve">During the third quarter of fiscal 2022, our Board of Directors approved a quarterly cash dividend to shareholders of $0.49 per share to be paid on August 26, </w:t>
      </w:r>
      <w:r>
        <w:rPr>
          <w:rFonts w:ascii="Times New Roman" w:eastAsia="宋体" w:hAnsi="Times New Roman"/>
          <w:color w:val="000000"/>
          <w:sz w:val="20"/>
          <w:szCs w:val="20"/>
        </w:rPr>
        <w:t>2022 to shareholders of record as of the close of business on August 12, 2022.</w:t>
      </w:r>
    </w:p>
    <w:p w14:paraId="64298777" w14:textId="77777777" w:rsidR="007B6C97" w:rsidRDefault="00E426D1">
      <w:pPr>
        <w:spacing w:before="120"/>
      </w:pPr>
      <w:r>
        <w:rPr>
          <w:rFonts w:ascii="Times New Roman" w:eastAsia="宋体" w:hAnsi="Times New Roman"/>
          <w:b/>
          <w:bCs/>
          <w:color w:val="000000"/>
          <w:sz w:val="20"/>
          <w:szCs w:val="20"/>
        </w:rPr>
        <w:t>Note 11: Employee Stock Plans</w:t>
      </w:r>
    </w:p>
    <w:p w14:paraId="64298778" w14:textId="77777777" w:rsidR="007B6C97" w:rsidRDefault="00E426D1">
      <w:pPr>
        <w:spacing w:before="120"/>
      </w:pPr>
      <w:r>
        <w:rPr>
          <w:rFonts w:ascii="Times New Roman" w:eastAsia="宋体" w:hAnsi="Times New Roman"/>
          <w:color w:val="000000"/>
          <w:sz w:val="20"/>
          <w:szCs w:val="20"/>
        </w:rPr>
        <w:t>As of July 3, 2022, there were 99.6 million shares of common stock available for issuance pursuant to future equity-based compensation awards and 1</w:t>
      </w:r>
      <w:r>
        <w:rPr>
          <w:rFonts w:ascii="Times New Roman" w:eastAsia="宋体" w:hAnsi="Times New Roman"/>
          <w:color w:val="000000"/>
          <w:sz w:val="20"/>
          <w:szCs w:val="20"/>
        </w:rPr>
        <w:t xml:space="preserve">0.9 million shares available for issuance under our employee stock purchase plan. </w:t>
      </w:r>
    </w:p>
    <w:p w14:paraId="64298779" w14:textId="77777777" w:rsidR="007B6C97" w:rsidRDefault="00E426D1">
      <w:pPr>
        <w:spacing w:before="120"/>
      </w:pPr>
      <w:r>
        <w:rPr>
          <w:rFonts w:ascii="Times New Roman" w:eastAsia="宋体" w:hAnsi="Times New Roman"/>
          <w:color w:val="000000"/>
          <w:sz w:val="20"/>
          <w:szCs w:val="20"/>
        </w:rPr>
        <w:t xml:space="preserve">Stock-based compensation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084"/>
        <w:gridCol w:w="37"/>
        <w:gridCol w:w="120"/>
        <w:gridCol w:w="1089"/>
        <w:gridCol w:w="36"/>
        <w:gridCol w:w="36"/>
        <w:gridCol w:w="36"/>
        <w:gridCol w:w="36"/>
        <w:gridCol w:w="120"/>
        <w:gridCol w:w="1046"/>
        <w:gridCol w:w="36"/>
        <w:gridCol w:w="36"/>
        <w:gridCol w:w="36"/>
        <w:gridCol w:w="36"/>
        <w:gridCol w:w="120"/>
        <w:gridCol w:w="1046"/>
        <w:gridCol w:w="36"/>
        <w:gridCol w:w="36"/>
        <w:gridCol w:w="36"/>
        <w:gridCol w:w="36"/>
        <w:gridCol w:w="120"/>
        <w:gridCol w:w="1048"/>
        <w:gridCol w:w="36"/>
      </w:tblGrid>
      <w:tr w:rsidR="007B6C97" w14:paraId="64298792" w14:textId="77777777">
        <w:tc>
          <w:tcPr>
            <w:tcW w:w="50" w:type="pct"/>
            <w:shd w:val="clear" w:color="auto" w:fill="auto"/>
            <w:vAlign w:val="bottom"/>
          </w:tcPr>
          <w:p w14:paraId="6429877A" w14:textId="77777777" w:rsidR="007B6C97" w:rsidRDefault="007B6C97">
            <w:pPr>
              <w:rPr>
                <w:rFonts w:ascii="宋体"/>
              </w:rPr>
            </w:pPr>
          </w:p>
        </w:tc>
        <w:tc>
          <w:tcPr>
            <w:tcW w:w="1882" w:type="pct"/>
            <w:shd w:val="clear" w:color="auto" w:fill="auto"/>
            <w:vAlign w:val="bottom"/>
          </w:tcPr>
          <w:p w14:paraId="6429877B" w14:textId="77777777" w:rsidR="007B6C97" w:rsidRDefault="007B6C97">
            <w:pPr>
              <w:rPr>
                <w:rFonts w:ascii="宋体"/>
              </w:rPr>
            </w:pPr>
          </w:p>
        </w:tc>
        <w:tc>
          <w:tcPr>
            <w:tcW w:w="5" w:type="pct"/>
            <w:shd w:val="clear" w:color="auto" w:fill="auto"/>
            <w:vAlign w:val="bottom"/>
          </w:tcPr>
          <w:p w14:paraId="6429877C" w14:textId="77777777" w:rsidR="007B6C97" w:rsidRDefault="007B6C97">
            <w:pPr>
              <w:rPr>
                <w:rFonts w:ascii="宋体"/>
              </w:rPr>
            </w:pPr>
          </w:p>
        </w:tc>
        <w:tc>
          <w:tcPr>
            <w:tcW w:w="50" w:type="pct"/>
            <w:shd w:val="clear" w:color="auto" w:fill="auto"/>
            <w:vAlign w:val="bottom"/>
          </w:tcPr>
          <w:p w14:paraId="6429877D" w14:textId="77777777" w:rsidR="007B6C97" w:rsidRDefault="007B6C97">
            <w:pPr>
              <w:rPr>
                <w:rFonts w:ascii="宋体"/>
              </w:rPr>
            </w:pPr>
          </w:p>
        </w:tc>
        <w:tc>
          <w:tcPr>
            <w:tcW w:w="683" w:type="pct"/>
            <w:shd w:val="clear" w:color="auto" w:fill="auto"/>
            <w:vAlign w:val="bottom"/>
          </w:tcPr>
          <w:p w14:paraId="6429877E" w14:textId="77777777" w:rsidR="007B6C97" w:rsidRDefault="007B6C97">
            <w:pPr>
              <w:rPr>
                <w:rFonts w:ascii="宋体"/>
              </w:rPr>
            </w:pPr>
          </w:p>
        </w:tc>
        <w:tc>
          <w:tcPr>
            <w:tcW w:w="5" w:type="pct"/>
            <w:shd w:val="clear" w:color="auto" w:fill="auto"/>
            <w:vAlign w:val="bottom"/>
          </w:tcPr>
          <w:p w14:paraId="6429877F" w14:textId="77777777" w:rsidR="007B6C97" w:rsidRDefault="007B6C97">
            <w:pPr>
              <w:rPr>
                <w:rFonts w:ascii="宋体"/>
              </w:rPr>
            </w:pPr>
          </w:p>
        </w:tc>
        <w:tc>
          <w:tcPr>
            <w:tcW w:w="5" w:type="pct"/>
            <w:shd w:val="clear" w:color="auto" w:fill="auto"/>
            <w:vAlign w:val="bottom"/>
          </w:tcPr>
          <w:p w14:paraId="64298780" w14:textId="77777777" w:rsidR="007B6C97" w:rsidRDefault="007B6C97">
            <w:pPr>
              <w:rPr>
                <w:rFonts w:ascii="宋体"/>
              </w:rPr>
            </w:pPr>
          </w:p>
        </w:tc>
        <w:tc>
          <w:tcPr>
            <w:tcW w:w="26" w:type="pct"/>
            <w:shd w:val="clear" w:color="auto" w:fill="auto"/>
            <w:vAlign w:val="bottom"/>
          </w:tcPr>
          <w:p w14:paraId="64298781" w14:textId="77777777" w:rsidR="007B6C97" w:rsidRDefault="007B6C97">
            <w:pPr>
              <w:rPr>
                <w:rFonts w:ascii="宋体"/>
              </w:rPr>
            </w:pPr>
          </w:p>
        </w:tc>
        <w:tc>
          <w:tcPr>
            <w:tcW w:w="5" w:type="pct"/>
            <w:shd w:val="clear" w:color="auto" w:fill="auto"/>
            <w:vAlign w:val="bottom"/>
          </w:tcPr>
          <w:p w14:paraId="64298782" w14:textId="77777777" w:rsidR="007B6C97" w:rsidRDefault="007B6C97">
            <w:pPr>
              <w:rPr>
                <w:rFonts w:ascii="宋体"/>
              </w:rPr>
            </w:pPr>
          </w:p>
        </w:tc>
        <w:tc>
          <w:tcPr>
            <w:tcW w:w="50" w:type="pct"/>
            <w:shd w:val="clear" w:color="auto" w:fill="auto"/>
            <w:vAlign w:val="bottom"/>
          </w:tcPr>
          <w:p w14:paraId="64298783" w14:textId="77777777" w:rsidR="007B6C97" w:rsidRDefault="007B6C97">
            <w:pPr>
              <w:rPr>
                <w:rFonts w:ascii="宋体"/>
              </w:rPr>
            </w:pPr>
          </w:p>
        </w:tc>
        <w:tc>
          <w:tcPr>
            <w:tcW w:w="683" w:type="pct"/>
            <w:shd w:val="clear" w:color="auto" w:fill="auto"/>
            <w:vAlign w:val="bottom"/>
          </w:tcPr>
          <w:p w14:paraId="64298784" w14:textId="77777777" w:rsidR="007B6C97" w:rsidRDefault="007B6C97">
            <w:pPr>
              <w:rPr>
                <w:rFonts w:ascii="宋体"/>
              </w:rPr>
            </w:pPr>
          </w:p>
        </w:tc>
        <w:tc>
          <w:tcPr>
            <w:tcW w:w="5" w:type="pct"/>
            <w:shd w:val="clear" w:color="auto" w:fill="auto"/>
            <w:vAlign w:val="bottom"/>
          </w:tcPr>
          <w:p w14:paraId="64298785" w14:textId="77777777" w:rsidR="007B6C97" w:rsidRDefault="007B6C97">
            <w:pPr>
              <w:rPr>
                <w:rFonts w:ascii="宋体"/>
              </w:rPr>
            </w:pPr>
          </w:p>
        </w:tc>
        <w:tc>
          <w:tcPr>
            <w:tcW w:w="5" w:type="pct"/>
            <w:shd w:val="clear" w:color="auto" w:fill="auto"/>
            <w:vAlign w:val="bottom"/>
          </w:tcPr>
          <w:p w14:paraId="64298786" w14:textId="77777777" w:rsidR="007B6C97" w:rsidRDefault="007B6C97">
            <w:pPr>
              <w:rPr>
                <w:rFonts w:ascii="宋体"/>
              </w:rPr>
            </w:pPr>
          </w:p>
        </w:tc>
        <w:tc>
          <w:tcPr>
            <w:tcW w:w="26" w:type="pct"/>
            <w:shd w:val="clear" w:color="auto" w:fill="auto"/>
            <w:vAlign w:val="bottom"/>
          </w:tcPr>
          <w:p w14:paraId="64298787" w14:textId="77777777" w:rsidR="007B6C97" w:rsidRDefault="007B6C97">
            <w:pPr>
              <w:rPr>
                <w:rFonts w:ascii="宋体"/>
              </w:rPr>
            </w:pPr>
          </w:p>
        </w:tc>
        <w:tc>
          <w:tcPr>
            <w:tcW w:w="5" w:type="pct"/>
            <w:shd w:val="clear" w:color="auto" w:fill="auto"/>
            <w:vAlign w:val="bottom"/>
          </w:tcPr>
          <w:p w14:paraId="64298788" w14:textId="77777777" w:rsidR="007B6C97" w:rsidRDefault="007B6C97">
            <w:pPr>
              <w:rPr>
                <w:rFonts w:ascii="宋体"/>
              </w:rPr>
            </w:pPr>
          </w:p>
        </w:tc>
        <w:tc>
          <w:tcPr>
            <w:tcW w:w="50" w:type="pct"/>
            <w:shd w:val="clear" w:color="auto" w:fill="auto"/>
            <w:vAlign w:val="bottom"/>
          </w:tcPr>
          <w:p w14:paraId="64298789" w14:textId="77777777" w:rsidR="007B6C97" w:rsidRDefault="007B6C97">
            <w:pPr>
              <w:rPr>
                <w:rFonts w:ascii="宋体"/>
              </w:rPr>
            </w:pPr>
          </w:p>
        </w:tc>
        <w:tc>
          <w:tcPr>
            <w:tcW w:w="683" w:type="pct"/>
            <w:shd w:val="clear" w:color="auto" w:fill="auto"/>
            <w:vAlign w:val="bottom"/>
          </w:tcPr>
          <w:p w14:paraId="6429878A" w14:textId="77777777" w:rsidR="007B6C97" w:rsidRDefault="007B6C97">
            <w:pPr>
              <w:rPr>
                <w:rFonts w:ascii="宋体"/>
              </w:rPr>
            </w:pPr>
          </w:p>
        </w:tc>
        <w:tc>
          <w:tcPr>
            <w:tcW w:w="5" w:type="pct"/>
            <w:shd w:val="clear" w:color="auto" w:fill="auto"/>
            <w:vAlign w:val="bottom"/>
          </w:tcPr>
          <w:p w14:paraId="6429878B" w14:textId="77777777" w:rsidR="007B6C97" w:rsidRDefault="007B6C97">
            <w:pPr>
              <w:rPr>
                <w:rFonts w:ascii="宋体"/>
              </w:rPr>
            </w:pPr>
          </w:p>
        </w:tc>
        <w:tc>
          <w:tcPr>
            <w:tcW w:w="5" w:type="pct"/>
            <w:shd w:val="clear" w:color="auto" w:fill="auto"/>
            <w:vAlign w:val="bottom"/>
          </w:tcPr>
          <w:p w14:paraId="6429878C" w14:textId="77777777" w:rsidR="007B6C97" w:rsidRDefault="007B6C97">
            <w:pPr>
              <w:rPr>
                <w:rFonts w:ascii="宋体"/>
              </w:rPr>
            </w:pPr>
          </w:p>
        </w:tc>
        <w:tc>
          <w:tcPr>
            <w:tcW w:w="26" w:type="pct"/>
            <w:shd w:val="clear" w:color="auto" w:fill="auto"/>
            <w:vAlign w:val="bottom"/>
          </w:tcPr>
          <w:p w14:paraId="6429878D" w14:textId="77777777" w:rsidR="007B6C97" w:rsidRDefault="007B6C97">
            <w:pPr>
              <w:rPr>
                <w:rFonts w:ascii="宋体"/>
              </w:rPr>
            </w:pPr>
          </w:p>
        </w:tc>
        <w:tc>
          <w:tcPr>
            <w:tcW w:w="5" w:type="pct"/>
            <w:shd w:val="clear" w:color="auto" w:fill="auto"/>
            <w:vAlign w:val="bottom"/>
          </w:tcPr>
          <w:p w14:paraId="6429878E" w14:textId="77777777" w:rsidR="007B6C97" w:rsidRDefault="007B6C97">
            <w:pPr>
              <w:rPr>
                <w:rFonts w:ascii="宋体"/>
              </w:rPr>
            </w:pPr>
          </w:p>
        </w:tc>
        <w:tc>
          <w:tcPr>
            <w:tcW w:w="50" w:type="pct"/>
            <w:shd w:val="clear" w:color="auto" w:fill="auto"/>
            <w:vAlign w:val="bottom"/>
          </w:tcPr>
          <w:p w14:paraId="6429878F" w14:textId="77777777" w:rsidR="007B6C97" w:rsidRDefault="007B6C97">
            <w:pPr>
              <w:rPr>
                <w:rFonts w:ascii="宋体"/>
              </w:rPr>
            </w:pPr>
          </w:p>
        </w:tc>
        <w:tc>
          <w:tcPr>
            <w:tcW w:w="683" w:type="pct"/>
            <w:shd w:val="clear" w:color="auto" w:fill="auto"/>
            <w:vAlign w:val="bottom"/>
          </w:tcPr>
          <w:p w14:paraId="64298790" w14:textId="77777777" w:rsidR="007B6C97" w:rsidRDefault="007B6C97">
            <w:pPr>
              <w:rPr>
                <w:rFonts w:ascii="宋体"/>
              </w:rPr>
            </w:pPr>
          </w:p>
        </w:tc>
        <w:tc>
          <w:tcPr>
            <w:tcW w:w="5" w:type="pct"/>
            <w:shd w:val="clear" w:color="auto" w:fill="auto"/>
            <w:vAlign w:val="bottom"/>
          </w:tcPr>
          <w:p w14:paraId="64298791" w14:textId="77777777" w:rsidR="007B6C97" w:rsidRDefault="007B6C97">
            <w:pPr>
              <w:rPr>
                <w:rFonts w:ascii="宋体"/>
              </w:rPr>
            </w:pPr>
          </w:p>
        </w:tc>
      </w:tr>
      <w:tr w:rsidR="007B6C97" w14:paraId="64298797" w14:textId="77777777">
        <w:tc>
          <w:tcPr>
            <w:tcW w:w="0" w:type="auto"/>
            <w:gridSpan w:val="3"/>
            <w:shd w:val="clear" w:color="auto" w:fill="auto"/>
            <w:tcMar>
              <w:top w:w="40" w:type="dxa"/>
              <w:left w:w="20" w:type="dxa"/>
              <w:bottom w:w="40" w:type="dxa"/>
              <w:right w:w="20" w:type="dxa"/>
            </w:tcMar>
            <w:vAlign w:val="bottom"/>
          </w:tcPr>
          <w:p w14:paraId="64298793" w14:textId="77777777" w:rsidR="007B6C97" w:rsidRDefault="00E426D1">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4298794"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8795"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796"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7A0" w14:textId="77777777">
        <w:tc>
          <w:tcPr>
            <w:tcW w:w="0" w:type="auto"/>
            <w:gridSpan w:val="3"/>
            <w:shd w:val="clear" w:color="auto" w:fill="auto"/>
            <w:tcMar>
              <w:top w:w="40" w:type="dxa"/>
              <w:left w:w="20" w:type="dxa"/>
              <w:bottom w:w="40" w:type="dxa"/>
              <w:right w:w="20" w:type="dxa"/>
            </w:tcMar>
            <w:vAlign w:val="bottom"/>
          </w:tcPr>
          <w:p w14:paraId="64298798"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8799"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79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9B"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6429879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9D"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FFFFFF"/>
            <w:tcMar>
              <w:top w:w="0" w:type="dxa"/>
              <w:left w:w="20" w:type="dxa"/>
              <w:bottom w:w="0" w:type="dxa"/>
              <w:right w:w="20" w:type="dxa"/>
            </w:tcMar>
            <w:vAlign w:val="bottom"/>
          </w:tcPr>
          <w:p w14:paraId="6429879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9F"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7B1" w14:textId="77777777">
        <w:tc>
          <w:tcPr>
            <w:tcW w:w="0" w:type="auto"/>
            <w:gridSpan w:val="3"/>
            <w:shd w:val="clear" w:color="auto" w:fill="D7E4BC"/>
            <w:tcMar>
              <w:top w:w="40" w:type="dxa"/>
              <w:left w:w="20" w:type="dxa"/>
              <w:bottom w:w="40" w:type="dxa"/>
              <w:right w:w="20" w:type="dxa"/>
            </w:tcMar>
          </w:tcPr>
          <w:p w14:paraId="642987A1" w14:textId="77777777" w:rsidR="007B6C97" w:rsidRDefault="00E426D1">
            <w:pPr>
              <w:textAlignment w:val="top"/>
            </w:pPr>
            <w:r>
              <w:rPr>
                <w:rFonts w:ascii="Times New Roman" w:eastAsia="宋体" w:hAnsi="Times New Roman"/>
                <w:color w:val="000000"/>
                <w:sz w:val="20"/>
                <w:szCs w:val="20"/>
              </w:rPr>
              <w:t>Restricted Stock Units (“RSUs”)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7A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7A3" w14:textId="77777777" w:rsidR="007B6C97" w:rsidRDefault="00E426D1">
            <w:pPr>
              <w:jc w:val="right"/>
              <w:textAlignment w:val="bottom"/>
            </w:pPr>
            <w:r>
              <w:rPr>
                <w:rFonts w:ascii="Times New Roman" w:eastAsia="宋体" w:hAnsi="Times New Roman"/>
                <w:color w:val="000000"/>
                <w:sz w:val="20"/>
                <w:szCs w:val="20"/>
              </w:rPr>
              <w:t>57.4 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A5"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7A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7A7" w14:textId="77777777" w:rsidR="007B6C97" w:rsidRDefault="00E426D1">
            <w:pPr>
              <w:jc w:val="right"/>
              <w:textAlignment w:val="bottom"/>
            </w:pPr>
            <w:r>
              <w:rPr>
                <w:rFonts w:ascii="Times New Roman" w:eastAsia="宋体" w:hAnsi="Times New Roman"/>
                <w:color w:val="000000"/>
                <w:sz w:val="20"/>
                <w:szCs w:val="20"/>
              </w:rPr>
              <w:t>79.8 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A9"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7A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7AB" w14:textId="77777777" w:rsidR="007B6C97" w:rsidRDefault="00E426D1">
            <w:pPr>
              <w:jc w:val="right"/>
              <w:textAlignment w:val="bottom"/>
            </w:pPr>
            <w:r>
              <w:rPr>
                <w:rFonts w:ascii="Times New Roman" w:eastAsia="宋体" w:hAnsi="Times New Roman"/>
                <w:color w:val="000000"/>
                <w:sz w:val="20"/>
                <w:szCs w:val="20"/>
              </w:rPr>
              <w:t>207.2 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A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AD"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7AE"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7AF" w14:textId="77777777" w:rsidR="007B6C97" w:rsidRDefault="00E426D1">
            <w:pPr>
              <w:jc w:val="right"/>
              <w:textAlignment w:val="bottom"/>
            </w:pPr>
            <w:r>
              <w:rPr>
                <w:rFonts w:ascii="Times New Roman" w:eastAsia="宋体" w:hAnsi="Times New Roman"/>
                <w:color w:val="000000"/>
                <w:sz w:val="20"/>
                <w:szCs w:val="20"/>
              </w:rPr>
              <w:t>253.3 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B0" w14:textId="77777777" w:rsidR="007B6C97" w:rsidRDefault="007B6C97">
            <w:pPr>
              <w:jc w:val="right"/>
              <w:rPr>
                <w:rFonts w:ascii="宋体"/>
              </w:rPr>
            </w:pPr>
          </w:p>
        </w:tc>
      </w:tr>
      <w:tr w:rsidR="007B6C97" w14:paraId="642987BE" w14:textId="77777777">
        <w:tc>
          <w:tcPr>
            <w:tcW w:w="0" w:type="auto"/>
            <w:gridSpan w:val="3"/>
            <w:shd w:val="clear" w:color="auto" w:fill="FFFFFF"/>
            <w:tcMar>
              <w:top w:w="40" w:type="dxa"/>
              <w:left w:w="20" w:type="dxa"/>
              <w:bottom w:w="40" w:type="dxa"/>
              <w:right w:w="20" w:type="dxa"/>
            </w:tcMar>
          </w:tcPr>
          <w:p w14:paraId="642987B2" w14:textId="77777777" w:rsidR="007B6C97" w:rsidRDefault="00E426D1">
            <w:pPr>
              <w:textAlignment w:val="top"/>
            </w:pPr>
            <w:r>
              <w:rPr>
                <w:rFonts w:ascii="Times New Roman" w:eastAsia="宋体" w:hAnsi="Times New Roman"/>
                <w:color w:val="000000"/>
                <w:sz w:val="20"/>
                <w:szCs w:val="20"/>
              </w:rPr>
              <w:t>Options</w:t>
            </w:r>
          </w:p>
        </w:tc>
        <w:tc>
          <w:tcPr>
            <w:tcW w:w="0" w:type="auto"/>
            <w:gridSpan w:val="2"/>
            <w:shd w:val="clear" w:color="auto" w:fill="FFFFFF"/>
            <w:tcMar>
              <w:top w:w="40" w:type="dxa"/>
              <w:left w:w="20" w:type="dxa"/>
              <w:bottom w:w="40" w:type="dxa"/>
              <w:right w:w="0" w:type="dxa"/>
            </w:tcMar>
            <w:vAlign w:val="bottom"/>
          </w:tcPr>
          <w:p w14:paraId="642987B3" w14:textId="77777777" w:rsidR="007B6C97" w:rsidRDefault="00E426D1">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642987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B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7B6"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642987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B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7B9"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42987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B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7BC"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87BD" w14:textId="77777777" w:rsidR="007B6C97" w:rsidRDefault="007B6C97">
            <w:pPr>
              <w:jc w:val="right"/>
              <w:rPr>
                <w:rFonts w:ascii="宋体"/>
              </w:rPr>
            </w:pPr>
          </w:p>
        </w:tc>
      </w:tr>
      <w:tr w:rsidR="007B6C97" w14:paraId="642987CF" w14:textId="77777777">
        <w:tc>
          <w:tcPr>
            <w:tcW w:w="0" w:type="auto"/>
            <w:gridSpan w:val="3"/>
            <w:shd w:val="clear" w:color="auto" w:fill="D7E4BC"/>
            <w:tcMar>
              <w:top w:w="40" w:type="dxa"/>
              <w:left w:w="20" w:type="dxa"/>
              <w:bottom w:w="40" w:type="dxa"/>
              <w:right w:w="20" w:type="dxa"/>
            </w:tcMar>
          </w:tcPr>
          <w:p w14:paraId="642987BF" w14:textId="77777777" w:rsidR="007B6C97" w:rsidRDefault="00E426D1">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7C0"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7C1" w14:textId="77777777" w:rsidR="007B6C97" w:rsidRDefault="00E426D1">
            <w:pPr>
              <w:jc w:val="right"/>
              <w:textAlignment w:val="bottom"/>
            </w:pPr>
            <w:r>
              <w:rPr>
                <w:rFonts w:ascii="Times New Roman" w:eastAsia="宋体" w:hAnsi="Times New Roman"/>
                <w:color w:val="000000"/>
                <w:sz w:val="20"/>
                <w:szCs w:val="20"/>
              </w:rPr>
              <w:t>57.3 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7C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C3"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7C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7C5" w14:textId="77777777" w:rsidR="007B6C97" w:rsidRDefault="00E426D1">
            <w:pPr>
              <w:jc w:val="right"/>
              <w:textAlignment w:val="bottom"/>
            </w:pPr>
            <w:r>
              <w:rPr>
                <w:rFonts w:ascii="Times New Roman" w:eastAsia="宋体" w:hAnsi="Times New Roman"/>
                <w:color w:val="000000"/>
                <w:sz w:val="20"/>
                <w:szCs w:val="20"/>
              </w:rPr>
              <w:t>80.0 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7C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C7"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7C8"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7C9" w14:textId="77777777" w:rsidR="007B6C97" w:rsidRDefault="00E426D1">
            <w:pPr>
              <w:jc w:val="right"/>
              <w:textAlignment w:val="bottom"/>
            </w:pPr>
            <w:r>
              <w:rPr>
                <w:rFonts w:ascii="Times New Roman" w:eastAsia="宋体" w:hAnsi="Times New Roman"/>
                <w:color w:val="000000"/>
                <w:sz w:val="20"/>
                <w:szCs w:val="20"/>
              </w:rPr>
              <w:t>206.6 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7CA" w14:textId="77777777" w:rsidR="007B6C97" w:rsidRDefault="007B6C97">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7CB" w14:textId="77777777" w:rsidR="007B6C97" w:rsidRDefault="007B6C97">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42987C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42987CD" w14:textId="77777777" w:rsidR="007B6C97" w:rsidRDefault="00E426D1">
            <w:pPr>
              <w:jc w:val="right"/>
              <w:textAlignment w:val="bottom"/>
            </w:pPr>
            <w:r>
              <w:rPr>
                <w:rFonts w:ascii="Times New Roman" w:eastAsia="宋体" w:hAnsi="Times New Roman"/>
                <w:color w:val="000000"/>
                <w:sz w:val="20"/>
                <w:szCs w:val="20"/>
              </w:rPr>
              <w:t>255.3 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42987CE" w14:textId="77777777" w:rsidR="007B6C97" w:rsidRDefault="007B6C97">
            <w:pPr>
              <w:jc w:val="right"/>
              <w:rPr>
                <w:rFonts w:ascii="宋体"/>
              </w:rPr>
            </w:pPr>
          </w:p>
        </w:tc>
      </w:tr>
    </w:tbl>
    <w:p w14:paraId="642987D0" w14:textId="77777777" w:rsidR="007B6C97" w:rsidRDefault="00E426D1">
      <w:pPr>
        <w:jc w:val="center"/>
      </w:pPr>
      <w:r>
        <w:rPr>
          <w:rFonts w:ascii="Times New Roman" w:eastAsia="宋体" w:hAnsi="Times New Roman"/>
          <w:color w:val="000000"/>
          <w:sz w:val="20"/>
          <w:szCs w:val="20"/>
        </w:rPr>
        <w:t>26</w:t>
      </w:r>
    </w:p>
    <w:p w14:paraId="642987D1" w14:textId="77777777" w:rsidR="007B6C97" w:rsidRDefault="00E426D1">
      <w:r>
        <w:pict w14:anchorId="642999F4">
          <v:rect id="_x0000_i1050" style="width:415.3pt;height:1.5pt" o:hralign="center" o:hrstd="t" o:hr="t" fillcolor="#a0a0a0" stroked="f"/>
        </w:pict>
      </w:r>
    </w:p>
    <w:p w14:paraId="642987D2" w14:textId="77777777" w:rsidR="007B6C97" w:rsidRDefault="00E426D1">
      <w:hyperlink r:id="rId133" w:anchor="ie38a2b375c9840e583a36769999bbee6_7" w:history="1">
        <w:r>
          <w:rPr>
            <w:rStyle w:val="a5"/>
            <w:rFonts w:ascii="Times New Roman" w:eastAsia="宋体" w:hAnsi="Times New Roman"/>
            <w:sz w:val="20"/>
            <w:szCs w:val="20"/>
          </w:rPr>
          <w:t>Table</w:t>
        </w:r>
      </w:hyperlink>
      <w:hyperlink r:id="rId134" w:anchor="ie38a2b375c9840e583a36769999bbee6_7" w:history="1">
        <w:r>
          <w:rPr>
            <w:rStyle w:val="a5"/>
            <w:rFonts w:ascii="Times New Roman" w:eastAsia="宋体" w:hAnsi="Times New Roman"/>
            <w:sz w:val="20"/>
            <w:szCs w:val="20"/>
          </w:rPr>
          <w:t xml:space="preserve"> of Contents</w:t>
        </w:r>
      </w:hyperlink>
    </w:p>
    <w:p w14:paraId="642987D3" w14:textId="77777777" w:rsidR="007B6C97" w:rsidRDefault="00E426D1">
      <w:pPr>
        <w:spacing w:before="120"/>
      </w:pPr>
      <w:r>
        <w:rPr>
          <w:rFonts w:ascii="Times New Roman" w:eastAsia="宋体" w:hAnsi="Times New Roman"/>
          <w:color w:val="000000"/>
          <w:sz w:val="20"/>
          <w:szCs w:val="20"/>
        </w:rPr>
        <w:t>Stock option and RSU transactions from Octobe</w:t>
      </w:r>
      <w:r>
        <w:rPr>
          <w:rFonts w:ascii="Times New Roman" w:eastAsia="宋体" w:hAnsi="Times New Roman"/>
          <w:color w:val="000000"/>
          <w:sz w:val="20"/>
          <w:szCs w:val="20"/>
        </w:rPr>
        <w:t>r 3, 2021 through July 3, 2022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680"/>
        <w:gridCol w:w="36"/>
        <w:gridCol w:w="121"/>
        <w:gridCol w:w="1097"/>
        <w:gridCol w:w="36"/>
        <w:gridCol w:w="36"/>
        <w:gridCol w:w="36"/>
        <w:gridCol w:w="36"/>
        <w:gridCol w:w="120"/>
        <w:gridCol w:w="1062"/>
        <w:gridCol w:w="36"/>
      </w:tblGrid>
      <w:tr w:rsidR="007B6C97" w14:paraId="642987E0" w14:textId="77777777">
        <w:tc>
          <w:tcPr>
            <w:tcW w:w="50" w:type="pct"/>
            <w:shd w:val="clear" w:color="auto" w:fill="auto"/>
            <w:vAlign w:val="bottom"/>
          </w:tcPr>
          <w:p w14:paraId="642987D4" w14:textId="77777777" w:rsidR="007B6C97" w:rsidRDefault="007B6C97">
            <w:pPr>
              <w:rPr>
                <w:rFonts w:ascii="宋体"/>
              </w:rPr>
            </w:pPr>
          </w:p>
        </w:tc>
        <w:tc>
          <w:tcPr>
            <w:tcW w:w="3431" w:type="pct"/>
            <w:shd w:val="clear" w:color="auto" w:fill="auto"/>
            <w:vAlign w:val="bottom"/>
          </w:tcPr>
          <w:p w14:paraId="642987D5" w14:textId="77777777" w:rsidR="007B6C97" w:rsidRDefault="007B6C97">
            <w:pPr>
              <w:rPr>
                <w:rFonts w:ascii="宋体"/>
              </w:rPr>
            </w:pPr>
          </w:p>
        </w:tc>
        <w:tc>
          <w:tcPr>
            <w:tcW w:w="5" w:type="pct"/>
            <w:shd w:val="clear" w:color="auto" w:fill="auto"/>
            <w:vAlign w:val="bottom"/>
          </w:tcPr>
          <w:p w14:paraId="642987D6" w14:textId="77777777" w:rsidR="007B6C97" w:rsidRDefault="007B6C97">
            <w:pPr>
              <w:rPr>
                <w:rFonts w:ascii="宋体"/>
              </w:rPr>
            </w:pPr>
          </w:p>
        </w:tc>
        <w:tc>
          <w:tcPr>
            <w:tcW w:w="50" w:type="pct"/>
            <w:shd w:val="clear" w:color="auto" w:fill="auto"/>
            <w:vAlign w:val="bottom"/>
          </w:tcPr>
          <w:p w14:paraId="642987D7" w14:textId="77777777" w:rsidR="007B6C97" w:rsidRDefault="007B6C97">
            <w:pPr>
              <w:rPr>
                <w:rFonts w:ascii="宋体"/>
              </w:rPr>
            </w:pPr>
          </w:p>
        </w:tc>
        <w:tc>
          <w:tcPr>
            <w:tcW w:w="683" w:type="pct"/>
            <w:shd w:val="clear" w:color="auto" w:fill="auto"/>
            <w:vAlign w:val="bottom"/>
          </w:tcPr>
          <w:p w14:paraId="642987D8" w14:textId="77777777" w:rsidR="007B6C97" w:rsidRDefault="007B6C97">
            <w:pPr>
              <w:rPr>
                <w:rFonts w:ascii="宋体"/>
              </w:rPr>
            </w:pPr>
          </w:p>
        </w:tc>
        <w:tc>
          <w:tcPr>
            <w:tcW w:w="5" w:type="pct"/>
            <w:shd w:val="clear" w:color="auto" w:fill="auto"/>
            <w:vAlign w:val="bottom"/>
          </w:tcPr>
          <w:p w14:paraId="642987D9" w14:textId="77777777" w:rsidR="007B6C97" w:rsidRDefault="007B6C97">
            <w:pPr>
              <w:rPr>
                <w:rFonts w:ascii="宋体"/>
              </w:rPr>
            </w:pPr>
          </w:p>
        </w:tc>
        <w:tc>
          <w:tcPr>
            <w:tcW w:w="5" w:type="pct"/>
            <w:shd w:val="clear" w:color="auto" w:fill="auto"/>
            <w:vAlign w:val="bottom"/>
          </w:tcPr>
          <w:p w14:paraId="642987DA" w14:textId="77777777" w:rsidR="007B6C97" w:rsidRDefault="007B6C97">
            <w:pPr>
              <w:rPr>
                <w:rFonts w:ascii="宋体"/>
              </w:rPr>
            </w:pPr>
          </w:p>
        </w:tc>
        <w:tc>
          <w:tcPr>
            <w:tcW w:w="26" w:type="pct"/>
            <w:shd w:val="clear" w:color="auto" w:fill="auto"/>
            <w:vAlign w:val="bottom"/>
          </w:tcPr>
          <w:p w14:paraId="642987DB" w14:textId="77777777" w:rsidR="007B6C97" w:rsidRDefault="007B6C97">
            <w:pPr>
              <w:rPr>
                <w:rFonts w:ascii="宋体"/>
              </w:rPr>
            </w:pPr>
          </w:p>
        </w:tc>
        <w:tc>
          <w:tcPr>
            <w:tcW w:w="5" w:type="pct"/>
            <w:shd w:val="clear" w:color="auto" w:fill="auto"/>
            <w:vAlign w:val="bottom"/>
          </w:tcPr>
          <w:p w14:paraId="642987DC" w14:textId="77777777" w:rsidR="007B6C97" w:rsidRDefault="007B6C97">
            <w:pPr>
              <w:rPr>
                <w:rFonts w:ascii="宋体"/>
              </w:rPr>
            </w:pPr>
          </w:p>
        </w:tc>
        <w:tc>
          <w:tcPr>
            <w:tcW w:w="50" w:type="pct"/>
            <w:shd w:val="clear" w:color="auto" w:fill="auto"/>
            <w:vAlign w:val="bottom"/>
          </w:tcPr>
          <w:p w14:paraId="642987DD" w14:textId="77777777" w:rsidR="007B6C97" w:rsidRDefault="007B6C97">
            <w:pPr>
              <w:rPr>
                <w:rFonts w:ascii="宋体"/>
              </w:rPr>
            </w:pPr>
          </w:p>
        </w:tc>
        <w:tc>
          <w:tcPr>
            <w:tcW w:w="683" w:type="pct"/>
            <w:shd w:val="clear" w:color="auto" w:fill="auto"/>
            <w:vAlign w:val="bottom"/>
          </w:tcPr>
          <w:p w14:paraId="642987DE" w14:textId="77777777" w:rsidR="007B6C97" w:rsidRDefault="007B6C97">
            <w:pPr>
              <w:rPr>
                <w:rFonts w:ascii="宋体"/>
              </w:rPr>
            </w:pPr>
          </w:p>
        </w:tc>
        <w:tc>
          <w:tcPr>
            <w:tcW w:w="5" w:type="pct"/>
            <w:shd w:val="clear" w:color="auto" w:fill="auto"/>
            <w:vAlign w:val="bottom"/>
          </w:tcPr>
          <w:p w14:paraId="642987DF" w14:textId="77777777" w:rsidR="007B6C97" w:rsidRDefault="007B6C97">
            <w:pPr>
              <w:rPr>
                <w:rFonts w:ascii="宋体"/>
              </w:rPr>
            </w:pPr>
          </w:p>
        </w:tc>
      </w:tr>
      <w:tr w:rsidR="007B6C97" w14:paraId="642987E5" w14:textId="77777777">
        <w:tc>
          <w:tcPr>
            <w:tcW w:w="0" w:type="auto"/>
            <w:gridSpan w:val="3"/>
            <w:shd w:val="clear" w:color="auto" w:fill="auto"/>
            <w:tcMar>
              <w:top w:w="0" w:type="dxa"/>
              <w:left w:w="20" w:type="dxa"/>
              <w:bottom w:w="0" w:type="dxa"/>
              <w:right w:w="20" w:type="dxa"/>
            </w:tcMar>
            <w:vAlign w:val="bottom"/>
          </w:tcPr>
          <w:p w14:paraId="642987E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E2" w14:textId="77777777" w:rsidR="007B6C97" w:rsidRDefault="00E426D1">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top w:w="0" w:type="dxa"/>
              <w:left w:w="20" w:type="dxa"/>
              <w:bottom w:w="0" w:type="dxa"/>
              <w:right w:w="20" w:type="dxa"/>
            </w:tcMar>
            <w:vAlign w:val="bottom"/>
          </w:tcPr>
          <w:p w14:paraId="642987E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7E4" w14:textId="77777777" w:rsidR="007B6C97" w:rsidRDefault="00E426D1">
            <w:pPr>
              <w:jc w:val="center"/>
              <w:textAlignment w:val="bottom"/>
            </w:pPr>
            <w:r>
              <w:rPr>
                <w:rFonts w:ascii="Times New Roman" w:eastAsia="宋体" w:hAnsi="Times New Roman"/>
                <w:b/>
                <w:bCs/>
                <w:color w:val="FFFFFF"/>
                <w:sz w:val="16"/>
                <w:szCs w:val="16"/>
              </w:rPr>
              <w:t>RSUs</w:t>
            </w:r>
          </w:p>
        </w:tc>
      </w:tr>
      <w:tr w:rsidR="007B6C97" w14:paraId="642987EC" w14:textId="77777777">
        <w:tc>
          <w:tcPr>
            <w:tcW w:w="0" w:type="auto"/>
            <w:gridSpan w:val="3"/>
            <w:shd w:val="clear" w:color="auto" w:fill="D7E4BC"/>
            <w:tcMar>
              <w:top w:w="40" w:type="dxa"/>
              <w:left w:w="20" w:type="dxa"/>
              <w:bottom w:w="40" w:type="dxa"/>
              <w:right w:w="20" w:type="dxa"/>
            </w:tcMar>
          </w:tcPr>
          <w:p w14:paraId="642987E6"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Options outstanding/Nonvested RSUs,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7E7" w14:textId="77777777" w:rsidR="007B6C97" w:rsidRDefault="00E426D1">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E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E9"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7EA" w14:textId="77777777" w:rsidR="007B6C97" w:rsidRDefault="00E426D1">
            <w:pPr>
              <w:jc w:val="right"/>
              <w:textAlignment w:val="bottom"/>
            </w:pPr>
            <w:r>
              <w:rPr>
                <w:rFonts w:ascii="Times New Roman" w:eastAsia="宋体" w:hAnsi="Times New Roman"/>
                <w:color w:val="000000"/>
                <w:sz w:val="20"/>
                <w:szCs w:val="20"/>
              </w:rPr>
              <w:t>7.7 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7EB" w14:textId="77777777" w:rsidR="007B6C97" w:rsidRDefault="007B6C97">
            <w:pPr>
              <w:jc w:val="right"/>
              <w:rPr>
                <w:rFonts w:ascii="宋体"/>
              </w:rPr>
            </w:pPr>
          </w:p>
        </w:tc>
      </w:tr>
      <w:tr w:rsidR="007B6C97" w14:paraId="642987F3" w14:textId="77777777">
        <w:tc>
          <w:tcPr>
            <w:tcW w:w="0" w:type="auto"/>
            <w:gridSpan w:val="3"/>
            <w:shd w:val="clear" w:color="auto" w:fill="FFFFFF"/>
            <w:tcMar>
              <w:top w:w="40" w:type="dxa"/>
              <w:left w:w="380" w:type="dxa"/>
              <w:bottom w:w="40" w:type="dxa"/>
              <w:right w:w="20" w:type="dxa"/>
            </w:tcMar>
          </w:tcPr>
          <w:p w14:paraId="642987ED" w14:textId="77777777" w:rsidR="007B6C97" w:rsidRDefault="00E426D1">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642987E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7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F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7F1"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642987F2" w14:textId="77777777" w:rsidR="007B6C97" w:rsidRDefault="007B6C97">
            <w:pPr>
              <w:jc w:val="right"/>
              <w:rPr>
                <w:rFonts w:ascii="宋体"/>
              </w:rPr>
            </w:pPr>
          </w:p>
        </w:tc>
      </w:tr>
      <w:tr w:rsidR="007B6C97" w14:paraId="642987FA" w14:textId="77777777">
        <w:tc>
          <w:tcPr>
            <w:tcW w:w="0" w:type="auto"/>
            <w:gridSpan w:val="3"/>
            <w:shd w:val="clear" w:color="auto" w:fill="D7E4BC"/>
            <w:tcMar>
              <w:top w:w="40" w:type="dxa"/>
              <w:left w:w="380" w:type="dxa"/>
              <w:bottom w:w="40" w:type="dxa"/>
              <w:right w:w="20" w:type="dxa"/>
            </w:tcMar>
          </w:tcPr>
          <w:p w14:paraId="642987F4" w14:textId="77777777" w:rsidR="007B6C97" w:rsidRDefault="00E426D1">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642987F5" w14:textId="77777777" w:rsidR="007B6C97" w:rsidRDefault="00E426D1">
            <w:pPr>
              <w:jc w:val="right"/>
              <w:textAlignment w:val="center"/>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center"/>
          </w:tcPr>
          <w:p w14:paraId="642987F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7F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center"/>
          </w:tcPr>
          <w:p w14:paraId="642987F8" w14:textId="77777777" w:rsidR="007B6C97" w:rsidRDefault="00E426D1">
            <w:pPr>
              <w:jc w:val="right"/>
              <w:textAlignment w:val="center"/>
            </w:pPr>
            <w:r>
              <w:rPr>
                <w:rFonts w:ascii="Times New Roman" w:eastAsia="宋体" w:hAnsi="Times New Roman"/>
                <w:color w:val="000000"/>
                <w:sz w:val="20"/>
                <w:szCs w:val="20"/>
              </w:rPr>
              <w:t>(3.5)</w:t>
            </w:r>
          </w:p>
        </w:tc>
        <w:tc>
          <w:tcPr>
            <w:tcW w:w="0" w:type="auto"/>
            <w:shd w:val="clear" w:color="auto" w:fill="D7E4BC"/>
            <w:tcMar>
              <w:top w:w="40" w:type="dxa"/>
              <w:left w:w="0" w:type="dxa"/>
              <w:bottom w:w="40" w:type="dxa"/>
              <w:right w:w="20" w:type="dxa"/>
            </w:tcMar>
            <w:vAlign w:val="center"/>
          </w:tcPr>
          <w:p w14:paraId="642987F9" w14:textId="77777777" w:rsidR="007B6C97" w:rsidRDefault="007B6C97">
            <w:pPr>
              <w:jc w:val="right"/>
              <w:rPr>
                <w:rFonts w:ascii="宋体"/>
              </w:rPr>
            </w:pPr>
          </w:p>
        </w:tc>
      </w:tr>
      <w:tr w:rsidR="007B6C97" w14:paraId="64298801" w14:textId="77777777">
        <w:tc>
          <w:tcPr>
            <w:tcW w:w="0" w:type="auto"/>
            <w:gridSpan w:val="3"/>
            <w:shd w:val="clear" w:color="auto" w:fill="FFFFFF"/>
            <w:tcMar>
              <w:top w:w="40" w:type="dxa"/>
              <w:left w:w="380" w:type="dxa"/>
              <w:bottom w:w="40" w:type="dxa"/>
              <w:right w:w="20" w:type="dxa"/>
            </w:tcMar>
          </w:tcPr>
          <w:p w14:paraId="642987FB" w14:textId="77777777" w:rsidR="007B6C97" w:rsidRDefault="00E426D1">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642987FC" w14:textId="77777777" w:rsidR="007B6C97" w:rsidRDefault="00E426D1">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42987F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7F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center"/>
          </w:tcPr>
          <w:p w14:paraId="642987FF" w14:textId="77777777" w:rsidR="007B6C97" w:rsidRDefault="00E426D1">
            <w:pPr>
              <w:jc w:val="right"/>
              <w:textAlignment w:val="center"/>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center"/>
          </w:tcPr>
          <w:p w14:paraId="64298800" w14:textId="77777777" w:rsidR="007B6C97" w:rsidRDefault="007B6C97">
            <w:pPr>
              <w:jc w:val="right"/>
              <w:rPr>
                <w:rFonts w:ascii="宋体"/>
              </w:rPr>
            </w:pPr>
          </w:p>
        </w:tc>
      </w:tr>
      <w:tr w:rsidR="007B6C97" w14:paraId="64298808" w14:textId="77777777">
        <w:tc>
          <w:tcPr>
            <w:tcW w:w="0" w:type="auto"/>
            <w:gridSpan w:val="3"/>
            <w:shd w:val="clear" w:color="auto" w:fill="D7E4BC"/>
            <w:tcMar>
              <w:top w:w="40" w:type="dxa"/>
              <w:left w:w="20" w:type="dxa"/>
              <w:bottom w:w="40" w:type="dxa"/>
              <w:right w:w="20" w:type="dxa"/>
            </w:tcMar>
          </w:tcPr>
          <w:p w14:paraId="64298802"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Options outstanding/Nonvested RSUs, July 3, 2022</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03" w14:textId="77777777" w:rsidR="007B6C97" w:rsidRDefault="00E426D1">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0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0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06" w14:textId="77777777" w:rsidR="007B6C97" w:rsidRDefault="00E426D1">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07" w14:textId="77777777" w:rsidR="007B6C97" w:rsidRDefault="007B6C97">
            <w:pPr>
              <w:jc w:val="right"/>
              <w:rPr>
                <w:rFonts w:ascii="宋体"/>
              </w:rPr>
            </w:pPr>
          </w:p>
        </w:tc>
      </w:tr>
      <w:tr w:rsidR="007B6C97" w14:paraId="64298811" w14:textId="77777777">
        <w:tc>
          <w:tcPr>
            <w:tcW w:w="0" w:type="auto"/>
            <w:gridSpan w:val="3"/>
            <w:shd w:val="clear" w:color="auto" w:fill="FFFFFF"/>
            <w:tcMar>
              <w:top w:w="40" w:type="dxa"/>
              <w:left w:w="20" w:type="dxa"/>
              <w:bottom w:w="40" w:type="dxa"/>
              <w:right w:w="20" w:type="dxa"/>
            </w:tcMar>
            <w:vAlign w:val="bottom"/>
          </w:tcPr>
          <w:p w14:paraId="64298809"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Total unrecognized stock-based compensation expense, net of estimated forfeitures, as of July 3, 2022</w:t>
            </w:r>
          </w:p>
        </w:tc>
        <w:tc>
          <w:tcPr>
            <w:tcW w:w="0" w:type="auto"/>
            <w:tcBorders>
              <w:top w:val="double" w:sz="6" w:space="0" w:color="000000"/>
            </w:tcBorders>
            <w:shd w:val="clear" w:color="auto" w:fill="FFFFFF"/>
            <w:tcMar>
              <w:top w:w="40" w:type="dxa"/>
              <w:left w:w="20" w:type="dxa"/>
              <w:bottom w:w="40" w:type="dxa"/>
              <w:right w:w="0" w:type="dxa"/>
            </w:tcMar>
            <w:vAlign w:val="center"/>
          </w:tcPr>
          <w:p w14:paraId="6429880A" w14:textId="77777777" w:rsidR="007B6C97" w:rsidRDefault="00E426D1">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6429880B" w14:textId="77777777" w:rsidR="007B6C97" w:rsidRDefault="00E426D1">
            <w:pPr>
              <w:jc w:val="right"/>
              <w:textAlignment w:val="center"/>
            </w:pPr>
            <w:r>
              <w:rPr>
                <w:rFonts w:ascii="Times New Roman" w:eastAsia="宋体" w:hAnsi="Times New Roman"/>
                <w:color w:val="000000"/>
                <w:sz w:val="20"/>
                <w:szCs w:val="20"/>
              </w:rPr>
              <w:t>0.0 </w:t>
            </w:r>
          </w:p>
        </w:tc>
        <w:tc>
          <w:tcPr>
            <w:tcW w:w="0" w:type="auto"/>
            <w:tcBorders>
              <w:top w:val="double" w:sz="6" w:space="0" w:color="000000"/>
            </w:tcBorders>
            <w:shd w:val="clear" w:color="auto" w:fill="FFFFFF"/>
            <w:tcMar>
              <w:top w:w="40" w:type="dxa"/>
              <w:left w:w="0" w:type="dxa"/>
              <w:bottom w:w="40" w:type="dxa"/>
              <w:right w:w="20" w:type="dxa"/>
            </w:tcMar>
            <w:vAlign w:val="center"/>
          </w:tcPr>
          <w:p w14:paraId="6429880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0D" w14:textId="77777777" w:rsidR="007B6C97" w:rsidRDefault="007B6C9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center"/>
          </w:tcPr>
          <w:p w14:paraId="6429880E" w14:textId="77777777" w:rsidR="007B6C97" w:rsidRDefault="00E426D1">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6429880F" w14:textId="77777777" w:rsidR="007B6C97" w:rsidRDefault="00E426D1">
            <w:pPr>
              <w:jc w:val="right"/>
              <w:textAlignment w:val="center"/>
            </w:pPr>
            <w:r>
              <w:rPr>
                <w:rFonts w:ascii="Times New Roman" w:eastAsia="宋体" w:hAnsi="Times New Roman"/>
                <w:color w:val="000000"/>
                <w:sz w:val="20"/>
                <w:szCs w:val="20"/>
              </w:rPr>
              <w:t>196.3 </w:t>
            </w:r>
          </w:p>
        </w:tc>
        <w:tc>
          <w:tcPr>
            <w:tcW w:w="0" w:type="auto"/>
            <w:tcBorders>
              <w:top w:val="double" w:sz="6" w:space="0" w:color="000000"/>
            </w:tcBorders>
            <w:shd w:val="clear" w:color="auto" w:fill="FFFFFF"/>
            <w:tcMar>
              <w:top w:w="40" w:type="dxa"/>
              <w:left w:w="0" w:type="dxa"/>
              <w:bottom w:w="40" w:type="dxa"/>
              <w:right w:w="20" w:type="dxa"/>
            </w:tcMar>
            <w:vAlign w:val="center"/>
          </w:tcPr>
          <w:p w14:paraId="64298810" w14:textId="77777777" w:rsidR="007B6C97" w:rsidRDefault="007B6C97">
            <w:pPr>
              <w:jc w:val="right"/>
              <w:rPr>
                <w:rFonts w:ascii="宋体"/>
              </w:rPr>
            </w:pPr>
          </w:p>
        </w:tc>
      </w:tr>
    </w:tbl>
    <w:p w14:paraId="64298812" w14:textId="77777777" w:rsidR="007B6C97" w:rsidRDefault="00E426D1">
      <w:pPr>
        <w:spacing w:before="120"/>
      </w:pPr>
      <w:r>
        <w:rPr>
          <w:rFonts w:ascii="Times New Roman" w:eastAsia="宋体" w:hAnsi="Times New Roman"/>
          <w:b/>
          <w:bCs/>
          <w:color w:val="000000"/>
          <w:sz w:val="20"/>
          <w:szCs w:val="20"/>
        </w:rPr>
        <w:t>Note 12: Income Taxes</w:t>
      </w:r>
    </w:p>
    <w:p w14:paraId="64298813" w14:textId="77777777" w:rsidR="007B6C97" w:rsidRDefault="00E426D1">
      <w:pPr>
        <w:spacing w:before="120"/>
      </w:pPr>
      <w:r>
        <w:rPr>
          <w:rFonts w:ascii="Times New Roman" w:eastAsia="宋体" w:hAnsi="Times New Roman"/>
          <w:color w:val="000000"/>
          <w:sz w:val="20"/>
          <w:szCs w:val="20"/>
        </w:rPr>
        <w:t xml:space="preserve">The effective tax rate for the quarter ended </w:t>
      </w:r>
      <w:r>
        <w:rPr>
          <w:rFonts w:ascii="Times New Roman" w:eastAsia="宋体" w:hAnsi="Times New Roman"/>
          <w:color w:val="000000"/>
          <w:sz w:val="20"/>
          <w:szCs w:val="20"/>
        </w:rPr>
        <w:t>July 3, 2022 was 23.4% compared to 18.2% for the same quarter in fiscal 2021. The increase was primarily due to lapping a prior year remeasurement of deferred tax assets due to an enacted foreign corporate rate change (approximately 510 basis points).</w:t>
      </w:r>
    </w:p>
    <w:p w14:paraId="64298814" w14:textId="77777777" w:rsidR="007B6C97" w:rsidRDefault="00E426D1">
      <w:pPr>
        <w:spacing w:before="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effective tax rate for the first three quarters ended July 3, 2022 was 23.2% compared to 21.7% for the same period in fiscal 2021. The increase was primarily due to lapping a prior year remeasurement of deferred tax assets due to an enacted foreign corpora</w:t>
      </w:r>
      <w:r>
        <w:rPr>
          <w:rFonts w:ascii="Times New Roman" w:eastAsia="宋体" w:hAnsi="Times New Roman"/>
          <w:color w:val="000000"/>
          <w:sz w:val="20"/>
          <w:szCs w:val="20"/>
        </w:rPr>
        <w:t xml:space="preserve">te rate change (approximately 230 basis points). </w:t>
      </w:r>
    </w:p>
    <w:p w14:paraId="64298815" w14:textId="77777777" w:rsidR="007B6C97" w:rsidRDefault="00E426D1">
      <w:pPr>
        <w:spacing w:before="120"/>
      </w:pPr>
      <w:r>
        <w:rPr>
          <w:rFonts w:ascii="Times New Roman" w:eastAsia="宋体" w:hAnsi="Times New Roman"/>
          <w:b/>
          <w:bCs/>
          <w:color w:val="000000"/>
          <w:sz w:val="20"/>
          <w:szCs w:val="20"/>
        </w:rPr>
        <w:t>Note 13: Earnings per Share</w:t>
      </w:r>
    </w:p>
    <w:p w14:paraId="64298816" w14:textId="77777777" w:rsidR="007B6C97" w:rsidRDefault="00E426D1">
      <w:pPr>
        <w:spacing w:before="120"/>
      </w:pPr>
      <w:r>
        <w:rPr>
          <w:rFonts w:ascii="Times New Roman" w:eastAsia="宋体" w:hAnsi="Times New Roman"/>
          <w:color w:val="000000"/>
          <w:sz w:val="20"/>
          <w:szCs w:val="20"/>
        </w:rPr>
        <w:t>Calculation of net earnings per common share (“EPS”) — basic and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085"/>
        <w:gridCol w:w="36"/>
        <w:gridCol w:w="121"/>
        <w:gridCol w:w="1089"/>
        <w:gridCol w:w="36"/>
        <w:gridCol w:w="36"/>
        <w:gridCol w:w="36"/>
        <w:gridCol w:w="36"/>
        <w:gridCol w:w="120"/>
        <w:gridCol w:w="1046"/>
        <w:gridCol w:w="36"/>
        <w:gridCol w:w="36"/>
        <w:gridCol w:w="36"/>
        <w:gridCol w:w="36"/>
        <w:gridCol w:w="120"/>
        <w:gridCol w:w="1046"/>
        <w:gridCol w:w="36"/>
        <w:gridCol w:w="36"/>
        <w:gridCol w:w="36"/>
        <w:gridCol w:w="36"/>
        <w:gridCol w:w="120"/>
        <w:gridCol w:w="1048"/>
        <w:gridCol w:w="36"/>
      </w:tblGrid>
      <w:tr w:rsidR="007B6C97" w14:paraId="6429882F" w14:textId="77777777">
        <w:tc>
          <w:tcPr>
            <w:tcW w:w="50" w:type="pct"/>
            <w:shd w:val="clear" w:color="auto" w:fill="auto"/>
            <w:vAlign w:val="bottom"/>
          </w:tcPr>
          <w:p w14:paraId="64298817" w14:textId="77777777" w:rsidR="007B6C97" w:rsidRDefault="007B6C97">
            <w:pPr>
              <w:rPr>
                <w:rFonts w:ascii="宋体"/>
              </w:rPr>
            </w:pPr>
          </w:p>
        </w:tc>
        <w:tc>
          <w:tcPr>
            <w:tcW w:w="1882" w:type="pct"/>
            <w:shd w:val="clear" w:color="auto" w:fill="auto"/>
            <w:vAlign w:val="bottom"/>
          </w:tcPr>
          <w:p w14:paraId="64298818" w14:textId="77777777" w:rsidR="007B6C97" w:rsidRDefault="007B6C97">
            <w:pPr>
              <w:rPr>
                <w:rFonts w:ascii="宋体"/>
              </w:rPr>
            </w:pPr>
          </w:p>
        </w:tc>
        <w:tc>
          <w:tcPr>
            <w:tcW w:w="5" w:type="pct"/>
            <w:shd w:val="clear" w:color="auto" w:fill="auto"/>
            <w:vAlign w:val="bottom"/>
          </w:tcPr>
          <w:p w14:paraId="64298819" w14:textId="77777777" w:rsidR="007B6C97" w:rsidRDefault="007B6C97">
            <w:pPr>
              <w:rPr>
                <w:rFonts w:ascii="宋体"/>
              </w:rPr>
            </w:pPr>
          </w:p>
        </w:tc>
        <w:tc>
          <w:tcPr>
            <w:tcW w:w="50" w:type="pct"/>
            <w:shd w:val="clear" w:color="auto" w:fill="auto"/>
            <w:vAlign w:val="bottom"/>
          </w:tcPr>
          <w:p w14:paraId="6429881A" w14:textId="77777777" w:rsidR="007B6C97" w:rsidRDefault="007B6C97">
            <w:pPr>
              <w:rPr>
                <w:rFonts w:ascii="宋体"/>
              </w:rPr>
            </w:pPr>
          </w:p>
        </w:tc>
        <w:tc>
          <w:tcPr>
            <w:tcW w:w="683" w:type="pct"/>
            <w:shd w:val="clear" w:color="auto" w:fill="auto"/>
            <w:vAlign w:val="bottom"/>
          </w:tcPr>
          <w:p w14:paraId="6429881B" w14:textId="77777777" w:rsidR="007B6C97" w:rsidRDefault="007B6C97">
            <w:pPr>
              <w:rPr>
                <w:rFonts w:ascii="宋体"/>
              </w:rPr>
            </w:pPr>
          </w:p>
        </w:tc>
        <w:tc>
          <w:tcPr>
            <w:tcW w:w="5" w:type="pct"/>
            <w:shd w:val="clear" w:color="auto" w:fill="auto"/>
            <w:vAlign w:val="bottom"/>
          </w:tcPr>
          <w:p w14:paraId="6429881C" w14:textId="77777777" w:rsidR="007B6C97" w:rsidRDefault="007B6C97">
            <w:pPr>
              <w:rPr>
                <w:rFonts w:ascii="宋体"/>
              </w:rPr>
            </w:pPr>
          </w:p>
        </w:tc>
        <w:tc>
          <w:tcPr>
            <w:tcW w:w="5" w:type="pct"/>
            <w:shd w:val="clear" w:color="auto" w:fill="auto"/>
            <w:vAlign w:val="bottom"/>
          </w:tcPr>
          <w:p w14:paraId="6429881D" w14:textId="77777777" w:rsidR="007B6C97" w:rsidRDefault="007B6C97">
            <w:pPr>
              <w:rPr>
                <w:rFonts w:ascii="宋体"/>
              </w:rPr>
            </w:pPr>
          </w:p>
        </w:tc>
        <w:tc>
          <w:tcPr>
            <w:tcW w:w="26" w:type="pct"/>
            <w:shd w:val="clear" w:color="auto" w:fill="auto"/>
            <w:vAlign w:val="bottom"/>
          </w:tcPr>
          <w:p w14:paraId="6429881E" w14:textId="77777777" w:rsidR="007B6C97" w:rsidRDefault="007B6C97">
            <w:pPr>
              <w:rPr>
                <w:rFonts w:ascii="宋体"/>
              </w:rPr>
            </w:pPr>
          </w:p>
        </w:tc>
        <w:tc>
          <w:tcPr>
            <w:tcW w:w="5" w:type="pct"/>
            <w:shd w:val="clear" w:color="auto" w:fill="auto"/>
            <w:vAlign w:val="bottom"/>
          </w:tcPr>
          <w:p w14:paraId="6429881F" w14:textId="77777777" w:rsidR="007B6C97" w:rsidRDefault="007B6C97">
            <w:pPr>
              <w:rPr>
                <w:rFonts w:ascii="宋体"/>
              </w:rPr>
            </w:pPr>
          </w:p>
        </w:tc>
        <w:tc>
          <w:tcPr>
            <w:tcW w:w="50" w:type="pct"/>
            <w:shd w:val="clear" w:color="auto" w:fill="auto"/>
            <w:vAlign w:val="bottom"/>
          </w:tcPr>
          <w:p w14:paraId="64298820" w14:textId="77777777" w:rsidR="007B6C97" w:rsidRDefault="007B6C97">
            <w:pPr>
              <w:rPr>
                <w:rFonts w:ascii="宋体"/>
              </w:rPr>
            </w:pPr>
          </w:p>
        </w:tc>
        <w:tc>
          <w:tcPr>
            <w:tcW w:w="683" w:type="pct"/>
            <w:shd w:val="clear" w:color="auto" w:fill="auto"/>
            <w:vAlign w:val="bottom"/>
          </w:tcPr>
          <w:p w14:paraId="64298821" w14:textId="77777777" w:rsidR="007B6C97" w:rsidRDefault="007B6C97">
            <w:pPr>
              <w:rPr>
                <w:rFonts w:ascii="宋体"/>
              </w:rPr>
            </w:pPr>
          </w:p>
        </w:tc>
        <w:tc>
          <w:tcPr>
            <w:tcW w:w="5" w:type="pct"/>
            <w:shd w:val="clear" w:color="auto" w:fill="auto"/>
            <w:vAlign w:val="bottom"/>
          </w:tcPr>
          <w:p w14:paraId="64298822" w14:textId="77777777" w:rsidR="007B6C97" w:rsidRDefault="007B6C97">
            <w:pPr>
              <w:rPr>
                <w:rFonts w:ascii="宋体"/>
              </w:rPr>
            </w:pPr>
          </w:p>
        </w:tc>
        <w:tc>
          <w:tcPr>
            <w:tcW w:w="5" w:type="pct"/>
            <w:shd w:val="clear" w:color="auto" w:fill="auto"/>
            <w:vAlign w:val="bottom"/>
          </w:tcPr>
          <w:p w14:paraId="64298823" w14:textId="77777777" w:rsidR="007B6C97" w:rsidRDefault="007B6C97">
            <w:pPr>
              <w:rPr>
                <w:rFonts w:ascii="宋体"/>
              </w:rPr>
            </w:pPr>
          </w:p>
        </w:tc>
        <w:tc>
          <w:tcPr>
            <w:tcW w:w="26" w:type="pct"/>
            <w:shd w:val="clear" w:color="auto" w:fill="auto"/>
            <w:vAlign w:val="bottom"/>
          </w:tcPr>
          <w:p w14:paraId="64298824" w14:textId="77777777" w:rsidR="007B6C97" w:rsidRDefault="007B6C97">
            <w:pPr>
              <w:rPr>
                <w:rFonts w:ascii="宋体"/>
              </w:rPr>
            </w:pPr>
          </w:p>
        </w:tc>
        <w:tc>
          <w:tcPr>
            <w:tcW w:w="5" w:type="pct"/>
            <w:shd w:val="clear" w:color="auto" w:fill="auto"/>
            <w:vAlign w:val="bottom"/>
          </w:tcPr>
          <w:p w14:paraId="64298825" w14:textId="77777777" w:rsidR="007B6C97" w:rsidRDefault="007B6C97">
            <w:pPr>
              <w:rPr>
                <w:rFonts w:ascii="宋体"/>
              </w:rPr>
            </w:pPr>
          </w:p>
        </w:tc>
        <w:tc>
          <w:tcPr>
            <w:tcW w:w="50" w:type="pct"/>
            <w:shd w:val="clear" w:color="auto" w:fill="auto"/>
            <w:vAlign w:val="bottom"/>
          </w:tcPr>
          <w:p w14:paraId="64298826" w14:textId="77777777" w:rsidR="007B6C97" w:rsidRDefault="007B6C97">
            <w:pPr>
              <w:rPr>
                <w:rFonts w:ascii="宋体"/>
              </w:rPr>
            </w:pPr>
          </w:p>
        </w:tc>
        <w:tc>
          <w:tcPr>
            <w:tcW w:w="683" w:type="pct"/>
            <w:shd w:val="clear" w:color="auto" w:fill="auto"/>
            <w:vAlign w:val="bottom"/>
          </w:tcPr>
          <w:p w14:paraId="64298827" w14:textId="77777777" w:rsidR="007B6C97" w:rsidRDefault="007B6C97">
            <w:pPr>
              <w:rPr>
                <w:rFonts w:ascii="宋体"/>
              </w:rPr>
            </w:pPr>
          </w:p>
        </w:tc>
        <w:tc>
          <w:tcPr>
            <w:tcW w:w="5" w:type="pct"/>
            <w:shd w:val="clear" w:color="auto" w:fill="auto"/>
            <w:vAlign w:val="bottom"/>
          </w:tcPr>
          <w:p w14:paraId="64298828" w14:textId="77777777" w:rsidR="007B6C97" w:rsidRDefault="007B6C97">
            <w:pPr>
              <w:rPr>
                <w:rFonts w:ascii="宋体"/>
              </w:rPr>
            </w:pPr>
          </w:p>
        </w:tc>
        <w:tc>
          <w:tcPr>
            <w:tcW w:w="5" w:type="pct"/>
            <w:shd w:val="clear" w:color="auto" w:fill="auto"/>
            <w:vAlign w:val="bottom"/>
          </w:tcPr>
          <w:p w14:paraId="64298829" w14:textId="77777777" w:rsidR="007B6C97" w:rsidRDefault="007B6C97">
            <w:pPr>
              <w:rPr>
                <w:rFonts w:ascii="宋体"/>
              </w:rPr>
            </w:pPr>
          </w:p>
        </w:tc>
        <w:tc>
          <w:tcPr>
            <w:tcW w:w="26" w:type="pct"/>
            <w:shd w:val="clear" w:color="auto" w:fill="auto"/>
            <w:vAlign w:val="bottom"/>
          </w:tcPr>
          <w:p w14:paraId="6429882A" w14:textId="77777777" w:rsidR="007B6C97" w:rsidRDefault="007B6C97">
            <w:pPr>
              <w:rPr>
                <w:rFonts w:ascii="宋体"/>
              </w:rPr>
            </w:pPr>
          </w:p>
        </w:tc>
        <w:tc>
          <w:tcPr>
            <w:tcW w:w="5" w:type="pct"/>
            <w:shd w:val="clear" w:color="auto" w:fill="auto"/>
            <w:vAlign w:val="bottom"/>
          </w:tcPr>
          <w:p w14:paraId="6429882B" w14:textId="77777777" w:rsidR="007B6C97" w:rsidRDefault="007B6C97">
            <w:pPr>
              <w:rPr>
                <w:rFonts w:ascii="宋体"/>
              </w:rPr>
            </w:pPr>
          </w:p>
        </w:tc>
        <w:tc>
          <w:tcPr>
            <w:tcW w:w="50" w:type="pct"/>
            <w:shd w:val="clear" w:color="auto" w:fill="auto"/>
            <w:vAlign w:val="bottom"/>
          </w:tcPr>
          <w:p w14:paraId="6429882C" w14:textId="77777777" w:rsidR="007B6C97" w:rsidRDefault="007B6C97">
            <w:pPr>
              <w:rPr>
                <w:rFonts w:ascii="宋体"/>
              </w:rPr>
            </w:pPr>
          </w:p>
        </w:tc>
        <w:tc>
          <w:tcPr>
            <w:tcW w:w="683" w:type="pct"/>
            <w:shd w:val="clear" w:color="auto" w:fill="auto"/>
            <w:vAlign w:val="bottom"/>
          </w:tcPr>
          <w:p w14:paraId="6429882D" w14:textId="77777777" w:rsidR="007B6C97" w:rsidRDefault="007B6C97">
            <w:pPr>
              <w:rPr>
                <w:rFonts w:ascii="宋体"/>
              </w:rPr>
            </w:pPr>
          </w:p>
        </w:tc>
        <w:tc>
          <w:tcPr>
            <w:tcW w:w="5" w:type="pct"/>
            <w:shd w:val="clear" w:color="auto" w:fill="auto"/>
            <w:vAlign w:val="bottom"/>
          </w:tcPr>
          <w:p w14:paraId="6429882E" w14:textId="77777777" w:rsidR="007B6C97" w:rsidRDefault="007B6C97">
            <w:pPr>
              <w:rPr>
                <w:rFonts w:ascii="宋体"/>
              </w:rPr>
            </w:pPr>
          </w:p>
        </w:tc>
      </w:tr>
      <w:tr w:rsidR="007B6C97" w14:paraId="64298834" w14:textId="77777777">
        <w:tc>
          <w:tcPr>
            <w:tcW w:w="0" w:type="auto"/>
            <w:gridSpan w:val="3"/>
            <w:shd w:val="clear" w:color="auto" w:fill="auto"/>
            <w:tcMar>
              <w:top w:w="40" w:type="dxa"/>
              <w:left w:w="20" w:type="dxa"/>
              <w:bottom w:w="40" w:type="dxa"/>
              <w:right w:w="20" w:type="dxa"/>
            </w:tcMar>
            <w:vAlign w:val="bottom"/>
          </w:tcPr>
          <w:p w14:paraId="64298830" w14:textId="77777777" w:rsidR="007B6C97" w:rsidRDefault="00E426D1">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4298831"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8832"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833"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83D" w14:textId="77777777">
        <w:tc>
          <w:tcPr>
            <w:tcW w:w="0" w:type="auto"/>
            <w:gridSpan w:val="3"/>
            <w:shd w:val="clear" w:color="auto" w:fill="auto"/>
            <w:tcMar>
              <w:top w:w="40" w:type="dxa"/>
              <w:left w:w="20" w:type="dxa"/>
              <w:bottom w:w="40" w:type="dxa"/>
              <w:right w:w="20" w:type="dxa"/>
            </w:tcMar>
            <w:vAlign w:val="bottom"/>
          </w:tcPr>
          <w:p w14:paraId="64298835"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8836"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83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838"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6429883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83A"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83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83C"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84E" w14:textId="77777777">
        <w:tc>
          <w:tcPr>
            <w:tcW w:w="0" w:type="auto"/>
            <w:gridSpan w:val="3"/>
            <w:shd w:val="clear" w:color="auto" w:fill="D7E4BC"/>
            <w:tcMar>
              <w:top w:w="40" w:type="dxa"/>
              <w:left w:w="20" w:type="dxa"/>
              <w:bottom w:w="40" w:type="dxa"/>
              <w:right w:w="20" w:type="dxa"/>
            </w:tcMar>
            <w:vAlign w:val="bottom"/>
          </w:tcPr>
          <w:p w14:paraId="6429883E" w14:textId="77777777" w:rsidR="007B6C97" w:rsidRDefault="00E426D1">
            <w:pPr>
              <w:textAlignment w:val="bottom"/>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83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40" w14:textId="77777777" w:rsidR="007B6C97" w:rsidRDefault="00E426D1">
            <w:pPr>
              <w:jc w:val="right"/>
              <w:textAlignment w:val="bottom"/>
            </w:pPr>
            <w:r>
              <w:rPr>
                <w:rFonts w:ascii="Times New Roman" w:eastAsia="宋体" w:hAnsi="Times New Roman"/>
                <w:color w:val="000000"/>
                <w:sz w:val="20"/>
                <w:szCs w:val="20"/>
              </w:rPr>
              <w:t>912.9 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4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4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4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44" w14:textId="77777777" w:rsidR="007B6C97" w:rsidRDefault="00E426D1">
            <w:pPr>
              <w:jc w:val="right"/>
              <w:textAlignment w:val="bottom"/>
            </w:pPr>
            <w:r>
              <w:rPr>
                <w:rFonts w:ascii="Times New Roman" w:eastAsia="宋体" w:hAnsi="Times New Roman"/>
                <w:color w:val="000000"/>
                <w:sz w:val="20"/>
                <w:szCs w:val="20"/>
              </w:rPr>
              <w:t>1,153.4 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4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4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4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48" w14:textId="77777777" w:rsidR="007B6C97" w:rsidRDefault="00E426D1">
            <w:pPr>
              <w:jc w:val="right"/>
              <w:textAlignment w:val="bottom"/>
            </w:pPr>
            <w:r>
              <w:rPr>
                <w:rFonts w:ascii="Times New Roman" w:eastAsia="宋体" w:hAnsi="Times New Roman"/>
                <w:color w:val="000000"/>
                <w:sz w:val="20"/>
                <w:szCs w:val="20"/>
              </w:rPr>
              <w:t>2,403.3 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4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4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4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4C" w14:textId="77777777" w:rsidR="007B6C97" w:rsidRDefault="00E426D1">
            <w:pPr>
              <w:jc w:val="right"/>
              <w:textAlignment w:val="bottom"/>
            </w:pPr>
            <w:r>
              <w:rPr>
                <w:rFonts w:ascii="Times New Roman" w:eastAsia="宋体" w:hAnsi="Times New Roman"/>
                <w:color w:val="000000"/>
                <w:sz w:val="20"/>
                <w:szCs w:val="20"/>
              </w:rPr>
              <w:t>2,434.9 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4D" w14:textId="77777777" w:rsidR="007B6C97" w:rsidRDefault="007B6C97">
            <w:pPr>
              <w:jc w:val="right"/>
              <w:rPr>
                <w:rFonts w:ascii="宋体"/>
              </w:rPr>
            </w:pPr>
          </w:p>
        </w:tc>
      </w:tr>
      <w:tr w:rsidR="007B6C97" w14:paraId="6429885B" w14:textId="77777777">
        <w:tc>
          <w:tcPr>
            <w:tcW w:w="0" w:type="auto"/>
            <w:gridSpan w:val="3"/>
            <w:shd w:val="clear" w:color="auto" w:fill="FFFFFF"/>
            <w:tcMar>
              <w:top w:w="40" w:type="dxa"/>
              <w:left w:w="20" w:type="dxa"/>
              <w:bottom w:w="40" w:type="dxa"/>
              <w:right w:w="20" w:type="dxa"/>
            </w:tcMar>
            <w:vAlign w:val="bottom"/>
          </w:tcPr>
          <w:p w14:paraId="6429884F" w14:textId="77777777" w:rsidR="007B6C97" w:rsidRDefault="00E426D1">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64298850" w14:textId="77777777" w:rsidR="007B6C97" w:rsidRDefault="00E426D1">
            <w:pPr>
              <w:jc w:val="right"/>
              <w:textAlignment w:val="bottom"/>
            </w:pPr>
            <w:r>
              <w:rPr>
                <w:rFonts w:ascii="Times New Roman" w:eastAsia="宋体" w:hAnsi="Times New Roman"/>
                <w:color w:val="000000"/>
                <w:sz w:val="20"/>
                <w:szCs w:val="20"/>
              </w:rPr>
              <w:t>1,147.0 </w:t>
            </w:r>
          </w:p>
        </w:tc>
        <w:tc>
          <w:tcPr>
            <w:tcW w:w="0" w:type="auto"/>
            <w:shd w:val="clear" w:color="auto" w:fill="FFFFFF"/>
            <w:tcMar>
              <w:top w:w="40" w:type="dxa"/>
              <w:left w:w="0" w:type="dxa"/>
              <w:bottom w:w="40" w:type="dxa"/>
              <w:right w:w="20" w:type="dxa"/>
            </w:tcMar>
            <w:vAlign w:val="bottom"/>
          </w:tcPr>
          <w:p w14:paraId="6429885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5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853" w14:textId="77777777" w:rsidR="007B6C97" w:rsidRDefault="00E426D1">
            <w:pPr>
              <w:jc w:val="right"/>
              <w:textAlignment w:val="bottom"/>
            </w:pPr>
            <w:r>
              <w:rPr>
                <w:rFonts w:ascii="Times New Roman" w:eastAsia="宋体" w:hAnsi="Times New Roman"/>
                <w:color w:val="000000"/>
                <w:sz w:val="20"/>
                <w:szCs w:val="20"/>
              </w:rPr>
              <w:t>1,178.5 </w:t>
            </w:r>
          </w:p>
        </w:tc>
        <w:tc>
          <w:tcPr>
            <w:tcW w:w="0" w:type="auto"/>
            <w:shd w:val="clear" w:color="auto" w:fill="FFFFFF"/>
            <w:tcMar>
              <w:top w:w="40" w:type="dxa"/>
              <w:left w:w="0" w:type="dxa"/>
              <w:bottom w:w="40" w:type="dxa"/>
              <w:right w:w="20" w:type="dxa"/>
            </w:tcMar>
            <w:vAlign w:val="bottom"/>
          </w:tcPr>
          <w:p w14:paraId="64298854"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885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856" w14:textId="77777777" w:rsidR="007B6C97" w:rsidRDefault="00E426D1">
            <w:pPr>
              <w:jc w:val="right"/>
              <w:textAlignment w:val="bottom"/>
            </w:pPr>
            <w:r>
              <w:rPr>
                <w:rFonts w:ascii="Times New Roman" w:eastAsia="宋体" w:hAnsi="Times New Roman"/>
                <w:color w:val="000000"/>
                <w:sz w:val="20"/>
                <w:szCs w:val="20"/>
              </w:rPr>
              <w:t>1,155.3 </w:t>
            </w:r>
          </w:p>
        </w:tc>
        <w:tc>
          <w:tcPr>
            <w:tcW w:w="0" w:type="auto"/>
            <w:shd w:val="clear" w:color="auto" w:fill="FFFFFF"/>
            <w:tcMar>
              <w:top w:w="40" w:type="dxa"/>
              <w:left w:w="0" w:type="dxa"/>
              <w:bottom w:w="40" w:type="dxa"/>
              <w:right w:w="20" w:type="dxa"/>
            </w:tcMar>
            <w:vAlign w:val="bottom"/>
          </w:tcPr>
          <w:p w14:paraId="6429885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5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859" w14:textId="77777777" w:rsidR="007B6C97" w:rsidRDefault="00E426D1">
            <w:pPr>
              <w:jc w:val="right"/>
              <w:textAlignment w:val="bottom"/>
            </w:pPr>
            <w:r>
              <w:rPr>
                <w:rFonts w:ascii="Times New Roman" w:eastAsia="宋体" w:hAnsi="Times New Roman"/>
                <w:color w:val="000000"/>
                <w:sz w:val="20"/>
                <w:szCs w:val="20"/>
              </w:rPr>
              <w:t>1,177.0 </w:t>
            </w:r>
          </w:p>
        </w:tc>
        <w:tc>
          <w:tcPr>
            <w:tcW w:w="0" w:type="auto"/>
            <w:shd w:val="clear" w:color="auto" w:fill="FFFFFF"/>
            <w:tcMar>
              <w:top w:w="40" w:type="dxa"/>
              <w:left w:w="0" w:type="dxa"/>
              <w:bottom w:w="40" w:type="dxa"/>
              <w:right w:w="20" w:type="dxa"/>
            </w:tcMar>
            <w:vAlign w:val="bottom"/>
          </w:tcPr>
          <w:p w14:paraId="6429885A" w14:textId="77777777" w:rsidR="007B6C97" w:rsidRDefault="007B6C97">
            <w:pPr>
              <w:jc w:val="right"/>
              <w:rPr>
                <w:rFonts w:ascii="宋体"/>
              </w:rPr>
            </w:pPr>
          </w:p>
        </w:tc>
      </w:tr>
      <w:tr w:rsidR="007B6C97" w14:paraId="64298868" w14:textId="77777777">
        <w:tc>
          <w:tcPr>
            <w:tcW w:w="0" w:type="auto"/>
            <w:gridSpan w:val="3"/>
            <w:shd w:val="clear" w:color="auto" w:fill="D7E4BC"/>
            <w:tcMar>
              <w:top w:w="40" w:type="dxa"/>
              <w:left w:w="20" w:type="dxa"/>
              <w:bottom w:w="40" w:type="dxa"/>
              <w:right w:w="20" w:type="dxa"/>
            </w:tcMar>
            <w:vAlign w:val="bottom"/>
          </w:tcPr>
          <w:p w14:paraId="6429885C" w14:textId="77777777" w:rsidR="007B6C97" w:rsidRDefault="00E426D1">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6429885D"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429885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5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860" w14:textId="77777777" w:rsidR="007B6C97" w:rsidRDefault="00E426D1">
            <w:pPr>
              <w:jc w:val="right"/>
              <w:textAlignment w:val="bottom"/>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bottom"/>
          </w:tcPr>
          <w:p w14:paraId="642988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6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863" w14:textId="77777777" w:rsidR="007B6C97" w:rsidRDefault="00E426D1">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6429886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6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866" w14:textId="77777777" w:rsidR="007B6C97" w:rsidRDefault="00E426D1">
            <w:pPr>
              <w:jc w:val="right"/>
              <w:textAlignment w:val="bottom"/>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bottom"/>
          </w:tcPr>
          <w:p w14:paraId="64298867" w14:textId="77777777" w:rsidR="007B6C97" w:rsidRDefault="007B6C97">
            <w:pPr>
              <w:jc w:val="right"/>
              <w:rPr>
                <w:rFonts w:ascii="宋体"/>
              </w:rPr>
            </w:pPr>
          </w:p>
        </w:tc>
      </w:tr>
      <w:tr w:rsidR="007B6C97" w14:paraId="64298875" w14:textId="77777777">
        <w:tc>
          <w:tcPr>
            <w:tcW w:w="0" w:type="auto"/>
            <w:gridSpan w:val="3"/>
            <w:shd w:val="clear" w:color="auto" w:fill="FFFFFF"/>
            <w:tcMar>
              <w:top w:w="40" w:type="dxa"/>
              <w:left w:w="20" w:type="dxa"/>
              <w:bottom w:w="40" w:type="dxa"/>
              <w:right w:w="20" w:type="dxa"/>
            </w:tcMar>
            <w:vAlign w:val="bottom"/>
          </w:tcPr>
          <w:p w14:paraId="64298869" w14:textId="77777777" w:rsidR="007B6C97" w:rsidRDefault="00E426D1">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86A" w14:textId="77777777" w:rsidR="007B6C97" w:rsidRDefault="00E426D1">
            <w:pPr>
              <w:jc w:val="right"/>
              <w:textAlignment w:val="bottom"/>
            </w:pPr>
            <w:r>
              <w:rPr>
                <w:rFonts w:ascii="Times New Roman" w:eastAsia="宋体" w:hAnsi="Times New Roman"/>
                <w:color w:val="000000"/>
                <w:sz w:val="20"/>
                <w:szCs w:val="20"/>
              </w:rPr>
              <w:t>1,151.0 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86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6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86D" w14:textId="77777777" w:rsidR="007B6C97" w:rsidRDefault="00E426D1">
            <w:pPr>
              <w:jc w:val="right"/>
              <w:textAlignment w:val="bottom"/>
            </w:pPr>
            <w:r>
              <w:rPr>
                <w:rFonts w:ascii="Times New Roman" w:eastAsia="宋体" w:hAnsi="Times New Roman"/>
                <w:color w:val="000000"/>
                <w:sz w:val="20"/>
                <w:szCs w:val="20"/>
              </w:rPr>
              <w:t>1,186.2 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86E"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886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870" w14:textId="77777777" w:rsidR="007B6C97" w:rsidRDefault="00E426D1">
            <w:pPr>
              <w:jc w:val="right"/>
              <w:textAlignment w:val="bottom"/>
            </w:pPr>
            <w:r>
              <w:rPr>
                <w:rFonts w:ascii="Times New Roman" w:eastAsia="宋体" w:hAnsi="Times New Roman"/>
                <w:color w:val="000000"/>
                <w:sz w:val="20"/>
                <w:szCs w:val="20"/>
              </w:rPr>
              <w:t>1,160.5 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87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7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873" w14:textId="77777777" w:rsidR="007B6C97" w:rsidRDefault="00E426D1">
            <w:pPr>
              <w:jc w:val="right"/>
              <w:textAlignment w:val="bottom"/>
            </w:pPr>
            <w:r>
              <w:rPr>
                <w:rFonts w:ascii="Times New Roman" w:eastAsia="宋体" w:hAnsi="Times New Roman"/>
                <w:color w:val="000000"/>
                <w:sz w:val="20"/>
                <w:szCs w:val="20"/>
              </w:rPr>
              <w:t>1,184.7 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874" w14:textId="77777777" w:rsidR="007B6C97" w:rsidRDefault="007B6C97">
            <w:pPr>
              <w:jc w:val="right"/>
              <w:rPr>
                <w:rFonts w:ascii="宋体"/>
              </w:rPr>
            </w:pPr>
          </w:p>
        </w:tc>
      </w:tr>
      <w:tr w:rsidR="007B6C97" w14:paraId="64298886" w14:textId="77777777">
        <w:tc>
          <w:tcPr>
            <w:tcW w:w="0" w:type="auto"/>
            <w:gridSpan w:val="3"/>
            <w:shd w:val="clear" w:color="auto" w:fill="D7E4BC"/>
            <w:tcMar>
              <w:top w:w="40" w:type="dxa"/>
              <w:left w:w="20" w:type="dxa"/>
              <w:bottom w:w="40" w:type="dxa"/>
              <w:right w:w="20" w:type="dxa"/>
            </w:tcMar>
            <w:vAlign w:val="bottom"/>
          </w:tcPr>
          <w:p w14:paraId="64298876" w14:textId="77777777" w:rsidR="007B6C97" w:rsidRDefault="00E426D1">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6429887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4298878" w14:textId="77777777" w:rsidR="007B6C97" w:rsidRDefault="00E426D1">
            <w:pPr>
              <w:jc w:val="right"/>
              <w:textAlignment w:val="bottom"/>
            </w:pPr>
            <w:r>
              <w:rPr>
                <w:rFonts w:ascii="Times New Roman" w:eastAsia="宋体" w:hAnsi="Times New Roman"/>
                <w:color w:val="000000"/>
                <w:sz w:val="20"/>
                <w:szCs w:val="20"/>
              </w:rPr>
              <w:t>0.80 </w:t>
            </w:r>
          </w:p>
        </w:tc>
        <w:tc>
          <w:tcPr>
            <w:tcW w:w="0" w:type="auto"/>
            <w:tcBorders>
              <w:top w:val="double" w:sz="6" w:space="0" w:color="000000"/>
            </w:tcBorders>
            <w:shd w:val="clear" w:color="auto" w:fill="D7E4BC"/>
            <w:tcMar>
              <w:top w:w="40" w:type="dxa"/>
              <w:left w:w="0" w:type="dxa"/>
              <w:bottom w:w="40" w:type="dxa"/>
              <w:right w:w="20" w:type="dxa"/>
            </w:tcMar>
            <w:vAlign w:val="bottom"/>
          </w:tcPr>
          <w:p w14:paraId="6429887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7A" w14:textId="77777777" w:rsidR="007B6C97" w:rsidRDefault="007B6C97">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429887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429887C" w14:textId="77777777" w:rsidR="007B6C97" w:rsidRDefault="00E426D1">
            <w:pPr>
              <w:jc w:val="right"/>
              <w:textAlignment w:val="bottom"/>
            </w:pPr>
            <w:r>
              <w:rPr>
                <w:rFonts w:ascii="Times New Roman" w:eastAsia="宋体" w:hAnsi="Times New Roman"/>
                <w:color w:val="000000"/>
                <w:sz w:val="20"/>
                <w:szCs w:val="20"/>
              </w:rPr>
              <w:t>0.98 </w:t>
            </w:r>
          </w:p>
        </w:tc>
        <w:tc>
          <w:tcPr>
            <w:tcW w:w="0" w:type="auto"/>
            <w:tcBorders>
              <w:top w:val="double" w:sz="6" w:space="0" w:color="000000"/>
            </w:tcBorders>
            <w:shd w:val="clear" w:color="auto" w:fill="D7E4BC"/>
            <w:tcMar>
              <w:top w:w="40" w:type="dxa"/>
              <w:left w:w="0" w:type="dxa"/>
              <w:bottom w:w="40" w:type="dxa"/>
              <w:right w:w="20" w:type="dxa"/>
            </w:tcMar>
            <w:vAlign w:val="bottom"/>
          </w:tcPr>
          <w:p w14:paraId="6429887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7E" w14:textId="77777777" w:rsidR="007B6C97" w:rsidRDefault="007B6C97">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429887F"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4298880" w14:textId="77777777" w:rsidR="007B6C97" w:rsidRDefault="00E426D1">
            <w:pPr>
              <w:jc w:val="right"/>
              <w:textAlignment w:val="bottom"/>
            </w:pPr>
            <w:r>
              <w:rPr>
                <w:rFonts w:ascii="Times New Roman" w:eastAsia="宋体" w:hAnsi="Times New Roman"/>
                <w:color w:val="000000"/>
                <w:sz w:val="20"/>
                <w:szCs w:val="20"/>
              </w:rPr>
              <w:t>2.08 </w:t>
            </w:r>
          </w:p>
        </w:tc>
        <w:tc>
          <w:tcPr>
            <w:tcW w:w="0" w:type="auto"/>
            <w:tcBorders>
              <w:top w:val="double" w:sz="6" w:space="0" w:color="000000"/>
            </w:tcBorders>
            <w:shd w:val="clear" w:color="auto" w:fill="D7E4BC"/>
            <w:tcMar>
              <w:top w:w="40" w:type="dxa"/>
              <w:left w:w="0" w:type="dxa"/>
              <w:bottom w:w="40" w:type="dxa"/>
              <w:right w:w="20" w:type="dxa"/>
            </w:tcMar>
            <w:vAlign w:val="bottom"/>
          </w:tcPr>
          <w:p w14:paraId="6429888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882" w14:textId="77777777" w:rsidR="007B6C97" w:rsidRDefault="007B6C97">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429888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4298884" w14:textId="77777777" w:rsidR="007B6C97" w:rsidRDefault="00E426D1">
            <w:pPr>
              <w:jc w:val="right"/>
              <w:textAlignment w:val="bottom"/>
            </w:pPr>
            <w:r>
              <w:rPr>
                <w:rFonts w:ascii="Times New Roman" w:eastAsia="宋体" w:hAnsi="Times New Roman"/>
                <w:color w:val="000000"/>
                <w:sz w:val="20"/>
                <w:szCs w:val="20"/>
              </w:rPr>
              <w:t>2.07 </w:t>
            </w:r>
          </w:p>
        </w:tc>
        <w:tc>
          <w:tcPr>
            <w:tcW w:w="0" w:type="auto"/>
            <w:tcBorders>
              <w:top w:val="double" w:sz="6" w:space="0" w:color="000000"/>
            </w:tcBorders>
            <w:shd w:val="clear" w:color="auto" w:fill="D7E4BC"/>
            <w:tcMar>
              <w:top w:w="40" w:type="dxa"/>
              <w:left w:w="0" w:type="dxa"/>
              <w:bottom w:w="40" w:type="dxa"/>
              <w:right w:w="20" w:type="dxa"/>
            </w:tcMar>
            <w:vAlign w:val="bottom"/>
          </w:tcPr>
          <w:p w14:paraId="64298885" w14:textId="77777777" w:rsidR="007B6C97" w:rsidRDefault="007B6C97">
            <w:pPr>
              <w:jc w:val="right"/>
              <w:rPr>
                <w:rFonts w:ascii="宋体"/>
              </w:rPr>
            </w:pPr>
          </w:p>
        </w:tc>
      </w:tr>
      <w:tr w:rsidR="007B6C97" w14:paraId="64298897" w14:textId="77777777">
        <w:tc>
          <w:tcPr>
            <w:tcW w:w="0" w:type="auto"/>
            <w:gridSpan w:val="3"/>
            <w:shd w:val="clear" w:color="auto" w:fill="FFFFFF"/>
            <w:tcMar>
              <w:top w:w="40" w:type="dxa"/>
              <w:left w:w="20" w:type="dxa"/>
              <w:bottom w:w="40" w:type="dxa"/>
              <w:right w:w="20" w:type="dxa"/>
            </w:tcMar>
            <w:vAlign w:val="bottom"/>
          </w:tcPr>
          <w:p w14:paraId="64298887" w14:textId="77777777" w:rsidR="007B6C97" w:rsidRDefault="00E426D1">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64298888"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889" w14:textId="77777777" w:rsidR="007B6C97" w:rsidRDefault="00E426D1">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6429888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8B"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88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88D" w14:textId="77777777" w:rsidR="007B6C97" w:rsidRDefault="00E426D1">
            <w:pPr>
              <w:jc w:val="right"/>
              <w:textAlignment w:val="bottom"/>
            </w:pPr>
            <w:r>
              <w:rPr>
                <w:rFonts w:ascii="Times New Roman" w:eastAsia="宋体" w:hAnsi="Times New Roman"/>
                <w:color w:val="000000"/>
                <w:sz w:val="20"/>
                <w:szCs w:val="20"/>
              </w:rPr>
              <w:t>0.97 </w:t>
            </w:r>
          </w:p>
        </w:tc>
        <w:tc>
          <w:tcPr>
            <w:tcW w:w="0" w:type="auto"/>
            <w:shd w:val="clear" w:color="auto" w:fill="FFFFFF"/>
            <w:tcMar>
              <w:top w:w="40" w:type="dxa"/>
              <w:left w:w="0" w:type="dxa"/>
              <w:bottom w:w="40" w:type="dxa"/>
              <w:right w:w="20" w:type="dxa"/>
            </w:tcMar>
            <w:vAlign w:val="bottom"/>
          </w:tcPr>
          <w:p w14:paraId="6429888E" w14:textId="77777777" w:rsidR="007B6C97" w:rsidRDefault="007B6C97">
            <w:pPr>
              <w:jc w:val="right"/>
              <w:rPr>
                <w:rFonts w:ascii="宋体"/>
              </w:rPr>
            </w:pPr>
          </w:p>
        </w:tc>
        <w:tc>
          <w:tcPr>
            <w:tcW w:w="0" w:type="auto"/>
            <w:gridSpan w:val="3"/>
            <w:shd w:val="clear" w:color="auto" w:fill="auto"/>
            <w:tcMar>
              <w:top w:w="0" w:type="dxa"/>
              <w:left w:w="20" w:type="dxa"/>
              <w:bottom w:w="0" w:type="dxa"/>
              <w:right w:w="20" w:type="dxa"/>
            </w:tcMar>
            <w:vAlign w:val="bottom"/>
          </w:tcPr>
          <w:p w14:paraId="6429888F"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89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891" w14:textId="77777777" w:rsidR="007B6C97" w:rsidRDefault="00E426D1">
            <w:pPr>
              <w:jc w:val="right"/>
              <w:textAlignment w:val="bottom"/>
            </w:pPr>
            <w:r>
              <w:rPr>
                <w:rFonts w:ascii="Times New Roman" w:eastAsia="宋体" w:hAnsi="Times New Roman"/>
                <w:color w:val="000000"/>
                <w:sz w:val="20"/>
                <w:szCs w:val="20"/>
              </w:rPr>
              <w:t>2.07 </w:t>
            </w:r>
          </w:p>
        </w:tc>
        <w:tc>
          <w:tcPr>
            <w:tcW w:w="0" w:type="auto"/>
            <w:shd w:val="clear" w:color="auto" w:fill="FFFFFF"/>
            <w:tcMar>
              <w:top w:w="40" w:type="dxa"/>
              <w:left w:w="0" w:type="dxa"/>
              <w:bottom w:w="40" w:type="dxa"/>
              <w:right w:w="20" w:type="dxa"/>
            </w:tcMar>
            <w:vAlign w:val="bottom"/>
          </w:tcPr>
          <w:p w14:paraId="6429889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893"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89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895" w14:textId="77777777" w:rsidR="007B6C97" w:rsidRDefault="00E426D1">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64298896" w14:textId="77777777" w:rsidR="007B6C97" w:rsidRDefault="007B6C97">
            <w:pPr>
              <w:jc w:val="right"/>
              <w:rPr>
                <w:rFonts w:ascii="宋体"/>
              </w:rPr>
            </w:pPr>
          </w:p>
        </w:tc>
      </w:tr>
    </w:tbl>
    <w:p w14:paraId="64298898" w14:textId="77777777" w:rsidR="007B6C97" w:rsidRDefault="00E426D1">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RSUs, calculated using the treasury stock method. The calculation of dilutive shares out</w:t>
      </w:r>
      <w:r>
        <w:rPr>
          <w:rFonts w:ascii="Times New Roman" w:eastAsia="宋体" w:hAnsi="Times New Roman"/>
          <w:color w:val="000000"/>
          <w:sz w:val="20"/>
          <w:szCs w:val="20"/>
        </w:rPr>
        <w:t>standing would exclude out-of-the-money stock options (i.e., such options’ exercise prices were greater than the average market price of our common shares for the period) because their inclusion would be anti-dilutive. As of July 3, 2022, we had an immater</w:t>
      </w:r>
      <w:r>
        <w:rPr>
          <w:rFonts w:ascii="Times New Roman" w:eastAsia="宋体" w:hAnsi="Times New Roman"/>
          <w:color w:val="000000"/>
          <w:sz w:val="20"/>
          <w:szCs w:val="20"/>
        </w:rPr>
        <w:t>ial amount of anti-dilutive stock options and anti-dilutive unvested RSUs. As of June 27, 2021, we had no anti-dilutive stock options and an immaterial amount of anti-dilutive unvested RSUs.</w:t>
      </w:r>
    </w:p>
    <w:p w14:paraId="64298899" w14:textId="77777777" w:rsidR="007B6C97" w:rsidRDefault="00E426D1">
      <w:pPr>
        <w:spacing w:before="120"/>
      </w:pPr>
      <w:r>
        <w:rPr>
          <w:rFonts w:ascii="Times New Roman" w:eastAsia="宋体" w:hAnsi="Times New Roman"/>
          <w:b/>
          <w:bCs/>
          <w:color w:val="000000"/>
          <w:sz w:val="20"/>
          <w:szCs w:val="20"/>
        </w:rPr>
        <w:t>Note 14: Commitments and Contingencies</w:t>
      </w:r>
      <w:r>
        <w:rPr>
          <w:rFonts w:ascii="Times New Roman" w:eastAsia="宋体" w:hAnsi="Times New Roman"/>
          <w:color w:val="000000"/>
          <w:sz w:val="20"/>
          <w:szCs w:val="20"/>
        </w:rPr>
        <w:t xml:space="preserve"> </w:t>
      </w:r>
    </w:p>
    <w:p w14:paraId="6429889A" w14:textId="77777777" w:rsidR="007B6C97" w:rsidRDefault="00E426D1">
      <w:pPr>
        <w:spacing w:before="120"/>
        <w:jc w:val="both"/>
      </w:pPr>
      <w:r>
        <w:rPr>
          <w:rFonts w:ascii="Times New Roman" w:eastAsia="宋体" w:hAnsi="Times New Roman"/>
          <w:b/>
          <w:bCs/>
          <w:i/>
          <w:iCs/>
          <w:color w:val="000000"/>
          <w:sz w:val="20"/>
          <w:szCs w:val="20"/>
        </w:rPr>
        <w:t xml:space="preserve">Legal </w:t>
      </w:r>
      <w:r>
        <w:rPr>
          <w:rFonts w:ascii="Times New Roman" w:eastAsia="宋体" w:hAnsi="Times New Roman"/>
          <w:b/>
          <w:bCs/>
          <w:i/>
          <w:iCs/>
          <w:color w:val="000000"/>
          <w:sz w:val="20"/>
          <w:szCs w:val="20"/>
        </w:rPr>
        <w:t>Proceedings</w:t>
      </w:r>
    </w:p>
    <w:p w14:paraId="6429889B" w14:textId="77777777" w:rsidR="007B6C97" w:rsidRDefault="00E426D1">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captioned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w:t>
      </w:r>
      <w:r>
        <w:rPr>
          <w:rFonts w:ascii="Times New Roman" w:eastAsia="宋体" w:hAnsi="Times New Roman"/>
          <w:color w:val="000000"/>
          <w:sz w:val="20"/>
          <w:szCs w:val="20"/>
        </w:rPr>
        <w:t xml:space="preserve">nty of Los Angeles, against the Company and additional defendants who manufacture, package, distribute or sell packaged coffee. The lawsuit is captioned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w:t>
      </w:r>
      <w:r>
        <w:rPr>
          <w:rFonts w:ascii="Times New Roman" w:eastAsia="宋体" w:hAnsi="Times New Roman"/>
          <w:color w:val="000000"/>
          <w:sz w:val="20"/>
          <w:szCs w:val="20"/>
        </w:rPr>
        <w:t>lidated and now include nearly eighty defendants, which constitute the majority of the coffee industry in California. Plaintiff alleges that the Company and the other defendants failed to provide warnings for their coffee products of exposure to the chemic</w:t>
      </w:r>
      <w:r>
        <w:rPr>
          <w:rFonts w:ascii="Times New Roman" w:eastAsia="宋体" w:hAnsi="Times New Roman"/>
          <w:color w:val="000000"/>
          <w:sz w:val="20"/>
          <w:szCs w:val="20"/>
        </w:rPr>
        <w:t>al acrylamide as required under California Health and Safety Code Section 25249.5, the California Safe Drinking Water and Toxic Enforcement Act of 1986, better known as Proposition 65. Plaintiff seeks equitable relief, including providing warnings to consu</w:t>
      </w:r>
      <w:r>
        <w:rPr>
          <w:rFonts w:ascii="Times New Roman" w:eastAsia="宋体" w:hAnsi="Times New Roman"/>
          <w:color w:val="000000"/>
          <w:sz w:val="20"/>
          <w:szCs w:val="20"/>
        </w:rPr>
        <w:t>mers of coffee products, as well as civil penalties in the amount of the statutory maximum of two thousand five hundred dollars per day per alleged violation of Proposition 65. The Plaintiff asserts that every consumed cup of coffee, absent a compliant war</w:t>
      </w:r>
      <w:r>
        <w:rPr>
          <w:rFonts w:ascii="Times New Roman" w:eastAsia="宋体" w:hAnsi="Times New Roman"/>
          <w:color w:val="000000"/>
          <w:sz w:val="20"/>
          <w:szCs w:val="20"/>
        </w:rPr>
        <w:t>ning, is equivalent to a violation under Proposition 65.</w:t>
      </w:r>
    </w:p>
    <w:p w14:paraId="6429889C" w14:textId="77777777" w:rsidR="007B6C97" w:rsidRDefault="00E426D1">
      <w:pPr>
        <w:jc w:val="center"/>
      </w:pPr>
      <w:r>
        <w:rPr>
          <w:rFonts w:ascii="Times New Roman" w:eastAsia="宋体" w:hAnsi="Times New Roman"/>
          <w:color w:val="000000"/>
          <w:sz w:val="20"/>
          <w:szCs w:val="20"/>
        </w:rPr>
        <w:t>27</w:t>
      </w:r>
    </w:p>
    <w:p w14:paraId="6429889D" w14:textId="77777777" w:rsidR="007B6C97" w:rsidRDefault="00E426D1">
      <w:r>
        <w:pict w14:anchorId="642999F5">
          <v:rect id="_x0000_i1051" style="width:415.3pt;height:1.5pt" o:hralign="center" o:hrstd="t" o:hr="t" fillcolor="#a0a0a0" stroked="f"/>
        </w:pict>
      </w:r>
    </w:p>
    <w:p w14:paraId="6429889E" w14:textId="77777777" w:rsidR="007B6C97" w:rsidRDefault="00E426D1">
      <w:hyperlink r:id="rId135" w:anchor="ie38a2b375c9840e583a36769999bbee6_7" w:history="1">
        <w:r>
          <w:rPr>
            <w:rStyle w:val="a5"/>
            <w:rFonts w:ascii="Times New Roman" w:eastAsia="宋体" w:hAnsi="Times New Roman"/>
            <w:sz w:val="20"/>
            <w:szCs w:val="20"/>
          </w:rPr>
          <w:t>Table</w:t>
        </w:r>
      </w:hyperlink>
      <w:hyperlink r:id="rId136" w:anchor="ie38a2b375c9840e583a36769999bbee6_7" w:history="1">
        <w:r>
          <w:rPr>
            <w:rStyle w:val="a5"/>
            <w:rFonts w:ascii="Times New Roman" w:eastAsia="宋体" w:hAnsi="Times New Roman"/>
            <w:sz w:val="20"/>
            <w:szCs w:val="20"/>
          </w:rPr>
          <w:t xml:space="preserve"> of Contents</w:t>
        </w:r>
      </w:hyperlink>
    </w:p>
    <w:p w14:paraId="6429889F" w14:textId="77777777" w:rsidR="007B6C97" w:rsidRDefault="00E426D1">
      <w:pPr>
        <w:spacing w:before="120"/>
      </w:pPr>
      <w:r>
        <w:rPr>
          <w:rFonts w:ascii="Times New Roman" w:eastAsia="宋体" w:hAnsi="Times New Roman"/>
          <w:color w:val="000000"/>
          <w:sz w:val="20"/>
          <w:szCs w:val="20"/>
        </w:rPr>
        <w:t>The Company, as part of a joint defense group organized to defend against the lawsuit, disputes the claims of the Plaintiff. A</w:t>
      </w:r>
      <w:r>
        <w:rPr>
          <w:rFonts w:ascii="Times New Roman" w:eastAsia="宋体" w:hAnsi="Times New Roman"/>
          <w:color w:val="000000"/>
          <w:sz w:val="20"/>
          <w:szCs w:val="20"/>
        </w:rPr>
        <w:t xml:space="preserve">crylamide is not added to coffee but is present in all coffee in small amounts (parts per billion) as a byproduct of the coffee bean roasting process. The Company has asserted multiple affirmative defenses. Trial of the first phase of the case (“Phase 1”) </w:t>
      </w:r>
      <w:r>
        <w:rPr>
          <w:rFonts w:ascii="Times New Roman" w:eastAsia="宋体" w:hAnsi="Times New Roman"/>
          <w:color w:val="000000"/>
          <w:sz w:val="20"/>
          <w:szCs w:val="20"/>
        </w:rPr>
        <w:t>commenced on September 8, 2014, and was limited to three affirmative defenses shared by all defendants. On September 1, 2015, the trial court issued a final ruling adverse to defendants on all Phase 1 defenses. Trial of the second phase of the case (“Phase</w:t>
      </w:r>
      <w:r>
        <w:rPr>
          <w:rFonts w:ascii="Times New Roman" w:eastAsia="宋体" w:hAnsi="Times New Roman"/>
          <w:color w:val="000000"/>
          <w:sz w:val="20"/>
          <w:szCs w:val="20"/>
        </w:rPr>
        <w:t xml:space="preserve"> 2”) commenced in the fall of 2017. On May 7, 2018, the trial court issued a ruling adverse to defendants on the Phase 2 defense, the Company's last remaining defense to liability. On June 22, 2018, the California Office of Environmental Health Hazard Asse</w:t>
      </w:r>
      <w:r>
        <w:rPr>
          <w:rFonts w:ascii="Times New Roman" w:eastAsia="宋体" w:hAnsi="Times New Roman"/>
          <w:color w:val="000000"/>
          <w:sz w:val="20"/>
          <w:szCs w:val="20"/>
        </w:rPr>
        <w:t>ssment (OEHHA) proposed a new regulation clarifying that cancer warnings are not required for coffee under Proposition 65. The case was set to proceed to a third phase trial (“Phase 3”) on damages, remedies and attorneys' fees on October 15, 2018. However,</w:t>
      </w:r>
      <w:r>
        <w:rPr>
          <w:rFonts w:ascii="Times New Roman" w:eastAsia="宋体" w:hAnsi="Times New Roman"/>
          <w:color w:val="000000"/>
          <w:sz w:val="20"/>
          <w:szCs w:val="20"/>
        </w:rPr>
        <w:t xml:space="preserve"> on October 12, 2018, the California Court of Appeal granted the defendants’ request for a stay of the Phase 3 trial. </w:t>
      </w:r>
    </w:p>
    <w:p w14:paraId="642988A0" w14:textId="77777777" w:rsidR="007B6C97" w:rsidRDefault="00E426D1">
      <w:pPr>
        <w:spacing w:before="120"/>
      </w:pPr>
      <w:r>
        <w:rPr>
          <w:rFonts w:ascii="Times New Roman" w:eastAsia="宋体" w:hAnsi="Times New Roman"/>
          <w:color w:val="000000"/>
          <w:sz w:val="20"/>
          <w:szCs w:val="20"/>
        </w:rPr>
        <w:t>On June 3, 2019, the California Office of Administrative Law (OAL) approved the coffee exemption regulation. The regulation became effect</w:t>
      </w:r>
      <w:r>
        <w:rPr>
          <w:rFonts w:ascii="Times New Roman" w:eastAsia="宋体" w:hAnsi="Times New Roman"/>
          <w:color w:val="000000"/>
          <w:sz w:val="20"/>
          <w:szCs w:val="20"/>
        </w:rPr>
        <w:t xml:space="preserve">ive on October 1, 2019. On June 24, 2019, the California Court of Appeal lifted the stay of the litigation. </w:t>
      </w:r>
      <w:r>
        <w:rPr>
          <w:rFonts w:ascii="Times New Roman" w:eastAsia="宋体" w:hAnsi="Times New Roman"/>
          <w:color w:val="000000"/>
          <w:sz w:val="20"/>
          <w:szCs w:val="20"/>
          <w:shd w:val="clear" w:color="auto" w:fill="FFFFFF"/>
        </w:rPr>
        <w:t>At the status conference on August 25, 2020, the trial judge granted the defendants’ motion for summary judgment, ruling that the coffee exemption r</w:t>
      </w:r>
      <w:r>
        <w:rPr>
          <w:rFonts w:ascii="Times New Roman" w:eastAsia="宋体" w:hAnsi="Times New Roman"/>
          <w:color w:val="000000"/>
          <w:sz w:val="20"/>
          <w:szCs w:val="20"/>
          <w:shd w:val="clear" w:color="auto" w:fill="FFFFFF"/>
        </w:rPr>
        <w:t>egulation is a complete defense to the Plaintiff’s complaint. The Notice of Entry of Judgment from the court was served on October 6, 2020, and the Plaintiff filed a Notice of Appeal on November 20, 2020 and its opening brief in the appeals process on Apri</w:t>
      </w:r>
      <w:r>
        <w:rPr>
          <w:rFonts w:ascii="Times New Roman" w:eastAsia="宋体" w:hAnsi="Times New Roman"/>
          <w:color w:val="000000"/>
          <w:sz w:val="20"/>
          <w:szCs w:val="20"/>
          <w:shd w:val="clear" w:color="auto" w:fill="FFFFFF"/>
        </w:rPr>
        <w:t>l 9, 2021</w:t>
      </w:r>
      <w:r>
        <w:rPr>
          <w:rFonts w:ascii="Times New Roman" w:eastAsia="宋体" w:hAnsi="Times New Roman"/>
          <w:color w:val="000000"/>
          <w:sz w:val="20"/>
          <w:szCs w:val="20"/>
        </w:rPr>
        <w:t xml:space="preserve">. Defendants filed their response brief on August 27, 2021, and Plaintiff filed a reply on November 15, 2021. Starbucks believes that the likelihood that the Company will ultimately incur a material loss in connection with this litigation is less </w:t>
      </w:r>
      <w:r>
        <w:rPr>
          <w:rFonts w:ascii="Times New Roman" w:eastAsia="宋体" w:hAnsi="Times New Roman"/>
          <w:color w:val="000000"/>
          <w:sz w:val="20"/>
          <w:szCs w:val="20"/>
        </w:rPr>
        <w:t>than reasonably possible. Accordingly, as of July 3, 2022, no loss contingency has been recorded for this matter.</w:t>
      </w:r>
    </w:p>
    <w:p w14:paraId="642988A1" w14:textId="77777777" w:rsidR="007B6C97" w:rsidRDefault="00E426D1">
      <w:pPr>
        <w:spacing w:before="120"/>
      </w:pPr>
      <w:r>
        <w:rPr>
          <w:rFonts w:ascii="Times New Roman" w:eastAsia="宋体" w:hAnsi="Times New Roman"/>
          <w:color w:val="000000"/>
          <w:sz w:val="20"/>
          <w:szCs w:val="20"/>
        </w:rPr>
        <w:t>Starbucks is party to various other legal proceedings arising in the ordinary course of business, including certain employment litigation case</w:t>
      </w:r>
      <w:r>
        <w:rPr>
          <w:rFonts w:ascii="Times New Roman" w:eastAsia="宋体" w:hAnsi="Times New Roman"/>
          <w:color w:val="000000"/>
          <w:sz w:val="20"/>
          <w:szCs w:val="20"/>
        </w:rPr>
        <w:t>s that have been certified as class or collective actions, but, except as noted above, is not currently a party to any legal proceeding that management believes could have a material adverse effect on our consolidated financial position, results of operati</w:t>
      </w:r>
      <w:r>
        <w:rPr>
          <w:rFonts w:ascii="Times New Roman" w:eastAsia="宋体" w:hAnsi="Times New Roman"/>
          <w:color w:val="000000"/>
          <w:sz w:val="20"/>
          <w:szCs w:val="20"/>
        </w:rPr>
        <w:t>ons or cash flows.</w:t>
      </w:r>
    </w:p>
    <w:p w14:paraId="642988A2" w14:textId="77777777" w:rsidR="007B6C97" w:rsidRDefault="00E426D1">
      <w:pPr>
        <w:spacing w:before="120"/>
      </w:pPr>
      <w:r>
        <w:rPr>
          <w:rFonts w:ascii="Times New Roman" w:eastAsia="宋体" w:hAnsi="Times New Roman"/>
          <w:b/>
          <w:bCs/>
          <w:color w:val="000000"/>
          <w:sz w:val="20"/>
          <w:szCs w:val="20"/>
        </w:rPr>
        <w:t>Note 15: Segment Reporting</w:t>
      </w:r>
    </w:p>
    <w:p w14:paraId="642988A3" w14:textId="77777777" w:rsidR="007B6C97" w:rsidRDefault="00E426D1">
      <w:pPr>
        <w:spacing w:before="120"/>
      </w:pPr>
      <w:r>
        <w:rPr>
          <w:rFonts w:ascii="Times New Roman" w:eastAsia="宋体" w:hAnsi="Times New Roman"/>
          <w:color w:val="000000"/>
          <w:sz w:val="20"/>
          <w:szCs w:val="20"/>
        </w:rPr>
        <w:t xml:space="preserve">Segment information is prepared on the same basis that our interim chief executive officer, who is our chief operating decision maker, manages the segments, evaluates financial results and makes key operating decisions. </w:t>
      </w:r>
    </w:p>
    <w:p w14:paraId="642988A4" w14:textId="77777777" w:rsidR="007B6C97" w:rsidRDefault="00E426D1">
      <w:pPr>
        <w:spacing w:before="120"/>
      </w:pPr>
      <w:r>
        <w:rPr>
          <w:rFonts w:ascii="Times New Roman" w:eastAsia="宋体" w:hAnsi="Times New Roman"/>
          <w:color w:val="000000"/>
          <w:sz w:val="20"/>
          <w:szCs w:val="20"/>
        </w:rPr>
        <w:t>Consolidated revenue mix by product</w:t>
      </w:r>
      <w:r>
        <w:rPr>
          <w:rFonts w:ascii="Times New Roman" w:eastAsia="宋体" w:hAnsi="Times New Roman"/>
          <w:color w:val="000000"/>
          <w:sz w:val="20"/>
          <w:szCs w:val="20"/>
        </w:rPr>
        <w:t xml:space="preserve"> type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1155"/>
        <w:gridCol w:w="36"/>
        <w:gridCol w:w="120"/>
        <w:gridCol w:w="650"/>
        <w:gridCol w:w="36"/>
        <w:gridCol w:w="36"/>
        <w:gridCol w:w="36"/>
        <w:gridCol w:w="36"/>
        <w:gridCol w:w="39"/>
        <w:gridCol w:w="477"/>
        <w:gridCol w:w="187"/>
        <w:gridCol w:w="36"/>
        <w:gridCol w:w="36"/>
        <w:gridCol w:w="36"/>
        <w:gridCol w:w="120"/>
        <w:gridCol w:w="650"/>
        <w:gridCol w:w="36"/>
        <w:gridCol w:w="36"/>
        <w:gridCol w:w="36"/>
        <w:gridCol w:w="36"/>
        <w:gridCol w:w="39"/>
        <w:gridCol w:w="478"/>
        <w:gridCol w:w="187"/>
        <w:gridCol w:w="36"/>
        <w:gridCol w:w="36"/>
        <w:gridCol w:w="36"/>
        <w:gridCol w:w="120"/>
        <w:gridCol w:w="750"/>
        <w:gridCol w:w="36"/>
        <w:gridCol w:w="36"/>
        <w:gridCol w:w="36"/>
        <w:gridCol w:w="36"/>
        <w:gridCol w:w="39"/>
        <w:gridCol w:w="525"/>
        <w:gridCol w:w="187"/>
        <w:gridCol w:w="36"/>
        <w:gridCol w:w="36"/>
        <w:gridCol w:w="36"/>
        <w:gridCol w:w="120"/>
        <w:gridCol w:w="750"/>
        <w:gridCol w:w="36"/>
        <w:gridCol w:w="36"/>
        <w:gridCol w:w="36"/>
        <w:gridCol w:w="36"/>
        <w:gridCol w:w="39"/>
        <w:gridCol w:w="527"/>
        <w:gridCol w:w="187"/>
      </w:tblGrid>
      <w:tr w:rsidR="007B6C97" w14:paraId="642988D5" w14:textId="77777777">
        <w:tc>
          <w:tcPr>
            <w:tcW w:w="50" w:type="pct"/>
            <w:shd w:val="clear" w:color="auto" w:fill="auto"/>
            <w:vAlign w:val="bottom"/>
          </w:tcPr>
          <w:p w14:paraId="642988A5" w14:textId="77777777" w:rsidR="007B6C97" w:rsidRDefault="007B6C97">
            <w:pPr>
              <w:rPr>
                <w:rFonts w:ascii="宋体"/>
              </w:rPr>
            </w:pPr>
          </w:p>
        </w:tc>
        <w:tc>
          <w:tcPr>
            <w:tcW w:w="822" w:type="pct"/>
            <w:shd w:val="clear" w:color="auto" w:fill="auto"/>
            <w:vAlign w:val="bottom"/>
          </w:tcPr>
          <w:p w14:paraId="642988A6" w14:textId="77777777" w:rsidR="007B6C97" w:rsidRDefault="007B6C97">
            <w:pPr>
              <w:rPr>
                <w:rFonts w:ascii="宋体"/>
              </w:rPr>
            </w:pPr>
          </w:p>
        </w:tc>
        <w:tc>
          <w:tcPr>
            <w:tcW w:w="5" w:type="pct"/>
            <w:shd w:val="clear" w:color="auto" w:fill="auto"/>
            <w:vAlign w:val="bottom"/>
          </w:tcPr>
          <w:p w14:paraId="642988A7" w14:textId="77777777" w:rsidR="007B6C97" w:rsidRDefault="007B6C97">
            <w:pPr>
              <w:rPr>
                <w:rFonts w:ascii="宋体"/>
              </w:rPr>
            </w:pPr>
          </w:p>
        </w:tc>
        <w:tc>
          <w:tcPr>
            <w:tcW w:w="50" w:type="pct"/>
            <w:shd w:val="clear" w:color="auto" w:fill="auto"/>
            <w:vAlign w:val="bottom"/>
          </w:tcPr>
          <w:p w14:paraId="642988A8" w14:textId="77777777" w:rsidR="007B6C97" w:rsidRDefault="007B6C97">
            <w:pPr>
              <w:rPr>
                <w:rFonts w:ascii="宋体"/>
              </w:rPr>
            </w:pPr>
          </w:p>
        </w:tc>
        <w:tc>
          <w:tcPr>
            <w:tcW w:w="434" w:type="pct"/>
            <w:shd w:val="clear" w:color="auto" w:fill="auto"/>
            <w:vAlign w:val="bottom"/>
          </w:tcPr>
          <w:p w14:paraId="642988A9" w14:textId="77777777" w:rsidR="007B6C97" w:rsidRDefault="007B6C97">
            <w:pPr>
              <w:rPr>
                <w:rFonts w:ascii="宋体"/>
              </w:rPr>
            </w:pPr>
          </w:p>
        </w:tc>
        <w:tc>
          <w:tcPr>
            <w:tcW w:w="5" w:type="pct"/>
            <w:shd w:val="clear" w:color="auto" w:fill="auto"/>
            <w:vAlign w:val="bottom"/>
          </w:tcPr>
          <w:p w14:paraId="642988AA" w14:textId="77777777" w:rsidR="007B6C97" w:rsidRDefault="007B6C97">
            <w:pPr>
              <w:rPr>
                <w:rFonts w:ascii="宋体"/>
              </w:rPr>
            </w:pPr>
          </w:p>
        </w:tc>
        <w:tc>
          <w:tcPr>
            <w:tcW w:w="5" w:type="pct"/>
            <w:shd w:val="clear" w:color="auto" w:fill="auto"/>
            <w:vAlign w:val="bottom"/>
          </w:tcPr>
          <w:p w14:paraId="642988AB" w14:textId="77777777" w:rsidR="007B6C97" w:rsidRDefault="007B6C97">
            <w:pPr>
              <w:rPr>
                <w:rFonts w:ascii="宋体"/>
              </w:rPr>
            </w:pPr>
          </w:p>
        </w:tc>
        <w:tc>
          <w:tcPr>
            <w:tcW w:w="19" w:type="pct"/>
            <w:shd w:val="clear" w:color="auto" w:fill="auto"/>
            <w:vAlign w:val="bottom"/>
          </w:tcPr>
          <w:p w14:paraId="642988AC" w14:textId="77777777" w:rsidR="007B6C97" w:rsidRDefault="007B6C97">
            <w:pPr>
              <w:rPr>
                <w:rFonts w:ascii="宋体"/>
              </w:rPr>
            </w:pPr>
          </w:p>
        </w:tc>
        <w:tc>
          <w:tcPr>
            <w:tcW w:w="5" w:type="pct"/>
            <w:shd w:val="clear" w:color="auto" w:fill="auto"/>
            <w:vAlign w:val="bottom"/>
          </w:tcPr>
          <w:p w14:paraId="642988AD" w14:textId="77777777" w:rsidR="007B6C97" w:rsidRDefault="007B6C97">
            <w:pPr>
              <w:rPr>
                <w:rFonts w:ascii="宋体"/>
              </w:rPr>
            </w:pPr>
          </w:p>
        </w:tc>
        <w:tc>
          <w:tcPr>
            <w:tcW w:w="50" w:type="pct"/>
            <w:shd w:val="clear" w:color="auto" w:fill="auto"/>
            <w:vAlign w:val="bottom"/>
          </w:tcPr>
          <w:p w14:paraId="642988AE" w14:textId="77777777" w:rsidR="007B6C97" w:rsidRDefault="007B6C97">
            <w:pPr>
              <w:rPr>
                <w:rFonts w:ascii="宋体"/>
              </w:rPr>
            </w:pPr>
          </w:p>
        </w:tc>
        <w:tc>
          <w:tcPr>
            <w:tcW w:w="434" w:type="pct"/>
            <w:shd w:val="clear" w:color="auto" w:fill="auto"/>
            <w:vAlign w:val="bottom"/>
          </w:tcPr>
          <w:p w14:paraId="642988AF" w14:textId="77777777" w:rsidR="007B6C97" w:rsidRDefault="007B6C97">
            <w:pPr>
              <w:rPr>
                <w:rFonts w:ascii="宋体"/>
              </w:rPr>
            </w:pPr>
          </w:p>
        </w:tc>
        <w:tc>
          <w:tcPr>
            <w:tcW w:w="5" w:type="pct"/>
            <w:shd w:val="clear" w:color="auto" w:fill="auto"/>
            <w:vAlign w:val="bottom"/>
          </w:tcPr>
          <w:p w14:paraId="642988B0" w14:textId="77777777" w:rsidR="007B6C97" w:rsidRDefault="007B6C97">
            <w:pPr>
              <w:rPr>
                <w:rFonts w:ascii="宋体"/>
              </w:rPr>
            </w:pPr>
          </w:p>
        </w:tc>
        <w:tc>
          <w:tcPr>
            <w:tcW w:w="5" w:type="pct"/>
            <w:shd w:val="clear" w:color="auto" w:fill="auto"/>
            <w:vAlign w:val="bottom"/>
          </w:tcPr>
          <w:p w14:paraId="642988B1" w14:textId="77777777" w:rsidR="007B6C97" w:rsidRDefault="007B6C97">
            <w:pPr>
              <w:rPr>
                <w:rFonts w:ascii="宋体"/>
              </w:rPr>
            </w:pPr>
          </w:p>
        </w:tc>
        <w:tc>
          <w:tcPr>
            <w:tcW w:w="19" w:type="pct"/>
            <w:shd w:val="clear" w:color="auto" w:fill="auto"/>
            <w:vAlign w:val="bottom"/>
          </w:tcPr>
          <w:p w14:paraId="642988B2" w14:textId="77777777" w:rsidR="007B6C97" w:rsidRDefault="007B6C97">
            <w:pPr>
              <w:rPr>
                <w:rFonts w:ascii="宋体"/>
              </w:rPr>
            </w:pPr>
          </w:p>
        </w:tc>
        <w:tc>
          <w:tcPr>
            <w:tcW w:w="5" w:type="pct"/>
            <w:shd w:val="clear" w:color="auto" w:fill="auto"/>
            <w:vAlign w:val="bottom"/>
          </w:tcPr>
          <w:p w14:paraId="642988B3" w14:textId="77777777" w:rsidR="007B6C97" w:rsidRDefault="007B6C97">
            <w:pPr>
              <w:rPr>
                <w:rFonts w:ascii="宋体"/>
              </w:rPr>
            </w:pPr>
          </w:p>
        </w:tc>
        <w:tc>
          <w:tcPr>
            <w:tcW w:w="50" w:type="pct"/>
            <w:shd w:val="clear" w:color="auto" w:fill="auto"/>
            <w:vAlign w:val="bottom"/>
          </w:tcPr>
          <w:p w14:paraId="642988B4" w14:textId="77777777" w:rsidR="007B6C97" w:rsidRDefault="007B6C97">
            <w:pPr>
              <w:rPr>
                <w:rFonts w:ascii="宋体"/>
              </w:rPr>
            </w:pPr>
          </w:p>
        </w:tc>
        <w:tc>
          <w:tcPr>
            <w:tcW w:w="434" w:type="pct"/>
            <w:shd w:val="clear" w:color="auto" w:fill="auto"/>
            <w:vAlign w:val="bottom"/>
          </w:tcPr>
          <w:p w14:paraId="642988B5" w14:textId="77777777" w:rsidR="007B6C97" w:rsidRDefault="007B6C97">
            <w:pPr>
              <w:rPr>
                <w:rFonts w:ascii="宋体"/>
              </w:rPr>
            </w:pPr>
          </w:p>
        </w:tc>
        <w:tc>
          <w:tcPr>
            <w:tcW w:w="5" w:type="pct"/>
            <w:shd w:val="clear" w:color="auto" w:fill="auto"/>
            <w:vAlign w:val="bottom"/>
          </w:tcPr>
          <w:p w14:paraId="642988B6" w14:textId="77777777" w:rsidR="007B6C97" w:rsidRDefault="007B6C97">
            <w:pPr>
              <w:rPr>
                <w:rFonts w:ascii="宋体"/>
              </w:rPr>
            </w:pPr>
          </w:p>
        </w:tc>
        <w:tc>
          <w:tcPr>
            <w:tcW w:w="5" w:type="pct"/>
            <w:shd w:val="clear" w:color="auto" w:fill="auto"/>
            <w:vAlign w:val="bottom"/>
          </w:tcPr>
          <w:p w14:paraId="642988B7" w14:textId="77777777" w:rsidR="007B6C97" w:rsidRDefault="007B6C97">
            <w:pPr>
              <w:rPr>
                <w:rFonts w:ascii="宋体"/>
              </w:rPr>
            </w:pPr>
          </w:p>
        </w:tc>
        <w:tc>
          <w:tcPr>
            <w:tcW w:w="19" w:type="pct"/>
            <w:shd w:val="clear" w:color="auto" w:fill="auto"/>
            <w:vAlign w:val="bottom"/>
          </w:tcPr>
          <w:p w14:paraId="642988B8" w14:textId="77777777" w:rsidR="007B6C97" w:rsidRDefault="007B6C97">
            <w:pPr>
              <w:rPr>
                <w:rFonts w:ascii="宋体"/>
              </w:rPr>
            </w:pPr>
          </w:p>
        </w:tc>
        <w:tc>
          <w:tcPr>
            <w:tcW w:w="5" w:type="pct"/>
            <w:shd w:val="clear" w:color="auto" w:fill="auto"/>
            <w:vAlign w:val="bottom"/>
          </w:tcPr>
          <w:p w14:paraId="642988B9" w14:textId="77777777" w:rsidR="007B6C97" w:rsidRDefault="007B6C97">
            <w:pPr>
              <w:rPr>
                <w:rFonts w:ascii="宋体"/>
              </w:rPr>
            </w:pPr>
          </w:p>
        </w:tc>
        <w:tc>
          <w:tcPr>
            <w:tcW w:w="50" w:type="pct"/>
            <w:shd w:val="clear" w:color="auto" w:fill="auto"/>
            <w:vAlign w:val="bottom"/>
          </w:tcPr>
          <w:p w14:paraId="642988BA" w14:textId="77777777" w:rsidR="007B6C97" w:rsidRDefault="007B6C97">
            <w:pPr>
              <w:rPr>
                <w:rFonts w:ascii="宋体"/>
              </w:rPr>
            </w:pPr>
          </w:p>
        </w:tc>
        <w:tc>
          <w:tcPr>
            <w:tcW w:w="434" w:type="pct"/>
            <w:shd w:val="clear" w:color="auto" w:fill="auto"/>
            <w:vAlign w:val="bottom"/>
          </w:tcPr>
          <w:p w14:paraId="642988BB" w14:textId="77777777" w:rsidR="007B6C97" w:rsidRDefault="007B6C97">
            <w:pPr>
              <w:rPr>
                <w:rFonts w:ascii="宋体"/>
              </w:rPr>
            </w:pPr>
          </w:p>
        </w:tc>
        <w:tc>
          <w:tcPr>
            <w:tcW w:w="5" w:type="pct"/>
            <w:shd w:val="clear" w:color="auto" w:fill="auto"/>
            <w:vAlign w:val="bottom"/>
          </w:tcPr>
          <w:p w14:paraId="642988BC" w14:textId="77777777" w:rsidR="007B6C97" w:rsidRDefault="007B6C97">
            <w:pPr>
              <w:rPr>
                <w:rFonts w:ascii="宋体"/>
              </w:rPr>
            </w:pPr>
          </w:p>
        </w:tc>
        <w:tc>
          <w:tcPr>
            <w:tcW w:w="5" w:type="pct"/>
            <w:shd w:val="clear" w:color="auto" w:fill="auto"/>
            <w:vAlign w:val="bottom"/>
          </w:tcPr>
          <w:p w14:paraId="642988BD" w14:textId="77777777" w:rsidR="007B6C97" w:rsidRDefault="007B6C97">
            <w:pPr>
              <w:rPr>
                <w:rFonts w:ascii="宋体"/>
              </w:rPr>
            </w:pPr>
          </w:p>
        </w:tc>
        <w:tc>
          <w:tcPr>
            <w:tcW w:w="19" w:type="pct"/>
            <w:shd w:val="clear" w:color="auto" w:fill="auto"/>
            <w:vAlign w:val="bottom"/>
          </w:tcPr>
          <w:p w14:paraId="642988BE" w14:textId="77777777" w:rsidR="007B6C97" w:rsidRDefault="007B6C97">
            <w:pPr>
              <w:rPr>
                <w:rFonts w:ascii="宋体"/>
              </w:rPr>
            </w:pPr>
          </w:p>
        </w:tc>
        <w:tc>
          <w:tcPr>
            <w:tcW w:w="5" w:type="pct"/>
            <w:shd w:val="clear" w:color="auto" w:fill="auto"/>
            <w:vAlign w:val="bottom"/>
          </w:tcPr>
          <w:p w14:paraId="642988BF" w14:textId="77777777" w:rsidR="007B6C97" w:rsidRDefault="007B6C97">
            <w:pPr>
              <w:rPr>
                <w:rFonts w:ascii="宋体"/>
              </w:rPr>
            </w:pPr>
          </w:p>
        </w:tc>
        <w:tc>
          <w:tcPr>
            <w:tcW w:w="50" w:type="pct"/>
            <w:shd w:val="clear" w:color="auto" w:fill="auto"/>
            <w:vAlign w:val="bottom"/>
          </w:tcPr>
          <w:p w14:paraId="642988C0" w14:textId="77777777" w:rsidR="007B6C97" w:rsidRDefault="007B6C97">
            <w:pPr>
              <w:rPr>
                <w:rFonts w:ascii="宋体"/>
              </w:rPr>
            </w:pPr>
          </w:p>
        </w:tc>
        <w:tc>
          <w:tcPr>
            <w:tcW w:w="434" w:type="pct"/>
            <w:shd w:val="clear" w:color="auto" w:fill="auto"/>
            <w:vAlign w:val="bottom"/>
          </w:tcPr>
          <w:p w14:paraId="642988C1" w14:textId="77777777" w:rsidR="007B6C97" w:rsidRDefault="007B6C97">
            <w:pPr>
              <w:rPr>
                <w:rFonts w:ascii="宋体"/>
              </w:rPr>
            </w:pPr>
          </w:p>
        </w:tc>
        <w:tc>
          <w:tcPr>
            <w:tcW w:w="5" w:type="pct"/>
            <w:shd w:val="clear" w:color="auto" w:fill="auto"/>
            <w:vAlign w:val="bottom"/>
          </w:tcPr>
          <w:p w14:paraId="642988C2" w14:textId="77777777" w:rsidR="007B6C97" w:rsidRDefault="007B6C97">
            <w:pPr>
              <w:rPr>
                <w:rFonts w:ascii="宋体"/>
              </w:rPr>
            </w:pPr>
          </w:p>
        </w:tc>
        <w:tc>
          <w:tcPr>
            <w:tcW w:w="5" w:type="pct"/>
            <w:shd w:val="clear" w:color="auto" w:fill="auto"/>
            <w:vAlign w:val="bottom"/>
          </w:tcPr>
          <w:p w14:paraId="642988C3" w14:textId="77777777" w:rsidR="007B6C97" w:rsidRDefault="007B6C97">
            <w:pPr>
              <w:rPr>
                <w:rFonts w:ascii="宋体"/>
              </w:rPr>
            </w:pPr>
          </w:p>
        </w:tc>
        <w:tc>
          <w:tcPr>
            <w:tcW w:w="19" w:type="pct"/>
            <w:shd w:val="clear" w:color="auto" w:fill="auto"/>
            <w:vAlign w:val="bottom"/>
          </w:tcPr>
          <w:p w14:paraId="642988C4" w14:textId="77777777" w:rsidR="007B6C97" w:rsidRDefault="007B6C97">
            <w:pPr>
              <w:rPr>
                <w:rFonts w:ascii="宋体"/>
              </w:rPr>
            </w:pPr>
          </w:p>
        </w:tc>
        <w:tc>
          <w:tcPr>
            <w:tcW w:w="5" w:type="pct"/>
            <w:shd w:val="clear" w:color="auto" w:fill="auto"/>
            <w:vAlign w:val="bottom"/>
          </w:tcPr>
          <w:p w14:paraId="642988C5" w14:textId="77777777" w:rsidR="007B6C97" w:rsidRDefault="007B6C97">
            <w:pPr>
              <w:rPr>
                <w:rFonts w:ascii="宋体"/>
              </w:rPr>
            </w:pPr>
          </w:p>
        </w:tc>
        <w:tc>
          <w:tcPr>
            <w:tcW w:w="50" w:type="pct"/>
            <w:shd w:val="clear" w:color="auto" w:fill="auto"/>
            <w:vAlign w:val="bottom"/>
          </w:tcPr>
          <w:p w14:paraId="642988C6" w14:textId="77777777" w:rsidR="007B6C97" w:rsidRDefault="007B6C97">
            <w:pPr>
              <w:rPr>
                <w:rFonts w:ascii="宋体"/>
              </w:rPr>
            </w:pPr>
          </w:p>
        </w:tc>
        <w:tc>
          <w:tcPr>
            <w:tcW w:w="434" w:type="pct"/>
            <w:shd w:val="clear" w:color="auto" w:fill="auto"/>
            <w:vAlign w:val="bottom"/>
          </w:tcPr>
          <w:p w14:paraId="642988C7" w14:textId="77777777" w:rsidR="007B6C97" w:rsidRDefault="007B6C97">
            <w:pPr>
              <w:rPr>
                <w:rFonts w:ascii="宋体"/>
              </w:rPr>
            </w:pPr>
          </w:p>
        </w:tc>
        <w:tc>
          <w:tcPr>
            <w:tcW w:w="5" w:type="pct"/>
            <w:shd w:val="clear" w:color="auto" w:fill="auto"/>
            <w:vAlign w:val="bottom"/>
          </w:tcPr>
          <w:p w14:paraId="642988C8" w14:textId="77777777" w:rsidR="007B6C97" w:rsidRDefault="007B6C97">
            <w:pPr>
              <w:rPr>
                <w:rFonts w:ascii="宋体"/>
              </w:rPr>
            </w:pPr>
          </w:p>
        </w:tc>
        <w:tc>
          <w:tcPr>
            <w:tcW w:w="5" w:type="pct"/>
            <w:shd w:val="clear" w:color="auto" w:fill="auto"/>
            <w:vAlign w:val="bottom"/>
          </w:tcPr>
          <w:p w14:paraId="642988C9" w14:textId="77777777" w:rsidR="007B6C97" w:rsidRDefault="007B6C97">
            <w:pPr>
              <w:rPr>
                <w:rFonts w:ascii="宋体"/>
              </w:rPr>
            </w:pPr>
          </w:p>
        </w:tc>
        <w:tc>
          <w:tcPr>
            <w:tcW w:w="19" w:type="pct"/>
            <w:shd w:val="clear" w:color="auto" w:fill="auto"/>
            <w:vAlign w:val="bottom"/>
          </w:tcPr>
          <w:p w14:paraId="642988CA" w14:textId="77777777" w:rsidR="007B6C97" w:rsidRDefault="007B6C97">
            <w:pPr>
              <w:rPr>
                <w:rFonts w:ascii="宋体"/>
              </w:rPr>
            </w:pPr>
          </w:p>
        </w:tc>
        <w:tc>
          <w:tcPr>
            <w:tcW w:w="5" w:type="pct"/>
            <w:shd w:val="clear" w:color="auto" w:fill="auto"/>
            <w:vAlign w:val="bottom"/>
          </w:tcPr>
          <w:p w14:paraId="642988CB" w14:textId="77777777" w:rsidR="007B6C97" w:rsidRDefault="007B6C97">
            <w:pPr>
              <w:rPr>
                <w:rFonts w:ascii="宋体"/>
              </w:rPr>
            </w:pPr>
          </w:p>
        </w:tc>
        <w:tc>
          <w:tcPr>
            <w:tcW w:w="50" w:type="pct"/>
            <w:shd w:val="clear" w:color="auto" w:fill="auto"/>
            <w:vAlign w:val="bottom"/>
          </w:tcPr>
          <w:p w14:paraId="642988CC" w14:textId="77777777" w:rsidR="007B6C97" w:rsidRDefault="007B6C97">
            <w:pPr>
              <w:rPr>
                <w:rFonts w:ascii="宋体"/>
              </w:rPr>
            </w:pPr>
          </w:p>
        </w:tc>
        <w:tc>
          <w:tcPr>
            <w:tcW w:w="434" w:type="pct"/>
            <w:shd w:val="clear" w:color="auto" w:fill="auto"/>
            <w:vAlign w:val="bottom"/>
          </w:tcPr>
          <w:p w14:paraId="642988CD" w14:textId="77777777" w:rsidR="007B6C97" w:rsidRDefault="007B6C97">
            <w:pPr>
              <w:rPr>
                <w:rFonts w:ascii="宋体"/>
              </w:rPr>
            </w:pPr>
          </w:p>
        </w:tc>
        <w:tc>
          <w:tcPr>
            <w:tcW w:w="5" w:type="pct"/>
            <w:shd w:val="clear" w:color="auto" w:fill="auto"/>
            <w:vAlign w:val="bottom"/>
          </w:tcPr>
          <w:p w14:paraId="642988CE" w14:textId="77777777" w:rsidR="007B6C97" w:rsidRDefault="007B6C97">
            <w:pPr>
              <w:rPr>
                <w:rFonts w:ascii="宋体"/>
              </w:rPr>
            </w:pPr>
          </w:p>
        </w:tc>
        <w:tc>
          <w:tcPr>
            <w:tcW w:w="5" w:type="pct"/>
            <w:shd w:val="clear" w:color="auto" w:fill="auto"/>
            <w:vAlign w:val="bottom"/>
          </w:tcPr>
          <w:p w14:paraId="642988CF" w14:textId="77777777" w:rsidR="007B6C97" w:rsidRDefault="007B6C97">
            <w:pPr>
              <w:rPr>
                <w:rFonts w:ascii="宋体"/>
              </w:rPr>
            </w:pPr>
          </w:p>
        </w:tc>
        <w:tc>
          <w:tcPr>
            <w:tcW w:w="19" w:type="pct"/>
            <w:shd w:val="clear" w:color="auto" w:fill="auto"/>
            <w:vAlign w:val="bottom"/>
          </w:tcPr>
          <w:p w14:paraId="642988D0" w14:textId="77777777" w:rsidR="007B6C97" w:rsidRDefault="007B6C97">
            <w:pPr>
              <w:rPr>
                <w:rFonts w:ascii="宋体"/>
              </w:rPr>
            </w:pPr>
          </w:p>
        </w:tc>
        <w:tc>
          <w:tcPr>
            <w:tcW w:w="5" w:type="pct"/>
            <w:shd w:val="clear" w:color="auto" w:fill="auto"/>
            <w:vAlign w:val="bottom"/>
          </w:tcPr>
          <w:p w14:paraId="642988D1" w14:textId="77777777" w:rsidR="007B6C97" w:rsidRDefault="007B6C97">
            <w:pPr>
              <w:rPr>
                <w:rFonts w:ascii="宋体"/>
              </w:rPr>
            </w:pPr>
          </w:p>
        </w:tc>
        <w:tc>
          <w:tcPr>
            <w:tcW w:w="50" w:type="pct"/>
            <w:shd w:val="clear" w:color="auto" w:fill="auto"/>
            <w:vAlign w:val="bottom"/>
          </w:tcPr>
          <w:p w14:paraId="642988D2" w14:textId="77777777" w:rsidR="007B6C97" w:rsidRDefault="007B6C97">
            <w:pPr>
              <w:rPr>
                <w:rFonts w:ascii="宋体"/>
              </w:rPr>
            </w:pPr>
          </w:p>
        </w:tc>
        <w:tc>
          <w:tcPr>
            <w:tcW w:w="435" w:type="pct"/>
            <w:shd w:val="clear" w:color="auto" w:fill="auto"/>
            <w:vAlign w:val="bottom"/>
          </w:tcPr>
          <w:p w14:paraId="642988D3" w14:textId="77777777" w:rsidR="007B6C97" w:rsidRDefault="007B6C97">
            <w:pPr>
              <w:rPr>
                <w:rFonts w:ascii="宋体"/>
              </w:rPr>
            </w:pPr>
          </w:p>
        </w:tc>
        <w:tc>
          <w:tcPr>
            <w:tcW w:w="5" w:type="pct"/>
            <w:shd w:val="clear" w:color="auto" w:fill="auto"/>
            <w:vAlign w:val="bottom"/>
          </w:tcPr>
          <w:p w14:paraId="642988D4" w14:textId="77777777" w:rsidR="007B6C97" w:rsidRDefault="007B6C97">
            <w:pPr>
              <w:rPr>
                <w:rFonts w:ascii="宋体"/>
              </w:rPr>
            </w:pPr>
          </w:p>
        </w:tc>
      </w:tr>
      <w:tr w:rsidR="007B6C97" w14:paraId="642988DA" w14:textId="77777777">
        <w:tc>
          <w:tcPr>
            <w:tcW w:w="0" w:type="auto"/>
            <w:gridSpan w:val="3"/>
            <w:shd w:val="clear" w:color="auto" w:fill="auto"/>
            <w:tcMar>
              <w:top w:w="0" w:type="dxa"/>
              <w:left w:w="20" w:type="dxa"/>
              <w:bottom w:w="0" w:type="dxa"/>
              <w:right w:w="20" w:type="dxa"/>
            </w:tcMar>
            <w:vAlign w:val="bottom"/>
          </w:tcPr>
          <w:p w14:paraId="642988D6"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88D7"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88D8"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88D9"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8E3" w14:textId="77777777">
        <w:tc>
          <w:tcPr>
            <w:tcW w:w="0" w:type="auto"/>
            <w:gridSpan w:val="3"/>
            <w:shd w:val="clear" w:color="auto" w:fill="auto"/>
            <w:tcMar>
              <w:top w:w="0" w:type="dxa"/>
              <w:left w:w="20" w:type="dxa"/>
              <w:bottom w:w="0" w:type="dxa"/>
              <w:right w:w="20" w:type="dxa"/>
            </w:tcMar>
            <w:vAlign w:val="bottom"/>
          </w:tcPr>
          <w:p w14:paraId="642988DB"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8DC"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8DD"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8DE" w14:textId="77777777" w:rsidR="007B6C97" w:rsidRDefault="00E426D1">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642988DF"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8E0" w14:textId="77777777" w:rsidR="007B6C97" w:rsidRDefault="00E426D1">
            <w:pPr>
              <w:jc w:val="center"/>
              <w:textAlignment w:val="bottom"/>
            </w:pPr>
            <w:r>
              <w:rPr>
                <w:rFonts w:ascii="Times New Roman" w:eastAsia="宋体" w:hAnsi="Times New Roman"/>
                <w:b/>
                <w:bCs/>
                <w:color w:val="FFFFFF"/>
                <w:sz w:val="16"/>
                <w:szCs w:val="16"/>
              </w:rPr>
              <w:t>Jul 3, 2022</w:t>
            </w:r>
          </w:p>
        </w:tc>
        <w:tc>
          <w:tcPr>
            <w:tcW w:w="0" w:type="auto"/>
            <w:gridSpan w:val="3"/>
            <w:shd w:val="clear" w:color="auto" w:fill="auto"/>
            <w:tcMar>
              <w:top w:w="0" w:type="dxa"/>
              <w:left w:w="20" w:type="dxa"/>
              <w:bottom w:w="0" w:type="dxa"/>
              <w:right w:w="20" w:type="dxa"/>
            </w:tcMar>
            <w:vAlign w:val="bottom"/>
          </w:tcPr>
          <w:p w14:paraId="642988E1"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88E2" w14:textId="77777777" w:rsidR="007B6C97" w:rsidRDefault="00E426D1">
            <w:pPr>
              <w:jc w:val="center"/>
              <w:textAlignment w:val="bottom"/>
            </w:pPr>
            <w:r>
              <w:rPr>
                <w:rFonts w:ascii="Times New Roman" w:eastAsia="宋体" w:hAnsi="Times New Roman"/>
                <w:b/>
                <w:bCs/>
                <w:color w:val="FFFFFF"/>
                <w:sz w:val="16"/>
                <w:szCs w:val="16"/>
              </w:rPr>
              <w:t>Jun 27, 2021</w:t>
            </w:r>
          </w:p>
        </w:tc>
      </w:tr>
      <w:tr w:rsidR="007B6C97" w14:paraId="64298900" w14:textId="77777777">
        <w:tc>
          <w:tcPr>
            <w:tcW w:w="0" w:type="auto"/>
            <w:gridSpan w:val="3"/>
            <w:shd w:val="clear" w:color="auto" w:fill="D7E4BC"/>
            <w:tcMar>
              <w:top w:w="40" w:type="dxa"/>
              <w:left w:w="20" w:type="dxa"/>
              <w:bottom w:w="40" w:type="dxa"/>
              <w:right w:w="20" w:type="dxa"/>
            </w:tcMar>
            <w:vAlign w:val="bottom"/>
          </w:tcPr>
          <w:p w14:paraId="642988E4"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8E5"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E6" w14:textId="77777777" w:rsidR="007B6C97" w:rsidRDefault="00E426D1">
            <w:pPr>
              <w:jc w:val="right"/>
              <w:textAlignment w:val="bottom"/>
            </w:pPr>
            <w:r>
              <w:rPr>
                <w:rFonts w:ascii="Times New Roman" w:eastAsia="宋体" w:hAnsi="Times New Roman"/>
                <w:color w:val="000000"/>
                <w:sz w:val="20"/>
                <w:szCs w:val="20"/>
              </w:rPr>
              <w:t>4,944.6 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E7" w14:textId="77777777" w:rsidR="007B6C97" w:rsidRDefault="007B6C97">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8E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E9" w14:textId="77777777" w:rsidR="007B6C97" w:rsidRDefault="00E426D1">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E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8EB"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EC"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ED" w14:textId="77777777" w:rsidR="007B6C97" w:rsidRDefault="00E426D1">
            <w:pPr>
              <w:jc w:val="right"/>
              <w:textAlignment w:val="bottom"/>
            </w:pPr>
            <w:r>
              <w:rPr>
                <w:rFonts w:ascii="Times New Roman" w:eastAsia="宋体" w:hAnsi="Times New Roman"/>
                <w:color w:val="000000"/>
                <w:sz w:val="20"/>
                <w:szCs w:val="20"/>
              </w:rPr>
              <w:t>4,753.1 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EE" w14:textId="77777777" w:rsidR="007B6C97" w:rsidRDefault="007B6C97">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8EF"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F0" w14:textId="77777777" w:rsidR="007B6C97" w:rsidRDefault="00E426D1">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F1"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8F2"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F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F4" w14:textId="77777777" w:rsidR="007B6C97" w:rsidRDefault="00E426D1">
            <w:pPr>
              <w:jc w:val="right"/>
              <w:textAlignment w:val="bottom"/>
            </w:pPr>
            <w:r>
              <w:rPr>
                <w:rFonts w:ascii="Times New Roman" w:eastAsia="宋体" w:hAnsi="Times New Roman"/>
                <w:color w:val="000000"/>
                <w:sz w:val="20"/>
                <w:szCs w:val="20"/>
              </w:rPr>
              <w:t>14,442.9 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F5" w14:textId="77777777" w:rsidR="007B6C97" w:rsidRDefault="007B6C97">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8F6"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F7" w14:textId="77777777" w:rsidR="007B6C97" w:rsidRDefault="00E426D1">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F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8F9"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8F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8FB" w14:textId="77777777" w:rsidR="007B6C97" w:rsidRDefault="00E426D1">
            <w:pPr>
              <w:jc w:val="right"/>
              <w:textAlignment w:val="bottom"/>
            </w:pPr>
            <w:r>
              <w:rPr>
                <w:rFonts w:ascii="Times New Roman" w:eastAsia="宋体" w:hAnsi="Times New Roman"/>
                <w:color w:val="000000"/>
                <w:sz w:val="20"/>
                <w:szCs w:val="20"/>
              </w:rPr>
              <w:t>13,222.6 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FC" w14:textId="77777777" w:rsidR="007B6C97" w:rsidRDefault="007B6C97">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8FD"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8FE" w14:textId="77777777" w:rsidR="007B6C97" w:rsidRDefault="00E426D1">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8FF"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919" w14:textId="77777777">
        <w:tc>
          <w:tcPr>
            <w:tcW w:w="0" w:type="auto"/>
            <w:gridSpan w:val="3"/>
            <w:shd w:val="clear" w:color="auto" w:fill="FFFFFF"/>
            <w:tcMar>
              <w:top w:w="40" w:type="dxa"/>
              <w:left w:w="20" w:type="dxa"/>
              <w:bottom w:w="40" w:type="dxa"/>
              <w:right w:w="20" w:type="dxa"/>
            </w:tcMar>
            <w:vAlign w:val="bottom"/>
          </w:tcPr>
          <w:p w14:paraId="64298901"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4298902" w14:textId="77777777" w:rsidR="007B6C97" w:rsidRDefault="00E426D1">
            <w:pPr>
              <w:jc w:val="right"/>
              <w:textAlignment w:val="bottom"/>
            </w:pPr>
            <w:r>
              <w:rPr>
                <w:rFonts w:ascii="Times New Roman" w:eastAsia="宋体" w:hAnsi="Times New Roman"/>
                <w:color w:val="000000"/>
                <w:sz w:val="20"/>
                <w:szCs w:val="20"/>
              </w:rPr>
              <w:t>1,472.0 </w:t>
            </w:r>
          </w:p>
        </w:tc>
        <w:tc>
          <w:tcPr>
            <w:tcW w:w="0" w:type="auto"/>
            <w:shd w:val="clear" w:color="auto" w:fill="FFFFFF"/>
            <w:tcMar>
              <w:top w:w="40" w:type="dxa"/>
              <w:left w:w="0" w:type="dxa"/>
              <w:bottom w:w="40" w:type="dxa"/>
              <w:right w:w="20" w:type="dxa"/>
            </w:tcMar>
            <w:vAlign w:val="bottom"/>
          </w:tcPr>
          <w:p w14:paraId="642989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0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05" w14:textId="77777777" w:rsidR="007B6C97" w:rsidRDefault="00E426D1">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4298906"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0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08" w14:textId="77777777" w:rsidR="007B6C97" w:rsidRDefault="00E426D1">
            <w:pPr>
              <w:jc w:val="right"/>
              <w:textAlignment w:val="bottom"/>
            </w:pPr>
            <w:r>
              <w:rPr>
                <w:rFonts w:ascii="Times New Roman" w:eastAsia="宋体" w:hAnsi="Times New Roman"/>
                <w:color w:val="000000"/>
                <w:sz w:val="20"/>
                <w:szCs w:val="20"/>
              </w:rPr>
              <w:t>1,311.2 </w:t>
            </w:r>
          </w:p>
        </w:tc>
        <w:tc>
          <w:tcPr>
            <w:tcW w:w="0" w:type="auto"/>
            <w:shd w:val="clear" w:color="auto" w:fill="FFFFFF"/>
            <w:tcMar>
              <w:top w:w="40" w:type="dxa"/>
              <w:left w:w="0" w:type="dxa"/>
              <w:bottom w:w="40" w:type="dxa"/>
              <w:right w:w="20" w:type="dxa"/>
            </w:tcMar>
            <w:vAlign w:val="bottom"/>
          </w:tcPr>
          <w:p w14:paraId="6429890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0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0B" w14:textId="77777777" w:rsidR="007B6C97" w:rsidRDefault="00E426D1">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429890C"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0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0E" w14:textId="77777777" w:rsidR="007B6C97" w:rsidRDefault="00E426D1">
            <w:pPr>
              <w:jc w:val="right"/>
              <w:textAlignment w:val="bottom"/>
            </w:pPr>
            <w:r>
              <w:rPr>
                <w:rFonts w:ascii="Times New Roman" w:eastAsia="宋体" w:hAnsi="Times New Roman"/>
                <w:color w:val="000000"/>
                <w:sz w:val="20"/>
                <w:szCs w:val="20"/>
              </w:rPr>
              <w:t>4,271.5 </w:t>
            </w:r>
          </w:p>
        </w:tc>
        <w:tc>
          <w:tcPr>
            <w:tcW w:w="0" w:type="auto"/>
            <w:shd w:val="clear" w:color="auto" w:fill="FFFFFF"/>
            <w:tcMar>
              <w:top w:w="40" w:type="dxa"/>
              <w:left w:w="0" w:type="dxa"/>
              <w:bottom w:w="40" w:type="dxa"/>
              <w:right w:w="20" w:type="dxa"/>
            </w:tcMar>
            <w:vAlign w:val="bottom"/>
          </w:tcPr>
          <w:p w14:paraId="6429890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1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11" w14:textId="77777777" w:rsidR="007B6C97" w:rsidRDefault="00E426D1">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4298912"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1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14" w14:textId="77777777" w:rsidR="007B6C97" w:rsidRDefault="00E426D1">
            <w:pPr>
              <w:jc w:val="right"/>
              <w:textAlignment w:val="bottom"/>
            </w:pPr>
            <w:r>
              <w:rPr>
                <w:rFonts w:ascii="Times New Roman" w:eastAsia="宋体" w:hAnsi="Times New Roman"/>
                <w:color w:val="000000"/>
                <w:sz w:val="20"/>
                <w:szCs w:val="20"/>
              </w:rPr>
              <w:t>3,578.2 </w:t>
            </w:r>
          </w:p>
        </w:tc>
        <w:tc>
          <w:tcPr>
            <w:tcW w:w="0" w:type="auto"/>
            <w:shd w:val="clear" w:color="auto" w:fill="FFFFFF"/>
            <w:tcMar>
              <w:top w:w="40" w:type="dxa"/>
              <w:left w:w="0" w:type="dxa"/>
              <w:bottom w:w="40" w:type="dxa"/>
              <w:right w:w="20" w:type="dxa"/>
            </w:tcMar>
            <w:vAlign w:val="bottom"/>
          </w:tcPr>
          <w:p w14:paraId="6429891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1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17" w14:textId="77777777" w:rsidR="007B6C97" w:rsidRDefault="00E426D1">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4298918"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932" w14:textId="77777777">
        <w:tc>
          <w:tcPr>
            <w:tcW w:w="0" w:type="auto"/>
            <w:gridSpan w:val="3"/>
            <w:shd w:val="clear" w:color="auto" w:fill="D7E4BC"/>
            <w:tcMar>
              <w:top w:w="40" w:type="dxa"/>
              <w:left w:w="20" w:type="dxa"/>
              <w:bottom w:w="40" w:type="dxa"/>
              <w:right w:w="20" w:type="dxa"/>
            </w:tcMar>
            <w:vAlign w:val="bottom"/>
          </w:tcPr>
          <w:p w14:paraId="6429891A"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6429891B" w14:textId="77777777" w:rsidR="007B6C97" w:rsidRDefault="00E426D1">
            <w:pPr>
              <w:jc w:val="right"/>
              <w:textAlignment w:val="bottom"/>
            </w:pPr>
            <w:r>
              <w:rPr>
                <w:rFonts w:ascii="Times New Roman" w:eastAsia="宋体" w:hAnsi="Times New Roman"/>
                <w:color w:val="000000"/>
                <w:sz w:val="20"/>
                <w:szCs w:val="20"/>
              </w:rPr>
              <w:t>1,733.5 </w:t>
            </w:r>
          </w:p>
        </w:tc>
        <w:tc>
          <w:tcPr>
            <w:tcW w:w="0" w:type="auto"/>
            <w:shd w:val="clear" w:color="auto" w:fill="D7E4BC"/>
            <w:tcMar>
              <w:top w:w="40" w:type="dxa"/>
              <w:left w:w="0" w:type="dxa"/>
              <w:bottom w:w="40" w:type="dxa"/>
              <w:right w:w="20" w:type="dxa"/>
            </w:tcMar>
            <w:vAlign w:val="bottom"/>
          </w:tcPr>
          <w:p w14:paraId="6429891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1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1E" w14:textId="77777777" w:rsidR="007B6C97" w:rsidRDefault="00E426D1">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6429891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92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21" w14:textId="77777777" w:rsidR="007B6C97" w:rsidRDefault="00E426D1">
            <w:pPr>
              <w:jc w:val="right"/>
              <w:textAlignment w:val="bottom"/>
            </w:pPr>
            <w:r>
              <w:rPr>
                <w:rFonts w:ascii="Times New Roman" w:eastAsia="宋体" w:hAnsi="Times New Roman"/>
                <w:color w:val="000000"/>
                <w:sz w:val="20"/>
                <w:szCs w:val="20"/>
              </w:rPr>
              <w:t>1,432.2 </w:t>
            </w:r>
          </w:p>
        </w:tc>
        <w:tc>
          <w:tcPr>
            <w:tcW w:w="0" w:type="auto"/>
            <w:shd w:val="clear" w:color="auto" w:fill="D7E4BC"/>
            <w:tcMar>
              <w:top w:w="40" w:type="dxa"/>
              <w:left w:w="0" w:type="dxa"/>
              <w:bottom w:w="40" w:type="dxa"/>
              <w:right w:w="20" w:type="dxa"/>
            </w:tcMar>
            <w:vAlign w:val="bottom"/>
          </w:tcPr>
          <w:p w14:paraId="642989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24" w14:textId="77777777" w:rsidR="007B6C97" w:rsidRDefault="00E426D1">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64298925"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92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27" w14:textId="77777777" w:rsidR="007B6C97" w:rsidRDefault="00E426D1">
            <w:pPr>
              <w:jc w:val="right"/>
              <w:textAlignment w:val="bottom"/>
            </w:pPr>
            <w:r>
              <w:rPr>
                <w:rFonts w:ascii="Times New Roman" w:eastAsia="宋体" w:hAnsi="Times New Roman"/>
                <w:color w:val="000000"/>
                <w:sz w:val="20"/>
                <w:szCs w:val="20"/>
              </w:rPr>
              <w:t>5,121.7 </w:t>
            </w:r>
          </w:p>
        </w:tc>
        <w:tc>
          <w:tcPr>
            <w:tcW w:w="0" w:type="auto"/>
            <w:shd w:val="clear" w:color="auto" w:fill="D7E4BC"/>
            <w:tcMar>
              <w:top w:w="40" w:type="dxa"/>
              <w:left w:w="0" w:type="dxa"/>
              <w:bottom w:w="40" w:type="dxa"/>
              <w:right w:w="20" w:type="dxa"/>
            </w:tcMar>
            <w:vAlign w:val="bottom"/>
          </w:tcPr>
          <w:p w14:paraId="6429892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2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2A" w14:textId="77777777" w:rsidR="007B6C97" w:rsidRDefault="00E426D1">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6429892B"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92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2D" w14:textId="77777777" w:rsidR="007B6C97" w:rsidRDefault="00E426D1">
            <w:pPr>
              <w:jc w:val="right"/>
              <w:textAlignment w:val="bottom"/>
            </w:pPr>
            <w:r>
              <w:rPr>
                <w:rFonts w:ascii="Times New Roman" w:eastAsia="宋体" w:hAnsi="Times New Roman"/>
                <w:color w:val="000000"/>
                <w:sz w:val="20"/>
                <w:szCs w:val="20"/>
              </w:rPr>
              <w:t>4,113.1 </w:t>
            </w:r>
          </w:p>
        </w:tc>
        <w:tc>
          <w:tcPr>
            <w:tcW w:w="0" w:type="auto"/>
            <w:shd w:val="clear" w:color="auto" w:fill="D7E4BC"/>
            <w:tcMar>
              <w:top w:w="40" w:type="dxa"/>
              <w:left w:w="0" w:type="dxa"/>
              <w:bottom w:w="40" w:type="dxa"/>
              <w:right w:w="20" w:type="dxa"/>
            </w:tcMar>
            <w:vAlign w:val="bottom"/>
          </w:tcPr>
          <w:p w14:paraId="6429892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2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30"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4298931"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94F" w14:textId="77777777">
        <w:tc>
          <w:tcPr>
            <w:tcW w:w="0" w:type="auto"/>
            <w:gridSpan w:val="3"/>
            <w:shd w:val="clear" w:color="auto" w:fill="FFFFFF"/>
            <w:tcMar>
              <w:top w:w="40" w:type="dxa"/>
              <w:left w:w="20" w:type="dxa"/>
              <w:bottom w:w="40" w:type="dxa"/>
              <w:right w:w="20" w:type="dxa"/>
            </w:tcMar>
          </w:tcPr>
          <w:p w14:paraId="64298933" w14:textId="77777777" w:rsidR="007B6C97" w:rsidRDefault="00E426D1">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934"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935" w14:textId="77777777" w:rsidR="007B6C97" w:rsidRDefault="00E426D1">
            <w:pPr>
              <w:jc w:val="right"/>
              <w:textAlignment w:val="bottom"/>
            </w:pPr>
            <w:r>
              <w:rPr>
                <w:rFonts w:ascii="Times New Roman" w:eastAsia="宋体" w:hAnsi="Times New Roman"/>
                <w:color w:val="000000"/>
                <w:sz w:val="20"/>
                <w:szCs w:val="20"/>
              </w:rPr>
              <w:t>8,150.1 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93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37"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938" w14:textId="77777777" w:rsidR="007B6C97" w:rsidRDefault="00E426D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939"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3A"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93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93C" w14:textId="77777777" w:rsidR="007B6C97" w:rsidRDefault="00E426D1">
            <w:pPr>
              <w:jc w:val="right"/>
              <w:textAlignment w:val="bottom"/>
            </w:pPr>
            <w:r>
              <w:rPr>
                <w:rFonts w:ascii="Times New Roman" w:eastAsia="宋体" w:hAnsi="Times New Roman"/>
                <w:color w:val="000000"/>
                <w:sz w:val="20"/>
                <w:szCs w:val="20"/>
              </w:rPr>
              <w:t>7,496.5 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93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3E"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93F" w14:textId="77777777" w:rsidR="007B6C97" w:rsidRDefault="00E426D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940"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41"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94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943" w14:textId="77777777" w:rsidR="007B6C97" w:rsidRDefault="00E426D1">
            <w:pPr>
              <w:jc w:val="right"/>
              <w:textAlignment w:val="bottom"/>
            </w:pPr>
            <w:r>
              <w:rPr>
                <w:rFonts w:ascii="Times New Roman" w:eastAsia="宋体" w:hAnsi="Times New Roman"/>
                <w:color w:val="000000"/>
                <w:sz w:val="20"/>
                <w:szCs w:val="20"/>
              </w:rPr>
              <w:t>23,836.1 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94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45"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946" w14:textId="77777777" w:rsidR="007B6C97" w:rsidRDefault="00E426D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94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948" w14:textId="77777777" w:rsidR="007B6C97" w:rsidRDefault="007B6C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298949"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29894A" w14:textId="77777777" w:rsidR="007B6C97" w:rsidRDefault="00E426D1">
            <w:pPr>
              <w:jc w:val="right"/>
              <w:textAlignment w:val="bottom"/>
            </w:pPr>
            <w:r>
              <w:rPr>
                <w:rFonts w:ascii="Times New Roman" w:eastAsia="宋体" w:hAnsi="Times New Roman"/>
                <w:color w:val="000000"/>
                <w:sz w:val="20"/>
                <w:szCs w:val="20"/>
              </w:rPr>
              <w:t>20,913.9 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29894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4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94D" w14:textId="77777777" w:rsidR="007B6C97" w:rsidRDefault="00E426D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94E" w14:textId="77777777" w:rsidR="007B6C97" w:rsidRDefault="00E426D1">
            <w:pPr>
              <w:jc w:val="right"/>
              <w:textAlignment w:val="bottom"/>
            </w:pPr>
            <w:r>
              <w:rPr>
                <w:rFonts w:ascii="Times New Roman" w:eastAsia="宋体" w:hAnsi="Times New Roman"/>
                <w:color w:val="000000"/>
                <w:sz w:val="20"/>
                <w:szCs w:val="20"/>
              </w:rPr>
              <w:t>%</w:t>
            </w:r>
          </w:p>
        </w:tc>
      </w:tr>
    </w:tbl>
    <w:p w14:paraId="64298950" w14:textId="77777777" w:rsidR="007B6C97" w:rsidRDefault="00E426D1">
      <w:pPr>
        <w:pBdr>
          <w:left w:val="none" w:sz="0" w:space="0" w:color="auto"/>
        </w:pBdr>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Beverage represents sales within our company-operated stores.</w:t>
      </w:r>
    </w:p>
    <w:p w14:paraId="64298951" w14:textId="77777777" w:rsidR="007B6C97" w:rsidRDefault="00E426D1">
      <w:pPr>
        <w:pBdr>
          <w:left w:val="none" w:sz="0" w:space="0" w:color="auto"/>
        </w:pBdr>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Food includes sales within ou</w:t>
      </w:r>
      <w:r>
        <w:rPr>
          <w:rFonts w:ascii="Times New Roman" w:eastAsia="宋体" w:hAnsi="Times New Roman"/>
          <w:color w:val="000000"/>
          <w:sz w:val="20"/>
          <w:szCs w:val="20"/>
        </w:rPr>
        <w:t>r company-operated stores.</w:t>
      </w:r>
    </w:p>
    <w:p w14:paraId="64298952" w14:textId="77777777" w:rsidR="007B6C97" w:rsidRDefault="00E426D1">
      <w:pPr>
        <w:pBdr>
          <w:left w:val="none" w:sz="0" w:space="0" w:color="auto"/>
        </w:pBdr>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primarily consists of packaged and single-serve coffees and teas, royalty and licensing revenues, serveware, beverage-related ingredients and ready-to-drink beverages, among other items.</w:t>
      </w:r>
    </w:p>
    <w:p w14:paraId="64298953" w14:textId="77777777" w:rsidR="007B6C97" w:rsidRDefault="00E426D1">
      <w:pPr>
        <w:jc w:val="center"/>
      </w:pPr>
      <w:r>
        <w:rPr>
          <w:rFonts w:ascii="Times New Roman" w:eastAsia="宋体" w:hAnsi="Times New Roman"/>
          <w:color w:val="000000"/>
          <w:sz w:val="20"/>
          <w:szCs w:val="20"/>
        </w:rPr>
        <w:t>28</w:t>
      </w:r>
    </w:p>
    <w:p w14:paraId="64298954" w14:textId="77777777" w:rsidR="007B6C97" w:rsidRDefault="00E426D1">
      <w:r>
        <w:pict w14:anchorId="642999F6">
          <v:rect id="_x0000_i1052" style="width:415.3pt;height:1.5pt" o:hralign="center" o:hrstd="t" o:hr="t" fillcolor="#a0a0a0" stroked="f"/>
        </w:pict>
      </w:r>
    </w:p>
    <w:p w14:paraId="64298955" w14:textId="77777777" w:rsidR="007B6C97" w:rsidRDefault="00E426D1">
      <w:hyperlink r:id="rId137" w:anchor="ie38a2b375c9840e583a36769999bbee6_7" w:history="1">
        <w:r>
          <w:rPr>
            <w:rStyle w:val="a5"/>
            <w:rFonts w:ascii="Times New Roman" w:eastAsia="宋体" w:hAnsi="Times New Roman"/>
            <w:sz w:val="20"/>
            <w:szCs w:val="20"/>
          </w:rPr>
          <w:t>Table</w:t>
        </w:r>
      </w:hyperlink>
      <w:hyperlink r:id="rId138" w:anchor="ie38a2b375c9840e583a36769999bbee6_7" w:history="1">
        <w:r>
          <w:rPr>
            <w:rStyle w:val="a5"/>
            <w:rFonts w:ascii="Times New Roman" w:eastAsia="宋体" w:hAnsi="Times New Roman"/>
            <w:sz w:val="20"/>
            <w:szCs w:val="20"/>
          </w:rPr>
          <w:t xml:space="preserve"> of Contents</w:t>
        </w:r>
      </w:hyperlink>
    </w:p>
    <w:p w14:paraId="64298956" w14:textId="77777777" w:rsidR="007B6C97" w:rsidRDefault="00E426D1">
      <w:pPr>
        <w:spacing w:before="120"/>
      </w:pPr>
      <w:r>
        <w:rPr>
          <w:rFonts w:ascii="Times New Roman" w:eastAsia="宋体" w:hAnsi="Times New Roman"/>
          <w:color w:val="000000"/>
          <w:sz w:val="20"/>
          <w:szCs w:val="20"/>
        </w:rPr>
        <w:t>The tables below present financial information for our reportable operating segments and C</w:t>
      </w:r>
      <w:r>
        <w:rPr>
          <w:rFonts w:ascii="Times New Roman" w:eastAsia="宋体" w:hAnsi="Times New Roman"/>
          <w:color w:val="000000"/>
          <w:sz w:val="20"/>
          <w:szCs w:val="20"/>
        </w:rPr>
        <w:t xml:space="preserve">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64298957" w14:textId="77777777" w:rsidR="007B6C97" w:rsidRDefault="00E426D1">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63" w:type="pct"/>
        <w:tblCellMar>
          <w:top w:w="15" w:type="dxa"/>
          <w:left w:w="15" w:type="dxa"/>
          <w:bottom w:w="15" w:type="dxa"/>
          <w:right w:w="15" w:type="dxa"/>
        </w:tblCellMar>
        <w:tblLook w:val="04A0" w:firstRow="1" w:lastRow="0" w:firstColumn="1" w:lastColumn="0" w:noHBand="0" w:noVBand="1"/>
      </w:tblPr>
      <w:tblGrid>
        <w:gridCol w:w="40"/>
        <w:gridCol w:w="2888"/>
        <w:gridCol w:w="39"/>
        <w:gridCol w:w="120"/>
        <w:gridCol w:w="896"/>
        <w:gridCol w:w="36"/>
        <w:gridCol w:w="36"/>
        <w:gridCol w:w="36"/>
        <w:gridCol w:w="36"/>
        <w:gridCol w:w="121"/>
        <w:gridCol w:w="858"/>
        <w:gridCol w:w="36"/>
        <w:gridCol w:w="36"/>
        <w:gridCol w:w="36"/>
        <w:gridCol w:w="36"/>
        <w:gridCol w:w="121"/>
        <w:gridCol w:w="851"/>
        <w:gridCol w:w="36"/>
        <w:gridCol w:w="36"/>
        <w:gridCol w:w="36"/>
        <w:gridCol w:w="36"/>
        <w:gridCol w:w="121"/>
        <w:gridCol w:w="688"/>
        <w:gridCol w:w="36"/>
        <w:gridCol w:w="36"/>
        <w:gridCol w:w="36"/>
        <w:gridCol w:w="36"/>
        <w:gridCol w:w="120"/>
        <w:gridCol w:w="799"/>
        <w:gridCol w:w="36"/>
      </w:tblGrid>
      <w:tr w:rsidR="007B6C97" w14:paraId="64298976" w14:textId="77777777">
        <w:tc>
          <w:tcPr>
            <w:tcW w:w="50" w:type="pct"/>
            <w:shd w:val="clear" w:color="auto" w:fill="auto"/>
            <w:vAlign w:val="bottom"/>
          </w:tcPr>
          <w:p w14:paraId="64298958" w14:textId="77777777" w:rsidR="007B6C97" w:rsidRDefault="007B6C97">
            <w:pPr>
              <w:rPr>
                <w:rFonts w:ascii="宋体"/>
              </w:rPr>
            </w:pPr>
          </w:p>
        </w:tc>
        <w:tc>
          <w:tcPr>
            <w:tcW w:w="1822" w:type="pct"/>
            <w:shd w:val="clear" w:color="auto" w:fill="auto"/>
            <w:vAlign w:val="bottom"/>
          </w:tcPr>
          <w:p w14:paraId="64298959" w14:textId="77777777" w:rsidR="007B6C97" w:rsidRDefault="007B6C97">
            <w:pPr>
              <w:rPr>
                <w:rFonts w:ascii="宋体"/>
              </w:rPr>
            </w:pPr>
          </w:p>
        </w:tc>
        <w:tc>
          <w:tcPr>
            <w:tcW w:w="5" w:type="pct"/>
            <w:shd w:val="clear" w:color="auto" w:fill="auto"/>
            <w:vAlign w:val="bottom"/>
          </w:tcPr>
          <w:p w14:paraId="6429895A" w14:textId="77777777" w:rsidR="007B6C97" w:rsidRDefault="007B6C97">
            <w:pPr>
              <w:rPr>
                <w:rFonts w:ascii="宋体"/>
              </w:rPr>
            </w:pPr>
          </w:p>
        </w:tc>
        <w:tc>
          <w:tcPr>
            <w:tcW w:w="50" w:type="pct"/>
            <w:shd w:val="clear" w:color="auto" w:fill="auto"/>
            <w:vAlign w:val="bottom"/>
          </w:tcPr>
          <w:p w14:paraId="6429895B" w14:textId="77777777" w:rsidR="007B6C97" w:rsidRDefault="007B6C97">
            <w:pPr>
              <w:rPr>
                <w:rFonts w:ascii="宋体"/>
              </w:rPr>
            </w:pPr>
          </w:p>
        </w:tc>
        <w:tc>
          <w:tcPr>
            <w:tcW w:w="593" w:type="pct"/>
            <w:shd w:val="clear" w:color="auto" w:fill="auto"/>
            <w:vAlign w:val="bottom"/>
          </w:tcPr>
          <w:p w14:paraId="6429895C" w14:textId="77777777" w:rsidR="007B6C97" w:rsidRDefault="007B6C97">
            <w:pPr>
              <w:rPr>
                <w:rFonts w:ascii="宋体"/>
              </w:rPr>
            </w:pPr>
          </w:p>
        </w:tc>
        <w:tc>
          <w:tcPr>
            <w:tcW w:w="5" w:type="pct"/>
            <w:shd w:val="clear" w:color="auto" w:fill="auto"/>
            <w:vAlign w:val="bottom"/>
          </w:tcPr>
          <w:p w14:paraId="6429895D" w14:textId="77777777" w:rsidR="007B6C97" w:rsidRDefault="007B6C97">
            <w:pPr>
              <w:rPr>
                <w:rFonts w:ascii="宋体"/>
              </w:rPr>
            </w:pPr>
          </w:p>
        </w:tc>
        <w:tc>
          <w:tcPr>
            <w:tcW w:w="5" w:type="pct"/>
            <w:shd w:val="clear" w:color="auto" w:fill="auto"/>
            <w:vAlign w:val="bottom"/>
          </w:tcPr>
          <w:p w14:paraId="6429895E" w14:textId="77777777" w:rsidR="007B6C97" w:rsidRDefault="007B6C97">
            <w:pPr>
              <w:rPr>
                <w:rFonts w:ascii="宋体"/>
              </w:rPr>
            </w:pPr>
          </w:p>
        </w:tc>
        <w:tc>
          <w:tcPr>
            <w:tcW w:w="19" w:type="pct"/>
            <w:shd w:val="clear" w:color="auto" w:fill="auto"/>
            <w:vAlign w:val="bottom"/>
          </w:tcPr>
          <w:p w14:paraId="6429895F" w14:textId="77777777" w:rsidR="007B6C97" w:rsidRDefault="007B6C97">
            <w:pPr>
              <w:rPr>
                <w:rFonts w:ascii="宋体"/>
              </w:rPr>
            </w:pPr>
          </w:p>
        </w:tc>
        <w:tc>
          <w:tcPr>
            <w:tcW w:w="5" w:type="pct"/>
            <w:shd w:val="clear" w:color="auto" w:fill="auto"/>
            <w:vAlign w:val="bottom"/>
          </w:tcPr>
          <w:p w14:paraId="64298960" w14:textId="77777777" w:rsidR="007B6C97" w:rsidRDefault="007B6C97">
            <w:pPr>
              <w:rPr>
                <w:rFonts w:ascii="宋体"/>
              </w:rPr>
            </w:pPr>
          </w:p>
        </w:tc>
        <w:tc>
          <w:tcPr>
            <w:tcW w:w="50" w:type="pct"/>
            <w:shd w:val="clear" w:color="auto" w:fill="auto"/>
            <w:vAlign w:val="bottom"/>
          </w:tcPr>
          <w:p w14:paraId="64298961" w14:textId="77777777" w:rsidR="007B6C97" w:rsidRDefault="007B6C97">
            <w:pPr>
              <w:rPr>
                <w:rFonts w:ascii="宋体"/>
              </w:rPr>
            </w:pPr>
          </w:p>
        </w:tc>
        <w:tc>
          <w:tcPr>
            <w:tcW w:w="534" w:type="pct"/>
            <w:shd w:val="clear" w:color="auto" w:fill="auto"/>
            <w:vAlign w:val="bottom"/>
          </w:tcPr>
          <w:p w14:paraId="64298962" w14:textId="77777777" w:rsidR="007B6C97" w:rsidRDefault="007B6C97">
            <w:pPr>
              <w:rPr>
                <w:rFonts w:ascii="宋体"/>
              </w:rPr>
            </w:pPr>
          </w:p>
        </w:tc>
        <w:tc>
          <w:tcPr>
            <w:tcW w:w="5" w:type="pct"/>
            <w:shd w:val="clear" w:color="auto" w:fill="auto"/>
            <w:vAlign w:val="bottom"/>
          </w:tcPr>
          <w:p w14:paraId="64298963" w14:textId="77777777" w:rsidR="007B6C97" w:rsidRDefault="007B6C97">
            <w:pPr>
              <w:rPr>
                <w:rFonts w:ascii="宋体"/>
              </w:rPr>
            </w:pPr>
          </w:p>
        </w:tc>
        <w:tc>
          <w:tcPr>
            <w:tcW w:w="5" w:type="pct"/>
            <w:shd w:val="clear" w:color="auto" w:fill="auto"/>
            <w:vAlign w:val="bottom"/>
          </w:tcPr>
          <w:p w14:paraId="64298964" w14:textId="77777777" w:rsidR="007B6C97" w:rsidRDefault="007B6C97">
            <w:pPr>
              <w:rPr>
                <w:rFonts w:ascii="宋体"/>
              </w:rPr>
            </w:pPr>
          </w:p>
        </w:tc>
        <w:tc>
          <w:tcPr>
            <w:tcW w:w="19" w:type="pct"/>
            <w:shd w:val="clear" w:color="auto" w:fill="auto"/>
            <w:vAlign w:val="bottom"/>
          </w:tcPr>
          <w:p w14:paraId="64298965" w14:textId="77777777" w:rsidR="007B6C97" w:rsidRDefault="007B6C97">
            <w:pPr>
              <w:rPr>
                <w:rFonts w:ascii="宋体"/>
              </w:rPr>
            </w:pPr>
          </w:p>
        </w:tc>
        <w:tc>
          <w:tcPr>
            <w:tcW w:w="5" w:type="pct"/>
            <w:shd w:val="clear" w:color="auto" w:fill="auto"/>
            <w:vAlign w:val="bottom"/>
          </w:tcPr>
          <w:p w14:paraId="64298966" w14:textId="77777777" w:rsidR="007B6C97" w:rsidRDefault="007B6C97">
            <w:pPr>
              <w:rPr>
                <w:rFonts w:ascii="宋体"/>
              </w:rPr>
            </w:pPr>
          </w:p>
        </w:tc>
        <w:tc>
          <w:tcPr>
            <w:tcW w:w="50" w:type="pct"/>
            <w:shd w:val="clear" w:color="auto" w:fill="auto"/>
            <w:vAlign w:val="bottom"/>
          </w:tcPr>
          <w:p w14:paraId="64298967" w14:textId="77777777" w:rsidR="007B6C97" w:rsidRDefault="007B6C97">
            <w:pPr>
              <w:rPr>
                <w:rFonts w:ascii="宋体"/>
              </w:rPr>
            </w:pPr>
          </w:p>
        </w:tc>
        <w:tc>
          <w:tcPr>
            <w:tcW w:w="534" w:type="pct"/>
            <w:shd w:val="clear" w:color="auto" w:fill="auto"/>
            <w:vAlign w:val="bottom"/>
          </w:tcPr>
          <w:p w14:paraId="64298968" w14:textId="77777777" w:rsidR="007B6C97" w:rsidRDefault="007B6C97">
            <w:pPr>
              <w:rPr>
                <w:rFonts w:ascii="宋体"/>
              </w:rPr>
            </w:pPr>
          </w:p>
        </w:tc>
        <w:tc>
          <w:tcPr>
            <w:tcW w:w="5" w:type="pct"/>
            <w:shd w:val="clear" w:color="auto" w:fill="auto"/>
            <w:vAlign w:val="bottom"/>
          </w:tcPr>
          <w:p w14:paraId="64298969" w14:textId="77777777" w:rsidR="007B6C97" w:rsidRDefault="007B6C97">
            <w:pPr>
              <w:rPr>
                <w:rFonts w:ascii="宋体"/>
              </w:rPr>
            </w:pPr>
          </w:p>
        </w:tc>
        <w:tc>
          <w:tcPr>
            <w:tcW w:w="5" w:type="pct"/>
            <w:shd w:val="clear" w:color="auto" w:fill="auto"/>
            <w:vAlign w:val="bottom"/>
          </w:tcPr>
          <w:p w14:paraId="6429896A" w14:textId="77777777" w:rsidR="007B6C97" w:rsidRDefault="007B6C97">
            <w:pPr>
              <w:rPr>
                <w:rFonts w:ascii="宋体"/>
              </w:rPr>
            </w:pPr>
          </w:p>
        </w:tc>
        <w:tc>
          <w:tcPr>
            <w:tcW w:w="19" w:type="pct"/>
            <w:shd w:val="clear" w:color="auto" w:fill="auto"/>
            <w:vAlign w:val="bottom"/>
          </w:tcPr>
          <w:p w14:paraId="6429896B" w14:textId="77777777" w:rsidR="007B6C97" w:rsidRDefault="007B6C97">
            <w:pPr>
              <w:rPr>
                <w:rFonts w:ascii="宋体"/>
              </w:rPr>
            </w:pPr>
          </w:p>
        </w:tc>
        <w:tc>
          <w:tcPr>
            <w:tcW w:w="5" w:type="pct"/>
            <w:shd w:val="clear" w:color="auto" w:fill="auto"/>
            <w:vAlign w:val="bottom"/>
          </w:tcPr>
          <w:p w14:paraId="6429896C" w14:textId="77777777" w:rsidR="007B6C97" w:rsidRDefault="007B6C97">
            <w:pPr>
              <w:rPr>
                <w:rFonts w:ascii="宋体"/>
              </w:rPr>
            </w:pPr>
          </w:p>
        </w:tc>
        <w:tc>
          <w:tcPr>
            <w:tcW w:w="50" w:type="pct"/>
            <w:shd w:val="clear" w:color="auto" w:fill="auto"/>
            <w:vAlign w:val="bottom"/>
          </w:tcPr>
          <w:p w14:paraId="6429896D" w14:textId="77777777" w:rsidR="007B6C97" w:rsidRDefault="007B6C97">
            <w:pPr>
              <w:rPr>
                <w:rFonts w:ascii="宋体"/>
              </w:rPr>
            </w:pPr>
          </w:p>
        </w:tc>
        <w:tc>
          <w:tcPr>
            <w:tcW w:w="534" w:type="pct"/>
            <w:shd w:val="clear" w:color="auto" w:fill="auto"/>
            <w:vAlign w:val="bottom"/>
          </w:tcPr>
          <w:p w14:paraId="6429896E" w14:textId="77777777" w:rsidR="007B6C97" w:rsidRDefault="007B6C97">
            <w:pPr>
              <w:rPr>
                <w:rFonts w:ascii="宋体"/>
              </w:rPr>
            </w:pPr>
          </w:p>
        </w:tc>
        <w:tc>
          <w:tcPr>
            <w:tcW w:w="5" w:type="pct"/>
            <w:shd w:val="clear" w:color="auto" w:fill="auto"/>
            <w:vAlign w:val="bottom"/>
          </w:tcPr>
          <w:p w14:paraId="6429896F" w14:textId="77777777" w:rsidR="007B6C97" w:rsidRDefault="007B6C97">
            <w:pPr>
              <w:rPr>
                <w:rFonts w:ascii="宋体"/>
              </w:rPr>
            </w:pPr>
          </w:p>
        </w:tc>
        <w:tc>
          <w:tcPr>
            <w:tcW w:w="5" w:type="pct"/>
            <w:shd w:val="clear" w:color="auto" w:fill="auto"/>
            <w:vAlign w:val="bottom"/>
          </w:tcPr>
          <w:p w14:paraId="64298970" w14:textId="77777777" w:rsidR="007B6C97" w:rsidRDefault="007B6C97">
            <w:pPr>
              <w:rPr>
                <w:rFonts w:ascii="宋体"/>
              </w:rPr>
            </w:pPr>
          </w:p>
        </w:tc>
        <w:tc>
          <w:tcPr>
            <w:tcW w:w="19" w:type="pct"/>
            <w:shd w:val="clear" w:color="auto" w:fill="auto"/>
            <w:vAlign w:val="bottom"/>
          </w:tcPr>
          <w:p w14:paraId="64298971" w14:textId="77777777" w:rsidR="007B6C97" w:rsidRDefault="007B6C97">
            <w:pPr>
              <w:rPr>
                <w:rFonts w:ascii="宋体"/>
              </w:rPr>
            </w:pPr>
          </w:p>
        </w:tc>
        <w:tc>
          <w:tcPr>
            <w:tcW w:w="5" w:type="pct"/>
            <w:shd w:val="clear" w:color="auto" w:fill="auto"/>
            <w:vAlign w:val="bottom"/>
          </w:tcPr>
          <w:p w14:paraId="64298972" w14:textId="77777777" w:rsidR="007B6C97" w:rsidRDefault="007B6C97">
            <w:pPr>
              <w:rPr>
                <w:rFonts w:ascii="宋体"/>
              </w:rPr>
            </w:pPr>
          </w:p>
        </w:tc>
        <w:tc>
          <w:tcPr>
            <w:tcW w:w="50" w:type="pct"/>
            <w:shd w:val="clear" w:color="auto" w:fill="auto"/>
            <w:vAlign w:val="bottom"/>
          </w:tcPr>
          <w:p w14:paraId="64298973" w14:textId="77777777" w:rsidR="007B6C97" w:rsidRDefault="007B6C97">
            <w:pPr>
              <w:rPr>
                <w:rFonts w:ascii="宋体"/>
              </w:rPr>
            </w:pPr>
          </w:p>
        </w:tc>
        <w:tc>
          <w:tcPr>
            <w:tcW w:w="534" w:type="pct"/>
            <w:shd w:val="clear" w:color="auto" w:fill="auto"/>
            <w:vAlign w:val="bottom"/>
          </w:tcPr>
          <w:p w14:paraId="64298974" w14:textId="77777777" w:rsidR="007B6C97" w:rsidRDefault="007B6C97">
            <w:pPr>
              <w:rPr>
                <w:rFonts w:ascii="宋体"/>
              </w:rPr>
            </w:pPr>
          </w:p>
        </w:tc>
        <w:tc>
          <w:tcPr>
            <w:tcW w:w="5" w:type="pct"/>
            <w:shd w:val="clear" w:color="auto" w:fill="auto"/>
            <w:vAlign w:val="bottom"/>
          </w:tcPr>
          <w:p w14:paraId="64298975" w14:textId="77777777" w:rsidR="007B6C97" w:rsidRDefault="007B6C97">
            <w:pPr>
              <w:rPr>
                <w:rFonts w:ascii="宋体"/>
              </w:rPr>
            </w:pPr>
          </w:p>
        </w:tc>
      </w:tr>
      <w:tr w:rsidR="007B6C97" w14:paraId="64298981" w14:textId="77777777">
        <w:tc>
          <w:tcPr>
            <w:tcW w:w="0" w:type="auto"/>
            <w:gridSpan w:val="3"/>
            <w:shd w:val="clear" w:color="auto" w:fill="auto"/>
            <w:tcMar>
              <w:top w:w="0" w:type="dxa"/>
              <w:left w:w="20" w:type="dxa"/>
              <w:bottom w:w="0" w:type="dxa"/>
              <w:right w:w="20" w:type="dxa"/>
            </w:tcMar>
            <w:vAlign w:val="bottom"/>
          </w:tcPr>
          <w:p w14:paraId="6429897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978"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North America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429897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97A"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International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429897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97C" w14:textId="77777777" w:rsidR="007B6C97" w:rsidRDefault="00E426D1">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6429897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97E"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Corporate and Other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429897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980"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98C" w14:textId="77777777">
        <w:tc>
          <w:tcPr>
            <w:tcW w:w="0" w:type="auto"/>
            <w:gridSpan w:val="3"/>
            <w:shd w:val="clear" w:color="auto" w:fill="D7E4BC"/>
            <w:tcMar>
              <w:top w:w="40" w:type="dxa"/>
              <w:left w:w="20" w:type="dxa"/>
              <w:bottom w:w="40" w:type="dxa"/>
              <w:right w:w="20" w:type="dxa"/>
            </w:tcMar>
          </w:tcPr>
          <w:p w14:paraId="64298982" w14:textId="77777777" w:rsidR="007B6C97" w:rsidRDefault="00E426D1">
            <w:pPr>
              <w:textAlignment w:val="top"/>
            </w:pPr>
            <w:r>
              <w:rPr>
                <w:rFonts w:ascii="Times New Roman" w:eastAsia="宋体" w:hAnsi="Times New Roman"/>
                <w:i/>
                <w:iCs/>
                <w:color w:val="000000"/>
                <w:sz w:val="20"/>
                <w:szCs w:val="20"/>
              </w:rPr>
              <w:t>July 3,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98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84"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98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86"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98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88"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98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8A"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98B" w14:textId="77777777" w:rsidR="007B6C97" w:rsidRDefault="007B6C97">
            <w:pPr>
              <w:rPr>
                <w:rFonts w:ascii="宋体"/>
              </w:rPr>
            </w:pPr>
          </w:p>
        </w:tc>
      </w:tr>
      <w:tr w:rsidR="007B6C97" w14:paraId="642989A1" w14:textId="77777777">
        <w:tc>
          <w:tcPr>
            <w:tcW w:w="0" w:type="auto"/>
            <w:gridSpan w:val="3"/>
            <w:shd w:val="clear" w:color="auto" w:fill="FFFFFF"/>
            <w:tcMar>
              <w:top w:w="40" w:type="dxa"/>
              <w:left w:w="20" w:type="dxa"/>
              <w:bottom w:w="40" w:type="dxa"/>
              <w:right w:w="20" w:type="dxa"/>
            </w:tcMar>
          </w:tcPr>
          <w:p w14:paraId="6429898D" w14:textId="77777777" w:rsidR="007B6C97" w:rsidRDefault="00E426D1">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429898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8F" w14:textId="77777777" w:rsidR="007B6C97" w:rsidRDefault="00E426D1">
            <w:pPr>
              <w:jc w:val="right"/>
              <w:textAlignment w:val="bottom"/>
            </w:pPr>
            <w:r>
              <w:rPr>
                <w:rFonts w:ascii="Times New Roman" w:eastAsia="宋体" w:hAnsi="Times New Roman"/>
                <w:color w:val="000000"/>
                <w:sz w:val="20"/>
                <w:szCs w:val="20"/>
              </w:rPr>
              <w:t>6,058.4 </w:t>
            </w:r>
          </w:p>
        </w:tc>
        <w:tc>
          <w:tcPr>
            <w:tcW w:w="0" w:type="auto"/>
            <w:shd w:val="clear" w:color="auto" w:fill="FFFFFF"/>
            <w:tcMar>
              <w:top w:w="40" w:type="dxa"/>
              <w:left w:w="0" w:type="dxa"/>
              <w:bottom w:w="40" w:type="dxa"/>
              <w:right w:w="20" w:type="dxa"/>
            </w:tcMar>
            <w:vAlign w:val="bottom"/>
          </w:tcPr>
          <w:p w14:paraId="6429899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9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9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93" w14:textId="77777777" w:rsidR="007B6C97" w:rsidRDefault="00E426D1">
            <w:pPr>
              <w:jc w:val="right"/>
              <w:textAlignment w:val="bottom"/>
            </w:pPr>
            <w:r>
              <w:rPr>
                <w:rFonts w:ascii="Times New Roman" w:eastAsia="宋体" w:hAnsi="Times New Roman"/>
                <w:color w:val="000000"/>
                <w:sz w:val="20"/>
                <w:szCs w:val="20"/>
              </w:rPr>
              <w:t>1,584.7 </w:t>
            </w:r>
          </w:p>
        </w:tc>
        <w:tc>
          <w:tcPr>
            <w:tcW w:w="0" w:type="auto"/>
            <w:shd w:val="clear" w:color="auto" w:fill="FFFFFF"/>
            <w:tcMar>
              <w:top w:w="40" w:type="dxa"/>
              <w:left w:w="0" w:type="dxa"/>
              <w:bottom w:w="40" w:type="dxa"/>
              <w:right w:w="20" w:type="dxa"/>
            </w:tcMar>
            <w:vAlign w:val="bottom"/>
          </w:tcPr>
          <w:p w14:paraId="642989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95"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9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97" w14:textId="77777777" w:rsidR="007B6C97" w:rsidRDefault="00E426D1">
            <w:pPr>
              <w:jc w:val="right"/>
              <w:textAlignment w:val="bottom"/>
            </w:pPr>
            <w:r>
              <w:rPr>
                <w:rFonts w:ascii="Times New Roman" w:eastAsia="宋体" w:hAnsi="Times New Roman"/>
                <w:color w:val="000000"/>
                <w:sz w:val="20"/>
                <w:szCs w:val="20"/>
              </w:rPr>
              <w:t>479.7 </w:t>
            </w:r>
          </w:p>
        </w:tc>
        <w:tc>
          <w:tcPr>
            <w:tcW w:w="0" w:type="auto"/>
            <w:shd w:val="clear" w:color="auto" w:fill="FFFFFF"/>
            <w:tcMar>
              <w:top w:w="40" w:type="dxa"/>
              <w:left w:w="0" w:type="dxa"/>
              <w:bottom w:w="40" w:type="dxa"/>
              <w:right w:w="20" w:type="dxa"/>
            </w:tcMar>
            <w:vAlign w:val="bottom"/>
          </w:tcPr>
          <w:p w14:paraId="6429899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9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9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9B" w14:textId="77777777" w:rsidR="007B6C97" w:rsidRDefault="00E426D1">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6429899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9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9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9F" w14:textId="77777777" w:rsidR="007B6C97" w:rsidRDefault="00E426D1">
            <w:pPr>
              <w:jc w:val="right"/>
              <w:textAlignment w:val="bottom"/>
            </w:pPr>
            <w:r>
              <w:rPr>
                <w:rFonts w:ascii="Times New Roman" w:eastAsia="宋体" w:hAnsi="Times New Roman"/>
                <w:color w:val="000000"/>
                <w:sz w:val="20"/>
                <w:szCs w:val="20"/>
              </w:rPr>
              <w:t>8,150.1 </w:t>
            </w:r>
          </w:p>
        </w:tc>
        <w:tc>
          <w:tcPr>
            <w:tcW w:w="0" w:type="auto"/>
            <w:shd w:val="clear" w:color="auto" w:fill="FFFFFF"/>
            <w:tcMar>
              <w:top w:w="40" w:type="dxa"/>
              <w:left w:w="0" w:type="dxa"/>
              <w:bottom w:w="40" w:type="dxa"/>
              <w:right w:w="20" w:type="dxa"/>
            </w:tcMar>
            <w:vAlign w:val="bottom"/>
          </w:tcPr>
          <w:p w14:paraId="642989A0" w14:textId="77777777" w:rsidR="007B6C97" w:rsidRDefault="007B6C97">
            <w:pPr>
              <w:jc w:val="right"/>
              <w:rPr>
                <w:rFonts w:ascii="宋体"/>
              </w:rPr>
            </w:pPr>
          </w:p>
        </w:tc>
      </w:tr>
      <w:tr w:rsidR="007B6C97" w14:paraId="642989B1" w14:textId="77777777">
        <w:tc>
          <w:tcPr>
            <w:tcW w:w="0" w:type="auto"/>
            <w:gridSpan w:val="3"/>
            <w:shd w:val="clear" w:color="auto" w:fill="D7E4BC"/>
            <w:tcMar>
              <w:top w:w="40" w:type="dxa"/>
              <w:left w:w="20" w:type="dxa"/>
              <w:bottom w:w="40" w:type="dxa"/>
              <w:right w:w="20" w:type="dxa"/>
            </w:tcMar>
          </w:tcPr>
          <w:p w14:paraId="642989A2"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89A3" w14:textId="77777777" w:rsidR="007B6C97" w:rsidRDefault="00E426D1">
            <w:pPr>
              <w:jc w:val="right"/>
              <w:textAlignment w:val="bottom"/>
            </w:pPr>
            <w:r>
              <w:rPr>
                <w:rFonts w:ascii="Times New Roman" w:eastAsia="宋体" w:hAnsi="Times New Roman"/>
                <w:color w:val="000000"/>
                <w:sz w:val="20"/>
                <w:szCs w:val="20"/>
              </w:rPr>
              <w:t>201.2 </w:t>
            </w:r>
          </w:p>
        </w:tc>
        <w:tc>
          <w:tcPr>
            <w:tcW w:w="0" w:type="auto"/>
            <w:shd w:val="clear" w:color="auto" w:fill="D7E4BC"/>
            <w:tcMar>
              <w:top w:w="40" w:type="dxa"/>
              <w:left w:w="0" w:type="dxa"/>
              <w:bottom w:w="40" w:type="dxa"/>
              <w:right w:w="20" w:type="dxa"/>
            </w:tcMar>
            <w:vAlign w:val="bottom"/>
          </w:tcPr>
          <w:p w14:paraId="642989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A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A6" w14:textId="77777777" w:rsidR="007B6C97" w:rsidRDefault="00E426D1">
            <w:pPr>
              <w:jc w:val="right"/>
              <w:textAlignment w:val="bottom"/>
            </w:pPr>
            <w:r>
              <w:rPr>
                <w:rFonts w:ascii="Times New Roman" w:eastAsia="宋体" w:hAnsi="Times New Roman"/>
                <w:color w:val="000000"/>
                <w:sz w:val="20"/>
                <w:szCs w:val="20"/>
              </w:rPr>
              <w:t>125.0 </w:t>
            </w:r>
          </w:p>
        </w:tc>
        <w:tc>
          <w:tcPr>
            <w:tcW w:w="0" w:type="auto"/>
            <w:shd w:val="clear" w:color="auto" w:fill="D7E4BC"/>
            <w:tcMar>
              <w:top w:w="40" w:type="dxa"/>
              <w:left w:w="0" w:type="dxa"/>
              <w:bottom w:w="40" w:type="dxa"/>
              <w:right w:w="20" w:type="dxa"/>
            </w:tcMar>
            <w:vAlign w:val="bottom"/>
          </w:tcPr>
          <w:p w14:paraId="642989A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A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A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9A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A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AC" w14:textId="77777777" w:rsidR="007B6C97" w:rsidRDefault="00E426D1">
            <w:pPr>
              <w:jc w:val="right"/>
              <w:textAlignment w:val="bottom"/>
            </w:pPr>
            <w:r>
              <w:rPr>
                <w:rFonts w:ascii="Times New Roman" w:eastAsia="宋体" w:hAnsi="Times New Roman"/>
                <w:color w:val="000000"/>
                <w:sz w:val="20"/>
                <w:szCs w:val="20"/>
              </w:rPr>
              <w:t>30.6 </w:t>
            </w:r>
          </w:p>
        </w:tc>
        <w:tc>
          <w:tcPr>
            <w:tcW w:w="0" w:type="auto"/>
            <w:shd w:val="clear" w:color="auto" w:fill="D7E4BC"/>
            <w:tcMar>
              <w:top w:w="40" w:type="dxa"/>
              <w:left w:w="0" w:type="dxa"/>
              <w:bottom w:w="40" w:type="dxa"/>
              <w:right w:w="20" w:type="dxa"/>
            </w:tcMar>
            <w:vAlign w:val="bottom"/>
          </w:tcPr>
          <w:p w14:paraId="642989A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A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AF" w14:textId="77777777" w:rsidR="007B6C97" w:rsidRDefault="00E426D1">
            <w:pPr>
              <w:jc w:val="right"/>
              <w:textAlignment w:val="bottom"/>
            </w:pPr>
            <w:r>
              <w:rPr>
                <w:rFonts w:ascii="Times New Roman" w:eastAsia="宋体" w:hAnsi="Times New Roman"/>
                <w:color w:val="000000"/>
                <w:sz w:val="20"/>
                <w:szCs w:val="20"/>
              </w:rPr>
              <w:t>356.8 </w:t>
            </w:r>
          </w:p>
        </w:tc>
        <w:tc>
          <w:tcPr>
            <w:tcW w:w="0" w:type="auto"/>
            <w:shd w:val="clear" w:color="auto" w:fill="D7E4BC"/>
            <w:tcMar>
              <w:top w:w="40" w:type="dxa"/>
              <w:left w:w="0" w:type="dxa"/>
              <w:bottom w:w="40" w:type="dxa"/>
              <w:right w:w="20" w:type="dxa"/>
            </w:tcMar>
            <w:vAlign w:val="bottom"/>
          </w:tcPr>
          <w:p w14:paraId="642989B0" w14:textId="77777777" w:rsidR="007B6C97" w:rsidRDefault="007B6C97">
            <w:pPr>
              <w:jc w:val="right"/>
              <w:rPr>
                <w:rFonts w:ascii="宋体"/>
              </w:rPr>
            </w:pPr>
          </w:p>
        </w:tc>
      </w:tr>
      <w:tr w:rsidR="007B6C97" w14:paraId="642989C1" w14:textId="77777777">
        <w:tc>
          <w:tcPr>
            <w:tcW w:w="0" w:type="auto"/>
            <w:gridSpan w:val="3"/>
            <w:shd w:val="clear" w:color="auto" w:fill="FFFFFF"/>
            <w:tcMar>
              <w:top w:w="40" w:type="dxa"/>
              <w:left w:w="20" w:type="dxa"/>
              <w:bottom w:w="40" w:type="dxa"/>
              <w:right w:w="20" w:type="dxa"/>
            </w:tcMar>
          </w:tcPr>
          <w:p w14:paraId="642989B2"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89B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9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B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B6" w14:textId="77777777" w:rsidR="007B6C97" w:rsidRDefault="00E426D1">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642989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B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B9" w14:textId="77777777" w:rsidR="007B6C97" w:rsidRDefault="00E426D1">
            <w:pPr>
              <w:jc w:val="right"/>
              <w:textAlignment w:val="bottom"/>
            </w:pPr>
            <w:r>
              <w:rPr>
                <w:rFonts w:ascii="Times New Roman" w:eastAsia="宋体" w:hAnsi="Times New Roman"/>
                <w:color w:val="000000"/>
                <w:sz w:val="20"/>
                <w:szCs w:val="20"/>
              </w:rPr>
              <w:t>53.7 </w:t>
            </w:r>
          </w:p>
        </w:tc>
        <w:tc>
          <w:tcPr>
            <w:tcW w:w="0" w:type="auto"/>
            <w:shd w:val="clear" w:color="auto" w:fill="FFFFFF"/>
            <w:tcMar>
              <w:top w:w="40" w:type="dxa"/>
              <w:left w:w="0" w:type="dxa"/>
              <w:bottom w:w="40" w:type="dxa"/>
              <w:right w:w="20" w:type="dxa"/>
            </w:tcMar>
            <w:vAlign w:val="bottom"/>
          </w:tcPr>
          <w:p w14:paraId="642989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B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B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9B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B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9BF" w14:textId="77777777" w:rsidR="007B6C97" w:rsidRDefault="00E426D1">
            <w:pPr>
              <w:jc w:val="right"/>
              <w:textAlignment w:val="bottom"/>
            </w:pPr>
            <w:r>
              <w:rPr>
                <w:rFonts w:ascii="Times New Roman" w:eastAsia="宋体" w:hAnsi="Times New Roman"/>
                <w:color w:val="000000"/>
                <w:sz w:val="20"/>
                <w:szCs w:val="20"/>
              </w:rPr>
              <w:t>54.1 </w:t>
            </w:r>
          </w:p>
        </w:tc>
        <w:tc>
          <w:tcPr>
            <w:tcW w:w="0" w:type="auto"/>
            <w:shd w:val="clear" w:color="auto" w:fill="FFFFFF"/>
            <w:tcMar>
              <w:top w:w="40" w:type="dxa"/>
              <w:left w:w="0" w:type="dxa"/>
              <w:bottom w:w="40" w:type="dxa"/>
              <w:right w:w="20" w:type="dxa"/>
            </w:tcMar>
            <w:vAlign w:val="bottom"/>
          </w:tcPr>
          <w:p w14:paraId="642989C0" w14:textId="77777777" w:rsidR="007B6C97" w:rsidRDefault="007B6C97">
            <w:pPr>
              <w:jc w:val="right"/>
              <w:rPr>
                <w:rFonts w:ascii="宋体"/>
              </w:rPr>
            </w:pPr>
          </w:p>
        </w:tc>
      </w:tr>
      <w:tr w:rsidR="007B6C97" w14:paraId="642989D1" w14:textId="77777777">
        <w:tc>
          <w:tcPr>
            <w:tcW w:w="0" w:type="auto"/>
            <w:gridSpan w:val="3"/>
            <w:shd w:val="clear" w:color="auto" w:fill="D7E4BC"/>
            <w:tcMar>
              <w:top w:w="40" w:type="dxa"/>
              <w:left w:w="20" w:type="dxa"/>
              <w:bottom w:w="40" w:type="dxa"/>
              <w:right w:w="20" w:type="dxa"/>
            </w:tcMar>
          </w:tcPr>
          <w:p w14:paraId="642989C2" w14:textId="77777777" w:rsidR="007B6C97" w:rsidRDefault="00E426D1">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42989C3" w14:textId="77777777" w:rsidR="007B6C97" w:rsidRDefault="00E426D1">
            <w:pPr>
              <w:jc w:val="right"/>
              <w:textAlignment w:val="bottom"/>
            </w:pPr>
            <w:r>
              <w:rPr>
                <w:rFonts w:ascii="Times New Roman" w:eastAsia="宋体" w:hAnsi="Times New Roman"/>
                <w:color w:val="000000"/>
                <w:sz w:val="20"/>
                <w:szCs w:val="20"/>
              </w:rPr>
              <w:t>1,330.1 </w:t>
            </w:r>
          </w:p>
        </w:tc>
        <w:tc>
          <w:tcPr>
            <w:tcW w:w="0" w:type="auto"/>
            <w:shd w:val="clear" w:color="auto" w:fill="D7E4BC"/>
            <w:tcMar>
              <w:top w:w="40" w:type="dxa"/>
              <w:left w:w="0" w:type="dxa"/>
              <w:bottom w:w="40" w:type="dxa"/>
              <w:right w:w="20" w:type="dxa"/>
            </w:tcMar>
            <w:vAlign w:val="bottom"/>
          </w:tcPr>
          <w:p w14:paraId="642989C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C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C6" w14:textId="77777777" w:rsidR="007B6C97" w:rsidRDefault="00E426D1">
            <w:pPr>
              <w:jc w:val="right"/>
              <w:textAlignment w:val="bottom"/>
            </w:pPr>
            <w:r>
              <w:rPr>
                <w:rFonts w:ascii="Times New Roman" w:eastAsia="宋体" w:hAnsi="Times New Roman"/>
                <w:color w:val="000000"/>
                <w:sz w:val="20"/>
                <w:szCs w:val="20"/>
              </w:rPr>
              <w:t>135.3 </w:t>
            </w:r>
          </w:p>
        </w:tc>
        <w:tc>
          <w:tcPr>
            <w:tcW w:w="0" w:type="auto"/>
            <w:shd w:val="clear" w:color="auto" w:fill="D7E4BC"/>
            <w:tcMar>
              <w:top w:w="40" w:type="dxa"/>
              <w:left w:w="0" w:type="dxa"/>
              <w:bottom w:w="40" w:type="dxa"/>
              <w:right w:w="20" w:type="dxa"/>
            </w:tcMar>
            <w:vAlign w:val="bottom"/>
          </w:tcPr>
          <w:p w14:paraId="642989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C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C9" w14:textId="77777777" w:rsidR="007B6C97" w:rsidRDefault="00E426D1">
            <w:pPr>
              <w:jc w:val="right"/>
              <w:textAlignment w:val="bottom"/>
            </w:pPr>
            <w:r>
              <w:rPr>
                <w:rFonts w:ascii="Times New Roman" w:eastAsia="宋体" w:hAnsi="Times New Roman"/>
                <w:color w:val="000000"/>
                <w:sz w:val="20"/>
                <w:szCs w:val="20"/>
              </w:rPr>
              <w:t>191.7 </w:t>
            </w:r>
          </w:p>
        </w:tc>
        <w:tc>
          <w:tcPr>
            <w:tcW w:w="0" w:type="auto"/>
            <w:shd w:val="clear" w:color="auto" w:fill="D7E4BC"/>
            <w:tcMar>
              <w:top w:w="40" w:type="dxa"/>
              <w:left w:w="0" w:type="dxa"/>
              <w:bottom w:w="40" w:type="dxa"/>
              <w:right w:w="20" w:type="dxa"/>
            </w:tcMar>
            <w:vAlign w:val="bottom"/>
          </w:tcPr>
          <w:p w14:paraId="642989C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C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CC" w14:textId="77777777" w:rsidR="007B6C97" w:rsidRDefault="00E426D1">
            <w:pPr>
              <w:jc w:val="right"/>
              <w:textAlignment w:val="bottom"/>
            </w:pPr>
            <w:r>
              <w:rPr>
                <w:rFonts w:ascii="Times New Roman" w:eastAsia="宋体" w:hAnsi="Times New Roman"/>
                <w:color w:val="000000"/>
                <w:sz w:val="20"/>
                <w:szCs w:val="20"/>
              </w:rPr>
              <w:t>(361.6)</w:t>
            </w:r>
          </w:p>
        </w:tc>
        <w:tc>
          <w:tcPr>
            <w:tcW w:w="0" w:type="auto"/>
            <w:shd w:val="clear" w:color="auto" w:fill="D7E4BC"/>
            <w:tcMar>
              <w:top w:w="40" w:type="dxa"/>
              <w:left w:w="0" w:type="dxa"/>
              <w:bottom w:w="40" w:type="dxa"/>
              <w:right w:w="20" w:type="dxa"/>
            </w:tcMar>
            <w:vAlign w:val="bottom"/>
          </w:tcPr>
          <w:p w14:paraId="642989C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9C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9CF" w14:textId="77777777" w:rsidR="007B6C97" w:rsidRDefault="00E426D1">
            <w:pPr>
              <w:jc w:val="right"/>
              <w:textAlignment w:val="bottom"/>
            </w:pPr>
            <w:r>
              <w:rPr>
                <w:rFonts w:ascii="Times New Roman" w:eastAsia="宋体" w:hAnsi="Times New Roman"/>
                <w:color w:val="000000"/>
                <w:sz w:val="20"/>
                <w:szCs w:val="20"/>
              </w:rPr>
              <w:t>1,295.5 </w:t>
            </w:r>
          </w:p>
        </w:tc>
        <w:tc>
          <w:tcPr>
            <w:tcW w:w="0" w:type="auto"/>
            <w:shd w:val="clear" w:color="auto" w:fill="D7E4BC"/>
            <w:tcMar>
              <w:top w:w="40" w:type="dxa"/>
              <w:left w:w="0" w:type="dxa"/>
              <w:bottom w:w="40" w:type="dxa"/>
              <w:right w:w="20" w:type="dxa"/>
            </w:tcMar>
            <w:vAlign w:val="bottom"/>
          </w:tcPr>
          <w:p w14:paraId="642989D0" w14:textId="77777777" w:rsidR="007B6C97" w:rsidRDefault="007B6C97">
            <w:pPr>
              <w:jc w:val="right"/>
              <w:rPr>
                <w:rFonts w:ascii="宋体"/>
              </w:rPr>
            </w:pPr>
          </w:p>
        </w:tc>
      </w:tr>
      <w:tr w:rsidR="007B6C97" w14:paraId="642989DC" w14:textId="77777777">
        <w:trPr>
          <w:trHeight w:val="280"/>
        </w:trPr>
        <w:tc>
          <w:tcPr>
            <w:tcW w:w="0" w:type="auto"/>
            <w:gridSpan w:val="3"/>
            <w:shd w:val="clear" w:color="auto" w:fill="FFFFFF"/>
            <w:tcMar>
              <w:top w:w="0" w:type="dxa"/>
              <w:left w:w="20" w:type="dxa"/>
              <w:bottom w:w="0" w:type="dxa"/>
              <w:right w:w="20" w:type="dxa"/>
            </w:tcMar>
            <w:vAlign w:val="bottom"/>
          </w:tcPr>
          <w:p w14:paraId="642989D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9DB" w14:textId="77777777" w:rsidR="007B6C97" w:rsidRDefault="007B6C97">
            <w:pPr>
              <w:rPr>
                <w:rFonts w:ascii="宋体"/>
              </w:rPr>
            </w:pPr>
          </w:p>
        </w:tc>
      </w:tr>
      <w:tr w:rsidR="007B6C97" w14:paraId="642989E7" w14:textId="77777777">
        <w:tc>
          <w:tcPr>
            <w:tcW w:w="0" w:type="auto"/>
            <w:gridSpan w:val="3"/>
            <w:shd w:val="clear" w:color="auto" w:fill="D7E4BC"/>
            <w:tcMar>
              <w:top w:w="40" w:type="dxa"/>
              <w:left w:w="20" w:type="dxa"/>
              <w:bottom w:w="40" w:type="dxa"/>
              <w:right w:w="20" w:type="dxa"/>
            </w:tcMar>
          </w:tcPr>
          <w:p w14:paraId="642989DD" w14:textId="77777777" w:rsidR="007B6C97" w:rsidRDefault="00E426D1">
            <w:pPr>
              <w:textAlignment w:val="top"/>
            </w:pPr>
            <w:r>
              <w:rPr>
                <w:rFonts w:ascii="Times New Roman" w:eastAsia="宋体" w:hAnsi="Times New Roman"/>
                <w:i/>
                <w:iCs/>
                <w:color w:val="000000"/>
                <w:sz w:val="20"/>
                <w:szCs w:val="20"/>
              </w:rPr>
              <w:t>June 27, 2021</w:t>
            </w:r>
          </w:p>
        </w:tc>
        <w:tc>
          <w:tcPr>
            <w:tcW w:w="0" w:type="auto"/>
            <w:gridSpan w:val="3"/>
            <w:shd w:val="clear" w:color="auto" w:fill="D7E4BC"/>
            <w:tcMar>
              <w:top w:w="0" w:type="dxa"/>
              <w:left w:w="20" w:type="dxa"/>
              <w:bottom w:w="0" w:type="dxa"/>
              <w:right w:w="20" w:type="dxa"/>
            </w:tcMar>
            <w:vAlign w:val="bottom"/>
          </w:tcPr>
          <w:p w14:paraId="642989D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D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9E6" w14:textId="77777777" w:rsidR="007B6C97" w:rsidRDefault="007B6C97">
            <w:pPr>
              <w:rPr>
                <w:rFonts w:ascii="宋体"/>
              </w:rPr>
            </w:pPr>
          </w:p>
        </w:tc>
      </w:tr>
      <w:tr w:rsidR="007B6C97" w14:paraId="642989FC" w14:textId="77777777">
        <w:tc>
          <w:tcPr>
            <w:tcW w:w="0" w:type="auto"/>
            <w:gridSpan w:val="3"/>
            <w:shd w:val="clear" w:color="auto" w:fill="FFFFFF"/>
            <w:tcMar>
              <w:top w:w="40" w:type="dxa"/>
              <w:left w:w="20" w:type="dxa"/>
              <w:bottom w:w="40" w:type="dxa"/>
              <w:right w:w="20" w:type="dxa"/>
            </w:tcMar>
          </w:tcPr>
          <w:p w14:paraId="642989E8" w14:textId="77777777" w:rsidR="007B6C97" w:rsidRDefault="00E426D1">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42989E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EA" w14:textId="77777777" w:rsidR="007B6C97" w:rsidRDefault="00E426D1">
            <w:pPr>
              <w:jc w:val="right"/>
              <w:textAlignment w:val="bottom"/>
            </w:pPr>
            <w:r>
              <w:rPr>
                <w:rFonts w:ascii="Times New Roman" w:eastAsia="宋体" w:hAnsi="Times New Roman"/>
                <w:color w:val="000000"/>
                <w:sz w:val="20"/>
                <w:szCs w:val="20"/>
              </w:rPr>
              <w:t>5,370.7 </w:t>
            </w:r>
          </w:p>
        </w:tc>
        <w:tc>
          <w:tcPr>
            <w:tcW w:w="0" w:type="auto"/>
            <w:shd w:val="clear" w:color="auto" w:fill="FFFFFF"/>
            <w:tcMar>
              <w:top w:w="40" w:type="dxa"/>
              <w:left w:w="0" w:type="dxa"/>
              <w:bottom w:w="40" w:type="dxa"/>
              <w:right w:w="20" w:type="dxa"/>
            </w:tcMar>
            <w:vAlign w:val="bottom"/>
          </w:tcPr>
          <w:p w14:paraId="642989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E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E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EE" w14:textId="77777777" w:rsidR="007B6C97" w:rsidRDefault="00E426D1">
            <w:pPr>
              <w:jc w:val="right"/>
              <w:textAlignment w:val="bottom"/>
            </w:pPr>
            <w:r>
              <w:rPr>
                <w:rFonts w:ascii="Times New Roman" w:eastAsia="宋体" w:hAnsi="Times New Roman"/>
                <w:color w:val="000000"/>
                <w:sz w:val="20"/>
                <w:szCs w:val="20"/>
              </w:rPr>
              <w:t>1,688.0 </w:t>
            </w:r>
          </w:p>
        </w:tc>
        <w:tc>
          <w:tcPr>
            <w:tcW w:w="0" w:type="auto"/>
            <w:shd w:val="clear" w:color="auto" w:fill="FFFFFF"/>
            <w:tcMar>
              <w:top w:w="40" w:type="dxa"/>
              <w:left w:w="0" w:type="dxa"/>
              <w:bottom w:w="40" w:type="dxa"/>
              <w:right w:w="20" w:type="dxa"/>
            </w:tcMar>
            <w:vAlign w:val="bottom"/>
          </w:tcPr>
          <w:p w14:paraId="642989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F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F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F2" w14:textId="77777777" w:rsidR="007B6C97" w:rsidRDefault="00E426D1">
            <w:pPr>
              <w:jc w:val="right"/>
              <w:textAlignment w:val="bottom"/>
            </w:pPr>
            <w:r>
              <w:rPr>
                <w:rFonts w:ascii="Times New Roman" w:eastAsia="宋体" w:hAnsi="Times New Roman"/>
                <w:color w:val="000000"/>
                <w:sz w:val="20"/>
                <w:szCs w:val="20"/>
              </w:rPr>
              <w:t>414.0 </w:t>
            </w:r>
          </w:p>
        </w:tc>
        <w:tc>
          <w:tcPr>
            <w:tcW w:w="0" w:type="auto"/>
            <w:shd w:val="clear" w:color="auto" w:fill="FFFFFF"/>
            <w:tcMar>
              <w:top w:w="40" w:type="dxa"/>
              <w:left w:w="0" w:type="dxa"/>
              <w:bottom w:w="40" w:type="dxa"/>
              <w:right w:w="20" w:type="dxa"/>
            </w:tcMar>
            <w:vAlign w:val="bottom"/>
          </w:tcPr>
          <w:p w14:paraId="642989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F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F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F6" w14:textId="77777777" w:rsidR="007B6C97" w:rsidRDefault="00E426D1">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642989F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9F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9F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9FA" w14:textId="77777777" w:rsidR="007B6C97" w:rsidRDefault="00E426D1">
            <w:pPr>
              <w:jc w:val="right"/>
              <w:textAlignment w:val="bottom"/>
            </w:pPr>
            <w:r>
              <w:rPr>
                <w:rFonts w:ascii="Times New Roman" w:eastAsia="宋体" w:hAnsi="Times New Roman"/>
                <w:color w:val="000000"/>
                <w:sz w:val="20"/>
                <w:szCs w:val="20"/>
              </w:rPr>
              <w:t>7,496.5 </w:t>
            </w:r>
          </w:p>
        </w:tc>
        <w:tc>
          <w:tcPr>
            <w:tcW w:w="0" w:type="auto"/>
            <w:shd w:val="clear" w:color="auto" w:fill="FFFFFF"/>
            <w:tcMar>
              <w:top w:w="40" w:type="dxa"/>
              <w:left w:w="0" w:type="dxa"/>
              <w:bottom w:w="40" w:type="dxa"/>
              <w:right w:w="20" w:type="dxa"/>
            </w:tcMar>
            <w:vAlign w:val="bottom"/>
          </w:tcPr>
          <w:p w14:paraId="642989FB" w14:textId="77777777" w:rsidR="007B6C97" w:rsidRDefault="007B6C97">
            <w:pPr>
              <w:jc w:val="right"/>
              <w:rPr>
                <w:rFonts w:ascii="宋体"/>
              </w:rPr>
            </w:pPr>
          </w:p>
        </w:tc>
      </w:tr>
      <w:tr w:rsidR="007B6C97" w14:paraId="64298A0C" w14:textId="77777777">
        <w:tc>
          <w:tcPr>
            <w:tcW w:w="0" w:type="auto"/>
            <w:gridSpan w:val="3"/>
            <w:shd w:val="clear" w:color="auto" w:fill="D7E4BC"/>
            <w:tcMar>
              <w:top w:w="40" w:type="dxa"/>
              <w:left w:w="20" w:type="dxa"/>
              <w:bottom w:w="40" w:type="dxa"/>
              <w:right w:w="20" w:type="dxa"/>
            </w:tcMar>
          </w:tcPr>
          <w:p w14:paraId="642989FD"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89FE" w14:textId="77777777" w:rsidR="007B6C97" w:rsidRDefault="00E426D1">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642989F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0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01" w14:textId="77777777" w:rsidR="007B6C97" w:rsidRDefault="00E426D1">
            <w:pPr>
              <w:jc w:val="right"/>
              <w:textAlignment w:val="bottom"/>
            </w:pPr>
            <w:r>
              <w:rPr>
                <w:rFonts w:ascii="Times New Roman" w:eastAsia="宋体" w:hAnsi="Times New Roman"/>
                <w:color w:val="000000"/>
                <w:sz w:val="20"/>
                <w:szCs w:val="20"/>
              </w:rPr>
              <w:t>129.7 </w:t>
            </w:r>
          </w:p>
        </w:tc>
        <w:tc>
          <w:tcPr>
            <w:tcW w:w="0" w:type="auto"/>
            <w:shd w:val="clear" w:color="auto" w:fill="D7E4BC"/>
            <w:tcMar>
              <w:top w:w="40" w:type="dxa"/>
              <w:left w:w="0" w:type="dxa"/>
              <w:bottom w:w="40" w:type="dxa"/>
              <w:right w:w="20" w:type="dxa"/>
            </w:tcMar>
            <w:vAlign w:val="bottom"/>
          </w:tcPr>
          <w:p w14:paraId="64298A0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0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04"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8A0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0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07" w14:textId="77777777" w:rsidR="007B6C97" w:rsidRDefault="00E426D1">
            <w:pPr>
              <w:jc w:val="right"/>
              <w:textAlignment w:val="bottom"/>
            </w:pPr>
            <w:r>
              <w:rPr>
                <w:rFonts w:ascii="Times New Roman" w:eastAsia="宋体" w:hAnsi="Times New Roman"/>
                <w:color w:val="000000"/>
                <w:sz w:val="20"/>
                <w:szCs w:val="20"/>
              </w:rPr>
              <w:t>35.5 </w:t>
            </w:r>
          </w:p>
        </w:tc>
        <w:tc>
          <w:tcPr>
            <w:tcW w:w="0" w:type="auto"/>
            <w:shd w:val="clear" w:color="auto" w:fill="D7E4BC"/>
            <w:tcMar>
              <w:top w:w="40" w:type="dxa"/>
              <w:left w:w="0" w:type="dxa"/>
              <w:bottom w:w="40" w:type="dxa"/>
              <w:right w:w="20" w:type="dxa"/>
            </w:tcMar>
            <w:vAlign w:val="bottom"/>
          </w:tcPr>
          <w:p w14:paraId="64298A0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0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0A" w14:textId="77777777" w:rsidR="007B6C97" w:rsidRDefault="00E426D1">
            <w:pPr>
              <w:jc w:val="right"/>
              <w:textAlignment w:val="bottom"/>
            </w:pPr>
            <w:r>
              <w:rPr>
                <w:rFonts w:ascii="Times New Roman" w:eastAsia="宋体" w:hAnsi="Times New Roman"/>
                <w:color w:val="000000"/>
                <w:sz w:val="20"/>
                <w:szCs w:val="20"/>
              </w:rPr>
              <w:t>354.3 </w:t>
            </w:r>
          </w:p>
        </w:tc>
        <w:tc>
          <w:tcPr>
            <w:tcW w:w="0" w:type="auto"/>
            <w:shd w:val="clear" w:color="auto" w:fill="D7E4BC"/>
            <w:tcMar>
              <w:top w:w="40" w:type="dxa"/>
              <w:left w:w="0" w:type="dxa"/>
              <w:bottom w:w="40" w:type="dxa"/>
              <w:right w:w="20" w:type="dxa"/>
            </w:tcMar>
            <w:vAlign w:val="bottom"/>
          </w:tcPr>
          <w:p w14:paraId="64298A0B" w14:textId="77777777" w:rsidR="007B6C97" w:rsidRDefault="007B6C97">
            <w:pPr>
              <w:jc w:val="right"/>
              <w:rPr>
                <w:rFonts w:ascii="宋体"/>
              </w:rPr>
            </w:pPr>
          </w:p>
        </w:tc>
      </w:tr>
      <w:tr w:rsidR="007B6C97" w14:paraId="64298A1C" w14:textId="77777777">
        <w:tc>
          <w:tcPr>
            <w:tcW w:w="0" w:type="auto"/>
            <w:gridSpan w:val="3"/>
            <w:shd w:val="clear" w:color="auto" w:fill="FFFFFF"/>
            <w:tcMar>
              <w:top w:w="40" w:type="dxa"/>
              <w:left w:w="20" w:type="dxa"/>
              <w:bottom w:w="40" w:type="dxa"/>
              <w:right w:w="20" w:type="dxa"/>
            </w:tcMar>
          </w:tcPr>
          <w:p w14:paraId="64298A0D"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8A0E"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A0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1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11" w14:textId="77777777" w:rsidR="007B6C97" w:rsidRDefault="00E426D1">
            <w:pPr>
              <w:jc w:val="right"/>
              <w:textAlignment w:val="bottom"/>
            </w:pPr>
            <w:r>
              <w:rPr>
                <w:rFonts w:ascii="Times New Roman" w:eastAsia="宋体" w:hAnsi="Times New Roman"/>
                <w:color w:val="000000"/>
                <w:sz w:val="20"/>
                <w:szCs w:val="20"/>
              </w:rPr>
              <w:t>42.0 </w:t>
            </w:r>
          </w:p>
        </w:tc>
        <w:tc>
          <w:tcPr>
            <w:tcW w:w="0" w:type="auto"/>
            <w:shd w:val="clear" w:color="auto" w:fill="FFFFFF"/>
            <w:tcMar>
              <w:top w:w="40" w:type="dxa"/>
              <w:left w:w="0" w:type="dxa"/>
              <w:bottom w:w="40" w:type="dxa"/>
              <w:right w:w="20" w:type="dxa"/>
            </w:tcMar>
            <w:vAlign w:val="bottom"/>
          </w:tcPr>
          <w:p w14:paraId="64298A1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1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14" w14:textId="77777777" w:rsidR="007B6C97" w:rsidRDefault="00E426D1">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64298A1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1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17" w14:textId="77777777" w:rsidR="007B6C97" w:rsidRDefault="00E426D1">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left w:w="0" w:type="dxa"/>
              <w:bottom w:w="40" w:type="dxa"/>
              <w:right w:w="20" w:type="dxa"/>
            </w:tcMar>
            <w:vAlign w:val="bottom"/>
          </w:tcPr>
          <w:p w14:paraId="64298A1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1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1A" w14:textId="77777777" w:rsidR="007B6C97" w:rsidRDefault="00E426D1">
            <w:pPr>
              <w:jc w:val="right"/>
              <w:textAlignment w:val="bottom"/>
            </w:pPr>
            <w:r>
              <w:rPr>
                <w:rFonts w:ascii="Times New Roman" w:eastAsia="宋体" w:hAnsi="Times New Roman"/>
                <w:color w:val="000000"/>
                <w:sz w:val="20"/>
                <w:szCs w:val="20"/>
              </w:rPr>
              <w:t>105.5 </w:t>
            </w:r>
          </w:p>
        </w:tc>
        <w:tc>
          <w:tcPr>
            <w:tcW w:w="0" w:type="auto"/>
            <w:shd w:val="clear" w:color="auto" w:fill="FFFFFF"/>
            <w:tcMar>
              <w:top w:w="40" w:type="dxa"/>
              <w:left w:w="0" w:type="dxa"/>
              <w:bottom w:w="40" w:type="dxa"/>
              <w:right w:w="20" w:type="dxa"/>
            </w:tcMar>
            <w:vAlign w:val="bottom"/>
          </w:tcPr>
          <w:p w14:paraId="64298A1B" w14:textId="77777777" w:rsidR="007B6C97" w:rsidRDefault="007B6C97">
            <w:pPr>
              <w:jc w:val="right"/>
              <w:rPr>
                <w:rFonts w:ascii="宋体"/>
              </w:rPr>
            </w:pPr>
          </w:p>
        </w:tc>
      </w:tr>
      <w:tr w:rsidR="007B6C97" w14:paraId="64298A2C" w14:textId="77777777">
        <w:tc>
          <w:tcPr>
            <w:tcW w:w="0" w:type="auto"/>
            <w:gridSpan w:val="3"/>
            <w:shd w:val="clear" w:color="auto" w:fill="D7E4BC"/>
            <w:tcMar>
              <w:top w:w="40" w:type="dxa"/>
              <w:left w:w="20" w:type="dxa"/>
              <w:bottom w:w="40" w:type="dxa"/>
              <w:right w:w="20" w:type="dxa"/>
            </w:tcMar>
          </w:tcPr>
          <w:p w14:paraId="64298A1D" w14:textId="77777777" w:rsidR="007B6C97" w:rsidRDefault="00E426D1">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4298A1E" w14:textId="77777777" w:rsidR="007B6C97" w:rsidRDefault="00E426D1">
            <w:pPr>
              <w:jc w:val="right"/>
              <w:textAlignment w:val="bottom"/>
            </w:pPr>
            <w:r>
              <w:rPr>
                <w:rFonts w:ascii="Times New Roman" w:eastAsia="宋体" w:hAnsi="Times New Roman"/>
                <w:color w:val="000000"/>
                <w:sz w:val="20"/>
                <w:szCs w:val="20"/>
              </w:rPr>
              <w:t>1,304.3 </w:t>
            </w:r>
          </w:p>
        </w:tc>
        <w:tc>
          <w:tcPr>
            <w:tcW w:w="0" w:type="auto"/>
            <w:shd w:val="clear" w:color="auto" w:fill="D7E4BC"/>
            <w:tcMar>
              <w:top w:w="40" w:type="dxa"/>
              <w:left w:w="0" w:type="dxa"/>
              <w:bottom w:w="40" w:type="dxa"/>
              <w:right w:w="20" w:type="dxa"/>
            </w:tcMar>
            <w:vAlign w:val="bottom"/>
          </w:tcPr>
          <w:p w14:paraId="64298A1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2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21" w14:textId="77777777" w:rsidR="007B6C97" w:rsidRDefault="00E426D1">
            <w:pPr>
              <w:jc w:val="right"/>
              <w:textAlignment w:val="bottom"/>
            </w:pPr>
            <w:r>
              <w:rPr>
                <w:rFonts w:ascii="Times New Roman" w:eastAsia="宋体" w:hAnsi="Times New Roman"/>
                <w:color w:val="000000"/>
                <w:sz w:val="20"/>
                <w:szCs w:val="20"/>
              </w:rPr>
              <w:t>327.3 </w:t>
            </w:r>
          </w:p>
        </w:tc>
        <w:tc>
          <w:tcPr>
            <w:tcW w:w="0" w:type="auto"/>
            <w:shd w:val="clear" w:color="auto" w:fill="D7E4BC"/>
            <w:tcMar>
              <w:top w:w="40" w:type="dxa"/>
              <w:left w:w="0" w:type="dxa"/>
              <w:bottom w:w="40" w:type="dxa"/>
              <w:right w:w="20" w:type="dxa"/>
            </w:tcMar>
            <w:vAlign w:val="bottom"/>
          </w:tcPr>
          <w:p w14:paraId="64298A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24" w14:textId="77777777" w:rsidR="007B6C97" w:rsidRDefault="00E426D1">
            <w:pPr>
              <w:jc w:val="right"/>
              <w:textAlignment w:val="bottom"/>
            </w:pPr>
            <w:r>
              <w:rPr>
                <w:rFonts w:ascii="Times New Roman" w:eastAsia="宋体" w:hAnsi="Times New Roman"/>
                <w:color w:val="000000"/>
                <w:sz w:val="20"/>
                <w:szCs w:val="20"/>
              </w:rPr>
              <w:t>216.0 </w:t>
            </w:r>
          </w:p>
        </w:tc>
        <w:tc>
          <w:tcPr>
            <w:tcW w:w="0" w:type="auto"/>
            <w:shd w:val="clear" w:color="auto" w:fill="D7E4BC"/>
            <w:tcMar>
              <w:top w:w="40" w:type="dxa"/>
              <w:left w:w="0" w:type="dxa"/>
              <w:bottom w:w="40" w:type="dxa"/>
              <w:right w:w="20" w:type="dxa"/>
            </w:tcMar>
            <w:vAlign w:val="bottom"/>
          </w:tcPr>
          <w:p w14:paraId="64298A2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2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27" w14:textId="77777777" w:rsidR="007B6C97" w:rsidRDefault="00E426D1">
            <w:pPr>
              <w:jc w:val="right"/>
              <w:textAlignment w:val="bottom"/>
            </w:pPr>
            <w:r>
              <w:rPr>
                <w:rFonts w:ascii="Times New Roman" w:eastAsia="宋体" w:hAnsi="Times New Roman"/>
                <w:color w:val="000000"/>
                <w:sz w:val="20"/>
                <w:szCs w:val="20"/>
              </w:rPr>
              <w:t>(358.9)</w:t>
            </w:r>
          </w:p>
        </w:tc>
        <w:tc>
          <w:tcPr>
            <w:tcW w:w="0" w:type="auto"/>
            <w:shd w:val="clear" w:color="auto" w:fill="D7E4BC"/>
            <w:tcMar>
              <w:top w:w="40" w:type="dxa"/>
              <w:left w:w="0" w:type="dxa"/>
              <w:bottom w:w="40" w:type="dxa"/>
              <w:right w:w="20" w:type="dxa"/>
            </w:tcMar>
            <w:vAlign w:val="bottom"/>
          </w:tcPr>
          <w:p w14:paraId="64298A2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2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2A" w14:textId="77777777" w:rsidR="007B6C97" w:rsidRDefault="00E426D1">
            <w:pPr>
              <w:jc w:val="right"/>
              <w:textAlignment w:val="bottom"/>
            </w:pPr>
            <w:r>
              <w:rPr>
                <w:rFonts w:ascii="Times New Roman" w:eastAsia="宋体" w:hAnsi="Times New Roman"/>
                <w:color w:val="000000"/>
                <w:sz w:val="20"/>
                <w:szCs w:val="20"/>
              </w:rPr>
              <w:t>1,488.7 </w:t>
            </w:r>
          </w:p>
        </w:tc>
        <w:tc>
          <w:tcPr>
            <w:tcW w:w="0" w:type="auto"/>
            <w:shd w:val="clear" w:color="auto" w:fill="D7E4BC"/>
            <w:tcMar>
              <w:top w:w="40" w:type="dxa"/>
              <w:left w:w="0" w:type="dxa"/>
              <w:bottom w:w="40" w:type="dxa"/>
              <w:right w:w="20" w:type="dxa"/>
            </w:tcMar>
            <w:vAlign w:val="bottom"/>
          </w:tcPr>
          <w:p w14:paraId="64298A2B" w14:textId="77777777" w:rsidR="007B6C97" w:rsidRDefault="007B6C97">
            <w:pPr>
              <w:jc w:val="right"/>
              <w:rPr>
                <w:rFonts w:ascii="宋体"/>
              </w:rPr>
            </w:pPr>
          </w:p>
        </w:tc>
      </w:tr>
      <w:tr w:rsidR="007B6C97" w14:paraId="64298A37" w14:textId="77777777">
        <w:trPr>
          <w:trHeight w:val="120"/>
        </w:trPr>
        <w:tc>
          <w:tcPr>
            <w:tcW w:w="0" w:type="auto"/>
            <w:gridSpan w:val="3"/>
            <w:shd w:val="clear" w:color="auto" w:fill="FFFFFF"/>
            <w:tcMar>
              <w:top w:w="0" w:type="dxa"/>
              <w:left w:w="20" w:type="dxa"/>
              <w:bottom w:w="0" w:type="dxa"/>
              <w:right w:w="20" w:type="dxa"/>
            </w:tcMar>
            <w:vAlign w:val="bottom"/>
          </w:tcPr>
          <w:p w14:paraId="64298A2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2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2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6" w14:textId="77777777" w:rsidR="007B6C97" w:rsidRDefault="007B6C97">
            <w:pPr>
              <w:rPr>
                <w:rFonts w:ascii="宋体"/>
              </w:rPr>
            </w:pPr>
          </w:p>
        </w:tc>
      </w:tr>
      <w:tr w:rsidR="007B6C97" w14:paraId="64298A42" w14:textId="77777777">
        <w:tc>
          <w:tcPr>
            <w:tcW w:w="0" w:type="auto"/>
            <w:gridSpan w:val="3"/>
            <w:shd w:val="clear" w:color="auto" w:fill="FFFFFF"/>
            <w:tcMar>
              <w:top w:w="40" w:type="dxa"/>
              <w:left w:w="20" w:type="dxa"/>
              <w:bottom w:w="40" w:type="dxa"/>
              <w:right w:w="20" w:type="dxa"/>
            </w:tcMar>
            <w:vAlign w:val="bottom"/>
          </w:tcPr>
          <w:p w14:paraId="64298A38" w14:textId="77777777" w:rsidR="007B6C97" w:rsidRDefault="00E426D1">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top w:w="0" w:type="dxa"/>
              <w:left w:w="20" w:type="dxa"/>
              <w:bottom w:w="0" w:type="dxa"/>
              <w:right w:w="20" w:type="dxa"/>
            </w:tcMar>
            <w:vAlign w:val="bottom"/>
          </w:tcPr>
          <w:p w14:paraId="64298A3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3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4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41" w14:textId="77777777" w:rsidR="007B6C97" w:rsidRDefault="007B6C97">
            <w:pPr>
              <w:rPr>
                <w:rFonts w:ascii="宋体"/>
              </w:rPr>
            </w:pPr>
          </w:p>
        </w:tc>
      </w:tr>
      <w:tr w:rsidR="007B6C97" w14:paraId="64298A4D" w14:textId="77777777">
        <w:tc>
          <w:tcPr>
            <w:tcW w:w="0" w:type="auto"/>
            <w:gridSpan w:val="3"/>
            <w:shd w:val="clear" w:color="auto" w:fill="FFFFFF"/>
            <w:tcMar>
              <w:top w:w="0" w:type="dxa"/>
              <w:left w:w="20" w:type="dxa"/>
              <w:bottom w:w="0" w:type="dxa"/>
              <w:right w:w="20" w:type="dxa"/>
            </w:tcMar>
            <w:vAlign w:val="bottom"/>
          </w:tcPr>
          <w:p w14:paraId="64298A4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A44"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North America </w:t>
            </w:r>
            <w:r>
              <w:rPr>
                <w:rFonts w:ascii="Times New Roman" w:eastAsia="宋体" w:hAnsi="Times New Roman"/>
                <w:b/>
                <w:bCs/>
                <w:color w:val="FFFFFF"/>
                <w:sz w:val="10"/>
                <w:szCs w:val="10"/>
              </w:rPr>
              <w:t>(1)</w:t>
            </w:r>
          </w:p>
        </w:tc>
        <w:tc>
          <w:tcPr>
            <w:tcW w:w="0" w:type="auto"/>
            <w:gridSpan w:val="3"/>
            <w:shd w:val="clear" w:color="auto" w:fill="FFFFFF"/>
            <w:tcMar>
              <w:top w:w="0" w:type="dxa"/>
              <w:left w:w="20" w:type="dxa"/>
              <w:bottom w:w="0" w:type="dxa"/>
              <w:right w:w="20" w:type="dxa"/>
            </w:tcMar>
            <w:vAlign w:val="bottom"/>
          </w:tcPr>
          <w:p w14:paraId="64298A4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A46"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International </w:t>
            </w:r>
            <w:r>
              <w:rPr>
                <w:rFonts w:ascii="Times New Roman" w:eastAsia="宋体" w:hAnsi="Times New Roman"/>
                <w:b/>
                <w:bCs/>
                <w:color w:val="FFFFFF"/>
                <w:sz w:val="10"/>
                <w:szCs w:val="10"/>
              </w:rPr>
              <w:t>(1)</w:t>
            </w:r>
          </w:p>
        </w:tc>
        <w:tc>
          <w:tcPr>
            <w:tcW w:w="0" w:type="auto"/>
            <w:gridSpan w:val="3"/>
            <w:shd w:val="clear" w:color="auto" w:fill="FFFFFF"/>
            <w:tcMar>
              <w:top w:w="0" w:type="dxa"/>
              <w:left w:w="20" w:type="dxa"/>
              <w:bottom w:w="0" w:type="dxa"/>
              <w:right w:w="20" w:type="dxa"/>
            </w:tcMar>
            <w:vAlign w:val="bottom"/>
          </w:tcPr>
          <w:p w14:paraId="64298A4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A48" w14:textId="77777777" w:rsidR="007B6C97" w:rsidRDefault="00E426D1">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FFFFFF"/>
            <w:tcMar>
              <w:top w:w="0" w:type="dxa"/>
              <w:left w:w="20" w:type="dxa"/>
              <w:bottom w:w="0" w:type="dxa"/>
              <w:right w:w="20" w:type="dxa"/>
            </w:tcMar>
            <w:vAlign w:val="bottom"/>
          </w:tcPr>
          <w:p w14:paraId="64298A4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A4A"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Corporate and Other </w:t>
            </w:r>
            <w:r>
              <w:rPr>
                <w:rFonts w:ascii="Times New Roman" w:eastAsia="宋体" w:hAnsi="Times New Roman"/>
                <w:b/>
                <w:bCs/>
                <w:color w:val="FFFFFF"/>
                <w:sz w:val="10"/>
                <w:szCs w:val="10"/>
              </w:rPr>
              <w:t>(1)</w:t>
            </w:r>
          </w:p>
        </w:tc>
        <w:tc>
          <w:tcPr>
            <w:tcW w:w="0" w:type="auto"/>
            <w:gridSpan w:val="3"/>
            <w:shd w:val="clear" w:color="auto" w:fill="FFFFFF"/>
            <w:tcMar>
              <w:top w:w="0" w:type="dxa"/>
              <w:left w:w="20" w:type="dxa"/>
              <w:bottom w:w="0" w:type="dxa"/>
              <w:right w:w="20" w:type="dxa"/>
            </w:tcMar>
            <w:vAlign w:val="bottom"/>
          </w:tcPr>
          <w:p w14:paraId="64298A4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A4C" w14:textId="77777777" w:rsidR="007B6C97" w:rsidRDefault="00E426D1">
            <w:pPr>
              <w:jc w:val="center"/>
              <w:textAlignment w:val="bottom"/>
            </w:pPr>
            <w:r>
              <w:rPr>
                <w:rFonts w:ascii="Times New Roman" w:eastAsia="宋体" w:hAnsi="Times New Roman"/>
                <w:b/>
                <w:bCs/>
                <w:color w:val="FFFFFF"/>
                <w:sz w:val="16"/>
                <w:szCs w:val="16"/>
              </w:rPr>
              <w:t>Total</w:t>
            </w:r>
          </w:p>
        </w:tc>
      </w:tr>
      <w:tr w:rsidR="007B6C97" w14:paraId="64298A58" w14:textId="77777777">
        <w:tc>
          <w:tcPr>
            <w:tcW w:w="0" w:type="auto"/>
            <w:gridSpan w:val="3"/>
            <w:shd w:val="clear" w:color="auto" w:fill="D7E4BC"/>
            <w:tcMar>
              <w:top w:w="40" w:type="dxa"/>
              <w:left w:w="20" w:type="dxa"/>
              <w:bottom w:w="40" w:type="dxa"/>
              <w:right w:w="20" w:type="dxa"/>
            </w:tcMar>
          </w:tcPr>
          <w:p w14:paraId="64298A4E" w14:textId="77777777" w:rsidR="007B6C97" w:rsidRDefault="00E426D1">
            <w:pPr>
              <w:textAlignment w:val="top"/>
            </w:pPr>
            <w:r>
              <w:rPr>
                <w:rFonts w:ascii="Times New Roman" w:eastAsia="宋体" w:hAnsi="Times New Roman"/>
                <w:i/>
                <w:iCs/>
                <w:color w:val="000000"/>
                <w:sz w:val="20"/>
                <w:szCs w:val="20"/>
              </w:rPr>
              <w:t>July 3,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A4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50"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A5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52"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A5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54"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A5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56"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A57" w14:textId="77777777" w:rsidR="007B6C97" w:rsidRDefault="007B6C97">
            <w:pPr>
              <w:rPr>
                <w:rFonts w:ascii="宋体"/>
              </w:rPr>
            </w:pPr>
          </w:p>
        </w:tc>
      </w:tr>
      <w:tr w:rsidR="007B6C97" w14:paraId="64298A6D" w14:textId="77777777">
        <w:tc>
          <w:tcPr>
            <w:tcW w:w="0" w:type="auto"/>
            <w:gridSpan w:val="3"/>
            <w:shd w:val="clear" w:color="auto" w:fill="FFFFFF"/>
            <w:tcMar>
              <w:top w:w="40" w:type="dxa"/>
              <w:left w:w="20" w:type="dxa"/>
              <w:bottom w:w="40" w:type="dxa"/>
              <w:right w:w="20" w:type="dxa"/>
            </w:tcMar>
          </w:tcPr>
          <w:p w14:paraId="64298A59" w14:textId="77777777" w:rsidR="007B6C97" w:rsidRDefault="00E426D1">
            <w:pPr>
              <w:textAlignment w:val="top"/>
            </w:pPr>
            <w:r>
              <w:rPr>
                <w:rFonts w:ascii="Times New Roman" w:eastAsia="宋体" w:hAnsi="Times New Roman"/>
                <w:color w:val="000000"/>
                <w:sz w:val="20"/>
                <w:szCs w:val="20"/>
              </w:rPr>
              <w:t xml:space="preserve">Total net </w:t>
            </w:r>
            <w:r>
              <w:rPr>
                <w:rFonts w:ascii="Times New Roman" w:eastAsia="宋体" w:hAnsi="Times New Roman"/>
                <w:color w:val="000000"/>
                <w:sz w:val="20"/>
                <w:szCs w:val="20"/>
              </w:rPr>
              <w:t>revenues</w:t>
            </w:r>
          </w:p>
        </w:tc>
        <w:tc>
          <w:tcPr>
            <w:tcW w:w="0" w:type="auto"/>
            <w:shd w:val="clear" w:color="auto" w:fill="FFFFFF"/>
            <w:tcMar>
              <w:top w:w="40" w:type="dxa"/>
              <w:left w:w="20" w:type="dxa"/>
              <w:bottom w:w="40" w:type="dxa"/>
              <w:right w:w="0" w:type="dxa"/>
            </w:tcMar>
            <w:vAlign w:val="bottom"/>
          </w:tcPr>
          <w:p w14:paraId="64298A5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5B" w14:textId="77777777" w:rsidR="007B6C97" w:rsidRDefault="00E426D1">
            <w:pPr>
              <w:jc w:val="right"/>
              <w:textAlignment w:val="bottom"/>
            </w:pPr>
            <w:r>
              <w:rPr>
                <w:rFonts w:ascii="Times New Roman" w:eastAsia="宋体" w:hAnsi="Times New Roman"/>
                <w:color w:val="000000"/>
                <w:sz w:val="20"/>
                <w:szCs w:val="20"/>
              </w:rPr>
              <w:t>17,236.4 </w:t>
            </w:r>
          </w:p>
        </w:tc>
        <w:tc>
          <w:tcPr>
            <w:tcW w:w="0" w:type="auto"/>
            <w:shd w:val="clear" w:color="auto" w:fill="FFFFFF"/>
            <w:tcMar>
              <w:top w:w="40" w:type="dxa"/>
              <w:left w:w="0" w:type="dxa"/>
              <w:bottom w:w="40" w:type="dxa"/>
              <w:right w:w="20" w:type="dxa"/>
            </w:tcMar>
            <w:vAlign w:val="bottom"/>
          </w:tcPr>
          <w:p w14:paraId="64298A5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5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5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5F" w14:textId="77777777" w:rsidR="007B6C97" w:rsidRDefault="00E426D1">
            <w:pPr>
              <w:jc w:val="right"/>
              <w:textAlignment w:val="bottom"/>
            </w:pPr>
            <w:r>
              <w:rPr>
                <w:rFonts w:ascii="Times New Roman" w:eastAsia="宋体" w:hAnsi="Times New Roman"/>
                <w:color w:val="000000"/>
                <w:sz w:val="20"/>
                <w:szCs w:val="20"/>
              </w:rPr>
              <w:t>5,163.1 </w:t>
            </w:r>
          </w:p>
        </w:tc>
        <w:tc>
          <w:tcPr>
            <w:tcW w:w="0" w:type="auto"/>
            <w:shd w:val="clear" w:color="auto" w:fill="FFFFFF"/>
            <w:tcMar>
              <w:top w:w="40" w:type="dxa"/>
              <w:left w:w="0" w:type="dxa"/>
              <w:bottom w:w="40" w:type="dxa"/>
              <w:right w:w="20" w:type="dxa"/>
            </w:tcMar>
            <w:vAlign w:val="bottom"/>
          </w:tcPr>
          <w:p w14:paraId="64298A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6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6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63" w14:textId="77777777" w:rsidR="007B6C97" w:rsidRDefault="00E426D1">
            <w:pPr>
              <w:jc w:val="right"/>
              <w:textAlignment w:val="bottom"/>
            </w:pPr>
            <w:r>
              <w:rPr>
                <w:rFonts w:ascii="Times New Roman" w:eastAsia="宋体" w:hAnsi="Times New Roman"/>
                <w:color w:val="000000"/>
                <w:sz w:val="20"/>
                <w:szCs w:val="20"/>
              </w:rPr>
              <w:t>1,359.9 </w:t>
            </w:r>
          </w:p>
        </w:tc>
        <w:tc>
          <w:tcPr>
            <w:tcW w:w="0" w:type="auto"/>
            <w:shd w:val="clear" w:color="auto" w:fill="FFFFFF"/>
            <w:tcMar>
              <w:top w:w="40" w:type="dxa"/>
              <w:left w:w="0" w:type="dxa"/>
              <w:bottom w:w="40" w:type="dxa"/>
              <w:right w:w="20" w:type="dxa"/>
            </w:tcMar>
            <w:vAlign w:val="bottom"/>
          </w:tcPr>
          <w:p w14:paraId="64298A6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65"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6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67" w14:textId="77777777" w:rsidR="007B6C97" w:rsidRDefault="00E426D1">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64298A6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6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6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6B" w14:textId="77777777" w:rsidR="007B6C97" w:rsidRDefault="00E426D1">
            <w:pPr>
              <w:jc w:val="right"/>
              <w:textAlignment w:val="bottom"/>
            </w:pPr>
            <w:r>
              <w:rPr>
                <w:rFonts w:ascii="Times New Roman" w:eastAsia="宋体" w:hAnsi="Times New Roman"/>
                <w:color w:val="000000"/>
                <w:sz w:val="20"/>
                <w:szCs w:val="20"/>
              </w:rPr>
              <w:t>23,836.1 </w:t>
            </w:r>
          </w:p>
        </w:tc>
        <w:tc>
          <w:tcPr>
            <w:tcW w:w="0" w:type="auto"/>
            <w:shd w:val="clear" w:color="auto" w:fill="FFFFFF"/>
            <w:tcMar>
              <w:top w:w="40" w:type="dxa"/>
              <w:left w:w="0" w:type="dxa"/>
              <w:bottom w:w="40" w:type="dxa"/>
              <w:right w:w="20" w:type="dxa"/>
            </w:tcMar>
            <w:vAlign w:val="bottom"/>
          </w:tcPr>
          <w:p w14:paraId="64298A6C" w14:textId="77777777" w:rsidR="007B6C97" w:rsidRDefault="007B6C97">
            <w:pPr>
              <w:jc w:val="right"/>
              <w:rPr>
                <w:rFonts w:ascii="宋体"/>
              </w:rPr>
            </w:pPr>
          </w:p>
        </w:tc>
      </w:tr>
      <w:tr w:rsidR="007B6C97" w14:paraId="64298A7D" w14:textId="77777777">
        <w:tc>
          <w:tcPr>
            <w:tcW w:w="0" w:type="auto"/>
            <w:gridSpan w:val="3"/>
            <w:shd w:val="clear" w:color="auto" w:fill="D7E4BC"/>
            <w:tcMar>
              <w:top w:w="40" w:type="dxa"/>
              <w:left w:w="20" w:type="dxa"/>
              <w:bottom w:w="40" w:type="dxa"/>
              <w:right w:w="20" w:type="dxa"/>
            </w:tcMar>
          </w:tcPr>
          <w:p w14:paraId="64298A6E"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8A6F" w14:textId="77777777" w:rsidR="007B6C97" w:rsidRDefault="00E426D1">
            <w:pPr>
              <w:jc w:val="right"/>
              <w:textAlignment w:val="bottom"/>
            </w:pPr>
            <w:r>
              <w:rPr>
                <w:rFonts w:ascii="Times New Roman" w:eastAsia="宋体" w:hAnsi="Times New Roman"/>
                <w:color w:val="000000"/>
                <w:sz w:val="20"/>
                <w:szCs w:val="20"/>
              </w:rPr>
              <w:t>603.2 </w:t>
            </w:r>
          </w:p>
        </w:tc>
        <w:tc>
          <w:tcPr>
            <w:tcW w:w="0" w:type="auto"/>
            <w:shd w:val="clear" w:color="auto" w:fill="D7E4BC"/>
            <w:tcMar>
              <w:top w:w="40" w:type="dxa"/>
              <w:left w:w="0" w:type="dxa"/>
              <w:bottom w:w="40" w:type="dxa"/>
              <w:right w:w="20" w:type="dxa"/>
            </w:tcMar>
            <w:vAlign w:val="bottom"/>
          </w:tcPr>
          <w:p w14:paraId="64298A7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7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72" w14:textId="77777777" w:rsidR="007B6C97" w:rsidRDefault="00E426D1">
            <w:pPr>
              <w:jc w:val="right"/>
              <w:textAlignment w:val="bottom"/>
            </w:pPr>
            <w:r>
              <w:rPr>
                <w:rFonts w:ascii="Times New Roman" w:eastAsia="宋体" w:hAnsi="Times New Roman"/>
                <w:color w:val="000000"/>
                <w:sz w:val="20"/>
                <w:szCs w:val="20"/>
              </w:rPr>
              <w:t>391.4 </w:t>
            </w:r>
          </w:p>
        </w:tc>
        <w:tc>
          <w:tcPr>
            <w:tcW w:w="0" w:type="auto"/>
            <w:shd w:val="clear" w:color="auto" w:fill="D7E4BC"/>
            <w:tcMar>
              <w:top w:w="40" w:type="dxa"/>
              <w:left w:w="0" w:type="dxa"/>
              <w:bottom w:w="40" w:type="dxa"/>
              <w:right w:w="20" w:type="dxa"/>
            </w:tcMar>
            <w:vAlign w:val="bottom"/>
          </w:tcPr>
          <w:p w14:paraId="64298A7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7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75"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8A7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7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78" w14:textId="77777777" w:rsidR="007B6C97" w:rsidRDefault="00E426D1">
            <w:pPr>
              <w:jc w:val="right"/>
              <w:textAlignment w:val="bottom"/>
            </w:pPr>
            <w:r>
              <w:rPr>
                <w:rFonts w:ascii="Times New Roman" w:eastAsia="宋体" w:hAnsi="Times New Roman"/>
                <w:color w:val="000000"/>
                <w:sz w:val="20"/>
                <w:szCs w:val="20"/>
              </w:rPr>
              <w:t>95.8 </w:t>
            </w:r>
          </w:p>
        </w:tc>
        <w:tc>
          <w:tcPr>
            <w:tcW w:w="0" w:type="auto"/>
            <w:shd w:val="clear" w:color="auto" w:fill="D7E4BC"/>
            <w:tcMar>
              <w:top w:w="40" w:type="dxa"/>
              <w:left w:w="0" w:type="dxa"/>
              <w:bottom w:w="40" w:type="dxa"/>
              <w:right w:w="20" w:type="dxa"/>
            </w:tcMar>
            <w:vAlign w:val="bottom"/>
          </w:tcPr>
          <w:p w14:paraId="64298A7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7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7B" w14:textId="77777777" w:rsidR="007B6C97" w:rsidRDefault="00E426D1">
            <w:pPr>
              <w:jc w:val="right"/>
              <w:textAlignment w:val="bottom"/>
            </w:pPr>
            <w:r>
              <w:rPr>
                <w:rFonts w:ascii="Times New Roman" w:eastAsia="宋体" w:hAnsi="Times New Roman"/>
                <w:color w:val="000000"/>
                <w:sz w:val="20"/>
                <w:szCs w:val="20"/>
              </w:rPr>
              <w:t>1,090.5 </w:t>
            </w:r>
          </w:p>
        </w:tc>
        <w:tc>
          <w:tcPr>
            <w:tcW w:w="0" w:type="auto"/>
            <w:shd w:val="clear" w:color="auto" w:fill="D7E4BC"/>
            <w:tcMar>
              <w:top w:w="40" w:type="dxa"/>
              <w:left w:w="0" w:type="dxa"/>
              <w:bottom w:w="40" w:type="dxa"/>
              <w:right w:w="20" w:type="dxa"/>
            </w:tcMar>
            <w:vAlign w:val="bottom"/>
          </w:tcPr>
          <w:p w14:paraId="64298A7C" w14:textId="77777777" w:rsidR="007B6C97" w:rsidRDefault="007B6C97">
            <w:pPr>
              <w:jc w:val="right"/>
              <w:rPr>
                <w:rFonts w:ascii="宋体"/>
              </w:rPr>
            </w:pPr>
          </w:p>
        </w:tc>
      </w:tr>
      <w:tr w:rsidR="007B6C97" w14:paraId="64298A8D" w14:textId="77777777">
        <w:tc>
          <w:tcPr>
            <w:tcW w:w="0" w:type="auto"/>
            <w:gridSpan w:val="3"/>
            <w:shd w:val="clear" w:color="auto" w:fill="FFFFFF"/>
            <w:tcMar>
              <w:top w:w="40" w:type="dxa"/>
              <w:left w:w="20" w:type="dxa"/>
              <w:bottom w:w="40" w:type="dxa"/>
              <w:right w:w="20" w:type="dxa"/>
            </w:tcMar>
          </w:tcPr>
          <w:p w14:paraId="64298A7E"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8A7F"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A8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8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82" w14:textId="77777777" w:rsidR="007B6C97" w:rsidRDefault="00E426D1">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4298A8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85" w14:textId="77777777" w:rsidR="007B6C97" w:rsidRDefault="00E426D1">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64298A8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8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A8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8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8B" w14:textId="77777777" w:rsidR="007B6C97" w:rsidRDefault="00E426D1">
            <w:pPr>
              <w:jc w:val="right"/>
              <w:textAlignment w:val="bottom"/>
            </w:pPr>
            <w:r>
              <w:rPr>
                <w:rFonts w:ascii="Times New Roman" w:eastAsia="宋体" w:hAnsi="Times New Roman"/>
                <w:color w:val="000000"/>
                <w:sz w:val="20"/>
                <w:szCs w:val="20"/>
              </w:rPr>
              <w:t>143.5 </w:t>
            </w:r>
          </w:p>
        </w:tc>
        <w:tc>
          <w:tcPr>
            <w:tcW w:w="0" w:type="auto"/>
            <w:shd w:val="clear" w:color="auto" w:fill="FFFFFF"/>
            <w:tcMar>
              <w:top w:w="40" w:type="dxa"/>
              <w:left w:w="0" w:type="dxa"/>
              <w:bottom w:w="40" w:type="dxa"/>
              <w:right w:w="20" w:type="dxa"/>
            </w:tcMar>
            <w:vAlign w:val="bottom"/>
          </w:tcPr>
          <w:p w14:paraId="64298A8C" w14:textId="77777777" w:rsidR="007B6C97" w:rsidRDefault="007B6C97">
            <w:pPr>
              <w:jc w:val="right"/>
              <w:rPr>
                <w:rFonts w:ascii="宋体"/>
              </w:rPr>
            </w:pPr>
          </w:p>
        </w:tc>
      </w:tr>
      <w:tr w:rsidR="007B6C97" w14:paraId="64298A9D" w14:textId="77777777">
        <w:tc>
          <w:tcPr>
            <w:tcW w:w="0" w:type="auto"/>
            <w:gridSpan w:val="3"/>
            <w:shd w:val="clear" w:color="auto" w:fill="D7E4BC"/>
            <w:tcMar>
              <w:top w:w="40" w:type="dxa"/>
              <w:left w:w="20" w:type="dxa"/>
              <w:bottom w:w="40" w:type="dxa"/>
              <w:right w:w="20" w:type="dxa"/>
            </w:tcMar>
          </w:tcPr>
          <w:p w14:paraId="64298A8E" w14:textId="77777777" w:rsidR="007B6C97" w:rsidRDefault="00E426D1">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4298A8F" w14:textId="77777777" w:rsidR="007B6C97" w:rsidRDefault="00E426D1">
            <w:pPr>
              <w:jc w:val="right"/>
              <w:textAlignment w:val="bottom"/>
            </w:pPr>
            <w:r>
              <w:rPr>
                <w:rFonts w:ascii="Times New Roman" w:eastAsia="宋体" w:hAnsi="Times New Roman"/>
                <w:color w:val="000000"/>
                <w:sz w:val="20"/>
                <w:szCs w:val="20"/>
              </w:rPr>
              <w:t>3,344.8 </w:t>
            </w:r>
          </w:p>
        </w:tc>
        <w:tc>
          <w:tcPr>
            <w:tcW w:w="0" w:type="auto"/>
            <w:shd w:val="clear" w:color="auto" w:fill="D7E4BC"/>
            <w:tcMar>
              <w:top w:w="40" w:type="dxa"/>
              <w:left w:w="0" w:type="dxa"/>
              <w:bottom w:w="40" w:type="dxa"/>
              <w:right w:w="20" w:type="dxa"/>
            </w:tcMar>
            <w:vAlign w:val="bottom"/>
          </w:tcPr>
          <w:p w14:paraId="64298A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92" w14:textId="77777777" w:rsidR="007B6C97" w:rsidRDefault="00E426D1">
            <w:pPr>
              <w:jc w:val="right"/>
              <w:textAlignment w:val="bottom"/>
            </w:pPr>
            <w:r>
              <w:rPr>
                <w:rFonts w:ascii="Times New Roman" w:eastAsia="宋体" w:hAnsi="Times New Roman"/>
                <w:color w:val="000000"/>
                <w:sz w:val="20"/>
                <w:szCs w:val="20"/>
              </w:rPr>
              <w:t>615.7 </w:t>
            </w:r>
          </w:p>
        </w:tc>
        <w:tc>
          <w:tcPr>
            <w:tcW w:w="0" w:type="auto"/>
            <w:shd w:val="clear" w:color="auto" w:fill="D7E4BC"/>
            <w:tcMar>
              <w:top w:w="40" w:type="dxa"/>
              <w:left w:w="0" w:type="dxa"/>
              <w:bottom w:w="40" w:type="dxa"/>
              <w:right w:w="20" w:type="dxa"/>
            </w:tcMar>
            <w:vAlign w:val="bottom"/>
          </w:tcPr>
          <w:p w14:paraId="64298A9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9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95" w14:textId="77777777" w:rsidR="007B6C97" w:rsidRDefault="00E426D1">
            <w:pPr>
              <w:jc w:val="right"/>
              <w:textAlignment w:val="bottom"/>
            </w:pPr>
            <w:r>
              <w:rPr>
                <w:rFonts w:ascii="Times New Roman" w:eastAsia="宋体" w:hAnsi="Times New Roman"/>
                <w:color w:val="000000"/>
                <w:sz w:val="20"/>
                <w:szCs w:val="20"/>
              </w:rPr>
              <w:t>572.7 </w:t>
            </w:r>
          </w:p>
        </w:tc>
        <w:tc>
          <w:tcPr>
            <w:tcW w:w="0" w:type="auto"/>
            <w:shd w:val="clear" w:color="auto" w:fill="D7E4BC"/>
            <w:tcMar>
              <w:top w:w="40" w:type="dxa"/>
              <w:left w:w="0" w:type="dxa"/>
              <w:bottom w:w="40" w:type="dxa"/>
              <w:right w:w="20" w:type="dxa"/>
            </w:tcMar>
            <w:vAlign w:val="bottom"/>
          </w:tcPr>
          <w:p w14:paraId="64298A9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9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98" w14:textId="77777777" w:rsidR="007B6C97" w:rsidRDefault="00E426D1">
            <w:pPr>
              <w:jc w:val="right"/>
              <w:textAlignment w:val="bottom"/>
            </w:pPr>
            <w:r>
              <w:rPr>
                <w:rFonts w:ascii="Times New Roman" w:eastAsia="宋体" w:hAnsi="Times New Roman"/>
                <w:color w:val="000000"/>
                <w:sz w:val="20"/>
                <w:szCs w:val="20"/>
              </w:rPr>
              <w:t>(1,110.9)</w:t>
            </w:r>
          </w:p>
        </w:tc>
        <w:tc>
          <w:tcPr>
            <w:tcW w:w="0" w:type="auto"/>
            <w:shd w:val="clear" w:color="auto" w:fill="D7E4BC"/>
            <w:tcMar>
              <w:top w:w="40" w:type="dxa"/>
              <w:left w:w="0" w:type="dxa"/>
              <w:bottom w:w="40" w:type="dxa"/>
              <w:right w:w="20" w:type="dxa"/>
            </w:tcMar>
            <w:vAlign w:val="bottom"/>
          </w:tcPr>
          <w:p w14:paraId="64298A9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9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9B" w14:textId="77777777" w:rsidR="007B6C97" w:rsidRDefault="00E426D1">
            <w:pPr>
              <w:jc w:val="right"/>
              <w:textAlignment w:val="bottom"/>
            </w:pPr>
            <w:r>
              <w:rPr>
                <w:rFonts w:ascii="Times New Roman" w:eastAsia="宋体" w:hAnsi="Times New Roman"/>
                <w:color w:val="000000"/>
                <w:sz w:val="20"/>
                <w:szCs w:val="20"/>
              </w:rPr>
              <w:t>3,422.3 </w:t>
            </w:r>
          </w:p>
        </w:tc>
        <w:tc>
          <w:tcPr>
            <w:tcW w:w="0" w:type="auto"/>
            <w:shd w:val="clear" w:color="auto" w:fill="D7E4BC"/>
            <w:tcMar>
              <w:top w:w="40" w:type="dxa"/>
              <w:left w:w="0" w:type="dxa"/>
              <w:bottom w:w="40" w:type="dxa"/>
              <w:right w:w="20" w:type="dxa"/>
            </w:tcMar>
            <w:vAlign w:val="bottom"/>
          </w:tcPr>
          <w:p w14:paraId="64298A9C" w14:textId="77777777" w:rsidR="007B6C97" w:rsidRDefault="007B6C97">
            <w:pPr>
              <w:jc w:val="right"/>
              <w:rPr>
                <w:rFonts w:ascii="宋体"/>
              </w:rPr>
            </w:pPr>
          </w:p>
        </w:tc>
      </w:tr>
      <w:tr w:rsidR="007B6C97" w14:paraId="64298AA8" w14:textId="77777777">
        <w:trPr>
          <w:trHeight w:val="280"/>
        </w:trPr>
        <w:tc>
          <w:tcPr>
            <w:tcW w:w="0" w:type="auto"/>
            <w:gridSpan w:val="3"/>
            <w:shd w:val="clear" w:color="auto" w:fill="FFFFFF"/>
            <w:tcMar>
              <w:top w:w="0" w:type="dxa"/>
              <w:left w:w="20" w:type="dxa"/>
              <w:bottom w:w="0" w:type="dxa"/>
              <w:right w:w="20" w:type="dxa"/>
            </w:tcMar>
            <w:vAlign w:val="bottom"/>
          </w:tcPr>
          <w:p w14:paraId="64298A9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9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4"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5"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6"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AA7" w14:textId="77777777" w:rsidR="007B6C97" w:rsidRDefault="007B6C97">
            <w:pPr>
              <w:rPr>
                <w:rFonts w:ascii="宋体"/>
              </w:rPr>
            </w:pPr>
          </w:p>
        </w:tc>
      </w:tr>
      <w:tr w:rsidR="007B6C97" w14:paraId="64298AB3" w14:textId="77777777">
        <w:tc>
          <w:tcPr>
            <w:tcW w:w="0" w:type="auto"/>
            <w:gridSpan w:val="3"/>
            <w:shd w:val="clear" w:color="auto" w:fill="D7E4BC"/>
            <w:tcMar>
              <w:top w:w="40" w:type="dxa"/>
              <w:left w:w="20" w:type="dxa"/>
              <w:bottom w:w="40" w:type="dxa"/>
              <w:right w:w="20" w:type="dxa"/>
            </w:tcMar>
          </w:tcPr>
          <w:p w14:paraId="64298AA9" w14:textId="77777777" w:rsidR="007B6C97" w:rsidRDefault="00E426D1">
            <w:pPr>
              <w:textAlignment w:val="top"/>
            </w:pPr>
            <w:r>
              <w:rPr>
                <w:rFonts w:ascii="Times New Roman" w:eastAsia="宋体" w:hAnsi="Times New Roman"/>
                <w:i/>
                <w:iCs/>
                <w:color w:val="000000"/>
                <w:sz w:val="20"/>
                <w:szCs w:val="20"/>
              </w:rPr>
              <w:t xml:space="preserve">June </w:t>
            </w:r>
            <w:r>
              <w:rPr>
                <w:rFonts w:ascii="Times New Roman" w:eastAsia="宋体" w:hAnsi="Times New Roman"/>
                <w:i/>
                <w:iCs/>
                <w:color w:val="000000"/>
                <w:sz w:val="20"/>
                <w:szCs w:val="20"/>
              </w:rPr>
              <w:t>27, 2021</w:t>
            </w:r>
          </w:p>
        </w:tc>
        <w:tc>
          <w:tcPr>
            <w:tcW w:w="0" w:type="auto"/>
            <w:gridSpan w:val="3"/>
            <w:shd w:val="clear" w:color="auto" w:fill="D7E4BC"/>
            <w:tcMar>
              <w:top w:w="0" w:type="dxa"/>
              <w:left w:w="20" w:type="dxa"/>
              <w:bottom w:w="0" w:type="dxa"/>
              <w:right w:w="20" w:type="dxa"/>
            </w:tcMar>
            <w:vAlign w:val="bottom"/>
          </w:tcPr>
          <w:p w14:paraId="64298AA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AB"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A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A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A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A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B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B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AB2" w14:textId="77777777" w:rsidR="007B6C97" w:rsidRDefault="007B6C97">
            <w:pPr>
              <w:rPr>
                <w:rFonts w:ascii="宋体"/>
              </w:rPr>
            </w:pPr>
          </w:p>
        </w:tc>
      </w:tr>
      <w:tr w:rsidR="007B6C97" w14:paraId="64298AC8" w14:textId="77777777">
        <w:tc>
          <w:tcPr>
            <w:tcW w:w="0" w:type="auto"/>
            <w:gridSpan w:val="3"/>
            <w:shd w:val="clear" w:color="auto" w:fill="FFFFFF"/>
            <w:tcMar>
              <w:top w:w="40" w:type="dxa"/>
              <w:left w:w="20" w:type="dxa"/>
              <w:bottom w:w="40" w:type="dxa"/>
              <w:right w:w="20" w:type="dxa"/>
            </w:tcMar>
          </w:tcPr>
          <w:p w14:paraId="64298AB4" w14:textId="77777777" w:rsidR="007B6C97" w:rsidRDefault="00E426D1">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4298AB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B6" w14:textId="77777777" w:rsidR="007B6C97" w:rsidRDefault="00E426D1">
            <w:pPr>
              <w:jc w:val="right"/>
              <w:textAlignment w:val="bottom"/>
            </w:pPr>
            <w:r>
              <w:rPr>
                <w:rFonts w:ascii="Times New Roman" w:eastAsia="宋体" w:hAnsi="Times New Roman"/>
                <w:color w:val="000000"/>
                <w:sz w:val="20"/>
                <w:szCs w:val="20"/>
              </w:rPr>
              <w:t>14,684.9 </w:t>
            </w:r>
          </w:p>
        </w:tc>
        <w:tc>
          <w:tcPr>
            <w:tcW w:w="0" w:type="auto"/>
            <w:shd w:val="clear" w:color="auto" w:fill="FFFFFF"/>
            <w:tcMar>
              <w:top w:w="40" w:type="dxa"/>
              <w:left w:w="0" w:type="dxa"/>
              <w:bottom w:w="40" w:type="dxa"/>
              <w:right w:w="20" w:type="dxa"/>
            </w:tcMar>
            <w:vAlign w:val="bottom"/>
          </w:tcPr>
          <w:p w14:paraId="64298A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B8"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B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BA" w14:textId="77777777" w:rsidR="007B6C97" w:rsidRDefault="00E426D1">
            <w:pPr>
              <w:jc w:val="right"/>
              <w:textAlignment w:val="bottom"/>
            </w:pPr>
            <w:r>
              <w:rPr>
                <w:rFonts w:ascii="Times New Roman" w:eastAsia="宋体" w:hAnsi="Times New Roman"/>
                <w:color w:val="000000"/>
                <w:sz w:val="20"/>
                <w:szCs w:val="20"/>
              </w:rPr>
              <w:t>5,006.9 </w:t>
            </w:r>
          </w:p>
        </w:tc>
        <w:tc>
          <w:tcPr>
            <w:tcW w:w="0" w:type="auto"/>
            <w:shd w:val="clear" w:color="auto" w:fill="FFFFFF"/>
            <w:tcMar>
              <w:top w:w="40" w:type="dxa"/>
              <w:left w:w="0" w:type="dxa"/>
              <w:bottom w:w="40" w:type="dxa"/>
              <w:right w:w="20" w:type="dxa"/>
            </w:tcMar>
            <w:vAlign w:val="bottom"/>
          </w:tcPr>
          <w:p w14:paraId="64298AB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B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B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BE" w14:textId="77777777" w:rsidR="007B6C97" w:rsidRDefault="00E426D1">
            <w:pPr>
              <w:jc w:val="right"/>
              <w:textAlignment w:val="bottom"/>
            </w:pPr>
            <w:r>
              <w:rPr>
                <w:rFonts w:ascii="Times New Roman" w:eastAsia="宋体" w:hAnsi="Times New Roman"/>
                <w:color w:val="000000"/>
                <w:sz w:val="20"/>
                <w:szCs w:val="20"/>
              </w:rPr>
              <w:t>1,155.3 </w:t>
            </w:r>
          </w:p>
        </w:tc>
        <w:tc>
          <w:tcPr>
            <w:tcW w:w="0" w:type="auto"/>
            <w:shd w:val="clear" w:color="auto" w:fill="FFFFFF"/>
            <w:tcMar>
              <w:top w:w="40" w:type="dxa"/>
              <w:left w:w="0" w:type="dxa"/>
              <w:bottom w:w="40" w:type="dxa"/>
              <w:right w:w="20" w:type="dxa"/>
            </w:tcMar>
            <w:vAlign w:val="bottom"/>
          </w:tcPr>
          <w:p w14:paraId="64298AB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C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C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C2" w14:textId="77777777" w:rsidR="007B6C97" w:rsidRDefault="00E426D1">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64298AC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C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AC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AC6" w14:textId="77777777" w:rsidR="007B6C97" w:rsidRDefault="00E426D1">
            <w:pPr>
              <w:jc w:val="right"/>
              <w:textAlignment w:val="bottom"/>
            </w:pPr>
            <w:r>
              <w:rPr>
                <w:rFonts w:ascii="Times New Roman" w:eastAsia="宋体" w:hAnsi="Times New Roman"/>
                <w:color w:val="000000"/>
                <w:sz w:val="20"/>
                <w:szCs w:val="20"/>
              </w:rPr>
              <w:t>20,913.9 </w:t>
            </w:r>
          </w:p>
        </w:tc>
        <w:tc>
          <w:tcPr>
            <w:tcW w:w="0" w:type="auto"/>
            <w:shd w:val="clear" w:color="auto" w:fill="FFFFFF"/>
            <w:tcMar>
              <w:top w:w="40" w:type="dxa"/>
              <w:left w:w="0" w:type="dxa"/>
              <w:bottom w:w="40" w:type="dxa"/>
              <w:right w:w="20" w:type="dxa"/>
            </w:tcMar>
            <w:vAlign w:val="bottom"/>
          </w:tcPr>
          <w:p w14:paraId="64298AC7" w14:textId="77777777" w:rsidR="007B6C97" w:rsidRDefault="007B6C97">
            <w:pPr>
              <w:jc w:val="right"/>
              <w:rPr>
                <w:rFonts w:ascii="宋体"/>
              </w:rPr>
            </w:pPr>
          </w:p>
        </w:tc>
      </w:tr>
      <w:tr w:rsidR="007B6C97" w14:paraId="64298AD8" w14:textId="77777777">
        <w:tc>
          <w:tcPr>
            <w:tcW w:w="0" w:type="auto"/>
            <w:gridSpan w:val="3"/>
            <w:shd w:val="clear" w:color="auto" w:fill="D7E4BC"/>
            <w:tcMar>
              <w:top w:w="40" w:type="dxa"/>
              <w:left w:w="20" w:type="dxa"/>
              <w:bottom w:w="40" w:type="dxa"/>
              <w:right w:w="20" w:type="dxa"/>
            </w:tcMar>
          </w:tcPr>
          <w:p w14:paraId="64298AC9"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8ACA" w14:textId="77777777" w:rsidR="007B6C97" w:rsidRDefault="00E426D1">
            <w:pPr>
              <w:jc w:val="right"/>
              <w:textAlignment w:val="bottom"/>
            </w:pPr>
            <w:r>
              <w:rPr>
                <w:rFonts w:ascii="Times New Roman" w:eastAsia="宋体" w:hAnsi="Times New Roman"/>
                <w:color w:val="000000"/>
                <w:sz w:val="20"/>
                <w:szCs w:val="20"/>
              </w:rPr>
              <w:t>563.9 </w:t>
            </w:r>
          </w:p>
        </w:tc>
        <w:tc>
          <w:tcPr>
            <w:tcW w:w="0" w:type="auto"/>
            <w:shd w:val="clear" w:color="auto" w:fill="D7E4BC"/>
            <w:tcMar>
              <w:top w:w="40" w:type="dxa"/>
              <w:left w:w="0" w:type="dxa"/>
              <w:bottom w:w="40" w:type="dxa"/>
              <w:right w:w="20" w:type="dxa"/>
            </w:tcMar>
            <w:vAlign w:val="bottom"/>
          </w:tcPr>
          <w:p w14:paraId="64298AC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C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CD" w14:textId="77777777" w:rsidR="007B6C97" w:rsidRDefault="00E426D1">
            <w:pPr>
              <w:jc w:val="right"/>
              <w:textAlignment w:val="bottom"/>
            </w:pPr>
            <w:r>
              <w:rPr>
                <w:rFonts w:ascii="Times New Roman" w:eastAsia="宋体" w:hAnsi="Times New Roman"/>
                <w:color w:val="000000"/>
                <w:sz w:val="20"/>
                <w:szCs w:val="20"/>
              </w:rPr>
              <w:t>413.1 </w:t>
            </w:r>
          </w:p>
        </w:tc>
        <w:tc>
          <w:tcPr>
            <w:tcW w:w="0" w:type="auto"/>
            <w:shd w:val="clear" w:color="auto" w:fill="D7E4BC"/>
            <w:tcMar>
              <w:top w:w="40" w:type="dxa"/>
              <w:left w:w="0" w:type="dxa"/>
              <w:bottom w:w="40" w:type="dxa"/>
              <w:right w:w="20" w:type="dxa"/>
            </w:tcMar>
            <w:vAlign w:val="bottom"/>
          </w:tcPr>
          <w:p w14:paraId="64298AC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C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D0" w14:textId="77777777" w:rsidR="007B6C97" w:rsidRDefault="00E426D1">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64298AD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D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D3" w14:textId="77777777" w:rsidR="007B6C97" w:rsidRDefault="00E426D1">
            <w:pPr>
              <w:jc w:val="right"/>
              <w:textAlignment w:val="bottom"/>
            </w:pPr>
            <w:r>
              <w:rPr>
                <w:rFonts w:ascii="Times New Roman" w:eastAsia="宋体" w:hAnsi="Times New Roman"/>
                <w:color w:val="000000"/>
                <w:sz w:val="20"/>
                <w:szCs w:val="20"/>
              </w:rPr>
              <w:t>109.1 </w:t>
            </w:r>
          </w:p>
        </w:tc>
        <w:tc>
          <w:tcPr>
            <w:tcW w:w="0" w:type="auto"/>
            <w:shd w:val="clear" w:color="auto" w:fill="D7E4BC"/>
            <w:tcMar>
              <w:top w:w="40" w:type="dxa"/>
              <w:left w:w="0" w:type="dxa"/>
              <w:bottom w:w="40" w:type="dxa"/>
              <w:right w:w="20" w:type="dxa"/>
            </w:tcMar>
            <w:vAlign w:val="bottom"/>
          </w:tcPr>
          <w:p w14:paraId="64298AD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D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D6" w14:textId="77777777" w:rsidR="007B6C97" w:rsidRDefault="00E426D1">
            <w:pPr>
              <w:jc w:val="right"/>
              <w:textAlignment w:val="bottom"/>
            </w:pPr>
            <w:r>
              <w:rPr>
                <w:rFonts w:ascii="Times New Roman" w:eastAsia="宋体" w:hAnsi="Times New Roman"/>
                <w:color w:val="000000"/>
                <w:sz w:val="20"/>
                <w:szCs w:val="20"/>
              </w:rPr>
              <w:t>1,087.0 </w:t>
            </w:r>
          </w:p>
        </w:tc>
        <w:tc>
          <w:tcPr>
            <w:tcW w:w="0" w:type="auto"/>
            <w:shd w:val="clear" w:color="auto" w:fill="D7E4BC"/>
            <w:tcMar>
              <w:top w:w="40" w:type="dxa"/>
              <w:left w:w="0" w:type="dxa"/>
              <w:bottom w:w="40" w:type="dxa"/>
              <w:right w:w="20" w:type="dxa"/>
            </w:tcMar>
            <w:vAlign w:val="bottom"/>
          </w:tcPr>
          <w:p w14:paraId="64298AD7" w14:textId="77777777" w:rsidR="007B6C97" w:rsidRDefault="007B6C97">
            <w:pPr>
              <w:jc w:val="right"/>
              <w:rPr>
                <w:rFonts w:ascii="宋体"/>
              </w:rPr>
            </w:pPr>
          </w:p>
        </w:tc>
      </w:tr>
      <w:tr w:rsidR="007B6C97" w14:paraId="64298AE8" w14:textId="77777777">
        <w:tc>
          <w:tcPr>
            <w:tcW w:w="0" w:type="auto"/>
            <w:gridSpan w:val="3"/>
            <w:shd w:val="clear" w:color="auto" w:fill="FFFFFF"/>
            <w:tcMar>
              <w:top w:w="40" w:type="dxa"/>
              <w:left w:w="20" w:type="dxa"/>
              <w:bottom w:w="40" w:type="dxa"/>
              <w:right w:w="20" w:type="dxa"/>
            </w:tcMar>
          </w:tcPr>
          <w:p w14:paraId="64298AD9"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8AD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AD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D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DD" w14:textId="77777777" w:rsidR="007B6C97" w:rsidRDefault="00E426D1">
            <w:pPr>
              <w:jc w:val="right"/>
              <w:textAlignment w:val="bottom"/>
            </w:pPr>
            <w:r>
              <w:rPr>
                <w:rFonts w:ascii="Times New Roman" w:eastAsia="宋体" w:hAnsi="Times New Roman"/>
                <w:color w:val="000000"/>
                <w:sz w:val="20"/>
                <w:szCs w:val="20"/>
              </w:rPr>
              <w:t>95.0 </w:t>
            </w:r>
          </w:p>
        </w:tc>
        <w:tc>
          <w:tcPr>
            <w:tcW w:w="0" w:type="auto"/>
            <w:shd w:val="clear" w:color="auto" w:fill="FFFFFF"/>
            <w:tcMar>
              <w:top w:w="40" w:type="dxa"/>
              <w:left w:w="0" w:type="dxa"/>
              <w:bottom w:w="40" w:type="dxa"/>
              <w:right w:w="20" w:type="dxa"/>
            </w:tcMar>
            <w:vAlign w:val="bottom"/>
          </w:tcPr>
          <w:p w14:paraId="64298AD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D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E0" w14:textId="77777777" w:rsidR="007B6C97" w:rsidRDefault="00E426D1">
            <w:pPr>
              <w:jc w:val="right"/>
              <w:textAlignment w:val="bottom"/>
            </w:pPr>
            <w:r>
              <w:rPr>
                <w:rFonts w:ascii="Times New Roman" w:eastAsia="宋体" w:hAnsi="Times New Roman"/>
                <w:color w:val="000000"/>
                <w:sz w:val="20"/>
                <w:szCs w:val="20"/>
              </w:rPr>
              <w:t>170.3 </w:t>
            </w:r>
          </w:p>
        </w:tc>
        <w:tc>
          <w:tcPr>
            <w:tcW w:w="0" w:type="auto"/>
            <w:shd w:val="clear" w:color="auto" w:fill="FFFFFF"/>
            <w:tcMar>
              <w:top w:w="40" w:type="dxa"/>
              <w:left w:w="0" w:type="dxa"/>
              <w:bottom w:w="40" w:type="dxa"/>
              <w:right w:w="20" w:type="dxa"/>
            </w:tcMar>
            <w:vAlign w:val="bottom"/>
          </w:tcPr>
          <w:p w14:paraId="64298AE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E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E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AE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AE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AE6" w14:textId="77777777" w:rsidR="007B6C97" w:rsidRDefault="00E426D1">
            <w:pPr>
              <w:jc w:val="right"/>
              <w:textAlignment w:val="bottom"/>
            </w:pPr>
            <w:r>
              <w:rPr>
                <w:rFonts w:ascii="Times New Roman" w:eastAsia="宋体" w:hAnsi="Times New Roman"/>
                <w:color w:val="000000"/>
                <w:sz w:val="20"/>
                <w:szCs w:val="20"/>
              </w:rPr>
              <w:t>265.3 </w:t>
            </w:r>
          </w:p>
        </w:tc>
        <w:tc>
          <w:tcPr>
            <w:tcW w:w="0" w:type="auto"/>
            <w:shd w:val="clear" w:color="auto" w:fill="FFFFFF"/>
            <w:tcMar>
              <w:top w:w="40" w:type="dxa"/>
              <w:left w:w="0" w:type="dxa"/>
              <w:bottom w:w="40" w:type="dxa"/>
              <w:right w:w="20" w:type="dxa"/>
            </w:tcMar>
            <w:vAlign w:val="bottom"/>
          </w:tcPr>
          <w:p w14:paraId="64298AE7" w14:textId="77777777" w:rsidR="007B6C97" w:rsidRDefault="007B6C97">
            <w:pPr>
              <w:jc w:val="right"/>
              <w:rPr>
                <w:rFonts w:ascii="宋体"/>
              </w:rPr>
            </w:pPr>
          </w:p>
        </w:tc>
      </w:tr>
      <w:tr w:rsidR="007B6C97" w14:paraId="64298AF8" w14:textId="77777777">
        <w:tc>
          <w:tcPr>
            <w:tcW w:w="0" w:type="auto"/>
            <w:gridSpan w:val="3"/>
            <w:shd w:val="clear" w:color="auto" w:fill="D7E4BC"/>
            <w:tcMar>
              <w:top w:w="40" w:type="dxa"/>
              <w:left w:w="20" w:type="dxa"/>
              <w:bottom w:w="40" w:type="dxa"/>
              <w:right w:w="20" w:type="dxa"/>
            </w:tcMar>
          </w:tcPr>
          <w:p w14:paraId="64298AE9" w14:textId="77777777" w:rsidR="007B6C97" w:rsidRDefault="00E426D1">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4298AEA" w14:textId="77777777" w:rsidR="007B6C97" w:rsidRDefault="00E426D1">
            <w:pPr>
              <w:jc w:val="right"/>
              <w:textAlignment w:val="bottom"/>
            </w:pPr>
            <w:r>
              <w:rPr>
                <w:rFonts w:ascii="Times New Roman" w:eastAsia="宋体" w:hAnsi="Times New Roman"/>
                <w:color w:val="000000"/>
                <w:sz w:val="20"/>
                <w:szCs w:val="20"/>
              </w:rPr>
              <w:t>3,003.5 </w:t>
            </w:r>
          </w:p>
        </w:tc>
        <w:tc>
          <w:tcPr>
            <w:tcW w:w="0" w:type="auto"/>
            <w:shd w:val="clear" w:color="auto" w:fill="D7E4BC"/>
            <w:tcMar>
              <w:top w:w="40" w:type="dxa"/>
              <w:left w:w="0" w:type="dxa"/>
              <w:bottom w:w="40" w:type="dxa"/>
              <w:right w:w="20" w:type="dxa"/>
            </w:tcMar>
            <w:vAlign w:val="bottom"/>
          </w:tcPr>
          <w:p w14:paraId="64298AE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E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ED" w14:textId="77777777" w:rsidR="007B6C97" w:rsidRDefault="00E426D1">
            <w:pPr>
              <w:jc w:val="right"/>
              <w:textAlignment w:val="bottom"/>
            </w:pPr>
            <w:r>
              <w:rPr>
                <w:rFonts w:ascii="Times New Roman" w:eastAsia="宋体" w:hAnsi="Times New Roman"/>
                <w:color w:val="000000"/>
                <w:sz w:val="20"/>
                <w:szCs w:val="20"/>
              </w:rPr>
              <w:t>868.3 </w:t>
            </w:r>
          </w:p>
        </w:tc>
        <w:tc>
          <w:tcPr>
            <w:tcW w:w="0" w:type="auto"/>
            <w:shd w:val="clear" w:color="auto" w:fill="D7E4BC"/>
            <w:tcMar>
              <w:top w:w="40" w:type="dxa"/>
              <w:left w:w="0" w:type="dxa"/>
              <w:bottom w:w="40" w:type="dxa"/>
              <w:right w:w="20" w:type="dxa"/>
            </w:tcMar>
            <w:vAlign w:val="bottom"/>
          </w:tcPr>
          <w:p w14:paraId="64298AE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E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F0" w14:textId="77777777" w:rsidR="007B6C97" w:rsidRDefault="00E426D1">
            <w:pPr>
              <w:jc w:val="right"/>
              <w:textAlignment w:val="bottom"/>
            </w:pPr>
            <w:r>
              <w:rPr>
                <w:rFonts w:ascii="Times New Roman" w:eastAsia="宋体" w:hAnsi="Times New Roman"/>
                <w:color w:val="000000"/>
                <w:sz w:val="20"/>
                <w:szCs w:val="20"/>
              </w:rPr>
              <w:t>569.3 </w:t>
            </w:r>
          </w:p>
        </w:tc>
        <w:tc>
          <w:tcPr>
            <w:tcW w:w="0" w:type="auto"/>
            <w:shd w:val="clear" w:color="auto" w:fill="D7E4BC"/>
            <w:tcMar>
              <w:top w:w="40" w:type="dxa"/>
              <w:left w:w="0" w:type="dxa"/>
              <w:bottom w:w="40" w:type="dxa"/>
              <w:right w:w="20" w:type="dxa"/>
            </w:tcMar>
            <w:vAlign w:val="bottom"/>
          </w:tcPr>
          <w:p w14:paraId="64298AF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F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F3" w14:textId="77777777" w:rsidR="007B6C97" w:rsidRDefault="00E426D1">
            <w:pPr>
              <w:jc w:val="right"/>
              <w:textAlignment w:val="bottom"/>
            </w:pPr>
            <w:r>
              <w:rPr>
                <w:rFonts w:ascii="Times New Roman" w:eastAsia="宋体" w:hAnsi="Times New Roman"/>
                <w:color w:val="000000"/>
                <w:sz w:val="20"/>
                <w:szCs w:val="20"/>
              </w:rPr>
              <w:t>(1,051.2)</w:t>
            </w:r>
          </w:p>
        </w:tc>
        <w:tc>
          <w:tcPr>
            <w:tcW w:w="0" w:type="auto"/>
            <w:shd w:val="clear" w:color="auto" w:fill="D7E4BC"/>
            <w:tcMar>
              <w:top w:w="40" w:type="dxa"/>
              <w:left w:w="0" w:type="dxa"/>
              <w:bottom w:w="40" w:type="dxa"/>
              <w:right w:w="20" w:type="dxa"/>
            </w:tcMar>
            <w:vAlign w:val="bottom"/>
          </w:tcPr>
          <w:p w14:paraId="64298AF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AF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AF6" w14:textId="77777777" w:rsidR="007B6C97" w:rsidRDefault="00E426D1">
            <w:pPr>
              <w:jc w:val="right"/>
              <w:textAlignment w:val="bottom"/>
            </w:pPr>
            <w:r>
              <w:rPr>
                <w:rFonts w:ascii="Times New Roman" w:eastAsia="宋体" w:hAnsi="Times New Roman"/>
                <w:color w:val="000000"/>
                <w:sz w:val="20"/>
                <w:szCs w:val="20"/>
              </w:rPr>
              <w:t>3,389.9 </w:t>
            </w:r>
          </w:p>
        </w:tc>
        <w:tc>
          <w:tcPr>
            <w:tcW w:w="0" w:type="auto"/>
            <w:shd w:val="clear" w:color="auto" w:fill="D7E4BC"/>
            <w:tcMar>
              <w:top w:w="40" w:type="dxa"/>
              <w:left w:w="0" w:type="dxa"/>
              <w:bottom w:w="40" w:type="dxa"/>
              <w:right w:w="20" w:type="dxa"/>
            </w:tcMar>
            <w:vAlign w:val="bottom"/>
          </w:tcPr>
          <w:p w14:paraId="64298AF7" w14:textId="77777777" w:rsidR="007B6C97" w:rsidRDefault="007B6C97">
            <w:pPr>
              <w:jc w:val="right"/>
              <w:rPr>
                <w:rFonts w:ascii="宋体"/>
              </w:rPr>
            </w:pPr>
          </w:p>
        </w:tc>
      </w:tr>
    </w:tbl>
    <w:p w14:paraId="64298AF9" w14:textId="77777777" w:rsidR="007B6C97" w:rsidRDefault="00E426D1">
      <w:pPr>
        <w:pBdr>
          <w:left w:val="none" w:sz="0" w:space="0" w:color="auto"/>
        </w:pBd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North America and International total net revenues and operating income and Corporate and Other operating loss for the quarter and three quarters ended June 27, 2021, have </w:t>
      </w:r>
      <w:r>
        <w:rPr>
          <w:rFonts w:ascii="Times New Roman" w:eastAsia="宋体" w:hAnsi="Times New Roman"/>
          <w:color w:val="000000"/>
          <w:sz w:val="20"/>
          <w:szCs w:val="20"/>
        </w:rPr>
        <w:t>been restated to conform with current period presentation.</w:t>
      </w:r>
    </w:p>
    <w:p w14:paraId="64298AFA" w14:textId="77777777" w:rsidR="007B6C97" w:rsidRDefault="00E426D1">
      <w:pPr>
        <w:jc w:val="center"/>
      </w:pPr>
      <w:r>
        <w:rPr>
          <w:rFonts w:ascii="Times New Roman" w:eastAsia="宋体" w:hAnsi="Times New Roman"/>
          <w:color w:val="000000"/>
          <w:sz w:val="20"/>
          <w:szCs w:val="20"/>
        </w:rPr>
        <w:t>29</w:t>
      </w:r>
    </w:p>
    <w:p w14:paraId="64298AFB" w14:textId="77777777" w:rsidR="007B6C97" w:rsidRDefault="00E426D1">
      <w:r>
        <w:pict w14:anchorId="642999F7">
          <v:rect id="_x0000_i1053" style="width:415.3pt;height:1.5pt" o:hralign="center" o:hrstd="t" o:hr="t" fillcolor="#a0a0a0" stroked="f"/>
        </w:pict>
      </w:r>
    </w:p>
    <w:p w14:paraId="64298AFC" w14:textId="77777777" w:rsidR="007B6C97" w:rsidRDefault="00E426D1">
      <w:hyperlink r:id="rId139" w:anchor="ie38a2b375c9840e583a36769999bbee6_7" w:history="1">
        <w:r>
          <w:rPr>
            <w:rStyle w:val="a5"/>
            <w:rFonts w:ascii="Times New Roman" w:eastAsia="宋体" w:hAnsi="Times New Roman"/>
            <w:sz w:val="20"/>
            <w:szCs w:val="20"/>
          </w:rPr>
          <w:t>Table</w:t>
        </w:r>
      </w:hyperlink>
      <w:hyperlink r:id="rId140" w:anchor="ie38a2b375c9840e583a36769999bbee6_7" w:history="1">
        <w:r>
          <w:rPr>
            <w:rStyle w:val="a5"/>
            <w:rFonts w:ascii="Times New Roman" w:eastAsia="宋体" w:hAnsi="Times New Roman"/>
            <w:sz w:val="20"/>
            <w:szCs w:val="20"/>
          </w:rPr>
          <w:t xml:space="preserve"> of Contents</w:t>
        </w:r>
      </w:hyperlink>
    </w:p>
    <w:p w14:paraId="64298AFD" w14:textId="77777777" w:rsidR="007B6C97" w:rsidRDefault="00E426D1">
      <w:pPr>
        <w:pBdr>
          <w:left w:val="none" w:sz="0" w:space="0" w:color="auto"/>
        </w:pBd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Operations</w:t>
      </w:r>
    </w:p>
    <w:p w14:paraId="64298AFE" w14:textId="77777777" w:rsidR="007B6C97" w:rsidRDefault="00E426D1">
      <w:pPr>
        <w:spacing w:before="120"/>
      </w:pPr>
      <w:r>
        <w:rPr>
          <w:rFonts w:ascii="Times New Roman" w:eastAsia="宋体" w:hAnsi="Times New Roman"/>
          <w:b/>
          <w:bCs/>
          <w:i/>
          <w:iCs/>
          <w:color w:val="000000"/>
          <w:sz w:val="20"/>
          <w:szCs w:val="20"/>
        </w:rPr>
        <w:t>CAUTIONARY STATEMENT PURSUANT T</w:t>
      </w:r>
      <w:r>
        <w:rPr>
          <w:rFonts w:ascii="Times New Roman" w:eastAsia="宋体" w:hAnsi="Times New Roman"/>
          <w:b/>
          <w:bCs/>
          <w:i/>
          <w:iCs/>
          <w:color w:val="000000"/>
          <w:sz w:val="20"/>
          <w:szCs w:val="20"/>
        </w:rPr>
        <w:t>O THE PRIVATE SECURITIES LITIGATION REFORM ACT OF 1995</w:t>
      </w:r>
    </w:p>
    <w:p w14:paraId="64298AFF" w14:textId="77777777" w:rsidR="007B6C97" w:rsidRDefault="00E426D1">
      <w:pPr>
        <w:spacing w:before="120"/>
      </w:pPr>
      <w:r>
        <w:rPr>
          <w:rFonts w:ascii="Times New Roman" w:eastAsia="宋体" w:hAnsi="Times New Roman"/>
          <w:i/>
          <w:iCs/>
          <w:color w:val="000000"/>
          <w:sz w:val="20"/>
          <w:szCs w:val="20"/>
        </w:rPr>
        <w:t xml:space="preserve">Certain statements contained herein are “forward-looking” statements within the meaning of applicable securities laws and regulations. Generally, these statements can be identified by the use of words </w:t>
      </w:r>
      <w:r>
        <w:rPr>
          <w:rFonts w:ascii="Times New Roman" w:eastAsia="宋体" w:hAnsi="Times New Roman"/>
          <w:i/>
          <w:iCs/>
          <w:color w:val="000000"/>
          <w:sz w:val="20"/>
          <w:szCs w:val="20"/>
        </w:rPr>
        <w:t>such as “aim,” “anticipate,” “believe,” “continue,” “could,” “estimate,” “expect,” “feel,” “forecast,” “intend,” “may,” “outlook,” “plan,” “potential,” “predict,” “project,” “seek,” “should,” “will,” “would,” and similar expressions intended to identify fo</w:t>
      </w:r>
      <w:r>
        <w:rPr>
          <w:rFonts w:ascii="Times New Roman" w:eastAsia="宋体" w:hAnsi="Times New Roman"/>
          <w:i/>
          <w:iCs/>
          <w:color w:val="000000"/>
          <w:sz w:val="20"/>
          <w:szCs w:val="20"/>
        </w:rPr>
        <w:t>rward-looking statements, although not all forward-looking statements contain these identifying words. These statements include statements relating to trends in or expectations relating to the effects of our existing and any future initiatives, strategies,</w:t>
      </w:r>
      <w:r>
        <w:rPr>
          <w:rFonts w:ascii="Times New Roman" w:eastAsia="宋体" w:hAnsi="Times New Roman"/>
          <w:i/>
          <w:iCs/>
          <w:color w:val="000000"/>
          <w:sz w:val="20"/>
          <w:szCs w:val="20"/>
        </w:rPr>
        <w:t xml:space="preserve"> investments and plans, including our reinvention plan, as well as trends in or expectations regarding our financial results and long-term growth model and drivers; our operations in the U.S. and China; our environmental, social and governance efforts; our</w:t>
      </w:r>
      <w:r>
        <w:rPr>
          <w:rFonts w:ascii="Times New Roman" w:eastAsia="宋体" w:hAnsi="Times New Roman"/>
          <w:i/>
          <w:iCs/>
          <w:color w:val="000000"/>
          <w:sz w:val="20"/>
          <w:szCs w:val="20"/>
        </w:rPr>
        <w:t xml:space="preserve"> partners; economic and consumer trends, including the impact of inflationary pressures; impact of foreign currency translation; strategic pricing actions; the conversion of certain market operations to fully licensed models; our plans for streamlining our</w:t>
      </w:r>
      <w:r>
        <w:rPr>
          <w:rFonts w:ascii="Times New Roman" w:eastAsia="宋体" w:hAnsi="Times New Roman"/>
          <w:i/>
          <w:iCs/>
          <w:color w:val="000000"/>
          <w:sz w:val="20"/>
          <w:szCs w:val="20"/>
        </w:rPr>
        <w:t xml:space="preserve"> operations, including store openings, closures and changes in store formats and models; expanding our licensing to Nestlé of our consumer packaged goods and Foodservice businesses and its effects on our Channel Development segment results; tax rates; busi</w:t>
      </w:r>
      <w:r>
        <w:rPr>
          <w:rFonts w:ascii="Times New Roman" w:eastAsia="宋体" w:hAnsi="Times New Roman"/>
          <w:i/>
          <w:iCs/>
          <w:color w:val="000000"/>
          <w:sz w:val="20"/>
          <w:szCs w:val="20"/>
        </w:rPr>
        <w:t>ness opportunities and expansion; strategic acquisitions; our dividends programs; commodity costs and our mitigation strategies; our liquidity, cash flow from operations, investments, borrowing capacity and use of proceeds; continuing compliance with our c</w:t>
      </w:r>
      <w:r>
        <w:rPr>
          <w:rFonts w:ascii="Times New Roman" w:eastAsia="宋体" w:hAnsi="Times New Roman"/>
          <w:i/>
          <w:iCs/>
          <w:color w:val="000000"/>
          <w:sz w:val="20"/>
          <w:szCs w:val="20"/>
        </w:rPr>
        <w:t>ovenants under our credit facilities and commercial paper program; repatriation of cash to the U.S.; the likelihood of the issuance of additional debt and the applicable interest rate; the continuing impact of the COVID-19 pandemic on our financial results</w:t>
      </w:r>
      <w:r>
        <w:rPr>
          <w:rFonts w:ascii="Times New Roman" w:eastAsia="宋体" w:hAnsi="Times New Roman"/>
          <w:i/>
          <w:iCs/>
          <w:color w:val="000000"/>
          <w:sz w:val="20"/>
          <w:szCs w:val="20"/>
        </w:rPr>
        <w:t xml:space="preserve"> and future availability of governmental subsidies for COVID-19 or other public health events; our ceo transition; our share repurchase program; our use of cash and cash requirements; the expected effects of new accounting pronouncements and the estimated </w:t>
      </w:r>
      <w:r>
        <w:rPr>
          <w:rFonts w:ascii="Times New Roman" w:eastAsia="宋体" w:hAnsi="Times New Roman"/>
          <w:i/>
          <w:iCs/>
          <w:color w:val="000000"/>
          <w:sz w:val="20"/>
          <w:szCs w:val="20"/>
        </w:rPr>
        <w:t>impact of changes in U.S. tax law, including on tax rates, investments funded by these changes and potential outcomes; and effects of legal proceedings. Such statements are based on currently available operating, financial and competitive information and a</w:t>
      </w:r>
      <w:r>
        <w:rPr>
          <w:rFonts w:ascii="Times New Roman" w:eastAsia="宋体" w:hAnsi="Times New Roman"/>
          <w:i/>
          <w:iCs/>
          <w:color w:val="000000"/>
          <w:sz w:val="20"/>
          <w:szCs w:val="20"/>
        </w:rPr>
        <w:t>re subject to various risks and uncertainties. Actual future results and trends may differ materially depending on a variety of factors, including, but not limited to: the continuing impact of COVID-19 on our business; regulatory measures or voluntary acti</w:t>
      </w:r>
      <w:r>
        <w:rPr>
          <w:rFonts w:ascii="Times New Roman" w:eastAsia="宋体" w:hAnsi="Times New Roman"/>
          <w:i/>
          <w:iCs/>
          <w:color w:val="000000"/>
          <w:sz w:val="20"/>
          <w:szCs w:val="20"/>
        </w:rPr>
        <w:t xml:space="preserve">ons that may be put in place to limit the spread of COVID-19, including restrictions on business operations or social distancing requirements, and the duration and efficacy of such restrictions; the resurgence of COVID-19 infections and the circulation of </w:t>
      </w:r>
      <w:r>
        <w:rPr>
          <w:rFonts w:ascii="Times New Roman" w:eastAsia="宋体" w:hAnsi="Times New Roman"/>
          <w:i/>
          <w:iCs/>
          <w:color w:val="000000"/>
          <w:sz w:val="20"/>
          <w:szCs w:val="20"/>
        </w:rPr>
        <w:t>novel variants of COVID-19; fluctuations in U.S. and international economies and currencies; our ability to preserve, grow and leverage our brands; the ability of our business partners and third-party providers to fulfill their responsibilities and commitm</w:t>
      </w:r>
      <w:r>
        <w:rPr>
          <w:rFonts w:ascii="Times New Roman" w:eastAsia="宋体" w:hAnsi="Times New Roman"/>
          <w:i/>
          <w:iCs/>
          <w:color w:val="000000"/>
          <w:sz w:val="20"/>
          <w:szCs w:val="20"/>
        </w:rPr>
        <w:t>ents; potential negative effects of incidents involving food or beverage-borne illnesses, tampering, adulteration, contamination or mislabeling; potential negative effects of material breaches of our information technology systems to the extent we experien</w:t>
      </w:r>
      <w:r>
        <w:rPr>
          <w:rFonts w:ascii="Times New Roman" w:eastAsia="宋体" w:hAnsi="Times New Roman"/>
          <w:i/>
          <w:iCs/>
          <w:color w:val="000000"/>
          <w:sz w:val="20"/>
          <w:szCs w:val="20"/>
        </w:rPr>
        <w:t>ce a material breach; material failures of our information technology systems; costs associated with, and the successful execution of, the Company’s initiatives and plans; new initiatives and plans or revisions to existing initiatives or plans; our ability</w:t>
      </w:r>
      <w:r>
        <w:rPr>
          <w:rFonts w:ascii="Times New Roman" w:eastAsia="宋体" w:hAnsi="Times New Roman"/>
          <w:i/>
          <w:iCs/>
          <w:color w:val="000000"/>
          <w:sz w:val="20"/>
          <w:szCs w:val="20"/>
        </w:rPr>
        <w:t xml:space="preserve"> to obtain financing on acceptable terms; the acceptance of the Company’s products by our customers, evolving consumer preferences and tastes and changes in consumer spending behavior; partner investments, changes in the availability and cost of labor incl</w:t>
      </w:r>
      <w:r>
        <w:rPr>
          <w:rFonts w:ascii="Times New Roman" w:eastAsia="宋体" w:hAnsi="Times New Roman"/>
          <w:i/>
          <w:iCs/>
          <w:color w:val="000000"/>
          <w:sz w:val="20"/>
          <w:szCs w:val="20"/>
        </w:rPr>
        <w:t>uding any union organizing efforts and our responses to such efforts; failure to attract or retain key executive or employee talent or successfully transition executives; significant increased logistics costs; inflationary pressures; the impact of competit</w:t>
      </w:r>
      <w:r>
        <w:rPr>
          <w:rFonts w:ascii="Times New Roman" w:eastAsia="宋体" w:hAnsi="Times New Roman"/>
          <w:i/>
          <w:iCs/>
          <w:color w:val="000000"/>
          <w:sz w:val="20"/>
          <w:szCs w:val="20"/>
        </w:rPr>
        <w:t>ion; inherent risks of operating a global business including any potential negative effects stemming from the Russian invasion of Ukraine; the prices and availability of coffee, dairy and other raw materials; the effect of legal proceedings; and the effect</w:t>
      </w:r>
      <w:r>
        <w:rPr>
          <w:rFonts w:ascii="Times New Roman" w:eastAsia="宋体" w:hAnsi="Times New Roman"/>
          <w:i/>
          <w:iCs/>
          <w:color w:val="000000"/>
          <w:sz w:val="20"/>
          <w:szCs w:val="20"/>
        </w:rPr>
        <w:t xml:space="preserve">s of changes in tax laws and related guidance and regulations that may be implemented and other risks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64298B00" w14:textId="77777777" w:rsidR="007B6C97" w:rsidRDefault="00E426D1">
      <w:pPr>
        <w:spacing w:before="120"/>
      </w:pPr>
      <w:r>
        <w:rPr>
          <w:rFonts w:ascii="Times New Roman" w:eastAsia="宋体" w:hAnsi="Times New Roman"/>
          <w:i/>
          <w:iCs/>
          <w:color w:val="000000"/>
          <w:sz w:val="20"/>
          <w:szCs w:val="20"/>
        </w:rPr>
        <w:t xml:space="preserve">A forward-looking statement is neither a </w:t>
      </w:r>
      <w:r>
        <w:rPr>
          <w:rFonts w:ascii="Times New Roman" w:eastAsia="宋体" w:hAnsi="Times New Roman"/>
          <w:i/>
          <w:iCs/>
          <w:color w:val="000000"/>
          <w:sz w:val="20"/>
          <w:szCs w:val="20"/>
        </w:rPr>
        <w:t>prediction nor a guarantee of future events or circumstances, and those future events or circumstances may not occur. You should not place undue reliance on the forward-looking statements, which speak only as of the date of this report. We are under no obl</w:t>
      </w:r>
      <w:r>
        <w:rPr>
          <w:rFonts w:ascii="Times New Roman" w:eastAsia="宋体" w:hAnsi="Times New Roman"/>
          <w:i/>
          <w:iCs/>
          <w:color w:val="000000"/>
          <w:sz w:val="20"/>
          <w:szCs w:val="20"/>
        </w:rPr>
        <w:t>igation to update or alter any forward-looking statements, whether as a result of new information, future events or otherwise.</w:t>
      </w:r>
    </w:p>
    <w:p w14:paraId="64298B01" w14:textId="77777777" w:rsidR="007B6C97" w:rsidRDefault="00E426D1">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w:t>
      </w:r>
      <w:r>
        <w:rPr>
          <w:rFonts w:ascii="Times New Roman" w:eastAsia="宋体" w:hAnsi="Times New Roman"/>
          <w:color w:val="000000"/>
          <w:sz w:val="20"/>
          <w:szCs w:val="20"/>
        </w:rPr>
        <w:t>t I of this 10-Q and the audited consolidated financial statements and notes, and Management’s Discussion and Analysis of Financial Condition and Results of Operations (“MD&amp;A”), contained in the 10-K filed with the SEC on November 19, 2021.</w:t>
      </w:r>
    </w:p>
    <w:p w14:paraId="64298B02" w14:textId="77777777" w:rsidR="007B6C97" w:rsidRDefault="00E426D1">
      <w:pPr>
        <w:spacing w:before="120"/>
      </w:pPr>
      <w:r>
        <w:rPr>
          <w:rFonts w:ascii="Times New Roman" w:eastAsia="宋体" w:hAnsi="Times New Roman"/>
          <w:b/>
          <w:bCs/>
          <w:color w:val="000000"/>
          <w:sz w:val="20"/>
          <w:szCs w:val="20"/>
        </w:rPr>
        <w:t>Introduction an</w:t>
      </w:r>
      <w:r>
        <w:rPr>
          <w:rFonts w:ascii="Times New Roman" w:eastAsia="宋体" w:hAnsi="Times New Roman"/>
          <w:b/>
          <w:bCs/>
          <w:color w:val="000000"/>
          <w:sz w:val="20"/>
          <w:szCs w:val="20"/>
        </w:rPr>
        <w:t>d Overview</w:t>
      </w:r>
    </w:p>
    <w:p w14:paraId="64298B03" w14:textId="77777777" w:rsidR="007B6C97" w:rsidRDefault="00E426D1">
      <w:pPr>
        <w:spacing w:before="120"/>
      </w:pPr>
      <w:r>
        <w:rPr>
          <w:rFonts w:ascii="Times New Roman" w:eastAsia="宋体" w:hAnsi="Times New Roman"/>
          <w:color w:val="000000"/>
          <w:sz w:val="20"/>
          <w:szCs w:val="20"/>
        </w:rPr>
        <w:t>Starbucks is the premier roaster, marketer and retailer of specialty coffee in the world, operating in 83 markets. As of July 3, 2022, Starbucks had more than 34,900 company-operated and licensed stores, an increase of 5% from the prior year. Ad</w:t>
      </w:r>
      <w:r>
        <w:rPr>
          <w:rFonts w:ascii="Times New Roman" w:eastAsia="宋体" w:hAnsi="Times New Roman"/>
          <w:color w:val="000000"/>
          <w:sz w:val="20"/>
          <w:szCs w:val="20"/>
        </w:rPr>
        <w:t>ditionally, we sell a variety of consumer-packaged goods, primarily through the Global Coffee Alliance established with Nestlé and other partnerships and joint ventures. During the quarter ended July 3, 2022, our global comparable store sales grew 3%, prim</w:t>
      </w:r>
      <w:r>
        <w:rPr>
          <w:rFonts w:ascii="Times New Roman" w:eastAsia="宋体" w:hAnsi="Times New Roman"/>
          <w:color w:val="000000"/>
          <w:sz w:val="20"/>
          <w:szCs w:val="20"/>
        </w:rPr>
        <w:t>arily driven by 9% growth in the U.S. market, partially offset by COVID-19 pandemic related restrictions in China, leading to a 44% decrease in China comparable store sales.</w:t>
      </w:r>
    </w:p>
    <w:p w14:paraId="64298B04" w14:textId="77777777" w:rsidR="007B6C97" w:rsidRDefault="00E426D1">
      <w:pPr>
        <w:jc w:val="center"/>
      </w:pPr>
      <w:r>
        <w:rPr>
          <w:rFonts w:ascii="Times New Roman" w:eastAsia="宋体" w:hAnsi="Times New Roman"/>
          <w:color w:val="000000"/>
          <w:sz w:val="20"/>
          <w:szCs w:val="20"/>
        </w:rPr>
        <w:t>30</w:t>
      </w:r>
    </w:p>
    <w:p w14:paraId="64298B05" w14:textId="77777777" w:rsidR="007B6C97" w:rsidRDefault="00E426D1">
      <w:r>
        <w:pict w14:anchorId="642999F8">
          <v:rect id="_x0000_i1054" style="width:415.3pt;height:1.5pt" o:hralign="center" o:hrstd="t" o:hr="t" fillcolor="#a0a0a0" stroked="f"/>
        </w:pict>
      </w:r>
    </w:p>
    <w:p w14:paraId="64298B06" w14:textId="77777777" w:rsidR="007B6C97" w:rsidRDefault="00E426D1">
      <w:hyperlink r:id="rId141" w:anchor="ie38a2b375c9840e583a36769999bbee6_7" w:history="1">
        <w:r>
          <w:rPr>
            <w:rStyle w:val="a5"/>
            <w:rFonts w:ascii="Times New Roman" w:eastAsia="宋体" w:hAnsi="Times New Roman"/>
            <w:sz w:val="20"/>
            <w:szCs w:val="20"/>
          </w:rPr>
          <w:t>Table</w:t>
        </w:r>
      </w:hyperlink>
      <w:hyperlink r:id="rId142" w:anchor="ie38a2b375c9840e583a36769999bbee6_7" w:history="1">
        <w:r>
          <w:rPr>
            <w:rStyle w:val="a5"/>
            <w:rFonts w:ascii="Times New Roman" w:eastAsia="宋体" w:hAnsi="Times New Roman"/>
            <w:sz w:val="20"/>
            <w:szCs w:val="20"/>
          </w:rPr>
          <w:t xml:space="preserve"> of Contents</w:t>
        </w:r>
      </w:hyperlink>
    </w:p>
    <w:p w14:paraId="64298B07" w14:textId="77777777" w:rsidR="007B6C97" w:rsidRDefault="00E426D1">
      <w:pPr>
        <w:spacing w:before="120"/>
      </w:pPr>
      <w:r>
        <w:rPr>
          <w:rFonts w:ascii="Times New Roman" w:eastAsia="宋体" w:hAnsi="Times New Roman"/>
          <w:color w:val="000000"/>
          <w:sz w:val="20"/>
          <w:szCs w:val="20"/>
        </w:rPr>
        <w:t>We have t</w:t>
      </w:r>
      <w:r>
        <w:rPr>
          <w:rFonts w:ascii="Times New Roman" w:eastAsia="宋体" w:hAnsi="Times New Roman"/>
          <w:color w:val="000000"/>
          <w:sz w:val="20"/>
          <w:szCs w:val="20"/>
        </w:rPr>
        <w:t>hree reportable operating segments: 1) North America, which is inclusive of the U.S. and Canada, 2) International, which is inclusive of China, Japan, Asia Pacific, Europe, Middle East, Africa, Latin America and the Caribbean; and 3) Channel Development. N</w:t>
      </w:r>
      <w:r>
        <w:rPr>
          <w:rFonts w:ascii="Times New Roman" w:eastAsia="宋体" w:hAnsi="Times New Roman"/>
          <w:color w:val="000000"/>
          <w:sz w:val="20"/>
          <w:szCs w:val="20"/>
        </w:rPr>
        <w:t>on-reportable operating segments such as Evolution Fresh and unallocated corporate expenses are reported within Corporate and Other.</w:t>
      </w:r>
    </w:p>
    <w:p w14:paraId="64298B08" w14:textId="77777777" w:rsidR="007B6C97" w:rsidRDefault="00E426D1">
      <w:pPr>
        <w:spacing w:before="120"/>
      </w:pPr>
      <w:r>
        <w:rPr>
          <w:rFonts w:ascii="Times New Roman" w:eastAsia="宋体" w:hAnsi="Times New Roman"/>
          <w:color w:val="000000"/>
          <w:sz w:val="20"/>
          <w:szCs w:val="20"/>
        </w:rPr>
        <w:t>We believe our financial results and long-term growth model will continue to be driven by new store openings, comparable st</w:t>
      </w:r>
      <w:r>
        <w:rPr>
          <w:rFonts w:ascii="Times New Roman" w:eastAsia="宋体" w:hAnsi="Times New Roman"/>
          <w:color w:val="000000"/>
          <w:sz w:val="20"/>
          <w:szCs w:val="20"/>
        </w:rPr>
        <w:t>ore sales growth and operating margin management, underpinned by disciplined capital allocation. We believe these key operating metrics are useful to investors because management uses these metrics to assess the growth of our business and the effectiveness</w:t>
      </w:r>
      <w:r>
        <w:rPr>
          <w:rFonts w:ascii="Times New Roman" w:eastAsia="宋体" w:hAnsi="Times New Roman"/>
          <w:color w:val="000000"/>
          <w:sz w:val="20"/>
          <w:szCs w:val="20"/>
        </w:rPr>
        <w:t xml:space="preserve"> of our marketing and operational strategies. Throughout this MD&amp;A, we commonly discuss the following key operating metrics:</w:t>
      </w:r>
    </w:p>
    <w:p w14:paraId="64298B09" w14:textId="77777777" w:rsidR="007B6C97" w:rsidRDefault="00E426D1">
      <w:pPr>
        <w:pBdr>
          <w:left w:val="none" w:sz="0" w:space="0" w:color="auto"/>
        </w:pBdr>
        <w:ind w:hanging="360"/>
      </w:pPr>
      <w:r>
        <w:rPr>
          <w:rFonts w:ascii="Times New Roman" w:eastAsia="宋体" w:hAnsi="Times New Roman"/>
          <w:color w:val="000000"/>
          <w:sz w:val="20"/>
          <w:szCs w:val="20"/>
        </w:rPr>
        <w:t>•New store openings and store count</w:t>
      </w:r>
    </w:p>
    <w:p w14:paraId="64298B0A" w14:textId="77777777" w:rsidR="007B6C97" w:rsidRDefault="00E426D1">
      <w:pPr>
        <w:pBdr>
          <w:left w:val="none" w:sz="0" w:space="0" w:color="auto"/>
        </w:pBdr>
        <w:ind w:hanging="360"/>
      </w:pPr>
      <w:r>
        <w:rPr>
          <w:rFonts w:ascii="Times New Roman" w:eastAsia="宋体" w:hAnsi="Times New Roman"/>
          <w:color w:val="000000"/>
          <w:sz w:val="20"/>
          <w:szCs w:val="20"/>
        </w:rPr>
        <w:t>•Comparable store sales growth</w:t>
      </w:r>
    </w:p>
    <w:p w14:paraId="64298B0B" w14:textId="77777777" w:rsidR="007B6C97" w:rsidRDefault="00E426D1">
      <w:pPr>
        <w:pBdr>
          <w:left w:val="none" w:sz="0" w:space="0" w:color="auto"/>
        </w:pBdr>
        <w:ind w:hanging="360"/>
      </w:pPr>
      <w:r>
        <w:rPr>
          <w:rFonts w:ascii="Times New Roman" w:eastAsia="宋体" w:hAnsi="Times New Roman"/>
          <w:color w:val="000000"/>
          <w:sz w:val="20"/>
          <w:szCs w:val="20"/>
        </w:rPr>
        <w:t>•Operating margin</w:t>
      </w:r>
    </w:p>
    <w:p w14:paraId="64298B0C" w14:textId="77777777" w:rsidR="007B6C97" w:rsidRDefault="00E426D1">
      <w:pPr>
        <w:spacing w:before="120"/>
      </w:pPr>
      <w:r>
        <w:rPr>
          <w:rFonts w:ascii="Times New Roman" w:eastAsia="宋体" w:hAnsi="Times New Roman"/>
          <w:color w:val="000000"/>
          <w:sz w:val="20"/>
          <w:szCs w:val="20"/>
        </w:rPr>
        <w:t xml:space="preserve">Comparable store sales growth </w:t>
      </w:r>
      <w:r>
        <w:rPr>
          <w:rFonts w:ascii="Times New Roman" w:eastAsia="宋体" w:hAnsi="Times New Roman"/>
          <w:color w:val="000000"/>
          <w:sz w:val="20"/>
          <w:szCs w:val="20"/>
        </w:rPr>
        <w:t xml:space="preserve">represents the percentage change in sales in one period from the same prior year period for company-operated stores open for 13 months or longer and exclude the impact of foreign currency translation. We analyze comparable store sales growth on a constant </w:t>
      </w:r>
      <w:r>
        <w:rPr>
          <w:rFonts w:ascii="Times New Roman" w:eastAsia="宋体" w:hAnsi="Times New Roman"/>
          <w:color w:val="000000"/>
          <w:sz w:val="20"/>
          <w:szCs w:val="20"/>
        </w:rPr>
        <w:t>currency basis as this helps identify underlying business trends, without distortion from the effects of currency movements. Stores that are temporarily closed or operating at reduced hours due to the COVID-19 pandemic remain in comparable store sales whil</w:t>
      </w:r>
      <w:r>
        <w:rPr>
          <w:rFonts w:ascii="Times New Roman" w:eastAsia="宋体" w:hAnsi="Times New Roman"/>
          <w:color w:val="000000"/>
          <w:sz w:val="20"/>
          <w:szCs w:val="20"/>
        </w:rPr>
        <w:t>e stores identified for permanent closure have been removed.</w:t>
      </w:r>
    </w:p>
    <w:p w14:paraId="64298B0D" w14:textId="77777777" w:rsidR="007B6C97" w:rsidRDefault="00E426D1">
      <w:pPr>
        <w:spacing w:before="120"/>
      </w:pPr>
      <w:r>
        <w:rPr>
          <w:rFonts w:ascii="Times New Roman" w:eastAsia="宋体" w:hAnsi="Times New Roman"/>
          <w:color w:val="000000"/>
          <w:sz w:val="20"/>
          <w:szCs w:val="20"/>
        </w:rPr>
        <w:t>Our fiscal year ends on the Sunday closest to September 30. Our fiscal 2022 year includes 52 weeks while our fiscal 2021 year included 53 weeks, with the 53rd week falling in the fourth quarter o</w:t>
      </w:r>
      <w:r>
        <w:rPr>
          <w:rFonts w:ascii="Times New Roman" w:eastAsia="宋体" w:hAnsi="Times New Roman"/>
          <w:color w:val="000000"/>
          <w:sz w:val="20"/>
          <w:szCs w:val="20"/>
        </w:rPr>
        <w:t xml:space="preserve">f fiscal 2021. All references to store counts, including data for new store openings, are reported net of store closures, unless otherwise noted. </w:t>
      </w:r>
    </w:p>
    <w:p w14:paraId="64298B0E" w14:textId="77777777" w:rsidR="007B6C97" w:rsidRDefault="00E426D1">
      <w:pPr>
        <w:spacing w:before="120"/>
      </w:pPr>
      <w:r>
        <w:rPr>
          <w:rFonts w:ascii="Times New Roman" w:eastAsia="宋体" w:hAnsi="Times New Roman"/>
          <w:color w:val="000000"/>
          <w:sz w:val="20"/>
          <w:szCs w:val="20"/>
        </w:rPr>
        <w:t>Starbucks results for the third quarter of fiscal 2022 demonstrate the overall strength and resilience of our</w:t>
      </w:r>
      <w:r>
        <w:rPr>
          <w:rFonts w:ascii="Times New Roman" w:eastAsia="宋体" w:hAnsi="Times New Roman"/>
          <w:color w:val="000000"/>
          <w:sz w:val="20"/>
          <w:szCs w:val="20"/>
        </w:rPr>
        <w:t xml:space="preserve"> brand, despite continued COVID-19 pandemic related disruptions in our China market and global inflation. Consolidated net revenues increased 9% to $8.2 billion in the third quarter of fiscal 2022 compared to $7.5 billion in the third quarter of fiscal 202</w:t>
      </w:r>
      <w:r>
        <w:rPr>
          <w:rFonts w:ascii="Times New Roman" w:eastAsia="宋体" w:hAnsi="Times New Roman"/>
          <w:color w:val="000000"/>
          <w:sz w:val="20"/>
          <w:szCs w:val="20"/>
        </w:rPr>
        <w:t>1, primarily driven by strength in our U.S. business and growth in our International segment excluding China, partially offset by COVID-19 pandemic related disruptions in China restricting customer mobility. Consolidated operating margin decreased 400 basi</w:t>
      </w:r>
      <w:r>
        <w:rPr>
          <w:rFonts w:ascii="Times New Roman" w:eastAsia="宋体" w:hAnsi="Times New Roman"/>
          <w:color w:val="000000"/>
          <w:sz w:val="20"/>
          <w:szCs w:val="20"/>
        </w:rPr>
        <w:t>s points from the prior year to 15.9%, primarily driven by inflationary pressures, investments and growth in retail store partner wages as well as sales deleverage related to COVID-19 pandemic related impacts in our China market. These decreases were parti</w:t>
      </w:r>
      <w:r>
        <w:rPr>
          <w:rFonts w:ascii="Times New Roman" w:eastAsia="宋体" w:hAnsi="Times New Roman"/>
          <w:color w:val="000000"/>
          <w:sz w:val="20"/>
          <w:szCs w:val="20"/>
        </w:rPr>
        <w:t>ally offset by strategic pricing in North America and sales leverage across markets outside of China.</w:t>
      </w:r>
    </w:p>
    <w:p w14:paraId="64298B0F" w14:textId="77777777" w:rsidR="007B6C97" w:rsidRDefault="00E426D1">
      <w:pPr>
        <w:spacing w:before="120"/>
      </w:pPr>
      <w:r>
        <w:rPr>
          <w:rFonts w:ascii="Times New Roman" w:eastAsia="宋体" w:hAnsi="Times New Roman"/>
          <w:color w:val="000000"/>
          <w:sz w:val="20"/>
          <w:szCs w:val="20"/>
        </w:rPr>
        <w:t>For both the North America segment and our U.S. market, comparable store sales increased 9% for the third quarter of fiscal 2022 compared to an increase o</w:t>
      </w:r>
      <w:r>
        <w:rPr>
          <w:rFonts w:ascii="Times New Roman" w:eastAsia="宋体" w:hAnsi="Times New Roman"/>
          <w:color w:val="000000"/>
          <w:sz w:val="20"/>
          <w:szCs w:val="20"/>
        </w:rPr>
        <w:t>f 84% and 83% for the North America segment and the U.S. market, respectively, in the third quarter of fiscal 2021. Average ticket for both the North America segment and the U.S. market grew 8%, primarily driven by strategic pricing and increased demand fo</w:t>
      </w:r>
      <w:r>
        <w:rPr>
          <w:rFonts w:ascii="Times New Roman" w:eastAsia="宋体" w:hAnsi="Times New Roman"/>
          <w:color w:val="000000"/>
          <w:sz w:val="20"/>
          <w:szCs w:val="20"/>
        </w:rPr>
        <w:t xml:space="preserve">r food items in our U.S. market. The segment also experienced higher costs, primarily related to increased supply chain costs due to inflationary pressures, enhancements in retail store partner wages and increased spend on new partner training and support </w:t>
      </w:r>
      <w:r>
        <w:rPr>
          <w:rFonts w:ascii="Times New Roman" w:eastAsia="宋体" w:hAnsi="Times New Roman"/>
          <w:color w:val="000000"/>
          <w:sz w:val="20"/>
          <w:szCs w:val="20"/>
        </w:rPr>
        <w:t>costs.</w:t>
      </w:r>
    </w:p>
    <w:p w14:paraId="64298B10" w14:textId="77777777" w:rsidR="007B6C97" w:rsidRDefault="00E426D1">
      <w:pPr>
        <w:spacing w:before="120"/>
      </w:pPr>
      <w:r>
        <w:rPr>
          <w:rFonts w:ascii="Times New Roman" w:eastAsia="宋体" w:hAnsi="Times New Roman"/>
          <w:color w:val="000000"/>
          <w:sz w:val="20"/>
          <w:szCs w:val="20"/>
        </w:rPr>
        <w:t>For the International segment, comparable store sales declined 18% for the third quarter of fiscal 2022, driven by comparable store sales decline of 44% in our China market. Our China market experienced unprecedented COVID-19 pandemic related restri</w:t>
      </w:r>
      <w:r>
        <w:rPr>
          <w:rFonts w:ascii="Times New Roman" w:eastAsia="宋体" w:hAnsi="Times New Roman"/>
          <w:color w:val="000000"/>
          <w:sz w:val="20"/>
          <w:szCs w:val="20"/>
        </w:rPr>
        <w:t>ctions in multiple cities that severely impacted customer mobility. Outside of China, strong growth in our major International markets continued in the third quarter driven by product innovation and increasing digital capabilities, partially offsetting the</w:t>
      </w:r>
      <w:r>
        <w:rPr>
          <w:rFonts w:ascii="Times New Roman" w:eastAsia="宋体" w:hAnsi="Times New Roman"/>
          <w:color w:val="000000"/>
          <w:sz w:val="20"/>
          <w:szCs w:val="20"/>
        </w:rPr>
        <w:t xml:space="preserve"> unfavorability in our China market.</w:t>
      </w:r>
    </w:p>
    <w:p w14:paraId="64298B11" w14:textId="77777777" w:rsidR="007B6C97" w:rsidRDefault="00E426D1">
      <w:pPr>
        <w:spacing w:before="120"/>
      </w:pPr>
      <w:r>
        <w:rPr>
          <w:rFonts w:ascii="Times New Roman" w:eastAsia="宋体" w:hAnsi="Times New Roman"/>
          <w:color w:val="000000"/>
          <w:sz w:val="20"/>
          <w:szCs w:val="20"/>
        </w:rPr>
        <w:t>Net revenues for our Channel Development segment increased $66 million, or 16%, when compared with the third quarter of fiscal 2021. This was due to higher product sales to and royalty revenue from the Global Coffee All</w:t>
      </w:r>
      <w:r>
        <w:rPr>
          <w:rFonts w:ascii="Times New Roman" w:eastAsia="宋体" w:hAnsi="Times New Roman"/>
          <w:color w:val="000000"/>
          <w:sz w:val="20"/>
          <w:szCs w:val="20"/>
        </w:rPr>
        <w:t>iance and growth in our ready-to-drink business.</w:t>
      </w:r>
    </w:p>
    <w:p w14:paraId="64298B12" w14:textId="77777777" w:rsidR="007B6C97" w:rsidRDefault="00E426D1">
      <w:pPr>
        <w:spacing w:before="120"/>
      </w:pPr>
      <w:r>
        <w:rPr>
          <w:rFonts w:ascii="Times New Roman" w:eastAsia="宋体" w:hAnsi="Times New Roman"/>
          <w:color w:val="000000"/>
          <w:sz w:val="20"/>
          <w:szCs w:val="20"/>
        </w:rPr>
        <w:t xml:space="preserve">Despite continued COVID-19 induced business interruptions, especially in our China market, we have seen the strength and resilience of our brand as well as strong customer demand across our </w:t>
      </w:r>
      <w:r>
        <w:rPr>
          <w:rFonts w:ascii="Times New Roman" w:eastAsia="宋体" w:hAnsi="Times New Roman"/>
          <w:color w:val="000000"/>
          <w:sz w:val="20"/>
          <w:szCs w:val="20"/>
        </w:rPr>
        <w:t>portfolio. However, given the prolonged COVID-19 pandemic related lockdowns in China that limited customer mobility during the third quarter and slowed recovery of the market, as well as increasing COVID-19 cases globally, we expect continued impacts on ou</w:t>
      </w:r>
      <w:r>
        <w:rPr>
          <w:rFonts w:ascii="Times New Roman" w:eastAsia="宋体" w:hAnsi="Times New Roman"/>
          <w:color w:val="000000"/>
          <w:sz w:val="20"/>
          <w:szCs w:val="20"/>
        </w:rPr>
        <w:t>r business. Additionally, our business expects the weights from inflationary pressures to continue as well as increased spend due to labor market conditions and incremental investments in our partners, technology and digital capabilities. While we anticipa</w:t>
      </w:r>
      <w:r>
        <w:rPr>
          <w:rFonts w:ascii="Times New Roman" w:eastAsia="宋体" w:hAnsi="Times New Roman"/>
          <w:color w:val="000000"/>
          <w:sz w:val="20"/>
          <w:szCs w:val="20"/>
        </w:rPr>
        <w:t>te these will have an adverse impact on our operating margin for the remainder of the fiscal year, we are confident that our strategies, including our reinvention plan in the U.S. market will elevate both the partner and customer experience, accelerating g</w:t>
      </w:r>
      <w:r>
        <w:rPr>
          <w:rFonts w:ascii="Times New Roman" w:eastAsia="宋体" w:hAnsi="Times New Roman"/>
          <w:color w:val="000000"/>
          <w:sz w:val="20"/>
          <w:szCs w:val="20"/>
        </w:rPr>
        <w:t>rowth over the long-term.</w:t>
      </w:r>
    </w:p>
    <w:p w14:paraId="64298B13" w14:textId="77777777" w:rsidR="007B6C97" w:rsidRDefault="00E426D1">
      <w:pPr>
        <w:jc w:val="center"/>
      </w:pPr>
      <w:r>
        <w:rPr>
          <w:rFonts w:ascii="Times New Roman" w:eastAsia="宋体" w:hAnsi="Times New Roman"/>
          <w:color w:val="000000"/>
          <w:sz w:val="20"/>
          <w:szCs w:val="20"/>
        </w:rPr>
        <w:t>31</w:t>
      </w:r>
    </w:p>
    <w:p w14:paraId="64298B14" w14:textId="77777777" w:rsidR="007B6C97" w:rsidRDefault="00E426D1">
      <w:r>
        <w:pict w14:anchorId="642999F9">
          <v:rect id="_x0000_i1055" style="width:415.3pt;height:1.5pt" o:hralign="center" o:hrstd="t" o:hr="t" fillcolor="#a0a0a0" stroked="f"/>
        </w:pict>
      </w:r>
    </w:p>
    <w:p w14:paraId="64298B15" w14:textId="77777777" w:rsidR="007B6C97" w:rsidRDefault="00E426D1">
      <w:hyperlink r:id="rId143" w:anchor="ie38a2b375c9840e583a36769999bbee6_7" w:history="1">
        <w:r>
          <w:rPr>
            <w:rStyle w:val="a5"/>
            <w:rFonts w:ascii="Times New Roman" w:eastAsia="宋体" w:hAnsi="Times New Roman"/>
            <w:sz w:val="20"/>
            <w:szCs w:val="20"/>
          </w:rPr>
          <w:t>Table</w:t>
        </w:r>
      </w:hyperlink>
      <w:hyperlink r:id="rId144" w:anchor="ie38a2b375c9840e583a36769999bbee6_7" w:history="1">
        <w:r>
          <w:rPr>
            <w:rStyle w:val="a5"/>
            <w:rFonts w:ascii="Times New Roman" w:eastAsia="宋体" w:hAnsi="Times New Roman"/>
            <w:sz w:val="20"/>
            <w:szCs w:val="20"/>
          </w:rPr>
          <w:t xml:space="preserve"> of Contents</w:t>
        </w:r>
      </w:hyperlink>
    </w:p>
    <w:p w14:paraId="64298B16" w14:textId="77777777" w:rsidR="007B6C97" w:rsidRDefault="00E426D1">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64298B17" w14:textId="77777777" w:rsidR="007B6C97" w:rsidRDefault="00E426D1">
      <w:pPr>
        <w:spacing w:before="180"/>
      </w:pPr>
      <w:r>
        <w:rPr>
          <w:rFonts w:ascii="Times New Roman" w:eastAsia="宋体" w:hAnsi="Times New Roman"/>
          <w:color w:val="000000"/>
          <w:sz w:val="20"/>
          <w:szCs w:val="20"/>
          <w:u w:val="single"/>
        </w:rPr>
        <w:t>Revenues</w:t>
      </w:r>
    </w:p>
    <w:tbl>
      <w:tblPr>
        <w:tblW w:w="4978" w:type="pct"/>
        <w:tblCellMar>
          <w:top w:w="15" w:type="dxa"/>
          <w:left w:w="15" w:type="dxa"/>
          <w:bottom w:w="15" w:type="dxa"/>
          <w:right w:w="15" w:type="dxa"/>
        </w:tblCellMar>
        <w:tblLook w:val="04A0" w:firstRow="1" w:lastRow="0" w:firstColumn="1" w:lastColumn="0" w:noHBand="0" w:noVBand="1"/>
      </w:tblPr>
      <w:tblGrid>
        <w:gridCol w:w="70"/>
        <w:gridCol w:w="1397"/>
        <w:gridCol w:w="35"/>
        <w:gridCol w:w="114"/>
        <w:gridCol w:w="609"/>
        <w:gridCol w:w="35"/>
        <w:gridCol w:w="36"/>
        <w:gridCol w:w="35"/>
        <w:gridCol w:w="35"/>
        <w:gridCol w:w="114"/>
        <w:gridCol w:w="610"/>
        <w:gridCol w:w="36"/>
        <w:gridCol w:w="36"/>
        <w:gridCol w:w="36"/>
        <w:gridCol w:w="36"/>
        <w:gridCol w:w="115"/>
        <w:gridCol w:w="470"/>
        <w:gridCol w:w="36"/>
        <w:gridCol w:w="36"/>
        <w:gridCol w:w="36"/>
        <w:gridCol w:w="36"/>
        <w:gridCol w:w="61"/>
        <w:gridCol w:w="467"/>
        <w:gridCol w:w="208"/>
        <w:gridCol w:w="36"/>
        <w:gridCol w:w="36"/>
        <w:gridCol w:w="36"/>
        <w:gridCol w:w="115"/>
        <w:gridCol w:w="703"/>
        <w:gridCol w:w="36"/>
        <w:gridCol w:w="36"/>
        <w:gridCol w:w="36"/>
        <w:gridCol w:w="36"/>
        <w:gridCol w:w="115"/>
        <w:gridCol w:w="703"/>
        <w:gridCol w:w="36"/>
        <w:gridCol w:w="36"/>
        <w:gridCol w:w="36"/>
        <w:gridCol w:w="36"/>
        <w:gridCol w:w="115"/>
        <w:gridCol w:w="610"/>
        <w:gridCol w:w="36"/>
        <w:gridCol w:w="36"/>
        <w:gridCol w:w="36"/>
        <w:gridCol w:w="36"/>
        <w:gridCol w:w="61"/>
        <w:gridCol w:w="467"/>
        <w:gridCol w:w="208"/>
      </w:tblGrid>
      <w:tr w:rsidR="007B6C97" w14:paraId="64298B48" w14:textId="77777777">
        <w:tc>
          <w:tcPr>
            <w:tcW w:w="50" w:type="pct"/>
            <w:shd w:val="clear" w:color="auto" w:fill="auto"/>
            <w:vAlign w:val="bottom"/>
          </w:tcPr>
          <w:p w14:paraId="64298B18" w14:textId="77777777" w:rsidR="007B6C97" w:rsidRDefault="007B6C97">
            <w:pPr>
              <w:rPr>
                <w:rFonts w:ascii="宋体"/>
              </w:rPr>
            </w:pPr>
          </w:p>
        </w:tc>
        <w:tc>
          <w:tcPr>
            <w:tcW w:w="1024" w:type="pct"/>
            <w:shd w:val="clear" w:color="auto" w:fill="auto"/>
            <w:vAlign w:val="bottom"/>
          </w:tcPr>
          <w:p w14:paraId="64298B19" w14:textId="77777777" w:rsidR="007B6C97" w:rsidRDefault="007B6C97">
            <w:pPr>
              <w:rPr>
                <w:rFonts w:ascii="宋体"/>
              </w:rPr>
            </w:pPr>
          </w:p>
        </w:tc>
        <w:tc>
          <w:tcPr>
            <w:tcW w:w="5" w:type="pct"/>
            <w:shd w:val="clear" w:color="auto" w:fill="auto"/>
            <w:vAlign w:val="bottom"/>
          </w:tcPr>
          <w:p w14:paraId="64298B1A" w14:textId="77777777" w:rsidR="007B6C97" w:rsidRDefault="007B6C97">
            <w:pPr>
              <w:rPr>
                <w:rFonts w:ascii="宋体"/>
              </w:rPr>
            </w:pPr>
          </w:p>
        </w:tc>
        <w:tc>
          <w:tcPr>
            <w:tcW w:w="50" w:type="pct"/>
            <w:shd w:val="clear" w:color="auto" w:fill="auto"/>
            <w:vAlign w:val="bottom"/>
          </w:tcPr>
          <w:p w14:paraId="64298B1B" w14:textId="77777777" w:rsidR="007B6C97" w:rsidRDefault="007B6C97">
            <w:pPr>
              <w:rPr>
                <w:rFonts w:ascii="宋体"/>
              </w:rPr>
            </w:pPr>
          </w:p>
        </w:tc>
        <w:tc>
          <w:tcPr>
            <w:tcW w:w="407" w:type="pct"/>
            <w:shd w:val="clear" w:color="auto" w:fill="auto"/>
            <w:vAlign w:val="bottom"/>
          </w:tcPr>
          <w:p w14:paraId="64298B1C" w14:textId="77777777" w:rsidR="007B6C97" w:rsidRDefault="007B6C97">
            <w:pPr>
              <w:rPr>
                <w:rFonts w:ascii="宋体"/>
              </w:rPr>
            </w:pPr>
          </w:p>
        </w:tc>
        <w:tc>
          <w:tcPr>
            <w:tcW w:w="5" w:type="pct"/>
            <w:shd w:val="clear" w:color="auto" w:fill="auto"/>
            <w:vAlign w:val="bottom"/>
          </w:tcPr>
          <w:p w14:paraId="64298B1D" w14:textId="77777777" w:rsidR="007B6C97" w:rsidRDefault="007B6C97">
            <w:pPr>
              <w:rPr>
                <w:rFonts w:ascii="宋体"/>
              </w:rPr>
            </w:pPr>
          </w:p>
        </w:tc>
        <w:tc>
          <w:tcPr>
            <w:tcW w:w="5" w:type="pct"/>
            <w:shd w:val="clear" w:color="auto" w:fill="auto"/>
            <w:vAlign w:val="bottom"/>
          </w:tcPr>
          <w:p w14:paraId="64298B1E" w14:textId="77777777" w:rsidR="007B6C97" w:rsidRDefault="007B6C97">
            <w:pPr>
              <w:rPr>
                <w:rFonts w:ascii="宋体"/>
              </w:rPr>
            </w:pPr>
          </w:p>
        </w:tc>
        <w:tc>
          <w:tcPr>
            <w:tcW w:w="19" w:type="pct"/>
            <w:shd w:val="clear" w:color="auto" w:fill="auto"/>
            <w:vAlign w:val="bottom"/>
          </w:tcPr>
          <w:p w14:paraId="64298B1F" w14:textId="77777777" w:rsidR="007B6C97" w:rsidRDefault="007B6C97">
            <w:pPr>
              <w:rPr>
                <w:rFonts w:ascii="宋体"/>
              </w:rPr>
            </w:pPr>
          </w:p>
        </w:tc>
        <w:tc>
          <w:tcPr>
            <w:tcW w:w="5" w:type="pct"/>
            <w:shd w:val="clear" w:color="auto" w:fill="auto"/>
            <w:vAlign w:val="bottom"/>
          </w:tcPr>
          <w:p w14:paraId="64298B20" w14:textId="77777777" w:rsidR="007B6C97" w:rsidRDefault="007B6C97">
            <w:pPr>
              <w:rPr>
                <w:rFonts w:ascii="宋体"/>
              </w:rPr>
            </w:pPr>
          </w:p>
        </w:tc>
        <w:tc>
          <w:tcPr>
            <w:tcW w:w="50" w:type="pct"/>
            <w:shd w:val="clear" w:color="auto" w:fill="auto"/>
            <w:vAlign w:val="bottom"/>
          </w:tcPr>
          <w:p w14:paraId="64298B21" w14:textId="77777777" w:rsidR="007B6C97" w:rsidRDefault="007B6C97">
            <w:pPr>
              <w:rPr>
                <w:rFonts w:ascii="宋体"/>
              </w:rPr>
            </w:pPr>
          </w:p>
        </w:tc>
        <w:tc>
          <w:tcPr>
            <w:tcW w:w="407" w:type="pct"/>
            <w:shd w:val="clear" w:color="auto" w:fill="auto"/>
            <w:vAlign w:val="bottom"/>
          </w:tcPr>
          <w:p w14:paraId="64298B22" w14:textId="77777777" w:rsidR="007B6C97" w:rsidRDefault="007B6C97">
            <w:pPr>
              <w:rPr>
                <w:rFonts w:ascii="宋体"/>
              </w:rPr>
            </w:pPr>
          </w:p>
        </w:tc>
        <w:tc>
          <w:tcPr>
            <w:tcW w:w="5" w:type="pct"/>
            <w:shd w:val="clear" w:color="auto" w:fill="auto"/>
            <w:vAlign w:val="bottom"/>
          </w:tcPr>
          <w:p w14:paraId="64298B23" w14:textId="77777777" w:rsidR="007B6C97" w:rsidRDefault="007B6C97">
            <w:pPr>
              <w:rPr>
                <w:rFonts w:ascii="宋体"/>
              </w:rPr>
            </w:pPr>
          </w:p>
        </w:tc>
        <w:tc>
          <w:tcPr>
            <w:tcW w:w="5" w:type="pct"/>
            <w:shd w:val="clear" w:color="auto" w:fill="auto"/>
            <w:vAlign w:val="bottom"/>
          </w:tcPr>
          <w:p w14:paraId="64298B24" w14:textId="77777777" w:rsidR="007B6C97" w:rsidRDefault="007B6C97">
            <w:pPr>
              <w:rPr>
                <w:rFonts w:ascii="宋体"/>
              </w:rPr>
            </w:pPr>
          </w:p>
        </w:tc>
        <w:tc>
          <w:tcPr>
            <w:tcW w:w="19" w:type="pct"/>
            <w:shd w:val="clear" w:color="auto" w:fill="auto"/>
            <w:vAlign w:val="bottom"/>
          </w:tcPr>
          <w:p w14:paraId="64298B25" w14:textId="77777777" w:rsidR="007B6C97" w:rsidRDefault="007B6C97">
            <w:pPr>
              <w:rPr>
                <w:rFonts w:ascii="宋体"/>
              </w:rPr>
            </w:pPr>
          </w:p>
        </w:tc>
        <w:tc>
          <w:tcPr>
            <w:tcW w:w="5" w:type="pct"/>
            <w:shd w:val="clear" w:color="auto" w:fill="auto"/>
            <w:vAlign w:val="bottom"/>
          </w:tcPr>
          <w:p w14:paraId="64298B26" w14:textId="77777777" w:rsidR="007B6C97" w:rsidRDefault="007B6C97">
            <w:pPr>
              <w:rPr>
                <w:rFonts w:ascii="宋体"/>
              </w:rPr>
            </w:pPr>
          </w:p>
        </w:tc>
        <w:tc>
          <w:tcPr>
            <w:tcW w:w="50" w:type="pct"/>
            <w:shd w:val="clear" w:color="auto" w:fill="auto"/>
            <w:vAlign w:val="bottom"/>
          </w:tcPr>
          <w:p w14:paraId="64298B27" w14:textId="77777777" w:rsidR="007B6C97" w:rsidRDefault="007B6C97">
            <w:pPr>
              <w:rPr>
                <w:rFonts w:ascii="宋体"/>
              </w:rPr>
            </w:pPr>
          </w:p>
        </w:tc>
        <w:tc>
          <w:tcPr>
            <w:tcW w:w="407" w:type="pct"/>
            <w:shd w:val="clear" w:color="auto" w:fill="auto"/>
            <w:vAlign w:val="bottom"/>
          </w:tcPr>
          <w:p w14:paraId="64298B28" w14:textId="77777777" w:rsidR="007B6C97" w:rsidRDefault="007B6C97">
            <w:pPr>
              <w:rPr>
                <w:rFonts w:ascii="宋体"/>
              </w:rPr>
            </w:pPr>
          </w:p>
        </w:tc>
        <w:tc>
          <w:tcPr>
            <w:tcW w:w="5" w:type="pct"/>
            <w:shd w:val="clear" w:color="auto" w:fill="auto"/>
            <w:vAlign w:val="bottom"/>
          </w:tcPr>
          <w:p w14:paraId="64298B29" w14:textId="77777777" w:rsidR="007B6C97" w:rsidRDefault="007B6C97">
            <w:pPr>
              <w:rPr>
                <w:rFonts w:ascii="宋体"/>
              </w:rPr>
            </w:pPr>
          </w:p>
        </w:tc>
        <w:tc>
          <w:tcPr>
            <w:tcW w:w="5" w:type="pct"/>
            <w:shd w:val="clear" w:color="auto" w:fill="auto"/>
            <w:vAlign w:val="bottom"/>
          </w:tcPr>
          <w:p w14:paraId="64298B2A" w14:textId="77777777" w:rsidR="007B6C97" w:rsidRDefault="007B6C97">
            <w:pPr>
              <w:rPr>
                <w:rFonts w:ascii="宋体"/>
              </w:rPr>
            </w:pPr>
          </w:p>
        </w:tc>
        <w:tc>
          <w:tcPr>
            <w:tcW w:w="19" w:type="pct"/>
            <w:shd w:val="clear" w:color="auto" w:fill="auto"/>
            <w:vAlign w:val="bottom"/>
          </w:tcPr>
          <w:p w14:paraId="64298B2B" w14:textId="77777777" w:rsidR="007B6C97" w:rsidRDefault="007B6C97">
            <w:pPr>
              <w:rPr>
                <w:rFonts w:ascii="宋体"/>
              </w:rPr>
            </w:pPr>
          </w:p>
        </w:tc>
        <w:tc>
          <w:tcPr>
            <w:tcW w:w="5" w:type="pct"/>
            <w:shd w:val="clear" w:color="auto" w:fill="auto"/>
            <w:vAlign w:val="bottom"/>
          </w:tcPr>
          <w:p w14:paraId="64298B2C" w14:textId="77777777" w:rsidR="007B6C97" w:rsidRDefault="007B6C97">
            <w:pPr>
              <w:rPr>
                <w:rFonts w:ascii="宋体"/>
              </w:rPr>
            </w:pPr>
          </w:p>
        </w:tc>
        <w:tc>
          <w:tcPr>
            <w:tcW w:w="50" w:type="pct"/>
            <w:shd w:val="clear" w:color="auto" w:fill="auto"/>
            <w:vAlign w:val="bottom"/>
          </w:tcPr>
          <w:p w14:paraId="64298B2D" w14:textId="77777777" w:rsidR="007B6C97" w:rsidRDefault="007B6C97">
            <w:pPr>
              <w:rPr>
                <w:rFonts w:ascii="宋体"/>
              </w:rPr>
            </w:pPr>
          </w:p>
        </w:tc>
        <w:tc>
          <w:tcPr>
            <w:tcW w:w="407" w:type="pct"/>
            <w:shd w:val="clear" w:color="auto" w:fill="auto"/>
            <w:vAlign w:val="bottom"/>
          </w:tcPr>
          <w:p w14:paraId="64298B2E" w14:textId="77777777" w:rsidR="007B6C97" w:rsidRDefault="007B6C97">
            <w:pPr>
              <w:rPr>
                <w:rFonts w:ascii="宋体"/>
              </w:rPr>
            </w:pPr>
          </w:p>
        </w:tc>
        <w:tc>
          <w:tcPr>
            <w:tcW w:w="5" w:type="pct"/>
            <w:shd w:val="clear" w:color="auto" w:fill="auto"/>
            <w:vAlign w:val="bottom"/>
          </w:tcPr>
          <w:p w14:paraId="64298B2F" w14:textId="77777777" w:rsidR="007B6C97" w:rsidRDefault="007B6C97">
            <w:pPr>
              <w:rPr>
                <w:rFonts w:ascii="宋体"/>
              </w:rPr>
            </w:pPr>
          </w:p>
        </w:tc>
        <w:tc>
          <w:tcPr>
            <w:tcW w:w="5" w:type="pct"/>
            <w:shd w:val="clear" w:color="auto" w:fill="auto"/>
            <w:vAlign w:val="bottom"/>
          </w:tcPr>
          <w:p w14:paraId="64298B30" w14:textId="77777777" w:rsidR="007B6C97" w:rsidRDefault="007B6C97">
            <w:pPr>
              <w:rPr>
                <w:rFonts w:ascii="宋体"/>
              </w:rPr>
            </w:pPr>
          </w:p>
        </w:tc>
        <w:tc>
          <w:tcPr>
            <w:tcW w:w="19" w:type="pct"/>
            <w:shd w:val="clear" w:color="auto" w:fill="auto"/>
            <w:vAlign w:val="bottom"/>
          </w:tcPr>
          <w:p w14:paraId="64298B31" w14:textId="77777777" w:rsidR="007B6C97" w:rsidRDefault="007B6C97">
            <w:pPr>
              <w:rPr>
                <w:rFonts w:ascii="宋体"/>
              </w:rPr>
            </w:pPr>
          </w:p>
        </w:tc>
        <w:tc>
          <w:tcPr>
            <w:tcW w:w="5" w:type="pct"/>
            <w:shd w:val="clear" w:color="auto" w:fill="auto"/>
            <w:vAlign w:val="bottom"/>
          </w:tcPr>
          <w:p w14:paraId="64298B32" w14:textId="77777777" w:rsidR="007B6C97" w:rsidRDefault="007B6C97">
            <w:pPr>
              <w:rPr>
                <w:rFonts w:ascii="宋体"/>
              </w:rPr>
            </w:pPr>
          </w:p>
        </w:tc>
        <w:tc>
          <w:tcPr>
            <w:tcW w:w="50" w:type="pct"/>
            <w:shd w:val="clear" w:color="auto" w:fill="auto"/>
            <w:vAlign w:val="bottom"/>
          </w:tcPr>
          <w:p w14:paraId="64298B33" w14:textId="77777777" w:rsidR="007B6C97" w:rsidRDefault="007B6C97">
            <w:pPr>
              <w:rPr>
                <w:rFonts w:ascii="宋体"/>
              </w:rPr>
            </w:pPr>
          </w:p>
        </w:tc>
        <w:tc>
          <w:tcPr>
            <w:tcW w:w="407" w:type="pct"/>
            <w:shd w:val="clear" w:color="auto" w:fill="auto"/>
            <w:vAlign w:val="bottom"/>
          </w:tcPr>
          <w:p w14:paraId="64298B34" w14:textId="77777777" w:rsidR="007B6C97" w:rsidRDefault="007B6C97">
            <w:pPr>
              <w:rPr>
                <w:rFonts w:ascii="宋体"/>
              </w:rPr>
            </w:pPr>
          </w:p>
        </w:tc>
        <w:tc>
          <w:tcPr>
            <w:tcW w:w="5" w:type="pct"/>
            <w:shd w:val="clear" w:color="auto" w:fill="auto"/>
            <w:vAlign w:val="bottom"/>
          </w:tcPr>
          <w:p w14:paraId="64298B35" w14:textId="77777777" w:rsidR="007B6C97" w:rsidRDefault="007B6C97">
            <w:pPr>
              <w:rPr>
                <w:rFonts w:ascii="宋体"/>
              </w:rPr>
            </w:pPr>
          </w:p>
        </w:tc>
        <w:tc>
          <w:tcPr>
            <w:tcW w:w="5" w:type="pct"/>
            <w:shd w:val="clear" w:color="auto" w:fill="auto"/>
            <w:vAlign w:val="bottom"/>
          </w:tcPr>
          <w:p w14:paraId="64298B36" w14:textId="77777777" w:rsidR="007B6C97" w:rsidRDefault="007B6C97">
            <w:pPr>
              <w:rPr>
                <w:rFonts w:ascii="宋体"/>
              </w:rPr>
            </w:pPr>
          </w:p>
        </w:tc>
        <w:tc>
          <w:tcPr>
            <w:tcW w:w="19" w:type="pct"/>
            <w:shd w:val="clear" w:color="auto" w:fill="auto"/>
            <w:vAlign w:val="bottom"/>
          </w:tcPr>
          <w:p w14:paraId="64298B37" w14:textId="77777777" w:rsidR="007B6C97" w:rsidRDefault="007B6C97">
            <w:pPr>
              <w:rPr>
                <w:rFonts w:ascii="宋体"/>
              </w:rPr>
            </w:pPr>
          </w:p>
        </w:tc>
        <w:tc>
          <w:tcPr>
            <w:tcW w:w="5" w:type="pct"/>
            <w:shd w:val="clear" w:color="auto" w:fill="auto"/>
            <w:vAlign w:val="bottom"/>
          </w:tcPr>
          <w:p w14:paraId="64298B38" w14:textId="77777777" w:rsidR="007B6C97" w:rsidRDefault="007B6C97">
            <w:pPr>
              <w:rPr>
                <w:rFonts w:ascii="宋体"/>
              </w:rPr>
            </w:pPr>
          </w:p>
        </w:tc>
        <w:tc>
          <w:tcPr>
            <w:tcW w:w="50" w:type="pct"/>
            <w:shd w:val="clear" w:color="auto" w:fill="auto"/>
            <w:vAlign w:val="bottom"/>
          </w:tcPr>
          <w:p w14:paraId="64298B39" w14:textId="77777777" w:rsidR="007B6C97" w:rsidRDefault="007B6C97">
            <w:pPr>
              <w:rPr>
                <w:rFonts w:ascii="宋体"/>
              </w:rPr>
            </w:pPr>
          </w:p>
        </w:tc>
        <w:tc>
          <w:tcPr>
            <w:tcW w:w="407" w:type="pct"/>
            <w:shd w:val="clear" w:color="auto" w:fill="auto"/>
            <w:vAlign w:val="bottom"/>
          </w:tcPr>
          <w:p w14:paraId="64298B3A" w14:textId="77777777" w:rsidR="007B6C97" w:rsidRDefault="007B6C97">
            <w:pPr>
              <w:rPr>
                <w:rFonts w:ascii="宋体"/>
              </w:rPr>
            </w:pPr>
          </w:p>
        </w:tc>
        <w:tc>
          <w:tcPr>
            <w:tcW w:w="5" w:type="pct"/>
            <w:shd w:val="clear" w:color="auto" w:fill="auto"/>
            <w:vAlign w:val="bottom"/>
          </w:tcPr>
          <w:p w14:paraId="64298B3B" w14:textId="77777777" w:rsidR="007B6C97" w:rsidRDefault="007B6C97">
            <w:pPr>
              <w:rPr>
                <w:rFonts w:ascii="宋体"/>
              </w:rPr>
            </w:pPr>
          </w:p>
        </w:tc>
        <w:tc>
          <w:tcPr>
            <w:tcW w:w="5" w:type="pct"/>
            <w:shd w:val="clear" w:color="auto" w:fill="auto"/>
            <w:vAlign w:val="bottom"/>
          </w:tcPr>
          <w:p w14:paraId="64298B3C" w14:textId="77777777" w:rsidR="007B6C97" w:rsidRDefault="007B6C97">
            <w:pPr>
              <w:rPr>
                <w:rFonts w:ascii="宋体"/>
              </w:rPr>
            </w:pPr>
          </w:p>
        </w:tc>
        <w:tc>
          <w:tcPr>
            <w:tcW w:w="19" w:type="pct"/>
            <w:shd w:val="clear" w:color="auto" w:fill="auto"/>
            <w:vAlign w:val="bottom"/>
          </w:tcPr>
          <w:p w14:paraId="64298B3D" w14:textId="77777777" w:rsidR="007B6C97" w:rsidRDefault="007B6C97">
            <w:pPr>
              <w:rPr>
                <w:rFonts w:ascii="宋体"/>
              </w:rPr>
            </w:pPr>
          </w:p>
        </w:tc>
        <w:tc>
          <w:tcPr>
            <w:tcW w:w="5" w:type="pct"/>
            <w:shd w:val="clear" w:color="auto" w:fill="auto"/>
            <w:vAlign w:val="bottom"/>
          </w:tcPr>
          <w:p w14:paraId="64298B3E" w14:textId="77777777" w:rsidR="007B6C97" w:rsidRDefault="007B6C97">
            <w:pPr>
              <w:rPr>
                <w:rFonts w:ascii="宋体"/>
              </w:rPr>
            </w:pPr>
          </w:p>
        </w:tc>
        <w:tc>
          <w:tcPr>
            <w:tcW w:w="50" w:type="pct"/>
            <w:shd w:val="clear" w:color="auto" w:fill="auto"/>
            <w:vAlign w:val="bottom"/>
          </w:tcPr>
          <w:p w14:paraId="64298B3F" w14:textId="77777777" w:rsidR="007B6C97" w:rsidRDefault="007B6C97">
            <w:pPr>
              <w:rPr>
                <w:rFonts w:ascii="宋体"/>
              </w:rPr>
            </w:pPr>
          </w:p>
        </w:tc>
        <w:tc>
          <w:tcPr>
            <w:tcW w:w="422" w:type="pct"/>
            <w:shd w:val="clear" w:color="auto" w:fill="auto"/>
            <w:vAlign w:val="bottom"/>
          </w:tcPr>
          <w:p w14:paraId="64298B40" w14:textId="77777777" w:rsidR="007B6C97" w:rsidRDefault="007B6C97">
            <w:pPr>
              <w:rPr>
                <w:rFonts w:ascii="宋体"/>
              </w:rPr>
            </w:pPr>
          </w:p>
        </w:tc>
        <w:tc>
          <w:tcPr>
            <w:tcW w:w="5" w:type="pct"/>
            <w:shd w:val="clear" w:color="auto" w:fill="auto"/>
            <w:vAlign w:val="bottom"/>
          </w:tcPr>
          <w:p w14:paraId="64298B41" w14:textId="77777777" w:rsidR="007B6C97" w:rsidRDefault="007B6C97">
            <w:pPr>
              <w:rPr>
                <w:rFonts w:ascii="宋体"/>
              </w:rPr>
            </w:pPr>
          </w:p>
        </w:tc>
        <w:tc>
          <w:tcPr>
            <w:tcW w:w="5" w:type="pct"/>
            <w:shd w:val="clear" w:color="auto" w:fill="auto"/>
            <w:vAlign w:val="bottom"/>
          </w:tcPr>
          <w:p w14:paraId="64298B42" w14:textId="77777777" w:rsidR="007B6C97" w:rsidRDefault="007B6C97">
            <w:pPr>
              <w:rPr>
                <w:rFonts w:ascii="宋体"/>
              </w:rPr>
            </w:pPr>
          </w:p>
        </w:tc>
        <w:tc>
          <w:tcPr>
            <w:tcW w:w="19" w:type="pct"/>
            <w:shd w:val="clear" w:color="auto" w:fill="auto"/>
            <w:vAlign w:val="bottom"/>
          </w:tcPr>
          <w:p w14:paraId="64298B43" w14:textId="77777777" w:rsidR="007B6C97" w:rsidRDefault="007B6C97">
            <w:pPr>
              <w:rPr>
                <w:rFonts w:ascii="宋体"/>
              </w:rPr>
            </w:pPr>
          </w:p>
        </w:tc>
        <w:tc>
          <w:tcPr>
            <w:tcW w:w="5" w:type="pct"/>
            <w:shd w:val="clear" w:color="auto" w:fill="auto"/>
            <w:vAlign w:val="bottom"/>
          </w:tcPr>
          <w:p w14:paraId="64298B44" w14:textId="77777777" w:rsidR="007B6C97" w:rsidRDefault="007B6C97">
            <w:pPr>
              <w:rPr>
                <w:rFonts w:ascii="宋体"/>
              </w:rPr>
            </w:pPr>
          </w:p>
        </w:tc>
        <w:tc>
          <w:tcPr>
            <w:tcW w:w="50" w:type="pct"/>
            <w:shd w:val="clear" w:color="auto" w:fill="auto"/>
            <w:vAlign w:val="bottom"/>
          </w:tcPr>
          <w:p w14:paraId="64298B45" w14:textId="77777777" w:rsidR="007B6C97" w:rsidRDefault="007B6C97">
            <w:pPr>
              <w:rPr>
                <w:rFonts w:ascii="宋体"/>
              </w:rPr>
            </w:pPr>
          </w:p>
        </w:tc>
        <w:tc>
          <w:tcPr>
            <w:tcW w:w="407" w:type="pct"/>
            <w:shd w:val="clear" w:color="auto" w:fill="auto"/>
            <w:vAlign w:val="bottom"/>
          </w:tcPr>
          <w:p w14:paraId="64298B46" w14:textId="77777777" w:rsidR="007B6C97" w:rsidRDefault="007B6C97">
            <w:pPr>
              <w:rPr>
                <w:rFonts w:ascii="宋体"/>
              </w:rPr>
            </w:pPr>
          </w:p>
        </w:tc>
        <w:tc>
          <w:tcPr>
            <w:tcW w:w="5" w:type="pct"/>
            <w:shd w:val="clear" w:color="auto" w:fill="auto"/>
            <w:vAlign w:val="bottom"/>
          </w:tcPr>
          <w:p w14:paraId="64298B47" w14:textId="77777777" w:rsidR="007B6C97" w:rsidRDefault="007B6C97">
            <w:pPr>
              <w:rPr>
                <w:rFonts w:ascii="宋体"/>
              </w:rPr>
            </w:pPr>
          </w:p>
        </w:tc>
      </w:tr>
      <w:tr w:rsidR="007B6C97" w14:paraId="64298B4D" w14:textId="77777777">
        <w:tc>
          <w:tcPr>
            <w:tcW w:w="0" w:type="auto"/>
            <w:gridSpan w:val="3"/>
            <w:shd w:val="clear" w:color="auto" w:fill="auto"/>
            <w:tcMar>
              <w:top w:w="40" w:type="dxa"/>
              <w:left w:w="20" w:type="dxa"/>
              <w:bottom w:w="40" w:type="dxa"/>
              <w:right w:w="20" w:type="dxa"/>
            </w:tcMar>
            <w:vAlign w:val="bottom"/>
          </w:tcPr>
          <w:p w14:paraId="64298B49" w14:textId="77777777" w:rsidR="007B6C97" w:rsidRDefault="00E426D1">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64298B4A"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8B4B"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8B4C"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B61" w14:textId="77777777">
        <w:tc>
          <w:tcPr>
            <w:tcW w:w="0" w:type="auto"/>
            <w:gridSpan w:val="3"/>
            <w:shd w:val="clear" w:color="auto" w:fill="auto"/>
            <w:tcMar>
              <w:top w:w="0" w:type="dxa"/>
              <w:left w:w="20" w:type="dxa"/>
              <w:bottom w:w="0" w:type="dxa"/>
              <w:right w:w="20" w:type="dxa"/>
            </w:tcMar>
            <w:vAlign w:val="bottom"/>
          </w:tcPr>
          <w:p w14:paraId="64298B4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4F"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B5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1"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B5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3" w14:textId="77777777" w:rsidR="007B6C97" w:rsidRDefault="00E426D1">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4298B54"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5"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8B56"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8B5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8"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B5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A"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B5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8B5D"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8B5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B5F"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8B60"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r>
      <w:tr w:rsidR="007B6C97" w14:paraId="64298B80" w14:textId="77777777">
        <w:tc>
          <w:tcPr>
            <w:tcW w:w="0" w:type="auto"/>
            <w:gridSpan w:val="3"/>
            <w:shd w:val="clear" w:color="auto" w:fill="D7E4BC"/>
            <w:tcMar>
              <w:top w:w="40" w:type="dxa"/>
              <w:left w:w="20" w:type="dxa"/>
              <w:bottom w:w="40" w:type="dxa"/>
              <w:right w:w="20" w:type="dxa"/>
            </w:tcMar>
          </w:tcPr>
          <w:p w14:paraId="64298B62" w14:textId="77777777" w:rsidR="007B6C97" w:rsidRDefault="00E426D1">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right w:w="0" w:type="dxa"/>
            </w:tcMar>
            <w:vAlign w:val="bottom"/>
          </w:tcPr>
          <w:p w14:paraId="64298B63"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64" w14:textId="77777777" w:rsidR="007B6C97" w:rsidRDefault="00E426D1">
            <w:pPr>
              <w:jc w:val="right"/>
              <w:textAlignment w:val="bottom"/>
            </w:pPr>
            <w:r>
              <w:rPr>
                <w:rFonts w:ascii="Times New Roman" w:eastAsia="宋体" w:hAnsi="Times New Roman"/>
                <w:color w:val="000000"/>
                <w:sz w:val="20"/>
                <w:szCs w:val="20"/>
              </w:rPr>
              <w:t>6,675.5 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6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66"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B67"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68" w14:textId="77777777" w:rsidR="007B6C97" w:rsidRDefault="00E426D1">
            <w:pPr>
              <w:jc w:val="right"/>
              <w:textAlignment w:val="bottom"/>
            </w:pPr>
            <w:r>
              <w:rPr>
                <w:rFonts w:ascii="Times New Roman" w:eastAsia="宋体" w:hAnsi="Times New Roman"/>
                <w:color w:val="000000"/>
                <w:sz w:val="20"/>
                <w:szCs w:val="20"/>
              </w:rPr>
              <w:t>6,363.1 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6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6A"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B6B"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6C" w14:textId="77777777" w:rsidR="007B6C97" w:rsidRDefault="00E426D1">
            <w:pPr>
              <w:jc w:val="right"/>
              <w:textAlignment w:val="bottom"/>
            </w:pPr>
            <w:r>
              <w:rPr>
                <w:rFonts w:ascii="Times New Roman" w:eastAsia="宋体" w:hAnsi="Times New Roman"/>
                <w:color w:val="000000"/>
                <w:sz w:val="20"/>
                <w:szCs w:val="20"/>
              </w:rPr>
              <w:t>312.4 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6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6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B6F" w14:textId="77777777" w:rsidR="007B6C97" w:rsidRDefault="00E426D1">
            <w:pPr>
              <w:jc w:val="right"/>
              <w:textAlignment w:val="bottom"/>
            </w:pPr>
            <w:r>
              <w:rPr>
                <w:rFonts w:ascii="Times New Roman" w:eastAsia="宋体" w:hAnsi="Times New Roman"/>
                <w:color w:val="000000"/>
                <w:sz w:val="20"/>
                <w:szCs w:val="20"/>
              </w:rPr>
              <w:t>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70"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B71"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B72"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73" w14:textId="77777777" w:rsidR="007B6C97" w:rsidRDefault="00E426D1">
            <w:pPr>
              <w:jc w:val="right"/>
              <w:textAlignment w:val="bottom"/>
            </w:pPr>
            <w:r>
              <w:rPr>
                <w:rFonts w:ascii="Times New Roman" w:eastAsia="宋体" w:hAnsi="Times New Roman"/>
                <w:color w:val="000000"/>
                <w:sz w:val="20"/>
                <w:szCs w:val="20"/>
              </w:rPr>
              <w:t>19,674.7 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7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75"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B76"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77" w14:textId="77777777" w:rsidR="007B6C97" w:rsidRDefault="00E426D1">
            <w:pPr>
              <w:jc w:val="right"/>
              <w:textAlignment w:val="bottom"/>
            </w:pPr>
            <w:r>
              <w:rPr>
                <w:rFonts w:ascii="Times New Roman" w:eastAsia="宋体" w:hAnsi="Times New Roman"/>
                <w:color w:val="000000"/>
                <w:sz w:val="20"/>
                <w:szCs w:val="20"/>
              </w:rPr>
              <w:t>17,742.8 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7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79"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8B7A" w14:textId="77777777" w:rsidR="007B6C97" w:rsidRDefault="00E426D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8B7B" w14:textId="77777777" w:rsidR="007B6C97" w:rsidRDefault="00E426D1">
            <w:pPr>
              <w:jc w:val="right"/>
              <w:textAlignment w:val="bottom"/>
            </w:pPr>
            <w:r>
              <w:rPr>
                <w:rFonts w:ascii="Times New Roman" w:eastAsia="宋体" w:hAnsi="Times New Roman"/>
                <w:color w:val="000000"/>
                <w:sz w:val="20"/>
                <w:szCs w:val="20"/>
              </w:rPr>
              <w:t>1,931.9 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7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7D"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B7E" w14:textId="77777777" w:rsidR="007B6C97" w:rsidRDefault="00E426D1">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B7F"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B99" w14:textId="77777777">
        <w:tc>
          <w:tcPr>
            <w:tcW w:w="0" w:type="auto"/>
            <w:gridSpan w:val="3"/>
            <w:shd w:val="clear" w:color="auto" w:fill="FFFFFF"/>
            <w:tcMar>
              <w:top w:w="40" w:type="dxa"/>
              <w:left w:w="20" w:type="dxa"/>
              <w:bottom w:w="40" w:type="dxa"/>
              <w:right w:w="20" w:type="dxa"/>
            </w:tcMar>
          </w:tcPr>
          <w:p w14:paraId="64298B81" w14:textId="77777777" w:rsidR="007B6C97" w:rsidRDefault="00E426D1">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64298B82" w14:textId="77777777" w:rsidR="007B6C97" w:rsidRDefault="00E426D1">
            <w:pPr>
              <w:jc w:val="right"/>
              <w:textAlignment w:val="bottom"/>
            </w:pPr>
            <w:r>
              <w:rPr>
                <w:rFonts w:ascii="Times New Roman" w:eastAsia="宋体" w:hAnsi="Times New Roman"/>
                <w:color w:val="000000"/>
                <w:sz w:val="20"/>
                <w:szCs w:val="20"/>
              </w:rPr>
              <w:t>956.8 </w:t>
            </w:r>
          </w:p>
        </w:tc>
        <w:tc>
          <w:tcPr>
            <w:tcW w:w="0" w:type="auto"/>
            <w:shd w:val="clear" w:color="auto" w:fill="FFFFFF"/>
            <w:tcMar>
              <w:top w:w="40" w:type="dxa"/>
              <w:left w:w="0" w:type="dxa"/>
              <w:bottom w:w="40" w:type="dxa"/>
              <w:right w:w="20" w:type="dxa"/>
            </w:tcMar>
            <w:vAlign w:val="bottom"/>
          </w:tcPr>
          <w:p w14:paraId="64298B8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85" w14:textId="77777777" w:rsidR="007B6C97" w:rsidRDefault="00E426D1">
            <w:pPr>
              <w:jc w:val="right"/>
              <w:textAlignment w:val="bottom"/>
            </w:pPr>
            <w:r>
              <w:rPr>
                <w:rFonts w:ascii="Times New Roman" w:eastAsia="宋体" w:hAnsi="Times New Roman"/>
                <w:color w:val="000000"/>
                <w:sz w:val="20"/>
                <w:szCs w:val="20"/>
              </w:rPr>
              <w:t>680.2 </w:t>
            </w:r>
          </w:p>
        </w:tc>
        <w:tc>
          <w:tcPr>
            <w:tcW w:w="0" w:type="auto"/>
            <w:shd w:val="clear" w:color="auto" w:fill="FFFFFF"/>
            <w:tcMar>
              <w:top w:w="40" w:type="dxa"/>
              <w:left w:w="0" w:type="dxa"/>
              <w:bottom w:w="40" w:type="dxa"/>
              <w:right w:w="20" w:type="dxa"/>
            </w:tcMar>
            <w:vAlign w:val="bottom"/>
          </w:tcPr>
          <w:p w14:paraId="64298B8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88" w14:textId="77777777" w:rsidR="007B6C97" w:rsidRDefault="00E426D1">
            <w:pPr>
              <w:jc w:val="right"/>
              <w:textAlignment w:val="bottom"/>
            </w:pPr>
            <w:r>
              <w:rPr>
                <w:rFonts w:ascii="Times New Roman" w:eastAsia="宋体" w:hAnsi="Times New Roman"/>
                <w:color w:val="000000"/>
                <w:sz w:val="20"/>
                <w:szCs w:val="20"/>
              </w:rPr>
              <w:t>276.6 </w:t>
            </w:r>
          </w:p>
        </w:tc>
        <w:tc>
          <w:tcPr>
            <w:tcW w:w="0" w:type="auto"/>
            <w:shd w:val="clear" w:color="auto" w:fill="FFFFFF"/>
            <w:tcMar>
              <w:top w:w="40" w:type="dxa"/>
              <w:left w:w="0" w:type="dxa"/>
              <w:bottom w:w="40" w:type="dxa"/>
              <w:right w:w="20" w:type="dxa"/>
            </w:tcMar>
            <w:vAlign w:val="bottom"/>
          </w:tcPr>
          <w:p w14:paraId="64298B8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8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8B" w14:textId="77777777" w:rsidR="007B6C97" w:rsidRDefault="00E426D1">
            <w:pPr>
              <w:jc w:val="right"/>
              <w:textAlignment w:val="bottom"/>
            </w:pPr>
            <w:r>
              <w:rPr>
                <w:rFonts w:ascii="Times New Roman" w:eastAsia="宋体" w:hAnsi="Times New Roman"/>
                <w:color w:val="000000"/>
                <w:sz w:val="20"/>
                <w:szCs w:val="20"/>
              </w:rPr>
              <w:t>40.7 </w:t>
            </w:r>
          </w:p>
        </w:tc>
        <w:tc>
          <w:tcPr>
            <w:tcW w:w="0" w:type="auto"/>
            <w:shd w:val="clear" w:color="auto" w:fill="FFFFFF"/>
            <w:tcMar>
              <w:top w:w="40" w:type="dxa"/>
              <w:left w:w="0" w:type="dxa"/>
              <w:bottom w:w="40" w:type="dxa"/>
              <w:right w:w="20" w:type="dxa"/>
            </w:tcMar>
            <w:vAlign w:val="bottom"/>
          </w:tcPr>
          <w:p w14:paraId="64298B8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8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8E" w14:textId="77777777" w:rsidR="007B6C97" w:rsidRDefault="00E426D1">
            <w:pPr>
              <w:jc w:val="right"/>
              <w:textAlignment w:val="bottom"/>
            </w:pPr>
            <w:r>
              <w:rPr>
                <w:rFonts w:ascii="Times New Roman" w:eastAsia="宋体" w:hAnsi="Times New Roman"/>
                <w:color w:val="000000"/>
                <w:sz w:val="20"/>
                <w:szCs w:val="20"/>
              </w:rPr>
              <w:t>2,657.0 </w:t>
            </w:r>
          </w:p>
        </w:tc>
        <w:tc>
          <w:tcPr>
            <w:tcW w:w="0" w:type="auto"/>
            <w:shd w:val="clear" w:color="auto" w:fill="FFFFFF"/>
            <w:tcMar>
              <w:top w:w="40" w:type="dxa"/>
              <w:left w:w="0" w:type="dxa"/>
              <w:bottom w:w="40" w:type="dxa"/>
              <w:right w:w="20" w:type="dxa"/>
            </w:tcMar>
            <w:vAlign w:val="bottom"/>
          </w:tcPr>
          <w:p w14:paraId="64298B8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9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91" w14:textId="77777777" w:rsidR="007B6C97" w:rsidRDefault="00E426D1">
            <w:pPr>
              <w:jc w:val="right"/>
              <w:textAlignment w:val="bottom"/>
            </w:pPr>
            <w:r>
              <w:rPr>
                <w:rFonts w:ascii="Times New Roman" w:eastAsia="宋体" w:hAnsi="Times New Roman"/>
                <w:color w:val="000000"/>
                <w:sz w:val="20"/>
                <w:szCs w:val="20"/>
              </w:rPr>
              <w:t>1,889.0 </w:t>
            </w:r>
          </w:p>
        </w:tc>
        <w:tc>
          <w:tcPr>
            <w:tcW w:w="0" w:type="auto"/>
            <w:shd w:val="clear" w:color="auto" w:fill="FFFFFF"/>
            <w:tcMar>
              <w:top w:w="40" w:type="dxa"/>
              <w:left w:w="0" w:type="dxa"/>
              <w:bottom w:w="40" w:type="dxa"/>
              <w:right w:w="20" w:type="dxa"/>
            </w:tcMar>
            <w:vAlign w:val="bottom"/>
          </w:tcPr>
          <w:p w14:paraId="64298B9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9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94" w14:textId="77777777" w:rsidR="007B6C97" w:rsidRDefault="00E426D1">
            <w:pPr>
              <w:jc w:val="right"/>
              <w:textAlignment w:val="bottom"/>
            </w:pPr>
            <w:r>
              <w:rPr>
                <w:rFonts w:ascii="Times New Roman" w:eastAsia="宋体" w:hAnsi="Times New Roman"/>
                <w:color w:val="000000"/>
                <w:sz w:val="20"/>
                <w:szCs w:val="20"/>
              </w:rPr>
              <w:t>768.0 </w:t>
            </w:r>
          </w:p>
        </w:tc>
        <w:tc>
          <w:tcPr>
            <w:tcW w:w="0" w:type="auto"/>
            <w:shd w:val="clear" w:color="auto" w:fill="FFFFFF"/>
            <w:tcMar>
              <w:top w:w="40" w:type="dxa"/>
              <w:left w:w="0" w:type="dxa"/>
              <w:bottom w:w="40" w:type="dxa"/>
              <w:right w:w="20" w:type="dxa"/>
            </w:tcMar>
            <w:vAlign w:val="bottom"/>
          </w:tcPr>
          <w:p w14:paraId="64298B9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9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B97" w14:textId="77777777" w:rsidR="007B6C97" w:rsidRDefault="00E426D1">
            <w:pPr>
              <w:jc w:val="right"/>
              <w:textAlignment w:val="bottom"/>
            </w:pPr>
            <w:r>
              <w:rPr>
                <w:rFonts w:ascii="Times New Roman" w:eastAsia="宋体" w:hAnsi="Times New Roman"/>
                <w:color w:val="000000"/>
                <w:sz w:val="20"/>
                <w:szCs w:val="20"/>
              </w:rPr>
              <w:t>40.7 </w:t>
            </w:r>
          </w:p>
        </w:tc>
        <w:tc>
          <w:tcPr>
            <w:tcW w:w="0" w:type="auto"/>
            <w:shd w:val="clear" w:color="auto" w:fill="FFFFFF"/>
            <w:tcMar>
              <w:top w:w="40" w:type="dxa"/>
              <w:left w:w="0" w:type="dxa"/>
              <w:bottom w:w="40" w:type="dxa"/>
              <w:right w:w="20" w:type="dxa"/>
            </w:tcMar>
            <w:vAlign w:val="bottom"/>
          </w:tcPr>
          <w:p w14:paraId="64298B98" w14:textId="77777777" w:rsidR="007B6C97" w:rsidRDefault="007B6C97">
            <w:pPr>
              <w:jc w:val="right"/>
              <w:rPr>
                <w:rFonts w:ascii="宋体"/>
              </w:rPr>
            </w:pPr>
          </w:p>
        </w:tc>
      </w:tr>
      <w:tr w:rsidR="007B6C97" w14:paraId="64298BB2" w14:textId="77777777">
        <w:tc>
          <w:tcPr>
            <w:tcW w:w="0" w:type="auto"/>
            <w:gridSpan w:val="3"/>
            <w:shd w:val="clear" w:color="auto" w:fill="D7E4BC"/>
            <w:tcMar>
              <w:top w:w="40" w:type="dxa"/>
              <w:left w:w="20" w:type="dxa"/>
              <w:bottom w:w="40" w:type="dxa"/>
              <w:right w:w="20" w:type="dxa"/>
            </w:tcMar>
          </w:tcPr>
          <w:p w14:paraId="64298B9A" w14:textId="77777777" w:rsidR="007B6C97" w:rsidRDefault="00E426D1">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64298B9B" w14:textId="77777777" w:rsidR="007B6C97" w:rsidRDefault="00E426D1">
            <w:pPr>
              <w:jc w:val="right"/>
              <w:textAlignment w:val="bottom"/>
            </w:pPr>
            <w:r>
              <w:rPr>
                <w:rFonts w:ascii="Times New Roman" w:eastAsia="宋体" w:hAnsi="Times New Roman"/>
                <w:color w:val="000000"/>
                <w:sz w:val="20"/>
                <w:szCs w:val="20"/>
              </w:rPr>
              <w:t>517.8 </w:t>
            </w:r>
          </w:p>
        </w:tc>
        <w:tc>
          <w:tcPr>
            <w:tcW w:w="0" w:type="auto"/>
            <w:shd w:val="clear" w:color="auto" w:fill="D7E4BC"/>
            <w:tcMar>
              <w:top w:w="40" w:type="dxa"/>
              <w:left w:w="0" w:type="dxa"/>
              <w:bottom w:w="40" w:type="dxa"/>
              <w:right w:w="20" w:type="dxa"/>
            </w:tcMar>
            <w:vAlign w:val="bottom"/>
          </w:tcPr>
          <w:p w14:paraId="64298B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9E" w14:textId="77777777" w:rsidR="007B6C97" w:rsidRDefault="00E426D1">
            <w:pPr>
              <w:jc w:val="right"/>
              <w:textAlignment w:val="bottom"/>
            </w:pPr>
            <w:r>
              <w:rPr>
                <w:rFonts w:ascii="Times New Roman" w:eastAsia="宋体" w:hAnsi="Times New Roman"/>
                <w:color w:val="000000"/>
                <w:sz w:val="20"/>
                <w:szCs w:val="20"/>
              </w:rPr>
              <w:t>453.2 </w:t>
            </w:r>
          </w:p>
        </w:tc>
        <w:tc>
          <w:tcPr>
            <w:tcW w:w="0" w:type="auto"/>
            <w:shd w:val="clear" w:color="auto" w:fill="D7E4BC"/>
            <w:tcMar>
              <w:top w:w="40" w:type="dxa"/>
              <w:left w:w="0" w:type="dxa"/>
              <w:bottom w:w="40" w:type="dxa"/>
              <w:right w:w="20" w:type="dxa"/>
            </w:tcMar>
            <w:vAlign w:val="bottom"/>
          </w:tcPr>
          <w:p w14:paraId="64298B9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A1" w14:textId="77777777" w:rsidR="007B6C97" w:rsidRDefault="00E426D1">
            <w:pPr>
              <w:jc w:val="right"/>
              <w:textAlignment w:val="bottom"/>
            </w:pPr>
            <w:r>
              <w:rPr>
                <w:rFonts w:ascii="Times New Roman" w:eastAsia="宋体" w:hAnsi="Times New Roman"/>
                <w:color w:val="000000"/>
                <w:sz w:val="20"/>
                <w:szCs w:val="20"/>
              </w:rPr>
              <w:t>64.6 </w:t>
            </w:r>
          </w:p>
        </w:tc>
        <w:tc>
          <w:tcPr>
            <w:tcW w:w="0" w:type="auto"/>
            <w:shd w:val="clear" w:color="auto" w:fill="D7E4BC"/>
            <w:tcMar>
              <w:top w:w="40" w:type="dxa"/>
              <w:left w:w="0" w:type="dxa"/>
              <w:bottom w:w="40" w:type="dxa"/>
              <w:right w:w="20" w:type="dxa"/>
            </w:tcMar>
            <w:vAlign w:val="bottom"/>
          </w:tcPr>
          <w:p w14:paraId="64298BA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A4" w14:textId="77777777" w:rsidR="007B6C97" w:rsidRDefault="00E426D1">
            <w:pPr>
              <w:jc w:val="right"/>
              <w:textAlignment w:val="bottom"/>
            </w:pPr>
            <w:r>
              <w:rPr>
                <w:rFonts w:ascii="Times New Roman" w:eastAsia="宋体" w:hAnsi="Times New Roman"/>
                <w:color w:val="000000"/>
                <w:sz w:val="20"/>
                <w:szCs w:val="20"/>
              </w:rPr>
              <w:t>14.3 </w:t>
            </w:r>
          </w:p>
        </w:tc>
        <w:tc>
          <w:tcPr>
            <w:tcW w:w="0" w:type="auto"/>
            <w:shd w:val="clear" w:color="auto" w:fill="D7E4BC"/>
            <w:tcMar>
              <w:top w:w="40" w:type="dxa"/>
              <w:left w:w="0" w:type="dxa"/>
              <w:bottom w:w="40" w:type="dxa"/>
              <w:right w:w="20" w:type="dxa"/>
            </w:tcMar>
            <w:vAlign w:val="bottom"/>
          </w:tcPr>
          <w:p w14:paraId="64298BA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A7" w14:textId="77777777" w:rsidR="007B6C97" w:rsidRDefault="00E426D1">
            <w:pPr>
              <w:jc w:val="right"/>
              <w:textAlignment w:val="bottom"/>
            </w:pPr>
            <w:r>
              <w:rPr>
                <w:rFonts w:ascii="Times New Roman" w:eastAsia="宋体" w:hAnsi="Times New Roman"/>
                <w:color w:val="000000"/>
                <w:sz w:val="20"/>
                <w:szCs w:val="20"/>
              </w:rPr>
              <w:t>1,504.4 </w:t>
            </w:r>
          </w:p>
        </w:tc>
        <w:tc>
          <w:tcPr>
            <w:tcW w:w="0" w:type="auto"/>
            <w:shd w:val="clear" w:color="auto" w:fill="D7E4BC"/>
            <w:tcMar>
              <w:top w:w="40" w:type="dxa"/>
              <w:left w:w="0" w:type="dxa"/>
              <w:bottom w:w="40" w:type="dxa"/>
              <w:right w:w="20" w:type="dxa"/>
            </w:tcMar>
            <w:vAlign w:val="bottom"/>
          </w:tcPr>
          <w:p w14:paraId="64298BA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AA" w14:textId="77777777" w:rsidR="007B6C97" w:rsidRDefault="00E426D1">
            <w:pPr>
              <w:jc w:val="right"/>
              <w:textAlignment w:val="bottom"/>
            </w:pPr>
            <w:r>
              <w:rPr>
                <w:rFonts w:ascii="Times New Roman" w:eastAsia="宋体" w:hAnsi="Times New Roman"/>
                <w:color w:val="000000"/>
                <w:sz w:val="20"/>
                <w:szCs w:val="20"/>
              </w:rPr>
              <w:t>1,282.1 </w:t>
            </w:r>
          </w:p>
        </w:tc>
        <w:tc>
          <w:tcPr>
            <w:tcW w:w="0" w:type="auto"/>
            <w:shd w:val="clear" w:color="auto" w:fill="D7E4BC"/>
            <w:tcMar>
              <w:top w:w="40" w:type="dxa"/>
              <w:left w:w="0" w:type="dxa"/>
              <w:bottom w:w="40" w:type="dxa"/>
              <w:right w:w="20" w:type="dxa"/>
            </w:tcMar>
            <w:vAlign w:val="bottom"/>
          </w:tcPr>
          <w:p w14:paraId="64298BA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AD" w14:textId="77777777" w:rsidR="007B6C97" w:rsidRDefault="00E426D1">
            <w:pPr>
              <w:jc w:val="right"/>
              <w:textAlignment w:val="bottom"/>
            </w:pPr>
            <w:r>
              <w:rPr>
                <w:rFonts w:ascii="Times New Roman" w:eastAsia="宋体" w:hAnsi="Times New Roman"/>
                <w:color w:val="000000"/>
                <w:sz w:val="20"/>
                <w:szCs w:val="20"/>
              </w:rPr>
              <w:t>222.3 </w:t>
            </w:r>
          </w:p>
        </w:tc>
        <w:tc>
          <w:tcPr>
            <w:tcW w:w="0" w:type="auto"/>
            <w:shd w:val="clear" w:color="auto" w:fill="D7E4BC"/>
            <w:tcMar>
              <w:top w:w="40" w:type="dxa"/>
              <w:left w:w="0" w:type="dxa"/>
              <w:bottom w:w="40" w:type="dxa"/>
              <w:right w:w="20" w:type="dxa"/>
            </w:tcMar>
            <w:vAlign w:val="bottom"/>
          </w:tcPr>
          <w:p w14:paraId="64298BA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BA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BB0" w14:textId="77777777" w:rsidR="007B6C97" w:rsidRDefault="00E426D1">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left w:w="0" w:type="dxa"/>
              <w:bottom w:w="40" w:type="dxa"/>
              <w:right w:w="20" w:type="dxa"/>
            </w:tcMar>
            <w:vAlign w:val="bottom"/>
          </w:tcPr>
          <w:p w14:paraId="64298BB1" w14:textId="77777777" w:rsidR="007B6C97" w:rsidRDefault="007B6C97">
            <w:pPr>
              <w:jc w:val="right"/>
              <w:rPr>
                <w:rFonts w:ascii="宋体"/>
              </w:rPr>
            </w:pPr>
          </w:p>
        </w:tc>
      </w:tr>
      <w:tr w:rsidR="007B6C97" w14:paraId="64298BD1" w14:textId="77777777">
        <w:tc>
          <w:tcPr>
            <w:tcW w:w="0" w:type="auto"/>
            <w:gridSpan w:val="3"/>
            <w:shd w:val="clear" w:color="auto" w:fill="FFFFFF"/>
            <w:tcMar>
              <w:top w:w="40" w:type="dxa"/>
              <w:left w:w="20" w:type="dxa"/>
              <w:bottom w:w="40" w:type="dxa"/>
              <w:right w:w="20" w:type="dxa"/>
            </w:tcMar>
          </w:tcPr>
          <w:p w14:paraId="64298BB3" w14:textId="77777777" w:rsidR="007B6C97" w:rsidRDefault="00E426D1">
            <w:pPr>
              <w:textAlignment w:val="top"/>
            </w:pPr>
            <w:r>
              <w:rPr>
                <w:rFonts w:ascii="Times New Roman" w:eastAsia="宋体" w:hAnsi="Times New Roman"/>
                <w:b/>
                <w:bCs/>
                <w:color w:val="000000"/>
                <w:sz w:val="20"/>
                <w:szCs w:val="20"/>
              </w:rPr>
              <w:t>Total net revenues</w:t>
            </w:r>
          </w:p>
        </w:tc>
        <w:tc>
          <w:tcPr>
            <w:tcW w:w="0" w:type="auto"/>
            <w:tcBorders>
              <w:top w:val="single" w:sz="12" w:space="0" w:color="000000"/>
            </w:tcBorders>
            <w:shd w:val="clear" w:color="auto" w:fill="FFFFFF"/>
            <w:tcMar>
              <w:top w:w="40" w:type="dxa"/>
              <w:left w:w="20" w:type="dxa"/>
              <w:bottom w:w="40" w:type="dxa"/>
              <w:right w:w="0" w:type="dxa"/>
            </w:tcMar>
            <w:vAlign w:val="bottom"/>
          </w:tcPr>
          <w:p w14:paraId="64298BB4"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B5" w14:textId="77777777" w:rsidR="007B6C97" w:rsidRDefault="00E426D1">
            <w:pPr>
              <w:jc w:val="right"/>
              <w:textAlignment w:val="bottom"/>
            </w:pPr>
            <w:r>
              <w:rPr>
                <w:rFonts w:ascii="Times New Roman" w:eastAsia="宋体" w:hAnsi="Times New Roman"/>
                <w:b/>
                <w:bCs/>
                <w:color w:val="000000"/>
                <w:sz w:val="20"/>
                <w:szCs w:val="20"/>
              </w:rPr>
              <w:t>8,150.1</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B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B7"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8BB8"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B9" w14:textId="77777777" w:rsidR="007B6C97" w:rsidRDefault="00E426D1">
            <w:pPr>
              <w:jc w:val="right"/>
              <w:textAlignment w:val="bottom"/>
            </w:pPr>
            <w:r>
              <w:rPr>
                <w:rFonts w:ascii="Times New Roman" w:eastAsia="宋体" w:hAnsi="Times New Roman"/>
                <w:b/>
                <w:bCs/>
                <w:color w:val="000000"/>
                <w:sz w:val="20"/>
                <w:szCs w:val="20"/>
              </w:rPr>
              <w:t>7,496.5</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BB"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8BBC"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BD" w14:textId="77777777" w:rsidR="007B6C97" w:rsidRDefault="00E426D1">
            <w:pPr>
              <w:jc w:val="right"/>
              <w:textAlignment w:val="bottom"/>
            </w:pPr>
            <w:r>
              <w:rPr>
                <w:rFonts w:ascii="Times New Roman" w:eastAsia="宋体" w:hAnsi="Times New Roman"/>
                <w:b/>
                <w:bCs/>
                <w:color w:val="000000"/>
                <w:sz w:val="20"/>
                <w:szCs w:val="20"/>
              </w:rPr>
              <w:t>653.6</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B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BF"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8BC0" w14:textId="77777777" w:rsidR="007B6C97" w:rsidRDefault="00E426D1">
            <w:pPr>
              <w:jc w:val="right"/>
              <w:textAlignment w:val="bottom"/>
            </w:pPr>
            <w:r>
              <w:rPr>
                <w:rFonts w:ascii="Times New Roman" w:eastAsia="宋体" w:hAnsi="Times New Roman"/>
                <w:b/>
                <w:bCs/>
                <w:color w:val="000000"/>
                <w:sz w:val="20"/>
                <w:szCs w:val="20"/>
              </w:rPr>
              <w:t>8.7</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C1"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BC2"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8BC3"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C4" w14:textId="77777777" w:rsidR="007B6C97" w:rsidRDefault="00E426D1">
            <w:pPr>
              <w:jc w:val="right"/>
              <w:textAlignment w:val="bottom"/>
            </w:pPr>
            <w:r>
              <w:rPr>
                <w:rFonts w:ascii="Times New Roman" w:eastAsia="宋体" w:hAnsi="Times New Roman"/>
                <w:b/>
                <w:bCs/>
                <w:color w:val="000000"/>
                <w:sz w:val="20"/>
                <w:szCs w:val="20"/>
              </w:rPr>
              <w:t>23,836.1</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C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C6"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8BC7"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C8" w14:textId="77777777" w:rsidR="007B6C97" w:rsidRDefault="00E426D1">
            <w:pPr>
              <w:jc w:val="right"/>
              <w:textAlignment w:val="bottom"/>
            </w:pPr>
            <w:r>
              <w:rPr>
                <w:rFonts w:ascii="Times New Roman" w:eastAsia="宋体" w:hAnsi="Times New Roman"/>
                <w:b/>
                <w:bCs/>
                <w:color w:val="000000"/>
                <w:sz w:val="20"/>
                <w:szCs w:val="20"/>
              </w:rPr>
              <w:t>20,913.9</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C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CA"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8BCB"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8BCC" w14:textId="77777777" w:rsidR="007B6C97" w:rsidRDefault="00E426D1">
            <w:pPr>
              <w:jc w:val="right"/>
              <w:textAlignment w:val="bottom"/>
            </w:pPr>
            <w:r>
              <w:rPr>
                <w:rFonts w:ascii="Times New Roman" w:eastAsia="宋体" w:hAnsi="Times New Roman"/>
                <w:b/>
                <w:bCs/>
                <w:color w:val="000000"/>
                <w:sz w:val="20"/>
                <w:szCs w:val="20"/>
              </w:rPr>
              <w:t>2,922.2</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C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BCE"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8BCF" w14:textId="77777777" w:rsidR="007B6C97" w:rsidRDefault="00E426D1">
            <w:pPr>
              <w:jc w:val="right"/>
              <w:textAlignment w:val="bottom"/>
            </w:pPr>
            <w:r>
              <w:rPr>
                <w:rFonts w:ascii="Times New Roman" w:eastAsia="宋体" w:hAnsi="Times New Roman"/>
                <w:b/>
                <w:bCs/>
                <w:color w:val="000000"/>
                <w:sz w:val="20"/>
                <w:szCs w:val="20"/>
              </w:rPr>
              <w:t>14.0</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8BD0" w14:textId="77777777" w:rsidR="007B6C97" w:rsidRDefault="00E426D1">
            <w:pPr>
              <w:jc w:val="right"/>
              <w:textAlignment w:val="bottom"/>
            </w:pPr>
            <w:r>
              <w:rPr>
                <w:rFonts w:ascii="Times New Roman" w:eastAsia="宋体" w:hAnsi="Times New Roman"/>
                <w:b/>
                <w:bCs/>
                <w:color w:val="000000"/>
                <w:sz w:val="20"/>
                <w:szCs w:val="20"/>
              </w:rPr>
              <w:t>%</w:t>
            </w:r>
          </w:p>
        </w:tc>
      </w:tr>
    </w:tbl>
    <w:p w14:paraId="64298BD2" w14:textId="77777777" w:rsidR="007B6C97" w:rsidRDefault="00E426D1">
      <w:pPr>
        <w:spacing w:before="120"/>
      </w:pPr>
      <w:r>
        <w:rPr>
          <w:rFonts w:ascii="Times New Roman" w:eastAsia="宋体" w:hAnsi="Times New Roman"/>
          <w:i/>
          <w:iCs/>
          <w:color w:val="000000"/>
          <w:sz w:val="20"/>
          <w:szCs w:val="20"/>
        </w:rPr>
        <w:t xml:space="preserve">For the quarter ended July 3, 2022 compared with the quarter ended June 27, 2021 </w:t>
      </w:r>
    </w:p>
    <w:p w14:paraId="64298BD3" w14:textId="77777777" w:rsidR="007B6C97" w:rsidRDefault="00E426D1">
      <w:pPr>
        <w:spacing w:before="120"/>
      </w:pPr>
      <w:r>
        <w:rPr>
          <w:rFonts w:ascii="Times New Roman" w:eastAsia="宋体" w:hAnsi="Times New Roman"/>
          <w:color w:val="000000"/>
          <w:sz w:val="20"/>
          <w:szCs w:val="20"/>
        </w:rPr>
        <w:t xml:space="preserve">Total net revenues for the third quarter of fiscal 2022 increased $654 million, primarily due to higher revenues from company-operated stores ($312 million). The growth of company-operated stores revenue was driven by incremental revenues from 894 net new </w:t>
      </w:r>
      <w:r>
        <w:rPr>
          <w:rFonts w:ascii="Times New Roman" w:eastAsia="宋体" w:hAnsi="Times New Roman"/>
          <w:color w:val="000000"/>
          <w:sz w:val="20"/>
          <w:szCs w:val="20"/>
        </w:rPr>
        <w:t>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5% increase, over the past 12 months ($258 million). Also contributing to the higher revenue was a 3% increase in comparable store sales ($183 million), attributable to a 6% increase in average ticket offset by a 3%</w:t>
      </w:r>
      <w:r>
        <w:rPr>
          <w:rFonts w:ascii="Times New Roman" w:eastAsia="宋体" w:hAnsi="Times New Roman"/>
          <w:color w:val="000000"/>
          <w:sz w:val="20"/>
          <w:szCs w:val="20"/>
        </w:rPr>
        <w:t xml:space="preserve"> decrease in comparable transactions. Partially offsetting these increases was unfavorable foreign currency translation ($136 million).</w:t>
      </w:r>
    </w:p>
    <w:p w14:paraId="64298BD4" w14:textId="77777777" w:rsidR="007B6C97" w:rsidRDefault="00E426D1">
      <w:pPr>
        <w:spacing w:before="120"/>
      </w:pPr>
      <w:r>
        <w:rPr>
          <w:rFonts w:ascii="Times New Roman" w:eastAsia="宋体" w:hAnsi="Times New Roman"/>
          <w:color w:val="000000"/>
          <w:sz w:val="20"/>
          <w:szCs w:val="20"/>
        </w:rPr>
        <w:t>Licensed stores revenue increased $277 million contributing to the increase in total net revenues, driven by higher prod</w:t>
      </w:r>
      <w:r>
        <w:rPr>
          <w:rFonts w:ascii="Times New Roman" w:eastAsia="宋体" w:hAnsi="Times New Roman"/>
          <w:color w:val="000000"/>
          <w:sz w:val="20"/>
          <w:szCs w:val="20"/>
        </w:rPr>
        <w:t>uct and equipment sales to and royalty revenues from our licensees ($237 million) and the conversion of our Korea market from a joint venture to a fully licensed market in the fourth quarter of fiscal 2021 ($64 million). Partially offsetting these increase</w:t>
      </w:r>
      <w:r>
        <w:rPr>
          <w:rFonts w:ascii="Times New Roman" w:eastAsia="宋体" w:hAnsi="Times New Roman"/>
          <w:color w:val="000000"/>
          <w:sz w:val="20"/>
          <w:szCs w:val="20"/>
        </w:rPr>
        <w:t>s was unfavorable foreign currency translation ($27 million).</w:t>
      </w:r>
    </w:p>
    <w:p w14:paraId="64298BD5" w14:textId="77777777" w:rsidR="007B6C97" w:rsidRDefault="00E426D1">
      <w:pPr>
        <w:spacing w:before="120"/>
      </w:pPr>
      <w:r>
        <w:rPr>
          <w:rFonts w:ascii="Times New Roman" w:eastAsia="宋体" w:hAnsi="Times New Roman"/>
          <w:color w:val="000000"/>
          <w:sz w:val="20"/>
          <w:szCs w:val="20"/>
        </w:rPr>
        <w:t>Other revenues increased $65 million, primarily due to higher product sales and royalty revenue in the Global Coffee Alliance and growth in our ready-to-drink business.</w:t>
      </w:r>
    </w:p>
    <w:p w14:paraId="64298BD6" w14:textId="77777777" w:rsidR="007B6C97" w:rsidRDefault="00E426D1">
      <w:pPr>
        <w:spacing w:before="120"/>
      </w:pPr>
      <w:r>
        <w:rPr>
          <w:rFonts w:ascii="Times New Roman" w:eastAsia="宋体" w:hAnsi="Times New Roman"/>
          <w:i/>
          <w:iCs/>
          <w:color w:val="000000"/>
          <w:sz w:val="20"/>
          <w:szCs w:val="20"/>
        </w:rPr>
        <w:t>For the three quarters en</w:t>
      </w:r>
      <w:r>
        <w:rPr>
          <w:rFonts w:ascii="Times New Roman" w:eastAsia="宋体" w:hAnsi="Times New Roman"/>
          <w:i/>
          <w:iCs/>
          <w:color w:val="000000"/>
          <w:sz w:val="20"/>
          <w:szCs w:val="20"/>
        </w:rPr>
        <w:t xml:space="preserve">ded July 3, 2022 compared with the three quarters ended June 27, 2021 </w:t>
      </w:r>
    </w:p>
    <w:p w14:paraId="64298BD7" w14:textId="77777777" w:rsidR="007B6C97" w:rsidRDefault="00E426D1">
      <w:pPr>
        <w:spacing w:before="120"/>
      </w:pPr>
      <w:r>
        <w:rPr>
          <w:rFonts w:ascii="Times New Roman" w:eastAsia="宋体" w:hAnsi="Times New Roman"/>
          <w:color w:val="000000"/>
          <w:sz w:val="20"/>
          <w:szCs w:val="20"/>
        </w:rPr>
        <w:t>Total net revenues for the first three quarters of fiscal 2022 increased $2.9 billion, primarily due to higher revenues from company-operated stores ($1.9 billion). The growth of compan</w:t>
      </w:r>
      <w:r>
        <w:rPr>
          <w:rFonts w:ascii="Times New Roman" w:eastAsia="宋体" w:hAnsi="Times New Roman"/>
          <w:color w:val="000000"/>
          <w:sz w:val="20"/>
          <w:szCs w:val="20"/>
        </w:rPr>
        <w:t>y-operated stores revenue was driven by a 8% increase in comparable store sales ($1.3 billion) attributed to a 4% increase in average ticket and 3% increase in comparable transactions. Also contributing to the increase were incremental revenues from 894 ne</w:t>
      </w:r>
      <w:r>
        <w:rPr>
          <w:rFonts w:ascii="Times New Roman" w:eastAsia="宋体" w:hAnsi="Times New Roman"/>
          <w:color w:val="000000"/>
          <w:sz w:val="20"/>
          <w:szCs w:val="20"/>
        </w:rPr>
        <w:t>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5% increase, over the past 12 months ($761 million). Partially offsetting these increases was unfavorable foreign currency translation ($175 million).</w:t>
      </w:r>
    </w:p>
    <w:p w14:paraId="64298BD8" w14:textId="77777777" w:rsidR="007B6C97" w:rsidRDefault="00E426D1">
      <w:pPr>
        <w:spacing w:before="120"/>
      </w:pPr>
      <w:r>
        <w:rPr>
          <w:rFonts w:ascii="Times New Roman" w:eastAsia="宋体" w:hAnsi="Times New Roman"/>
          <w:color w:val="000000"/>
          <w:sz w:val="20"/>
          <w:szCs w:val="20"/>
        </w:rPr>
        <w:t xml:space="preserve">Licensed stores revenue increased $768 million, primarily </w:t>
      </w:r>
      <w:r>
        <w:rPr>
          <w:rFonts w:ascii="Times New Roman" w:eastAsia="宋体" w:hAnsi="Times New Roman"/>
          <w:color w:val="000000"/>
          <w:sz w:val="20"/>
          <w:szCs w:val="20"/>
        </w:rPr>
        <w:t>driven by higher product and equipment sales to and royalty revenues from our licensees ($671 million) and the conversion of our Korea market from a joint venture to a fully licensed market in the fourth quarter of fiscal 2021 ($143 million). Partially off</w:t>
      </w:r>
      <w:r>
        <w:rPr>
          <w:rFonts w:ascii="Times New Roman" w:eastAsia="宋体" w:hAnsi="Times New Roman"/>
          <w:color w:val="000000"/>
          <w:sz w:val="20"/>
          <w:szCs w:val="20"/>
        </w:rPr>
        <w:t>setting these increases was unfavorable foreign currency translation ($46 million).</w:t>
      </w:r>
    </w:p>
    <w:p w14:paraId="64298BD9" w14:textId="77777777" w:rsidR="007B6C97" w:rsidRDefault="00E426D1">
      <w:pPr>
        <w:spacing w:before="120"/>
      </w:pPr>
      <w:r>
        <w:rPr>
          <w:rFonts w:ascii="Times New Roman" w:eastAsia="宋体" w:hAnsi="Times New Roman"/>
          <w:color w:val="000000"/>
          <w:sz w:val="20"/>
          <w:szCs w:val="20"/>
        </w:rPr>
        <w:t>Other revenues increased $222 million, primarily due to higher product sales and royalty revenue in the Global Coffee Alliance and growth in our ready-to-drink business.</w:t>
      </w:r>
    </w:p>
    <w:p w14:paraId="64298BDA" w14:textId="77777777" w:rsidR="007B6C97" w:rsidRDefault="00E426D1">
      <w:pPr>
        <w:jc w:val="center"/>
      </w:pPr>
      <w:r>
        <w:rPr>
          <w:rFonts w:ascii="Times New Roman" w:eastAsia="宋体" w:hAnsi="Times New Roman"/>
          <w:color w:val="000000"/>
          <w:sz w:val="20"/>
          <w:szCs w:val="20"/>
        </w:rPr>
        <w:t>32</w:t>
      </w:r>
    </w:p>
    <w:p w14:paraId="64298BDB" w14:textId="77777777" w:rsidR="007B6C97" w:rsidRDefault="00E426D1">
      <w:r>
        <w:pict w14:anchorId="642999FA">
          <v:rect id="_x0000_i1056" style="width:415.3pt;height:1.5pt" o:hralign="center" o:hrstd="t" o:hr="t" fillcolor="#a0a0a0" stroked="f"/>
        </w:pict>
      </w:r>
    </w:p>
    <w:p w14:paraId="64298BDC" w14:textId="77777777" w:rsidR="007B6C97" w:rsidRDefault="00E426D1">
      <w:hyperlink r:id="rId145" w:anchor="ie38a2b375c9840e583a36769999bbee6_7" w:history="1">
        <w:r>
          <w:rPr>
            <w:rStyle w:val="a5"/>
            <w:rFonts w:ascii="Times New Roman" w:eastAsia="宋体" w:hAnsi="Times New Roman"/>
            <w:sz w:val="20"/>
            <w:szCs w:val="20"/>
          </w:rPr>
          <w:t>Table</w:t>
        </w:r>
      </w:hyperlink>
      <w:hyperlink r:id="rId146" w:anchor="ie38a2b375c9840e583a36769999bbee6_7" w:history="1">
        <w:r>
          <w:rPr>
            <w:rStyle w:val="a5"/>
            <w:rFonts w:ascii="Times New Roman" w:eastAsia="宋体" w:hAnsi="Times New Roman"/>
            <w:sz w:val="20"/>
            <w:szCs w:val="20"/>
          </w:rPr>
          <w:t xml:space="preserve"> of Contents</w:t>
        </w:r>
      </w:hyperlink>
    </w:p>
    <w:p w14:paraId="64298BDD" w14:textId="77777777" w:rsidR="007B6C97" w:rsidRDefault="00E426D1">
      <w:pPr>
        <w:spacing w:before="180"/>
      </w:pPr>
      <w:r>
        <w:rPr>
          <w:rFonts w:ascii="Times New Roman" w:eastAsia="宋体" w:hAnsi="Times New Roman"/>
          <w:color w:val="000000"/>
          <w:sz w:val="20"/>
          <w:szCs w:val="20"/>
          <w:u w:val="single"/>
        </w:rPr>
        <w:t>Operating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950"/>
        <w:gridCol w:w="37"/>
        <w:gridCol w:w="107"/>
        <w:gridCol w:w="552"/>
        <w:gridCol w:w="35"/>
        <w:gridCol w:w="40"/>
        <w:gridCol w:w="32"/>
        <w:gridCol w:w="35"/>
        <w:gridCol w:w="107"/>
        <w:gridCol w:w="552"/>
        <w:gridCol w:w="35"/>
        <w:gridCol w:w="40"/>
        <w:gridCol w:w="32"/>
        <w:gridCol w:w="35"/>
        <w:gridCol w:w="107"/>
        <w:gridCol w:w="497"/>
        <w:gridCol w:w="35"/>
        <w:gridCol w:w="40"/>
        <w:gridCol w:w="32"/>
        <w:gridCol w:w="35"/>
        <w:gridCol w:w="55"/>
        <w:gridCol w:w="310"/>
        <w:gridCol w:w="190"/>
        <w:gridCol w:w="40"/>
        <w:gridCol w:w="32"/>
        <w:gridCol w:w="35"/>
        <w:gridCol w:w="55"/>
        <w:gridCol w:w="310"/>
        <w:gridCol w:w="190"/>
        <w:gridCol w:w="40"/>
        <w:gridCol w:w="32"/>
        <w:gridCol w:w="35"/>
        <w:gridCol w:w="107"/>
        <w:gridCol w:w="552"/>
        <w:gridCol w:w="35"/>
        <w:gridCol w:w="40"/>
        <w:gridCol w:w="32"/>
        <w:gridCol w:w="35"/>
        <w:gridCol w:w="107"/>
        <w:gridCol w:w="552"/>
        <w:gridCol w:w="35"/>
        <w:gridCol w:w="40"/>
        <w:gridCol w:w="32"/>
        <w:gridCol w:w="35"/>
        <w:gridCol w:w="107"/>
        <w:gridCol w:w="552"/>
        <w:gridCol w:w="35"/>
        <w:gridCol w:w="40"/>
        <w:gridCol w:w="32"/>
        <w:gridCol w:w="35"/>
        <w:gridCol w:w="55"/>
        <w:gridCol w:w="310"/>
        <w:gridCol w:w="190"/>
        <w:gridCol w:w="40"/>
        <w:gridCol w:w="32"/>
        <w:gridCol w:w="35"/>
        <w:gridCol w:w="55"/>
        <w:gridCol w:w="310"/>
        <w:gridCol w:w="190"/>
      </w:tblGrid>
      <w:tr w:rsidR="007B6C97" w14:paraId="64298C1A" w14:textId="77777777">
        <w:trPr>
          <w:jc w:val="center"/>
        </w:trPr>
        <w:tc>
          <w:tcPr>
            <w:tcW w:w="50" w:type="pct"/>
            <w:shd w:val="clear" w:color="auto" w:fill="auto"/>
            <w:vAlign w:val="bottom"/>
          </w:tcPr>
          <w:p w14:paraId="64298BDE" w14:textId="77777777" w:rsidR="007B6C97" w:rsidRDefault="007B6C97">
            <w:pPr>
              <w:rPr>
                <w:rFonts w:ascii="宋体"/>
              </w:rPr>
            </w:pPr>
          </w:p>
        </w:tc>
        <w:tc>
          <w:tcPr>
            <w:tcW w:w="953" w:type="pct"/>
            <w:shd w:val="clear" w:color="auto" w:fill="auto"/>
            <w:vAlign w:val="bottom"/>
          </w:tcPr>
          <w:p w14:paraId="64298BDF" w14:textId="77777777" w:rsidR="007B6C97" w:rsidRDefault="007B6C97">
            <w:pPr>
              <w:rPr>
                <w:rFonts w:ascii="宋体"/>
              </w:rPr>
            </w:pPr>
          </w:p>
        </w:tc>
        <w:tc>
          <w:tcPr>
            <w:tcW w:w="5" w:type="pct"/>
            <w:shd w:val="clear" w:color="auto" w:fill="auto"/>
            <w:vAlign w:val="bottom"/>
          </w:tcPr>
          <w:p w14:paraId="64298BE0" w14:textId="77777777" w:rsidR="007B6C97" w:rsidRDefault="007B6C97">
            <w:pPr>
              <w:rPr>
                <w:rFonts w:ascii="宋体"/>
              </w:rPr>
            </w:pPr>
          </w:p>
        </w:tc>
        <w:tc>
          <w:tcPr>
            <w:tcW w:w="50" w:type="pct"/>
            <w:shd w:val="clear" w:color="auto" w:fill="auto"/>
            <w:vAlign w:val="bottom"/>
          </w:tcPr>
          <w:p w14:paraId="64298BE1" w14:textId="77777777" w:rsidR="007B6C97" w:rsidRDefault="007B6C97">
            <w:pPr>
              <w:rPr>
                <w:rFonts w:ascii="宋体"/>
              </w:rPr>
            </w:pPr>
          </w:p>
        </w:tc>
        <w:tc>
          <w:tcPr>
            <w:tcW w:w="317" w:type="pct"/>
            <w:shd w:val="clear" w:color="auto" w:fill="auto"/>
            <w:vAlign w:val="bottom"/>
          </w:tcPr>
          <w:p w14:paraId="64298BE2" w14:textId="77777777" w:rsidR="007B6C97" w:rsidRDefault="007B6C97">
            <w:pPr>
              <w:rPr>
                <w:rFonts w:ascii="宋体"/>
              </w:rPr>
            </w:pPr>
          </w:p>
        </w:tc>
        <w:tc>
          <w:tcPr>
            <w:tcW w:w="5" w:type="pct"/>
            <w:shd w:val="clear" w:color="auto" w:fill="auto"/>
            <w:vAlign w:val="bottom"/>
          </w:tcPr>
          <w:p w14:paraId="64298BE3" w14:textId="77777777" w:rsidR="007B6C97" w:rsidRDefault="007B6C97">
            <w:pPr>
              <w:rPr>
                <w:rFonts w:ascii="宋体"/>
              </w:rPr>
            </w:pPr>
          </w:p>
        </w:tc>
        <w:tc>
          <w:tcPr>
            <w:tcW w:w="5" w:type="pct"/>
            <w:shd w:val="clear" w:color="auto" w:fill="auto"/>
            <w:vAlign w:val="bottom"/>
          </w:tcPr>
          <w:p w14:paraId="64298BE4" w14:textId="77777777" w:rsidR="007B6C97" w:rsidRDefault="007B6C97">
            <w:pPr>
              <w:rPr>
                <w:rFonts w:ascii="宋体"/>
              </w:rPr>
            </w:pPr>
          </w:p>
        </w:tc>
        <w:tc>
          <w:tcPr>
            <w:tcW w:w="19" w:type="pct"/>
            <w:shd w:val="clear" w:color="auto" w:fill="auto"/>
            <w:vAlign w:val="bottom"/>
          </w:tcPr>
          <w:p w14:paraId="64298BE5" w14:textId="77777777" w:rsidR="007B6C97" w:rsidRDefault="007B6C97">
            <w:pPr>
              <w:rPr>
                <w:rFonts w:ascii="宋体"/>
              </w:rPr>
            </w:pPr>
          </w:p>
        </w:tc>
        <w:tc>
          <w:tcPr>
            <w:tcW w:w="5" w:type="pct"/>
            <w:shd w:val="clear" w:color="auto" w:fill="auto"/>
            <w:vAlign w:val="bottom"/>
          </w:tcPr>
          <w:p w14:paraId="64298BE6" w14:textId="77777777" w:rsidR="007B6C97" w:rsidRDefault="007B6C97">
            <w:pPr>
              <w:rPr>
                <w:rFonts w:ascii="宋体"/>
              </w:rPr>
            </w:pPr>
          </w:p>
        </w:tc>
        <w:tc>
          <w:tcPr>
            <w:tcW w:w="50" w:type="pct"/>
            <w:shd w:val="clear" w:color="auto" w:fill="auto"/>
            <w:vAlign w:val="bottom"/>
          </w:tcPr>
          <w:p w14:paraId="64298BE7" w14:textId="77777777" w:rsidR="007B6C97" w:rsidRDefault="007B6C97">
            <w:pPr>
              <w:rPr>
                <w:rFonts w:ascii="宋体"/>
              </w:rPr>
            </w:pPr>
          </w:p>
        </w:tc>
        <w:tc>
          <w:tcPr>
            <w:tcW w:w="317" w:type="pct"/>
            <w:shd w:val="clear" w:color="auto" w:fill="auto"/>
            <w:vAlign w:val="bottom"/>
          </w:tcPr>
          <w:p w14:paraId="64298BE8" w14:textId="77777777" w:rsidR="007B6C97" w:rsidRDefault="007B6C97">
            <w:pPr>
              <w:rPr>
                <w:rFonts w:ascii="宋体"/>
              </w:rPr>
            </w:pPr>
          </w:p>
        </w:tc>
        <w:tc>
          <w:tcPr>
            <w:tcW w:w="5" w:type="pct"/>
            <w:shd w:val="clear" w:color="auto" w:fill="auto"/>
            <w:vAlign w:val="bottom"/>
          </w:tcPr>
          <w:p w14:paraId="64298BE9" w14:textId="77777777" w:rsidR="007B6C97" w:rsidRDefault="007B6C97">
            <w:pPr>
              <w:rPr>
                <w:rFonts w:ascii="宋体"/>
              </w:rPr>
            </w:pPr>
          </w:p>
        </w:tc>
        <w:tc>
          <w:tcPr>
            <w:tcW w:w="5" w:type="pct"/>
            <w:shd w:val="clear" w:color="auto" w:fill="auto"/>
            <w:vAlign w:val="bottom"/>
          </w:tcPr>
          <w:p w14:paraId="64298BEA" w14:textId="77777777" w:rsidR="007B6C97" w:rsidRDefault="007B6C97">
            <w:pPr>
              <w:rPr>
                <w:rFonts w:ascii="宋体"/>
              </w:rPr>
            </w:pPr>
          </w:p>
        </w:tc>
        <w:tc>
          <w:tcPr>
            <w:tcW w:w="19" w:type="pct"/>
            <w:shd w:val="clear" w:color="auto" w:fill="auto"/>
            <w:vAlign w:val="bottom"/>
          </w:tcPr>
          <w:p w14:paraId="64298BEB" w14:textId="77777777" w:rsidR="007B6C97" w:rsidRDefault="007B6C97">
            <w:pPr>
              <w:rPr>
                <w:rFonts w:ascii="宋体"/>
              </w:rPr>
            </w:pPr>
          </w:p>
        </w:tc>
        <w:tc>
          <w:tcPr>
            <w:tcW w:w="5" w:type="pct"/>
            <w:shd w:val="clear" w:color="auto" w:fill="auto"/>
            <w:vAlign w:val="bottom"/>
          </w:tcPr>
          <w:p w14:paraId="64298BEC" w14:textId="77777777" w:rsidR="007B6C97" w:rsidRDefault="007B6C97">
            <w:pPr>
              <w:rPr>
                <w:rFonts w:ascii="宋体"/>
              </w:rPr>
            </w:pPr>
          </w:p>
        </w:tc>
        <w:tc>
          <w:tcPr>
            <w:tcW w:w="50" w:type="pct"/>
            <w:shd w:val="clear" w:color="auto" w:fill="auto"/>
            <w:vAlign w:val="bottom"/>
          </w:tcPr>
          <w:p w14:paraId="64298BED" w14:textId="77777777" w:rsidR="007B6C97" w:rsidRDefault="007B6C97">
            <w:pPr>
              <w:rPr>
                <w:rFonts w:ascii="宋体"/>
              </w:rPr>
            </w:pPr>
          </w:p>
        </w:tc>
        <w:tc>
          <w:tcPr>
            <w:tcW w:w="317" w:type="pct"/>
            <w:shd w:val="clear" w:color="auto" w:fill="auto"/>
            <w:vAlign w:val="bottom"/>
          </w:tcPr>
          <w:p w14:paraId="64298BEE" w14:textId="77777777" w:rsidR="007B6C97" w:rsidRDefault="007B6C97">
            <w:pPr>
              <w:rPr>
                <w:rFonts w:ascii="宋体"/>
              </w:rPr>
            </w:pPr>
          </w:p>
        </w:tc>
        <w:tc>
          <w:tcPr>
            <w:tcW w:w="5" w:type="pct"/>
            <w:shd w:val="clear" w:color="auto" w:fill="auto"/>
            <w:vAlign w:val="bottom"/>
          </w:tcPr>
          <w:p w14:paraId="64298BEF" w14:textId="77777777" w:rsidR="007B6C97" w:rsidRDefault="007B6C97">
            <w:pPr>
              <w:rPr>
                <w:rFonts w:ascii="宋体"/>
              </w:rPr>
            </w:pPr>
          </w:p>
        </w:tc>
        <w:tc>
          <w:tcPr>
            <w:tcW w:w="5" w:type="pct"/>
            <w:shd w:val="clear" w:color="auto" w:fill="auto"/>
            <w:vAlign w:val="bottom"/>
          </w:tcPr>
          <w:p w14:paraId="64298BF0" w14:textId="77777777" w:rsidR="007B6C97" w:rsidRDefault="007B6C97">
            <w:pPr>
              <w:rPr>
                <w:rFonts w:ascii="宋体"/>
              </w:rPr>
            </w:pPr>
          </w:p>
        </w:tc>
        <w:tc>
          <w:tcPr>
            <w:tcW w:w="19" w:type="pct"/>
            <w:shd w:val="clear" w:color="auto" w:fill="auto"/>
            <w:vAlign w:val="bottom"/>
          </w:tcPr>
          <w:p w14:paraId="64298BF1" w14:textId="77777777" w:rsidR="007B6C97" w:rsidRDefault="007B6C97">
            <w:pPr>
              <w:rPr>
                <w:rFonts w:ascii="宋体"/>
              </w:rPr>
            </w:pPr>
          </w:p>
        </w:tc>
        <w:tc>
          <w:tcPr>
            <w:tcW w:w="5" w:type="pct"/>
            <w:shd w:val="clear" w:color="auto" w:fill="auto"/>
            <w:vAlign w:val="bottom"/>
          </w:tcPr>
          <w:p w14:paraId="64298BF2" w14:textId="77777777" w:rsidR="007B6C97" w:rsidRDefault="007B6C97">
            <w:pPr>
              <w:rPr>
                <w:rFonts w:ascii="宋体"/>
              </w:rPr>
            </w:pPr>
          </w:p>
        </w:tc>
        <w:tc>
          <w:tcPr>
            <w:tcW w:w="50" w:type="pct"/>
            <w:shd w:val="clear" w:color="auto" w:fill="auto"/>
            <w:vAlign w:val="bottom"/>
          </w:tcPr>
          <w:p w14:paraId="64298BF3" w14:textId="77777777" w:rsidR="007B6C97" w:rsidRDefault="007B6C97">
            <w:pPr>
              <w:rPr>
                <w:rFonts w:ascii="宋体"/>
              </w:rPr>
            </w:pPr>
          </w:p>
        </w:tc>
        <w:tc>
          <w:tcPr>
            <w:tcW w:w="317" w:type="pct"/>
            <w:shd w:val="clear" w:color="auto" w:fill="auto"/>
            <w:vAlign w:val="bottom"/>
          </w:tcPr>
          <w:p w14:paraId="64298BF4" w14:textId="77777777" w:rsidR="007B6C97" w:rsidRDefault="007B6C97">
            <w:pPr>
              <w:rPr>
                <w:rFonts w:ascii="宋体"/>
              </w:rPr>
            </w:pPr>
          </w:p>
        </w:tc>
        <w:tc>
          <w:tcPr>
            <w:tcW w:w="5" w:type="pct"/>
            <w:shd w:val="clear" w:color="auto" w:fill="auto"/>
            <w:vAlign w:val="bottom"/>
          </w:tcPr>
          <w:p w14:paraId="64298BF5" w14:textId="77777777" w:rsidR="007B6C97" w:rsidRDefault="007B6C97">
            <w:pPr>
              <w:rPr>
                <w:rFonts w:ascii="宋体"/>
              </w:rPr>
            </w:pPr>
          </w:p>
        </w:tc>
        <w:tc>
          <w:tcPr>
            <w:tcW w:w="5" w:type="pct"/>
            <w:shd w:val="clear" w:color="auto" w:fill="auto"/>
            <w:vAlign w:val="bottom"/>
          </w:tcPr>
          <w:p w14:paraId="64298BF6" w14:textId="77777777" w:rsidR="007B6C97" w:rsidRDefault="007B6C97">
            <w:pPr>
              <w:rPr>
                <w:rFonts w:ascii="宋体"/>
              </w:rPr>
            </w:pPr>
          </w:p>
        </w:tc>
        <w:tc>
          <w:tcPr>
            <w:tcW w:w="19" w:type="pct"/>
            <w:shd w:val="clear" w:color="auto" w:fill="auto"/>
            <w:vAlign w:val="bottom"/>
          </w:tcPr>
          <w:p w14:paraId="64298BF7" w14:textId="77777777" w:rsidR="007B6C97" w:rsidRDefault="007B6C97">
            <w:pPr>
              <w:rPr>
                <w:rFonts w:ascii="宋体"/>
              </w:rPr>
            </w:pPr>
          </w:p>
        </w:tc>
        <w:tc>
          <w:tcPr>
            <w:tcW w:w="5" w:type="pct"/>
            <w:shd w:val="clear" w:color="auto" w:fill="auto"/>
            <w:vAlign w:val="bottom"/>
          </w:tcPr>
          <w:p w14:paraId="64298BF8" w14:textId="77777777" w:rsidR="007B6C97" w:rsidRDefault="007B6C97">
            <w:pPr>
              <w:rPr>
                <w:rFonts w:ascii="宋体"/>
              </w:rPr>
            </w:pPr>
          </w:p>
        </w:tc>
        <w:tc>
          <w:tcPr>
            <w:tcW w:w="50" w:type="pct"/>
            <w:shd w:val="clear" w:color="auto" w:fill="auto"/>
            <w:vAlign w:val="bottom"/>
          </w:tcPr>
          <w:p w14:paraId="64298BF9" w14:textId="77777777" w:rsidR="007B6C97" w:rsidRDefault="007B6C97">
            <w:pPr>
              <w:rPr>
                <w:rFonts w:ascii="宋体"/>
              </w:rPr>
            </w:pPr>
          </w:p>
        </w:tc>
        <w:tc>
          <w:tcPr>
            <w:tcW w:w="317" w:type="pct"/>
            <w:shd w:val="clear" w:color="auto" w:fill="auto"/>
            <w:vAlign w:val="bottom"/>
          </w:tcPr>
          <w:p w14:paraId="64298BFA" w14:textId="77777777" w:rsidR="007B6C97" w:rsidRDefault="007B6C97">
            <w:pPr>
              <w:rPr>
                <w:rFonts w:ascii="宋体"/>
              </w:rPr>
            </w:pPr>
          </w:p>
        </w:tc>
        <w:tc>
          <w:tcPr>
            <w:tcW w:w="5" w:type="pct"/>
            <w:shd w:val="clear" w:color="auto" w:fill="auto"/>
            <w:vAlign w:val="bottom"/>
          </w:tcPr>
          <w:p w14:paraId="64298BFB" w14:textId="77777777" w:rsidR="007B6C97" w:rsidRDefault="007B6C97">
            <w:pPr>
              <w:rPr>
                <w:rFonts w:ascii="宋体"/>
              </w:rPr>
            </w:pPr>
          </w:p>
        </w:tc>
        <w:tc>
          <w:tcPr>
            <w:tcW w:w="5" w:type="pct"/>
            <w:shd w:val="clear" w:color="auto" w:fill="auto"/>
            <w:vAlign w:val="bottom"/>
          </w:tcPr>
          <w:p w14:paraId="64298BFC" w14:textId="77777777" w:rsidR="007B6C97" w:rsidRDefault="007B6C97">
            <w:pPr>
              <w:rPr>
                <w:rFonts w:ascii="宋体"/>
              </w:rPr>
            </w:pPr>
          </w:p>
        </w:tc>
        <w:tc>
          <w:tcPr>
            <w:tcW w:w="19" w:type="pct"/>
            <w:shd w:val="clear" w:color="auto" w:fill="auto"/>
            <w:vAlign w:val="bottom"/>
          </w:tcPr>
          <w:p w14:paraId="64298BFD" w14:textId="77777777" w:rsidR="007B6C97" w:rsidRDefault="007B6C97">
            <w:pPr>
              <w:rPr>
                <w:rFonts w:ascii="宋体"/>
              </w:rPr>
            </w:pPr>
          </w:p>
        </w:tc>
        <w:tc>
          <w:tcPr>
            <w:tcW w:w="5" w:type="pct"/>
            <w:shd w:val="clear" w:color="auto" w:fill="auto"/>
            <w:vAlign w:val="bottom"/>
          </w:tcPr>
          <w:p w14:paraId="64298BFE" w14:textId="77777777" w:rsidR="007B6C97" w:rsidRDefault="007B6C97">
            <w:pPr>
              <w:rPr>
                <w:rFonts w:ascii="宋体"/>
              </w:rPr>
            </w:pPr>
          </w:p>
        </w:tc>
        <w:tc>
          <w:tcPr>
            <w:tcW w:w="50" w:type="pct"/>
            <w:shd w:val="clear" w:color="auto" w:fill="auto"/>
            <w:vAlign w:val="bottom"/>
          </w:tcPr>
          <w:p w14:paraId="64298BFF" w14:textId="77777777" w:rsidR="007B6C97" w:rsidRDefault="007B6C97">
            <w:pPr>
              <w:rPr>
                <w:rFonts w:ascii="宋体"/>
              </w:rPr>
            </w:pPr>
          </w:p>
        </w:tc>
        <w:tc>
          <w:tcPr>
            <w:tcW w:w="317" w:type="pct"/>
            <w:shd w:val="clear" w:color="auto" w:fill="auto"/>
            <w:vAlign w:val="bottom"/>
          </w:tcPr>
          <w:p w14:paraId="64298C00" w14:textId="77777777" w:rsidR="007B6C97" w:rsidRDefault="007B6C97">
            <w:pPr>
              <w:rPr>
                <w:rFonts w:ascii="宋体"/>
              </w:rPr>
            </w:pPr>
          </w:p>
        </w:tc>
        <w:tc>
          <w:tcPr>
            <w:tcW w:w="5" w:type="pct"/>
            <w:shd w:val="clear" w:color="auto" w:fill="auto"/>
            <w:vAlign w:val="bottom"/>
          </w:tcPr>
          <w:p w14:paraId="64298C01" w14:textId="77777777" w:rsidR="007B6C97" w:rsidRDefault="007B6C97">
            <w:pPr>
              <w:rPr>
                <w:rFonts w:ascii="宋体"/>
              </w:rPr>
            </w:pPr>
          </w:p>
        </w:tc>
        <w:tc>
          <w:tcPr>
            <w:tcW w:w="5" w:type="pct"/>
            <w:shd w:val="clear" w:color="auto" w:fill="auto"/>
            <w:vAlign w:val="bottom"/>
          </w:tcPr>
          <w:p w14:paraId="64298C02" w14:textId="77777777" w:rsidR="007B6C97" w:rsidRDefault="007B6C97">
            <w:pPr>
              <w:rPr>
                <w:rFonts w:ascii="宋体"/>
              </w:rPr>
            </w:pPr>
          </w:p>
        </w:tc>
        <w:tc>
          <w:tcPr>
            <w:tcW w:w="19" w:type="pct"/>
            <w:shd w:val="clear" w:color="auto" w:fill="auto"/>
            <w:vAlign w:val="bottom"/>
          </w:tcPr>
          <w:p w14:paraId="64298C03" w14:textId="77777777" w:rsidR="007B6C97" w:rsidRDefault="007B6C97">
            <w:pPr>
              <w:rPr>
                <w:rFonts w:ascii="宋体"/>
              </w:rPr>
            </w:pPr>
          </w:p>
        </w:tc>
        <w:tc>
          <w:tcPr>
            <w:tcW w:w="5" w:type="pct"/>
            <w:shd w:val="clear" w:color="auto" w:fill="auto"/>
            <w:vAlign w:val="bottom"/>
          </w:tcPr>
          <w:p w14:paraId="64298C04" w14:textId="77777777" w:rsidR="007B6C97" w:rsidRDefault="007B6C97">
            <w:pPr>
              <w:rPr>
                <w:rFonts w:ascii="宋体"/>
              </w:rPr>
            </w:pPr>
          </w:p>
        </w:tc>
        <w:tc>
          <w:tcPr>
            <w:tcW w:w="50" w:type="pct"/>
            <w:shd w:val="clear" w:color="auto" w:fill="auto"/>
            <w:vAlign w:val="bottom"/>
          </w:tcPr>
          <w:p w14:paraId="64298C05" w14:textId="77777777" w:rsidR="007B6C97" w:rsidRDefault="007B6C97">
            <w:pPr>
              <w:rPr>
                <w:rFonts w:ascii="宋体"/>
              </w:rPr>
            </w:pPr>
          </w:p>
        </w:tc>
        <w:tc>
          <w:tcPr>
            <w:tcW w:w="317" w:type="pct"/>
            <w:shd w:val="clear" w:color="auto" w:fill="auto"/>
            <w:vAlign w:val="bottom"/>
          </w:tcPr>
          <w:p w14:paraId="64298C06" w14:textId="77777777" w:rsidR="007B6C97" w:rsidRDefault="007B6C97">
            <w:pPr>
              <w:rPr>
                <w:rFonts w:ascii="宋体"/>
              </w:rPr>
            </w:pPr>
          </w:p>
        </w:tc>
        <w:tc>
          <w:tcPr>
            <w:tcW w:w="5" w:type="pct"/>
            <w:shd w:val="clear" w:color="auto" w:fill="auto"/>
            <w:vAlign w:val="bottom"/>
          </w:tcPr>
          <w:p w14:paraId="64298C07" w14:textId="77777777" w:rsidR="007B6C97" w:rsidRDefault="007B6C97">
            <w:pPr>
              <w:rPr>
                <w:rFonts w:ascii="宋体"/>
              </w:rPr>
            </w:pPr>
          </w:p>
        </w:tc>
        <w:tc>
          <w:tcPr>
            <w:tcW w:w="5" w:type="pct"/>
            <w:shd w:val="clear" w:color="auto" w:fill="auto"/>
            <w:vAlign w:val="bottom"/>
          </w:tcPr>
          <w:p w14:paraId="64298C08" w14:textId="77777777" w:rsidR="007B6C97" w:rsidRDefault="007B6C97">
            <w:pPr>
              <w:rPr>
                <w:rFonts w:ascii="宋体"/>
              </w:rPr>
            </w:pPr>
          </w:p>
        </w:tc>
        <w:tc>
          <w:tcPr>
            <w:tcW w:w="19" w:type="pct"/>
            <w:shd w:val="clear" w:color="auto" w:fill="auto"/>
            <w:vAlign w:val="bottom"/>
          </w:tcPr>
          <w:p w14:paraId="64298C09" w14:textId="77777777" w:rsidR="007B6C97" w:rsidRDefault="007B6C97">
            <w:pPr>
              <w:rPr>
                <w:rFonts w:ascii="宋体"/>
              </w:rPr>
            </w:pPr>
          </w:p>
        </w:tc>
        <w:tc>
          <w:tcPr>
            <w:tcW w:w="5" w:type="pct"/>
            <w:shd w:val="clear" w:color="auto" w:fill="auto"/>
            <w:vAlign w:val="bottom"/>
          </w:tcPr>
          <w:p w14:paraId="64298C0A" w14:textId="77777777" w:rsidR="007B6C97" w:rsidRDefault="007B6C97">
            <w:pPr>
              <w:rPr>
                <w:rFonts w:ascii="宋体"/>
              </w:rPr>
            </w:pPr>
          </w:p>
        </w:tc>
        <w:tc>
          <w:tcPr>
            <w:tcW w:w="50" w:type="pct"/>
            <w:shd w:val="clear" w:color="auto" w:fill="auto"/>
            <w:vAlign w:val="bottom"/>
          </w:tcPr>
          <w:p w14:paraId="64298C0B" w14:textId="77777777" w:rsidR="007B6C97" w:rsidRDefault="007B6C97">
            <w:pPr>
              <w:rPr>
                <w:rFonts w:ascii="宋体"/>
              </w:rPr>
            </w:pPr>
          </w:p>
        </w:tc>
        <w:tc>
          <w:tcPr>
            <w:tcW w:w="317" w:type="pct"/>
            <w:shd w:val="clear" w:color="auto" w:fill="auto"/>
            <w:vAlign w:val="bottom"/>
          </w:tcPr>
          <w:p w14:paraId="64298C0C" w14:textId="77777777" w:rsidR="007B6C97" w:rsidRDefault="007B6C97">
            <w:pPr>
              <w:rPr>
                <w:rFonts w:ascii="宋体"/>
              </w:rPr>
            </w:pPr>
          </w:p>
        </w:tc>
        <w:tc>
          <w:tcPr>
            <w:tcW w:w="5" w:type="pct"/>
            <w:shd w:val="clear" w:color="auto" w:fill="auto"/>
            <w:vAlign w:val="bottom"/>
          </w:tcPr>
          <w:p w14:paraId="64298C0D" w14:textId="77777777" w:rsidR="007B6C97" w:rsidRDefault="007B6C97">
            <w:pPr>
              <w:rPr>
                <w:rFonts w:ascii="宋体"/>
              </w:rPr>
            </w:pPr>
          </w:p>
        </w:tc>
        <w:tc>
          <w:tcPr>
            <w:tcW w:w="5" w:type="pct"/>
            <w:shd w:val="clear" w:color="auto" w:fill="auto"/>
            <w:vAlign w:val="bottom"/>
          </w:tcPr>
          <w:p w14:paraId="64298C0E" w14:textId="77777777" w:rsidR="007B6C97" w:rsidRDefault="007B6C97">
            <w:pPr>
              <w:rPr>
                <w:rFonts w:ascii="宋体"/>
              </w:rPr>
            </w:pPr>
          </w:p>
        </w:tc>
        <w:tc>
          <w:tcPr>
            <w:tcW w:w="19" w:type="pct"/>
            <w:shd w:val="clear" w:color="auto" w:fill="auto"/>
            <w:vAlign w:val="bottom"/>
          </w:tcPr>
          <w:p w14:paraId="64298C0F" w14:textId="77777777" w:rsidR="007B6C97" w:rsidRDefault="007B6C97">
            <w:pPr>
              <w:rPr>
                <w:rFonts w:ascii="宋体"/>
              </w:rPr>
            </w:pPr>
          </w:p>
        </w:tc>
        <w:tc>
          <w:tcPr>
            <w:tcW w:w="5" w:type="pct"/>
            <w:shd w:val="clear" w:color="auto" w:fill="auto"/>
            <w:vAlign w:val="bottom"/>
          </w:tcPr>
          <w:p w14:paraId="64298C10" w14:textId="77777777" w:rsidR="007B6C97" w:rsidRDefault="007B6C97">
            <w:pPr>
              <w:rPr>
                <w:rFonts w:ascii="宋体"/>
              </w:rPr>
            </w:pPr>
          </w:p>
        </w:tc>
        <w:tc>
          <w:tcPr>
            <w:tcW w:w="50" w:type="pct"/>
            <w:shd w:val="clear" w:color="auto" w:fill="auto"/>
            <w:vAlign w:val="bottom"/>
          </w:tcPr>
          <w:p w14:paraId="64298C11" w14:textId="77777777" w:rsidR="007B6C97" w:rsidRDefault="007B6C97">
            <w:pPr>
              <w:rPr>
                <w:rFonts w:ascii="宋体"/>
              </w:rPr>
            </w:pPr>
          </w:p>
        </w:tc>
        <w:tc>
          <w:tcPr>
            <w:tcW w:w="317" w:type="pct"/>
            <w:shd w:val="clear" w:color="auto" w:fill="auto"/>
            <w:vAlign w:val="bottom"/>
          </w:tcPr>
          <w:p w14:paraId="64298C12" w14:textId="77777777" w:rsidR="007B6C97" w:rsidRDefault="007B6C97">
            <w:pPr>
              <w:rPr>
                <w:rFonts w:ascii="宋体"/>
              </w:rPr>
            </w:pPr>
          </w:p>
        </w:tc>
        <w:tc>
          <w:tcPr>
            <w:tcW w:w="5" w:type="pct"/>
            <w:shd w:val="clear" w:color="auto" w:fill="auto"/>
            <w:vAlign w:val="bottom"/>
          </w:tcPr>
          <w:p w14:paraId="64298C13" w14:textId="77777777" w:rsidR="007B6C97" w:rsidRDefault="007B6C97">
            <w:pPr>
              <w:rPr>
                <w:rFonts w:ascii="宋体"/>
              </w:rPr>
            </w:pPr>
          </w:p>
        </w:tc>
        <w:tc>
          <w:tcPr>
            <w:tcW w:w="5" w:type="pct"/>
            <w:shd w:val="clear" w:color="auto" w:fill="auto"/>
            <w:vAlign w:val="bottom"/>
          </w:tcPr>
          <w:p w14:paraId="64298C14" w14:textId="77777777" w:rsidR="007B6C97" w:rsidRDefault="007B6C97">
            <w:pPr>
              <w:rPr>
                <w:rFonts w:ascii="宋体"/>
              </w:rPr>
            </w:pPr>
          </w:p>
        </w:tc>
        <w:tc>
          <w:tcPr>
            <w:tcW w:w="19" w:type="pct"/>
            <w:shd w:val="clear" w:color="auto" w:fill="auto"/>
            <w:vAlign w:val="bottom"/>
          </w:tcPr>
          <w:p w14:paraId="64298C15" w14:textId="77777777" w:rsidR="007B6C97" w:rsidRDefault="007B6C97">
            <w:pPr>
              <w:rPr>
                <w:rFonts w:ascii="宋体"/>
              </w:rPr>
            </w:pPr>
          </w:p>
        </w:tc>
        <w:tc>
          <w:tcPr>
            <w:tcW w:w="5" w:type="pct"/>
            <w:shd w:val="clear" w:color="auto" w:fill="auto"/>
            <w:vAlign w:val="bottom"/>
          </w:tcPr>
          <w:p w14:paraId="64298C16" w14:textId="77777777" w:rsidR="007B6C97" w:rsidRDefault="007B6C97">
            <w:pPr>
              <w:rPr>
                <w:rFonts w:ascii="宋体"/>
              </w:rPr>
            </w:pPr>
          </w:p>
        </w:tc>
        <w:tc>
          <w:tcPr>
            <w:tcW w:w="50" w:type="pct"/>
            <w:shd w:val="clear" w:color="auto" w:fill="auto"/>
            <w:vAlign w:val="bottom"/>
          </w:tcPr>
          <w:p w14:paraId="64298C17" w14:textId="77777777" w:rsidR="007B6C97" w:rsidRDefault="007B6C97">
            <w:pPr>
              <w:rPr>
                <w:rFonts w:ascii="宋体"/>
              </w:rPr>
            </w:pPr>
          </w:p>
        </w:tc>
        <w:tc>
          <w:tcPr>
            <w:tcW w:w="318" w:type="pct"/>
            <w:shd w:val="clear" w:color="auto" w:fill="auto"/>
            <w:vAlign w:val="bottom"/>
          </w:tcPr>
          <w:p w14:paraId="64298C18" w14:textId="77777777" w:rsidR="007B6C97" w:rsidRDefault="007B6C97">
            <w:pPr>
              <w:rPr>
                <w:rFonts w:ascii="宋体"/>
              </w:rPr>
            </w:pPr>
          </w:p>
        </w:tc>
        <w:tc>
          <w:tcPr>
            <w:tcW w:w="5" w:type="pct"/>
            <w:shd w:val="clear" w:color="auto" w:fill="auto"/>
            <w:vAlign w:val="bottom"/>
          </w:tcPr>
          <w:p w14:paraId="64298C19" w14:textId="77777777" w:rsidR="007B6C97" w:rsidRDefault="007B6C97">
            <w:pPr>
              <w:rPr>
                <w:rFonts w:ascii="宋体"/>
              </w:rPr>
            </w:pPr>
          </w:p>
        </w:tc>
      </w:tr>
      <w:tr w:rsidR="007B6C97" w14:paraId="64298C1F" w14:textId="77777777">
        <w:trPr>
          <w:jc w:val="center"/>
        </w:trPr>
        <w:tc>
          <w:tcPr>
            <w:tcW w:w="0" w:type="auto"/>
            <w:gridSpan w:val="3"/>
            <w:shd w:val="clear" w:color="auto" w:fill="auto"/>
            <w:tcMar>
              <w:top w:w="40" w:type="dxa"/>
              <w:left w:w="20" w:type="dxa"/>
              <w:bottom w:w="40" w:type="dxa"/>
              <w:right w:w="20" w:type="dxa"/>
            </w:tcMar>
            <w:vAlign w:val="bottom"/>
          </w:tcPr>
          <w:p w14:paraId="64298C1B" w14:textId="77777777" w:rsidR="007B6C97" w:rsidRDefault="00E426D1">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4298C1C"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8C1D"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8C1E"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C35" w14:textId="77777777">
        <w:trPr>
          <w:jc w:val="center"/>
        </w:trPr>
        <w:tc>
          <w:tcPr>
            <w:tcW w:w="0" w:type="auto"/>
            <w:gridSpan w:val="3"/>
            <w:shd w:val="clear" w:color="auto" w:fill="auto"/>
            <w:tcMar>
              <w:top w:w="0" w:type="dxa"/>
              <w:left w:w="20" w:type="dxa"/>
              <w:bottom w:w="0" w:type="dxa"/>
              <w:right w:w="20" w:type="dxa"/>
            </w:tcMar>
            <w:vAlign w:val="bottom"/>
          </w:tcPr>
          <w:p w14:paraId="64298C2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1"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C2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3"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C24"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5"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8C26"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8C2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8"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C29"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C2A"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C2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C"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2022</w:t>
            </w:r>
          </w:p>
        </w:tc>
        <w:tc>
          <w:tcPr>
            <w:tcW w:w="0" w:type="auto"/>
            <w:gridSpan w:val="3"/>
            <w:shd w:val="clear" w:color="auto" w:fill="FFFFFF"/>
            <w:tcMar>
              <w:top w:w="0" w:type="dxa"/>
              <w:left w:w="20" w:type="dxa"/>
              <w:bottom w:w="0" w:type="dxa"/>
              <w:right w:w="20" w:type="dxa"/>
            </w:tcMar>
            <w:vAlign w:val="bottom"/>
          </w:tcPr>
          <w:p w14:paraId="64298C2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2E"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4298C2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30" w14:textId="77777777" w:rsidR="007B6C97" w:rsidRDefault="00E426D1">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64298C3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C32"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4298C33"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C34"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8C46" w14:textId="77777777">
        <w:trPr>
          <w:jc w:val="center"/>
        </w:trPr>
        <w:tc>
          <w:tcPr>
            <w:tcW w:w="0" w:type="auto"/>
            <w:gridSpan w:val="3"/>
            <w:shd w:val="clear" w:color="auto" w:fill="auto"/>
            <w:tcMar>
              <w:top w:w="40" w:type="dxa"/>
              <w:left w:w="20" w:type="dxa"/>
              <w:bottom w:w="40" w:type="dxa"/>
              <w:right w:w="20" w:type="dxa"/>
            </w:tcMar>
            <w:vAlign w:val="bottom"/>
          </w:tcPr>
          <w:p w14:paraId="64298C36" w14:textId="77777777" w:rsidR="007B6C97" w:rsidRDefault="00E426D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298C37"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8C38" w14:textId="77777777" w:rsidR="007B6C97" w:rsidRDefault="007B6C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298C39"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8C3A"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C3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C3C"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C3D" w14:textId="77777777" w:rsidR="007B6C97" w:rsidRDefault="00E426D1">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gridSpan w:val="3"/>
            <w:shd w:val="clear" w:color="auto" w:fill="auto"/>
            <w:tcMar>
              <w:top w:w="0" w:type="dxa"/>
              <w:left w:w="20" w:type="dxa"/>
              <w:bottom w:w="0" w:type="dxa"/>
              <w:right w:w="20" w:type="dxa"/>
            </w:tcMar>
            <w:vAlign w:val="bottom"/>
          </w:tcPr>
          <w:p w14:paraId="64298C3E"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C3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C40"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C4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C42"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C43"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C44"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C45" w14:textId="77777777" w:rsidR="007B6C97" w:rsidRDefault="00E426D1">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Net Revenues</w:t>
            </w:r>
          </w:p>
        </w:tc>
      </w:tr>
      <w:tr w:rsidR="00E426D1" w14:paraId="64298C6B" w14:textId="77777777">
        <w:trPr>
          <w:jc w:val="center"/>
        </w:trPr>
        <w:tc>
          <w:tcPr>
            <w:tcW w:w="0" w:type="auto"/>
            <w:gridSpan w:val="3"/>
            <w:shd w:val="clear" w:color="auto" w:fill="D7E4BC"/>
            <w:tcMar>
              <w:top w:w="40" w:type="dxa"/>
              <w:left w:w="20" w:type="dxa"/>
              <w:bottom w:w="40" w:type="dxa"/>
              <w:right w:w="20" w:type="dxa"/>
            </w:tcMar>
          </w:tcPr>
          <w:p w14:paraId="64298C47"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64298C48"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49" w14:textId="77777777" w:rsidR="007B6C97" w:rsidRDefault="00E426D1">
            <w:pPr>
              <w:jc w:val="right"/>
              <w:textAlignment w:val="bottom"/>
            </w:pPr>
            <w:r>
              <w:rPr>
                <w:rFonts w:ascii="Times New Roman" w:eastAsia="宋体" w:hAnsi="Times New Roman"/>
                <w:color w:val="000000"/>
                <w:sz w:val="20"/>
                <w:szCs w:val="20"/>
              </w:rPr>
              <w:t>2,613.6 </w:t>
            </w:r>
          </w:p>
        </w:tc>
        <w:tc>
          <w:tcPr>
            <w:tcW w:w="0" w:type="auto"/>
            <w:shd w:val="clear" w:color="auto" w:fill="D7E4BC"/>
            <w:tcMar>
              <w:top w:w="40" w:type="dxa"/>
              <w:left w:w="0" w:type="dxa"/>
              <w:bottom w:w="40" w:type="dxa"/>
              <w:right w:w="20" w:type="dxa"/>
            </w:tcMar>
            <w:vAlign w:val="bottom"/>
          </w:tcPr>
          <w:p w14:paraId="64298C4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4B"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C4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4D" w14:textId="77777777" w:rsidR="007B6C97" w:rsidRDefault="00E426D1">
            <w:pPr>
              <w:jc w:val="right"/>
              <w:textAlignment w:val="bottom"/>
            </w:pPr>
            <w:r>
              <w:rPr>
                <w:rFonts w:ascii="Times New Roman" w:eastAsia="宋体" w:hAnsi="Times New Roman"/>
                <w:color w:val="000000"/>
                <w:sz w:val="20"/>
                <w:szCs w:val="20"/>
              </w:rPr>
              <w:t>2,206.0 </w:t>
            </w:r>
          </w:p>
        </w:tc>
        <w:tc>
          <w:tcPr>
            <w:tcW w:w="0" w:type="auto"/>
            <w:shd w:val="clear" w:color="auto" w:fill="D7E4BC"/>
            <w:tcMar>
              <w:top w:w="40" w:type="dxa"/>
              <w:left w:w="0" w:type="dxa"/>
              <w:bottom w:w="40" w:type="dxa"/>
              <w:right w:w="20" w:type="dxa"/>
            </w:tcMar>
            <w:vAlign w:val="bottom"/>
          </w:tcPr>
          <w:p w14:paraId="64298C4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4F"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C5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51" w14:textId="77777777" w:rsidR="007B6C97" w:rsidRDefault="00E426D1">
            <w:pPr>
              <w:jc w:val="right"/>
              <w:textAlignment w:val="bottom"/>
            </w:pPr>
            <w:r>
              <w:rPr>
                <w:rFonts w:ascii="Times New Roman" w:eastAsia="宋体" w:hAnsi="Times New Roman"/>
                <w:color w:val="000000"/>
                <w:sz w:val="20"/>
                <w:szCs w:val="20"/>
              </w:rPr>
              <w:t>407.6 </w:t>
            </w:r>
          </w:p>
        </w:tc>
        <w:tc>
          <w:tcPr>
            <w:tcW w:w="0" w:type="auto"/>
            <w:shd w:val="clear" w:color="auto" w:fill="D7E4BC"/>
            <w:tcMar>
              <w:top w:w="40" w:type="dxa"/>
              <w:left w:w="0" w:type="dxa"/>
              <w:bottom w:w="40" w:type="dxa"/>
              <w:right w:w="20" w:type="dxa"/>
            </w:tcMar>
            <w:vAlign w:val="bottom"/>
          </w:tcPr>
          <w:p w14:paraId="64298C5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53"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8C54" w14:textId="77777777" w:rsidR="007B6C97" w:rsidRDefault="00E426D1">
            <w:pPr>
              <w:jc w:val="right"/>
              <w:textAlignment w:val="bottom"/>
            </w:pPr>
            <w:r>
              <w:rPr>
                <w:rFonts w:ascii="Times New Roman" w:eastAsia="宋体" w:hAnsi="Times New Roman"/>
                <w:color w:val="000000"/>
                <w:sz w:val="20"/>
                <w:szCs w:val="20"/>
              </w:rPr>
              <w:t>32.1 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8C55"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8C56"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8C57" w14:textId="77777777" w:rsidR="007B6C97" w:rsidRDefault="00E426D1">
            <w:pPr>
              <w:jc w:val="right"/>
              <w:textAlignment w:val="bottom"/>
            </w:pPr>
            <w:r>
              <w:rPr>
                <w:rFonts w:ascii="Times New Roman" w:eastAsia="宋体" w:hAnsi="Times New Roman"/>
                <w:color w:val="000000"/>
                <w:sz w:val="20"/>
                <w:szCs w:val="20"/>
              </w:rPr>
              <w:t>29.4 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8C5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C59"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C5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5B" w14:textId="77777777" w:rsidR="007B6C97" w:rsidRDefault="00E426D1">
            <w:pPr>
              <w:jc w:val="right"/>
              <w:textAlignment w:val="bottom"/>
            </w:pPr>
            <w:r>
              <w:rPr>
                <w:rFonts w:ascii="Times New Roman" w:eastAsia="宋体" w:hAnsi="Times New Roman"/>
                <w:color w:val="000000"/>
                <w:sz w:val="20"/>
                <w:szCs w:val="20"/>
              </w:rPr>
              <w:t>7,606.4 </w:t>
            </w:r>
          </w:p>
        </w:tc>
        <w:tc>
          <w:tcPr>
            <w:tcW w:w="0" w:type="auto"/>
            <w:shd w:val="clear" w:color="auto" w:fill="D7E4BC"/>
            <w:tcMar>
              <w:top w:w="40" w:type="dxa"/>
              <w:left w:w="0" w:type="dxa"/>
              <w:bottom w:w="40" w:type="dxa"/>
              <w:right w:w="20" w:type="dxa"/>
            </w:tcMar>
            <w:vAlign w:val="bottom"/>
          </w:tcPr>
          <w:p w14:paraId="64298C5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5D"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C5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5F" w14:textId="77777777" w:rsidR="007B6C97" w:rsidRDefault="00E426D1">
            <w:pPr>
              <w:jc w:val="right"/>
              <w:textAlignment w:val="bottom"/>
            </w:pPr>
            <w:r>
              <w:rPr>
                <w:rFonts w:ascii="Times New Roman" w:eastAsia="宋体" w:hAnsi="Times New Roman"/>
                <w:color w:val="000000"/>
                <w:sz w:val="20"/>
                <w:szCs w:val="20"/>
              </w:rPr>
              <w:t>6,247.5 </w:t>
            </w:r>
          </w:p>
        </w:tc>
        <w:tc>
          <w:tcPr>
            <w:tcW w:w="0" w:type="auto"/>
            <w:shd w:val="clear" w:color="auto" w:fill="D7E4BC"/>
            <w:tcMar>
              <w:top w:w="40" w:type="dxa"/>
              <w:left w:w="0" w:type="dxa"/>
              <w:bottom w:w="40" w:type="dxa"/>
              <w:right w:w="20" w:type="dxa"/>
            </w:tcMar>
            <w:vAlign w:val="bottom"/>
          </w:tcPr>
          <w:p w14:paraId="64298C6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61"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C6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C63" w14:textId="77777777" w:rsidR="007B6C97" w:rsidRDefault="00E426D1">
            <w:pPr>
              <w:jc w:val="right"/>
              <w:textAlignment w:val="bottom"/>
            </w:pPr>
            <w:r>
              <w:rPr>
                <w:rFonts w:ascii="Times New Roman" w:eastAsia="宋体" w:hAnsi="Times New Roman"/>
                <w:color w:val="000000"/>
                <w:sz w:val="20"/>
                <w:szCs w:val="20"/>
              </w:rPr>
              <w:t>1,358.9 </w:t>
            </w:r>
          </w:p>
        </w:tc>
        <w:tc>
          <w:tcPr>
            <w:tcW w:w="0" w:type="auto"/>
            <w:shd w:val="clear" w:color="auto" w:fill="D7E4BC"/>
            <w:tcMar>
              <w:top w:w="40" w:type="dxa"/>
              <w:left w:w="0" w:type="dxa"/>
              <w:bottom w:w="40" w:type="dxa"/>
              <w:right w:w="20" w:type="dxa"/>
            </w:tcMar>
            <w:vAlign w:val="bottom"/>
          </w:tcPr>
          <w:p w14:paraId="64298C6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6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C66" w14:textId="77777777" w:rsidR="007B6C97" w:rsidRDefault="00E426D1">
            <w:pPr>
              <w:jc w:val="right"/>
              <w:textAlignment w:val="bottom"/>
            </w:pPr>
            <w:r>
              <w:rPr>
                <w:rFonts w:ascii="Times New Roman" w:eastAsia="宋体" w:hAnsi="Times New Roman"/>
                <w:color w:val="000000"/>
                <w:sz w:val="20"/>
                <w:szCs w:val="20"/>
              </w:rPr>
              <w:t>31.9 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C6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C6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C69" w14:textId="77777777" w:rsidR="007B6C97" w:rsidRDefault="00E426D1">
            <w:pPr>
              <w:jc w:val="right"/>
              <w:textAlignment w:val="bottom"/>
            </w:pPr>
            <w:r>
              <w:rPr>
                <w:rFonts w:ascii="Times New Roman" w:eastAsia="宋体" w:hAnsi="Times New Roman"/>
                <w:color w:val="000000"/>
                <w:sz w:val="20"/>
                <w:szCs w:val="20"/>
              </w:rPr>
              <w:t>29.9 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C6A" w14:textId="77777777" w:rsidR="007B6C97" w:rsidRDefault="00E426D1">
            <w:pPr>
              <w:jc w:val="right"/>
              <w:textAlignment w:val="bottom"/>
            </w:pPr>
            <w:r>
              <w:rPr>
                <w:rFonts w:ascii="Times New Roman" w:eastAsia="宋体" w:hAnsi="Times New Roman"/>
                <w:color w:val="000000"/>
                <w:sz w:val="20"/>
                <w:szCs w:val="20"/>
              </w:rPr>
              <w:t>%</w:t>
            </w:r>
          </w:p>
        </w:tc>
      </w:tr>
      <w:tr w:rsidR="00E426D1" w14:paraId="64298C8A" w14:textId="77777777">
        <w:trPr>
          <w:jc w:val="center"/>
        </w:trPr>
        <w:tc>
          <w:tcPr>
            <w:tcW w:w="0" w:type="auto"/>
            <w:gridSpan w:val="3"/>
            <w:shd w:val="clear" w:color="auto" w:fill="FFFFFF"/>
            <w:tcMar>
              <w:top w:w="40" w:type="dxa"/>
              <w:left w:w="20" w:type="dxa"/>
              <w:bottom w:w="40" w:type="dxa"/>
              <w:right w:w="20" w:type="dxa"/>
            </w:tcMar>
          </w:tcPr>
          <w:p w14:paraId="64298C6C" w14:textId="77777777" w:rsidR="007B6C97" w:rsidRDefault="00E426D1">
            <w:pPr>
              <w:textAlignment w:val="top"/>
            </w:pPr>
            <w:r>
              <w:rPr>
                <w:rFonts w:ascii="Times New Roman" w:eastAsia="宋体" w:hAnsi="Times New Roman"/>
                <w:color w:val="000000"/>
                <w:sz w:val="20"/>
                <w:szCs w:val="20"/>
              </w:rPr>
              <w:t>Store opera</w:t>
            </w:r>
            <w:r>
              <w:rPr>
                <w:rFonts w:ascii="Times New Roman" w:eastAsia="宋体" w:hAnsi="Times New Roman"/>
                <w:color w:val="000000"/>
                <w:sz w:val="20"/>
                <w:szCs w:val="20"/>
              </w:rPr>
              <w:t>ting expenses</w:t>
            </w:r>
          </w:p>
        </w:tc>
        <w:tc>
          <w:tcPr>
            <w:tcW w:w="0" w:type="auto"/>
            <w:gridSpan w:val="2"/>
            <w:shd w:val="clear" w:color="auto" w:fill="FFFFFF"/>
            <w:tcMar>
              <w:top w:w="40" w:type="dxa"/>
              <w:left w:w="20" w:type="dxa"/>
              <w:bottom w:w="40" w:type="dxa"/>
              <w:right w:w="0" w:type="dxa"/>
            </w:tcMar>
            <w:vAlign w:val="bottom"/>
          </w:tcPr>
          <w:p w14:paraId="64298C6D" w14:textId="77777777" w:rsidR="007B6C97" w:rsidRDefault="00E426D1">
            <w:pPr>
              <w:jc w:val="right"/>
              <w:textAlignment w:val="bottom"/>
            </w:pPr>
            <w:r>
              <w:rPr>
                <w:rFonts w:ascii="Times New Roman" w:eastAsia="宋体" w:hAnsi="Times New Roman"/>
                <w:color w:val="000000"/>
                <w:sz w:val="20"/>
                <w:szCs w:val="20"/>
              </w:rPr>
              <w:t>3,302.5 </w:t>
            </w:r>
          </w:p>
        </w:tc>
        <w:tc>
          <w:tcPr>
            <w:tcW w:w="0" w:type="auto"/>
            <w:shd w:val="clear" w:color="auto" w:fill="FFFFFF"/>
            <w:tcMar>
              <w:top w:w="40" w:type="dxa"/>
              <w:left w:w="0" w:type="dxa"/>
              <w:bottom w:w="40" w:type="dxa"/>
              <w:right w:w="20" w:type="dxa"/>
            </w:tcMar>
            <w:vAlign w:val="bottom"/>
          </w:tcPr>
          <w:p w14:paraId="64298C6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6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0" w14:textId="77777777" w:rsidR="007B6C97" w:rsidRDefault="00E426D1">
            <w:pPr>
              <w:jc w:val="right"/>
              <w:textAlignment w:val="bottom"/>
            </w:pPr>
            <w:r>
              <w:rPr>
                <w:rFonts w:ascii="Times New Roman" w:eastAsia="宋体" w:hAnsi="Times New Roman"/>
                <w:color w:val="000000"/>
                <w:sz w:val="20"/>
                <w:szCs w:val="20"/>
              </w:rPr>
              <w:t>2,966.9 </w:t>
            </w:r>
          </w:p>
        </w:tc>
        <w:tc>
          <w:tcPr>
            <w:tcW w:w="0" w:type="auto"/>
            <w:shd w:val="clear" w:color="auto" w:fill="FFFFFF"/>
            <w:tcMar>
              <w:top w:w="40" w:type="dxa"/>
              <w:left w:w="0" w:type="dxa"/>
              <w:bottom w:w="40" w:type="dxa"/>
              <w:right w:w="20" w:type="dxa"/>
            </w:tcMar>
            <w:vAlign w:val="bottom"/>
          </w:tcPr>
          <w:p w14:paraId="64298C7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7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3" w14:textId="77777777" w:rsidR="007B6C97" w:rsidRDefault="00E426D1">
            <w:pPr>
              <w:jc w:val="right"/>
              <w:textAlignment w:val="bottom"/>
            </w:pPr>
            <w:r>
              <w:rPr>
                <w:rFonts w:ascii="Times New Roman" w:eastAsia="宋体" w:hAnsi="Times New Roman"/>
                <w:color w:val="000000"/>
                <w:sz w:val="20"/>
                <w:szCs w:val="20"/>
              </w:rPr>
              <w:t>335.6 </w:t>
            </w:r>
          </w:p>
        </w:tc>
        <w:tc>
          <w:tcPr>
            <w:tcW w:w="0" w:type="auto"/>
            <w:shd w:val="clear" w:color="auto" w:fill="FFFFFF"/>
            <w:tcMar>
              <w:top w:w="40" w:type="dxa"/>
              <w:left w:w="0" w:type="dxa"/>
              <w:bottom w:w="40" w:type="dxa"/>
              <w:right w:w="20" w:type="dxa"/>
            </w:tcMar>
            <w:vAlign w:val="bottom"/>
          </w:tcPr>
          <w:p w14:paraId="64298C7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7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6" w14:textId="77777777" w:rsidR="007B6C97" w:rsidRDefault="00E426D1">
            <w:pPr>
              <w:jc w:val="right"/>
              <w:textAlignment w:val="bottom"/>
            </w:pPr>
            <w:r>
              <w:rPr>
                <w:rFonts w:ascii="Times New Roman" w:eastAsia="宋体" w:hAnsi="Times New Roman"/>
                <w:color w:val="000000"/>
                <w:sz w:val="20"/>
                <w:szCs w:val="20"/>
              </w:rPr>
              <w:t>40.5 </w:t>
            </w:r>
          </w:p>
        </w:tc>
        <w:tc>
          <w:tcPr>
            <w:tcW w:w="0" w:type="auto"/>
            <w:shd w:val="clear" w:color="auto" w:fill="FFFFFF"/>
            <w:tcMar>
              <w:top w:w="40" w:type="dxa"/>
              <w:left w:w="0" w:type="dxa"/>
              <w:bottom w:w="40" w:type="dxa"/>
              <w:right w:w="20" w:type="dxa"/>
            </w:tcMar>
            <w:vAlign w:val="bottom"/>
          </w:tcPr>
          <w:p w14:paraId="64298C7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7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9" w14:textId="77777777" w:rsidR="007B6C97" w:rsidRDefault="00E426D1">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64298C7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7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C" w14:textId="77777777" w:rsidR="007B6C97" w:rsidRDefault="00E426D1">
            <w:pPr>
              <w:jc w:val="right"/>
              <w:textAlignment w:val="bottom"/>
            </w:pPr>
            <w:r>
              <w:rPr>
                <w:rFonts w:ascii="Times New Roman" w:eastAsia="宋体" w:hAnsi="Times New Roman"/>
                <w:color w:val="000000"/>
                <w:sz w:val="20"/>
                <w:szCs w:val="20"/>
              </w:rPr>
              <w:t>10,017.1 </w:t>
            </w:r>
          </w:p>
        </w:tc>
        <w:tc>
          <w:tcPr>
            <w:tcW w:w="0" w:type="auto"/>
            <w:shd w:val="clear" w:color="auto" w:fill="FFFFFF"/>
            <w:tcMar>
              <w:top w:w="40" w:type="dxa"/>
              <w:left w:w="0" w:type="dxa"/>
              <w:bottom w:w="40" w:type="dxa"/>
              <w:right w:w="20" w:type="dxa"/>
            </w:tcMar>
            <w:vAlign w:val="bottom"/>
          </w:tcPr>
          <w:p w14:paraId="64298C7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7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7F" w14:textId="77777777" w:rsidR="007B6C97" w:rsidRDefault="00E426D1">
            <w:pPr>
              <w:jc w:val="right"/>
              <w:textAlignment w:val="bottom"/>
            </w:pPr>
            <w:r>
              <w:rPr>
                <w:rFonts w:ascii="Times New Roman" w:eastAsia="宋体" w:hAnsi="Times New Roman"/>
                <w:color w:val="000000"/>
                <w:sz w:val="20"/>
                <w:szCs w:val="20"/>
              </w:rPr>
              <w:t>8,657.6 </w:t>
            </w:r>
          </w:p>
        </w:tc>
        <w:tc>
          <w:tcPr>
            <w:tcW w:w="0" w:type="auto"/>
            <w:shd w:val="clear" w:color="auto" w:fill="FFFFFF"/>
            <w:tcMar>
              <w:top w:w="40" w:type="dxa"/>
              <w:left w:w="0" w:type="dxa"/>
              <w:bottom w:w="40" w:type="dxa"/>
              <w:right w:w="20" w:type="dxa"/>
            </w:tcMar>
            <w:vAlign w:val="bottom"/>
          </w:tcPr>
          <w:p w14:paraId="64298C8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8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82" w14:textId="77777777" w:rsidR="007B6C97" w:rsidRDefault="00E426D1">
            <w:pPr>
              <w:jc w:val="right"/>
              <w:textAlignment w:val="bottom"/>
            </w:pPr>
            <w:r>
              <w:rPr>
                <w:rFonts w:ascii="Times New Roman" w:eastAsia="宋体" w:hAnsi="Times New Roman"/>
                <w:color w:val="000000"/>
                <w:sz w:val="20"/>
                <w:szCs w:val="20"/>
              </w:rPr>
              <w:t>1,359.5 </w:t>
            </w:r>
          </w:p>
        </w:tc>
        <w:tc>
          <w:tcPr>
            <w:tcW w:w="0" w:type="auto"/>
            <w:shd w:val="clear" w:color="auto" w:fill="FFFFFF"/>
            <w:tcMar>
              <w:top w:w="40" w:type="dxa"/>
              <w:left w:w="0" w:type="dxa"/>
              <w:bottom w:w="40" w:type="dxa"/>
              <w:right w:w="20" w:type="dxa"/>
            </w:tcMar>
            <w:vAlign w:val="bottom"/>
          </w:tcPr>
          <w:p w14:paraId="64298C8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85" w14:textId="77777777" w:rsidR="007B6C97" w:rsidRDefault="00E426D1">
            <w:pPr>
              <w:jc w:val="right"/>
              <w:textAlignment w:val="bottom"/>
            </w:pPr>
            <w:r>
              <w:rPr>
                <w:rFonts w:ascii="Times New Roman" w:eastAsia="宋体" w:hAnsi="Times New Roman"/>
                <w:color w:val="000000"/>
                <w:sz w:val="20"/>
                <w:szCs w:val="20"/>
              </w:rPr>
              <w:t>42.0 </w:t>
            </w:r>
          </w:p>
        </w:tc>
        <w:tc>
          <w:tcPr>
            <w:tcW w:w="0" w:type="auto"/>
            <w:shd w:val="clear" w:color="auto" w:fill="FFFFFF"/>
            <w:tcMar>
              <w:top w:w="40" w:type="dxa"/>
              <w:left w:w="0" w:type="dxa"/>
              <w:bottom w:w="40" w:type="dxa"/>
              <w:right w:w="20" w:type="dxa"/>
            </w:tcMar>
            <w:vAlign w:val="bottom"/>
          </w:tcPr>
          <w:p w14:paraId="64298C8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88" w14:textId="77777777" w:rsidR="007B6C97" w:rsidRDefault="00E426D1">
            <w:pPr>
              <w:jc w:val="right"/>
              <w:textAlignment w:val="bottom"/>
            </w:pPr>
            <w:r>
              <w:rPr>
                <w:rFonts w:ascii="Times New Roman" w:eastAsia="宋体" w:hAnsi="Times New Roman"/>
                <w:color w:val="000000"/>
                <w:sz w:val="20"/>
                <w:szCs w:val="20"/>
              </w:rPr>
              <w:t>41.4 </w:t>
            </w:r>
          </w:p>
        </w:tc>
        <w:tc>
          <w:tcPr>
            <w:tcW w:w="0" w:type="auto"/>
            <w:shd w:val="clear" w:color="auto" w:fill="FFFFFF"/>
            <w:tcMar>
              <w:top w:w="40" w:type="dxa"/>
              <w:left w:w="0" w:type="dxa"/>
              <w:bottom w:w="40" w:type="dxa"/>
              <w:right w:w="20" w:type="dxa"/>
            </w:tcMar>
            <w:vAlign w:val="bottom"/>
          </w:tcPr>
          <w:p w14:paraId="64298C89" w14:textId="77777777" w:rsidR="007B6C97" w:rsidRDefault="007B6C97">
            <w:pPr>
              <w:jc w:val="right"/>
              <w:rPr>
                <w:rFonts w:ascii="宋体"/>
              </w:rPr>
            </w:pPr>
          </w:p>
        </w:tc>
      </w:tr>
      <w:tr w:rsidR="00E426D1" w14:paraId="64298CA9" w14:textId="77777777">
        <w:trPr>
          <w:jc w:val="center"/>
        </w:trPr>
        <w:tc>
          <w:tcPr>
            <w:tcW w:w="0" w:type="auto"/>
            <w:gridSpan w:val="3"/>
            <w:shd w:val="clear" w:color="auto" w:fill="D7E4BC"/>
            <w:tcMar>
              <w:top w:w="40" w:type="dxa"/>
              <w:left w:w="20" w:type="dxa"/>
              <w:bottom w:w="40" w:type="dxa"/>
              <w:right w:w="20" w:type="dxa"/>
            </w:tcMar>
          </w:tcPr>
          <w:p w14:paraId="64298C8B"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4298C8C" w14:textId="77777777" w:rsidR="007B6C97" w:rsidRDefault="00E426D1">
            <w:pPr>
              <w:jc w:val="right"/>
              <w:textAlignment w:val="bottom"/>
            </w:pPr>
            <w:r>
              <w:rPr>
                <w:rFonts w:ascii="Times New Roman" w:eastAsia="宋体" w:hAnsi="Times New Roman"/>
                <w:color w:val="000000"/>
                <w:sz w:val="20"/>
                <w:szCs w:val="20"/>
              </w:rPr>
              <w:t>135.1 </w:t>
            </w:r>
          </w:p>
        </w:tc>
        <w:tc>
          <w:tcPr>
            <w:tcW w:w="0" w:type="auto"/>
            <w:shd w:val="clear" w:color="auto" w:fill="D7E4BC"/>
            <w:tcMar>
              <w:top w:w="40" w:type="dxa"/>
              <w:left w:w="0" w:type="dxa"/>
              <w:bottom w:w="40" w:type="dxa"/>
              <w:right w:w="20" w:type="dxa"/>
            </w:tcMar>
            <w:vAlign w:val="bottom"/>
          </w:tcPr>
          <w:p w14:paraId="64298C8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8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8F" w14:textId="77777777" w:rsidR="007B6C97" w:rsidRDefault="00E426D1">
            <w:pPr>
              <w:jc w:val="right"/>
              <w:textAlignment w:val="bottom"/>
            </w:pPr>
            <w:r>
              <w:rPr>
                <w:rFonts w:ascii="Times New Roman" w:eastAsia="宋体" w:hAnsi="Times New Roman"/>
                <w:color w:val="000000"/>
                <w:sz w:val="20"/>
                <w:szCs w:val="20"/>
              </w:rPr>
              <w:t>71.4 </w:t>
            </w:r>
          </w:p>
        </w:tc>
        <w:tc>
          <w:tcPr>
            <w:tcW w:w="0" w:type="auto"/>
            <w:shd w:val="clear" w:color="auto" w:fill="D7E4BC"/>
            <w:tcMar>
              <w:top w:w="40" w:type="dxa"/>
              <w:left w:w="0" w:type="dxa"/>
              <w:bottom w:w="40" w:type="dxa"/>
              <w:right w:w="20" w:type="dxa"/>
            </w:tcMar>
            <w:vAlign w:val="bottom"/>
          </w:tcPr>
          <w:p w14:paraId="64298C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92" w14:textId="77777777" w:rsidR="007B6C97" w:rsidRDefault="00E426D1">
            <w:pPr>
              <w:jc w:val="right"/>
              <w:textAlignment w:val="bottom"/>
            </w:pPr>
            <w:r>
              <w:rPr>
                <w:rFonts w:ascii="Times New Roman" w:eastAsia="宋体" w:hAnsi="Times New Roman"/>
                <w:color w:val="000000"/>
                <w:sz w:val="20"/>
                <w:szCs w:val="20"/>
              </w:rPr>
              <w:t>63.7 </w:t>
            </w:r>
          </w:p>
        </w:tc>
        <w:tc>
          <w:tcPr>
            <w:tcW w:w="0" w:type="auto"/>
            <w:shd w:val="clear" w:color="auto" w:fill="D7E4BC"/>
            <w:tcMar>
              <w:top w:w="40" w:type="dxa"/>
              <w:left w:w="0" w:type="dxa"/>
              <w:bottom w:w="40" w:type="dxa"/>
              <w:right w:w="20" w:type="dxa"/>
            </w:tcMar>
            <w:vAlign w:val="bottom"/>
          </w:tcPr>
          <w:p w14:paraId="64298C9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9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95" w14:textId="77777777" w:rsidR="007B6C97" w:rsidRDefault="00E426D1">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64298C9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9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98"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64298C9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9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9B" w14:textId="77777777" w:rsidR="007B6C97" w:rsidRDefault="00E426D1">
            <w:pPr>
              <w:jc w:val="right"/>
              <w:textAlignment w:val="bottom"/>
            </w:pPr>
            <w:r>
              <w:rPr>
                <w:rFonts w:ascii="Times New Roman" w:eastAsia="宋体" w:hAnsi="Times New Roman"/>
                <w:color w:val="000000"/>
                <w:sz w:val="20"/>
                <w:szCs w:val="20"/>
              </w:rPr>
              <w:t>338.4 </w:t>
            </w:r>
          </w:p>
        </w:tc>
        <w:tc>
          <w:tcPr>
            <w:tcW w:w="0" w:type="auto"/>
            <w:shd w:val="clear" w:color="auto" w:fill="D7E4BC"/>
            <w:tcMar>
              <w:top w:w="40" w:type="dxa"/>
              <w:left w:w="0" w:type="dxa"/>
              <w:bottom w:w="40" w:type="dxa"/>
              <w:right w:w="20" w:type="dxa"/>
            </w:tcMar>
            <w:vAlign w:val="bottom"/>
          </w:tcPr>
          <w:p w14:paraId="64298C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9E" w14:textId="77777777" w:rsidR="007B6C97" w:rsidRDefault="00E426D1">
            <w:pPr>
              <w:jc w:val="right"/>
              <w:textAlignment w:val="bottom"/>
            </w:pPr>
            <w:r>
              <w:rPr>
                <w:rFonts w:ascii="Times New Roman" w:eastAsia="宋体" w:hAnsi="Times New Roman"/>
                <w:color w:val="000000"/>
                <w:sz w:val="20"/>
                <w:szCs w:val="20"/>
              </w:rPr>
              <w:t>250.8 </w:t>
            </w:r>
          </w:p>
        </w:tc>
        <w:tc>
          <w:tcPr>
            <w:tcW w:w="0" w:type="auto"/>
            <w:shd w:val="clear" w:color="auto" w:fill="D7E4BC"/>
            <w:tcMar>
              <w:top w:w="40" w:type="dxa"/>
              <w:left w:w="0" w:type="dxa"/>
              <w:bottom w:w="40" w:type="dxa"/>
              <w:right w:w="20" w:type="dxa"/>
            </w:tcMar>
            <w:vAlign w:val="bottom"/>
          </w:tcPr>
          <w:p w14:paraId="64298C9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A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A1" w14:textId="77777777" w:rsidR="007B6C97" w:rsidRDefault="00E426D1">
            <w:pPr>
              <w:jc w:val="right"/>
              <w:textAlignment w:val="bottom"/>
            </w:pPr>
            <w:r>
              <w:rPr>
                <w:rFonts w:ascii="Times New Roman" w:eastAsia="宋体" w:hAnsi="Times New Roman"/>
                <w:color w:val="000000"/>
                <w:sz w:val="20"/>
                <w:szCs w:val="20"/>
              </w:rPr>
              <w:t>87.6 </w:t>
            </w:r>
          </w:p>
        </w:tc>
        <w:tc>
          <w:tcPr>
            <w:tcW w:w="0" w:type="auto"/>
            <w:shd w:val="clear" w:color="auto" w:fill="D7E4BC"/>
            <w:tcMar>
              <w:top w:w="40" w:type="dxa"/>
              <w:left w:w="0" w:type="dxa"/>
              <w:bottom w:w="40" w:type="dxa"/>
              <w:right w:w="20" w:type="dxa"/>
            </w:tcMar>
            <w:vAlign w:val="bottom"/>
          </w:tcPr>
          <w:p w14:paraId="64298CA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A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A4"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64298CA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A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A7"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64298CA8" w14:textId="77777777" w:rsidR="007B6C97" w:rsidRDefault="007B6C97">
            <w:pPr>
              <w:jc w:val="right"/>
              <w:rPr>
                <w:rFonts w:ascii="宋体"/>
              </w:rPr>
            </w:pPr>
          </w:p>
        </w:tc>
      </w:tr>
      <w:tr w:rsidR="00E426D1" w14:paraId="64298CC8" w14:textId="77777777">
        <w:trPr>
          <w:jc w:val="center"/>
        </w:trPr>
        <w:tc>
          <w:tcPr>
            <w:tcW w:w="0" w:type="auto"/>
            <w:gridSpan w:val="3"/>
            <w:shd w:val="clear" w:color="auto" w:fill="FFFFFF"/>
            <w:tcMar>
              <w:top w:w="40" w:type="dxa"/>
              <w:left w:w="20" w:type="dxa"/>
              <w:bottom w:w="40" w:type="dxa"/>
              <w:right w:w="20" w:type="dxa"/>
            </w:tcMar>
          </w:tcPr>
          <w:p w14:paraId="64298CAA"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4298CAB" w14:textId="77777777" w:rsidR="007B6C97" w:rsidRDefault="00E426D1">
            <w:pPr>
              <w:jc w:val="right"/>
              <w:textAlignment w:val="bottom"/>
            </w:pPr>
            <w:r>
              <w:rPr>
                <w:rFonts w:ascii="Times New Roman" w:eastAsia="宋体" w:hAnsi="Times New Roman"/>
                <w:color w:val="000000"/>
                <w:sz w:val="20"/>
                <w:szCs w:val="20"/>
              </w:rPr>
              <w:t>356.8 </w:t>
            </w:r>
          </w:p>
        </w:tc>
        <w:tc>
          <w:tcPr>
            <w:tcW w:w="0" w:type="auto"/>
            <w:shd w:val="clear" w:color="auto" w:fill="FFFFFF"/>
            <w:tcMar>
              <w:top w:w="40" w:type="dxa"/>
              <w:left w:w="0" w:type="dxa"/>
              <w:bottom w:w="40" w:type="dxa"/>
              <w:right w:w="20" w:type="dxa"/>
            </w:tcMar>
            <w:vAlign w:val="bottom"/>
          </w:tcPr>
          <w:p w14:paraId="64298CA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A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AE" w14:textId="77777777" w:rsidR="007B6C97" w:rsidRDefault="00E426D1">
            <w:pPr>
              <w:jc w:val="right"/>
              <w:textAlignment w:val="bottom"/>
            </w:pPr>
            <w:r>
              <w:rPr>
                <w:rFonts w:ascii="Times New Roman" w:eastAsia="宋体" w:hAnsi="Times New Roman"/>
                <w:color w:val="000000"/>
                <w:sz w:val="20"/>
                <w:szCs w:val="20"/>
              </w:rPr>
              <w:t>354.3 </w:t>
            </w:r>
          </w:p>
        </w:tc>
        <w:tc>
          <w:tcPr>
            <w:tcW w:w="0" w:type="auto"/>
            <w:shd w:val="clear" w:color="auto" w:fill="FFFFFF"/>
            <w:tcMar>
              <w:top w:w="40" w:type="dxa"/>
              <w:left w:w="0" w:type="dxa"/>
              <w:bottom w:w="40" w:type="dxa"/>
              <w:right w:w="20" w:type="dxa"/>
            </w:tcMar>
            <w:vAlign w:val="bottom"/>
          </w:tcPr>
          <w:p w14:paraId="64298CA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B1" w14:textId="77777777" w:rsidR="007B6C97" w:rsidRDefault="00E426D1">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4298CB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B4" w14:textId="77777777" w:rsidR="007B6C97" w:rsidRDefault="00E426D1">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4298CB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B7" w14:textId="77777777" w:rsidR="007B6C97" w:rsidRDefault="00E426D1">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4298CB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BA" w14:textId="77777777" w:rsidR="007B6C97" w:rsidRDefault="00E426D1">
            <w:pPr>
              <w:jc w:val="right"/>
              <w:textAlignment w:val="bottom"/>
            </w:pPr>
            <w:r>
              <w:rPr>
                <w:rFonts w:ascii="Times New Roman" w:eastAsia="宋体" w:hAnsi="Times New Roman"/>
                <w:color w:val="000000"/>
                <w:sz w:val="20"/>
                <w:szCs w:val="20"/>
              </w:rPr>
              <w:t>1,090.5 </w:t>
            </w:r>
          </w:p>
        </w:tc>
        <w:tc>
          <w:tcPr>
            <w:tcW w:w="0" w:type="auto"/>
            <w:shd w:val="clear" w:color="auto" w:fill="FFFFFF"/>
            <w:tcMar>
              <w:top w:w="40" w:type="dxa"/>
              <w:left w:w="0" w:type="dxa"/>
              <w:bottom w:w="40" w:type="dxa"/>
              <w:right w:w="20" w:type="dxa"/>
            </w:tcMar>
            <w:vAlign w:val="bottom"/>
          </w:tcPr>
          <w:p w14:paraId="64298CB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BD" w14:textId="77777777" w:rsidR="007B6C97" w:rsidRDefault="00E426D1">
            <w:pPr>
              <w:jc w:val="right"/>
              <w:textAlignment w:val="bottom"/>
            </w:pPr>
            <w:r>
              <w:rPr>
                <w:rFonts w:ascii="Times New Roman" w:eastAsia="宋体" w:hAnsi="Times New Roman"/>
                <w:color w:val="000000"/>
                <w:sz w:val="20"/>
                <w:szCs w:val="20"/>
              </w:rPr>
              <w:t>1,087.0 </w:t>
            </w:r>
          </w:p>
        </w:tc>
        <w:tc>
          <w:tcPr>
            <w:tcW w:w="0" w:type="auto"/>
            <w:shd w:val="clear" w:color="auto" w:fill="FFFFFF"/>
            <w:tcMar>
              <w:top w:w="40" w:type="dxa"/>
              <w:left w:w="0" w:type="dxa"/>
              <w:bottom w:w="40" w:type="dxa"/>
              <w:right w:w="20" w:type="dxa"/>
            </w:tcMar>
            <w:vAlign w:val="bottom"/>
          </w:tcPr>
          <w:p w14:paraId="64298CB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B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C0"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4298CC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C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C3" w14:textId="77777777" w:rsidR="007B6C97" w:rsidRDefault="00E426D1">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64298CC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C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C6" w14:textId="77777777" w:rsidR="007B6C97" w:rsidRDefault="00E426D1">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4298CC7" w14:textId="77777777" w:rsidR="007B6C97" w:rsidRDefault="007B6C97">
            <w:pPr>
              <w:jc w:val="right"/>
              <w:rPr>
                <w:rFonts w:ascii="宋体"/>
              </w:rPr>
            </w:pPr>
          </w:p>
        </w:tc>
      </w:tr>
      <w:tr w:rsidR="00E426D1" w14:paraId="64298CE7" w14:textId="77777777">
        <w:trPr>
          <w:jc w:val="center"/>
        </w:trPr>
        <w:tc>
          <w:tcPr>
            <w:tcW w:w="0" w:type="auto"/>
            <w:gridSpan w:val="3"/>
            <w:shd w:val="clear" w:color="auto" w:fill="D7E4BC"/>
            <w:tcMar>
              <w:top w:w="40" w:type="dxa"/>
              <w:left w:w="20" w:type="dxa"/>
              <w:bottom w:w="40" w:type="dxa"/>
              <w:right w:w="20" w:type="dxa"/>
            </w:tcMar>
          </w:tcPr>
          <w:p w14:paraId="64298CC9"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4298CCA" w14:textId="77777777" w:rsidR="007B6C97" w:rsidRDefault="00E426D1">
            <w:pPr>
              <w:jc w:val="right"/>
              <w:textAlignment w:val="bottom"/>
            </w:pPr>
            <w:r>
              <w:rPr>
                <w:rFonts w:ascii="Times New Roman" w:eastAsia="宋体" w:hAnsi="Times New Roman"/>
                <w:color w:val="000000"/>
                <w:sz w:val="20"/>
                <w:szCs w:val="20"/>
              </w:rPr>
              <w:t>486.7 </w:t>
            </w:r>
          </w:p>
        </w:tc>
        <w:tc>
          <w:tcPr>
            <w:tcW w:w="0" w:type="auto"/>
            <w:shd w:val="clear" w:color="auto" w:fill="D7E4BC"/>
            <w:tcMar>
              <w:top w:w="40" w:type="dxa"/>
              <w:left w:w="0" w:type="dxa"/>
              <w:bottom w:w="40" w:type="dxa"/>
              <w:right w:w="20" w:type="dxa"/>
            </w:tcMar>
            <w:vAlign w:val="bottom"/>
          </w:tcPr>
          <w:p w14:paraId="64298CC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C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CD" w14:textId="77777777" w:rsidR="007B6C97" w:rsidRDefault="00E426D1">
            <w:pPr>
              <w:jc w:val="right"/>
              <w:textAlignment w:val="bottom"/>
            </w:pPr>
            <w:r>
              <w:rPr>
                <w:rFonts w:ascii="Times New Roman" w:eastAsia="宋体" w:hAnsi="Times New Roman"/>
                <w:color w:val="000000"/>
                <w:sz w:val="20"/>
                <w:szCs w:val="20"/>
              </w:rPr>
              <w:t>494.9 </w:t>
            </w:r>
          </w:p>
        </w:tc>
        <w:tc>
          <w:tcPr>
            <w:tcW w:w="0" w:type="auto"/>
            <w:shd w:val="clear" w:color="auto" w:fill="D7E4BC"/>
            <w:tcMar>
              <w:top w:w="40" w:type="dxa"/>
              <w:left w:w="0" w:type="dxa"/>
              <w:bottom w:w="40" w:type="dxa"/>
              <w:right w:w="20" w:type="dxa"/>
            </w:tcMar>
            <w:vAlign w:val="bottom"/>
          </w:tcPr>
          <w:p w14:paraId="64298CC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C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0" w14:textId="77777777" w:rsidR="007B6C97" w:rsidRDefault="00E426D1">
            <w:pPr>
              <w:jc w:val="right"/>
              <w:textAlignment w:val="bottom"/>
            </w:pPr>
            <w:r>
              <w:rPr>
                <w:rFonts w:ascii="Times New Roman" w:eastAsia="宋体" w:hAnsi="Times New Roman"/>
                <w:color w:val="000000"/>
                <w:sz w:val="20"/>
                <w:szCs w:val="20"/>
              </w:rPr>
              <w:t>(8.2)</w:t>
            </w:r>
          </w:p>
        </w:tc>
        <w:tc>
          <w:tcPr>
            <w:tcW w:w="0" w:type="auto"/>
            <w:shd w:val="clear" w:color="auto" w:fill="D7E4BC"/>
            <w:tcMar>
              <w:top w:w="40" w:type="dxa"/>
              <w:left w:w="0" w:type="dxa"/>
              <w:bottom w:w="40" w:type="dxa"/>
              <w:right w:w="20" w:type="dxa"/>
            </w:tcMar>
            <w:vAlign w:val="bottom"/>
          </w:tcPr>
          <w:p w14:paraId="64298CD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D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3" w14:textId="77777777" w:rsidR="007B6C97" w:rsidRDefault="00E426D1">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64298CD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D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6" w14:textId="77777777" w:rsidR="007B6C97" w:rsidRDefault="00E426D1">
            <w:pPr>
              <w:jc w:val="right"/>
              <w:textAlignment w:val="bottom"/>
            </w:pPr>
            <w:r>
              <w:rPr>
                <w:rFonts w:ascii="Times New Roman" w:eastAsia="宋体" w:hAnsi="Times New Roman"/>
                <w:color w:val="000000"/>
                <w:sz w:val="20"/>
                <w:szCs w:val="20"/>
              </w:rPr>
              <w:t>6.6 </w:t>
            </w:r>
          </w:p>
        </w:tc>
        <w:tc>
          <w:tcPr>
            <w:tcW w:w="0" w:type="auto"/>
            <w:shd w:val="clear" w:color="auto" w:fill="D7E4BC"/>
            <w:tcMar>
              <w:top w:w="40" w:type="dxa"/>
              <w:left w:w="0" w:type="dxa"/>
              <w:bottom w:w="40" w:type="dxa"/>
              <w:right w:w="20" w:type="dxa"/>
            </w:tcMar>
            <w:vAlign w:val="bottom"/>
          </w:tcPr>
          <w:p w14:paraId="64298CD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D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9" w14:textId="77777777" w:rsidR="007B6C97" w:rsidRDefault="00E426D1">
            <w:pPr>
              <w:jc w:val="right"/>
              <w:textAlignment w:val="bottom"/>
            </w:pPr>
            <w:r>
              <w:rPr>
                <w:rFonts w:ascii="Times New Roman" w:eastAsia="宋体" w:hAnsi="Times New Roman"/>
                <w:color w:val="000000"/>
                <w:sz w:val="20"/>
                <w:szCs w:val="20"/>
              </w:rPr>
              <w:t>1,494.0 </w:t>
            </w:r>
          </w:p>
        </w:tc>
        <w:tc>
          <w:tcPr>
            <w:tcW w:w="0" w:type="auto"/>
            <w:shd w:val="clear" w:color="auto" w:fill="D7E4BC"/>
            <w:tcMar>
              <w:top w:w="40" w:type="dxa"/>
              <w:left w:w="0" w:type="dxa"/>
              <w:bottom w:w="40" w:type="dxa"/>
              <w:right w:w="20" w:type="dxa"/>
            </w:tcMar>
            <w:vAlign w:val="bottom"/>
          </w:tcPr>
          <w:p w14:paraId="64298CD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D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C" w14:textId="77777777" w:rsidR="007B6C97" w:rsidRDefault="00E426D1">
            <w:pPr>
              <w:jc w:val="right"/>
              <w:textAlignment w:val="bottom"/>
            </w:pPr>
            <w:r>
              <w:rPr>
                <w:rFonts w:ascii="Times New Roman" w:eastAsia="宋体" w:hAnsi="Times New Roman"/>
                <w:color w:val="000000"/>
                <w:sz w:val="20"/>
                <w:szCs w:val="20"/>
              </w:rPr>
              <w:t>1,431.4 </w:t>
            </w:r>
          </w:p>
        </w:tc>
        <w:tc>
          <w:tcPr>
            <w:tcW w:w="0" w:type="auto"/>
            <w:shd w:val="clear" w:color="auto" w:fill="D7E4BC"/>
            <w:tcMar>
              <w:top w:w="40" w:type="dxa"/>
              <w:left w:w="0" w:type="dxa"/>
              <w:bottom w:w="40" w:type="dxa"/>
              <w:right w:w="20" w:type="dxa"/>
            </w:tcMar>
            <w:vAlign w:val="bottom"/>
          </w:tcPr>
          <w:p w14:paraId="64298CD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D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DF" w14:textId="77777777" w:rsidR="007B6C97" w:rsidRDefault="00E426D1">
            <w:pPr>
              <w:jc w:val="right"/>
              <w:textAlignment w:val="bottom"/>
            </w:pPr>
            <w:r>
              <w:rPr>
                <w:rFonts w:ascii="Times New Roman" w:eastAsia="宋体" w:hAnsi="Times New Roman"/>
                <w:color w:val="000000"/>
                <w:sz w:val="20"/>
                <w:szCs w:val="20"/>
              </w:rPr>
              <w:t>62.6 </w:t>
            </w:r>
          </w:p>
        </w:tc>
        <w:tc>
          <w:tcPr>
            <w:tcW w:w="0" w:type="auto"/>
            <w:shd w:val="clear" w:color="auto" w:fill="D7E4BC"/>
            <w:tcMar>
              <w:top w:w="40" w:type="dxa"/>
              <w:left w:w="0" w:type="dxa"/>
              <w:bottom w:w="40" w:type="dxa"/>
              <w:right w:w="20" w:type="dxa"/>
            </w:tcMar>
            <w:vAlign w:val="bottom"/>
          </w:tcPr>
          <w:p w14:paraId="64298C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E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E2" w14:textId="77777777" w:rsidR="007B6C97" w:rsidRDefault="00E426D1">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64298C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CE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CE5" w14:textId="77777777" w:rsidR="007B6C97" w:rsidRDefault="00E426D1">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64298CE6" w14:textId="77777777" w:rsidR="007B6C97" w:rsidRDefault="007B6C97">
            <w:pPr>
              <w:jc w:val="right"/>
              <w:rPr>
                <w:rFonts w:ascii="宋体"/>
              </w:rPr>
            </w:pPr>
          </w:p>
        </w:tc>
      </w:tr>
      <w:tr w:rsidR="00E426D1" w14:paraId="64298D06" w14:textId="77777777">
        <w:trPr>
          <w:jc w:val="center"/>
        </w:trPr>
        <w:tc>
          <w:tcPr>
            <w:tcW w:w="0" w:type="auto"/>
            <w:gridSpan w:val="3"/>
            <w:shd w:val="clear" w:color="auto" w:fill="FFFFFF"/>
            <w:tcMar>
              <w:top w:w="40" w:type="dxa"/>
              <w:left w:w="20" w:type="dxa"/>
              <w:bottom w:w="40" w:type="dxa"/>
              <w:right w:w="20" w:type="dxa"/>
            </w:tcMar>
          </w:tcPr>
          <w:p w14:paraId="64298CE8" w14:textId="77777777" w:rsidR="007B6C97" w:rsidRDefault="00E426D1">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64298CE9" w14:textId="77777777" w:rsidR="007B6C97" w:rsidRDefault="00E426D1">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4298CE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E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EC"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64298CE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E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EF" w14:textId="77777777" w:rsidR="007B6C97" w:rsidRDefault="00E426D1">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64298CF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F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F2"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64298C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F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F5" w14:textId="77777777" w:rsidR="007B6C97" w:rsidRDefault="00E426D1">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4298C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F8" w14:textId="77777777" w:rsidR="007B6C97" w:rsidRDefault="00E426D1">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left w:w="0" w:type="dxa"/>
              <w:bottom w:w="40" w:type="dxa"/>
              <w:right w:w="20" w:type="dxa"/>
            </w:tcMar>
            <w:vAlign w:val="bottom"/>
          </w:tcPr>
          <w:p w14:paraId="64298CF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F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FB" w14:textId="77777777" w:rsidR="007B6C97" w:rsidRDefault="00E426D1">
            <w:pPr>
              <w:jc w:val="right"/>
              <w:textAlignment w:val="bottom"/>
            </w:pPr>
            <w:r>
              <w:rPr>
                <w:rFonts w:ascii="Times New Roman" w:eastAsia="宋体" w:hAnsi="Times New Roman"/>
                <w:color w:val="000000"/>
                <w:sz w:val="20"/>
                <w:szCs w:val="20"/>
              </w:rPr>
              <w:t>115.0 </w:t>
            </w:r>
          </w:p>
        </w:tc>
        <w:tc>
          <w:tcPr>
            <w:tcW w:w="0" w:type="auto"/>
            <w:shd w:val="clear" w:color="auto" w:fill="FFFFFF"/>
            <w:tcMar>
              <w:top w:w="40" w:type="dxa"/>
              <w:left w:w="0" w:type="dxa"/>
              <w:bottom w:w="40" w:type="dxa"/>
              <w:right w:w="20" w:type="dxa"/>
            </w:tcMar>
            <w:vAlign w:val="bottom"/>
          </w:tcPr>
          <w:p w14:paraId="64298C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CF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CFE" w14:textId="77777777" w:rsidR="007B6C97" w:rsidRDefault="00E426D1">
            <w:pPr>
              <w:jc w:val="right"/>
              <w:textAlignment w:val="bottom"/>
            </w:pPr>
            <w:r>
              <w:rPr>
                <w:rFonts w:ascii="Times New Roman" w:eastAsia="宋体" w:hAnsi="Times New Roman"/>
                <w:color w:val="000000"/>
                <w:sz w:val="20"/>
                <w:szCs w:val="20"/>
              </w:rPr>
              <w:t>(104.1)</w:t>
            </w:r>
          </w:p>
        </w:tc>
        <w:tc>
          <w:tcPr>
            <w:tcW w:w="0" w:type="auto"/>
            <w:shd w:val="clear" w:color="auto" w:fill="FFFFFF"/>
            <w:tcMar>
              <w:top w:w="40" w:type="dxa"/>
              <w:left w:w="0" w:type="dxa"/>
              <w:bottom w:w="40" w:type="dxa"/>
              <w:right w:w="20" w:type="dxa"/>
            </w:tcMar>
            <w:vAlign w:val="bottom"/>
          </w:tcPr>
          <w:p w14:paraId="64298CF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0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01"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8D0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0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04" w14:textId="77777777" w:rsidR="007B6C97" w:rsidRDefault="00E426D1">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64298D05" w14:textId="77777777" w:rsidR="007B6C97" w:rsidRDefault="007B6C97">
            <w:pPr>
              <w:jc w:val="right"/>
              <w:rPr>
                <w:rFonts w:ascii="宋体"/>
              </w:rPr>
            </w:pPr>
          </w:p>
        </w:tc>
      </w:tr>
      <w:tr w:rsidR="007B6C97" w14:paraId="64298D1B" w14:textId="77777777">
        <w:trPr>
          <w:jc w:val="center"/>
          <w:hidden/>
        </w:trPr>
        <w:tc>
          <w:tcPr>
            <w:tcW w:w="0" w:type="auto"/>
            <w:gridSpan w:val="3"/>
            <w:shd w:val="clear" w:color="auto" w:fill="auto"/>
            <w:vAlign w:val="bottom"/>
          </w:tcPr>
          <w:p w14:paraId="64298D07" w14:textId="77777777" w:rsidR="007B6C97" w:rsidRDefault="007B6C97">
            <w:pPr>
              <w:rPr>
                <w:rFonts w:ascii="宋体"/>
                <w:vanish/>
              </w:rPr>
            </w:pPr>
          </w:p>
        </w:tc>
        <w:tc>
          <w:tcPr>
            <w:tcW w:w="0" w:type="auto"/>
            <w:gridSpan w:val="3"/>
            <w:shd w:val="clear" w:color="auto" w:fill="auto"/>
            <w:vAlign w:val="bottom"/>
          </w:tcPr>
          <w:p w14:paraId="64298D08" w14:textId="77777777" w:rsidR="007B6C97" w:rsidRDefault="007B6C97">
            <w:pPr>
              <w:rPr>
                <w:rFonts w:ascii="宋体"/>
                <w:vanish/>
              </w:rPr>
            </w:pPr>
          </w:p>
        </w:tc>
        <w:tc>
          <w:tcPr>
            <w:tcW w:w="0" w:type="auto"/>
            <w:gridSpan w:val="3"/>
            <w:shd w:val="clear" w:color="auto" w:fill="auto"/>
            <w:vAlign w:val="bottom"/>
          </w:tcPr>
          <w:p w14:paraId="64298D09" w14:textId="77777777" w:rsidR="007B6C97" w:rsidRDefault="007B6C97">
            <w:pPr>
              <w:rPr>
                <w:rFonts w:ascii="宋体"/>
                <w:vanish/>
              </w:rPr>
            </w:pPr>
          </w:p>
        </w:tc>
        <w:tc>
          <w:tcPr>
            <w:tcW w:w="0" w:type="auto"/>
            <w:gridSpan w:val="3"/>
            <w:shd w:val="clear" w:color="auto" w:fill="auto"/>
            <w:vAlign w:val="bottom"/>
          </w:tcPr>
          <w:p w14:paraId="64298D0A" w14:textId="77777777" w:rsidR="007B6C97" w:rsidRDefault="007B6C97">
            <w:pPr>
              <w:rPr>
                <w:rFonts w:ascii="宋体"/>
                <w:vanish/>
              </w:rPr>
            </w:pPr>
          </w:p>
        </w:tc>
        <w:tc>
          <w:tcPr>
            <w:tcW w:w="0" w:type="auto"/>
            <w:gridSpan w:val="3"/>
            <w:shd w:val="clear" w:color="auto" w:fill="auto"/>
            <w:vAlign w:val="bottom"/>
          </w:tcPr>
          <w:p w14:paraId="64298D0B" w14:textId="77777777" w:rsidR="007B6C97" w:rsidRDefault="007B6C97">
            <w:pPr>
              <w:rPr>
                <w:rFonts w:ascii="宋体"/>
                <w:vanish/>
              </w:rPr>
            </w:pPr>
          </w:p>
        </w:tc>
        <w:tc>
          <w:tcPr>
            <w:tcW w:w="0" w:type="auto"/>
            <w:gridSpan w:val="3"/>
            <w:shd w:val="clear" w:color="auto" w:fill="auto"/>
            <w:vAlign w:val="bottom"/>
          </w:tcPr>
          <w:p w14:paraId="64298D0C" w14:textId="77777777" w:rsidR="007B6C97" w:rsidRDefault="007B6C97">
            <w:pPr>
              <w:rPr>
                <w:rFonts w:ascii="宋体"/>
                <w:vanish/>
              </w:rPr>
            </w:pPr>
          </w:p>
        </w:tc>
        <w:tc>
          <w:tcPr>
            <w:tcW w:w="0" w:type="auto"/>
            <w:gridSpan w:val="3"/>
            <w:shd w:val="clear" w:color="auto" w:fill="auto"/>
            <w:vAlign w:val="bottom"/>
          </w:tcPr>
          <w:p w14:paraId="64298D0D" w14:textId="77777777" w:rsidR="007B6C97" w:rsidRDefault="007B6C97">
            <w:pPr>
              <w:rPr>
                <w:rFonts w:ascii="宋体"/>
                <w:vanish/>
              </w:rPr>
            </w:pPr>
          </w:p>
        </w:tc>
        <w:tc>
          <w:tcPr>
            <w:tcW w:w="0" w:type="auto"/>
            <w:gridSpan w:val="3"/>
            <w:shd w:val="clear" w:color="auto" w:fill="auto"/>
            <w:vAlign w:val="bottom"/>
          </w:tcPr>
          <w:p w14:paraId="64298D0E" w14:textId="77777777" w:rsidR="007B6C97" w:rsidRDefault="007B6C97">
            <w:pPr>
              <w:rPr>
                <w:rFonts w:ascii="宋体"/>
                <w:vanish/>
              </w:rPr>
            </w:pPr>
          </w:p>
        </w:tc>
        <w:tc>
          <w:tcPr>
            <w:tcW w:w="0" w:type="auto"/>
            <w:gridSpan w:val="3"/>
            <w:shd w:val="clear" w:color="auto" w:fill="auto"/>
            <w:vAlign w:val="bottom"/>
          </w:tcPr>
          <w:p w14:paraId="64298D0F" w14:textId="77777777" w:rsidR="007B6C97" w:rsidRDefault="007B6C97">
            <w:pPr>
              <w:rPr>
                <w:rFonts w:ascii="宋体"/>
                <w:vanish/>
              </w:rPr>
            </w:pPr>
          </w:p>
        </w:tc>
        <w:tc>
          <w:tcPr>
            <w:tcW w:w="0" w:type="auto"/>
            <w:gridSpan w:val="3"/>
            <w:shd w:val="clear" w:color="auto" w:fill="auto"/>
            <w:vAlign w:val="bottom"/>
          </w:tcPr>
          <w:p w14:paraId="64298D10" w14:textId="77777777" w:rsidR="007B6C97" w:rsidRDefault="007B6C97">
            <w:pPr>
              <w:rPr>
                <w:rFonts w:ascii="宋体"/>
                <w:vanish/>
              </w:rPr>
            </w:pPr>
          </w:p>
        </w:tc>
        <w:tc>
          <w:tcPr>
            <w:tcW w:w="0" w:type="auto"/>
            <w:gridSpan w:val="3"/>
            <w:shd w:val="clear" w:color="auto" w:fill="auto"/>
            <w:vAlign w:val="bottom"/>
          </w:tcPr>
          <w:p w14:paraId="64298D11" w14:textId="77777777" w:rsidR="007B6C97" w:rsidRDefault="007B6C97">
            <w:pPr>
              <w:rPr>
                <w:rFonts w:ascii="宋体"/>
                <w:vanish/>
              </w:rPr>
            </w:pPr>
          </w:p>
        </w:tc>
        <w:tc>
          <w:tcPr>
            <w:tcW w:w="0" w:type="auto"/>
            <w:gridSpan w:val="3"/>
            <w:shd w:val="clear" w:color="auto" w:fill="auto"/>
            <w:vAlign w:val="bottom"/>
          </w:tcPr>
          <w:p w14:paraId="64298D12" w14:textId="77777777" w:rsidR="007B6C97" w:rsidRDefault="007B6C97">
            <w:pPr>
              <w:rPr>
                <w:rFonts w:ascii="宋体"/>
                <w:vanish/>
              </w:rPr>
            </w:pPr>
          </w:p>
        </w:tc>
        <w:tc>
          <w:tcPr>
            <w:tcW w:w="0" w:type="auto"/>
            <w:gridSpan w:val="3"/>
            <w:shd w:val="clear" w:color="auto" w:fill="auto"/>
            <w:vAlign w:val="bottom"/>
          </w:tcPr>
          <w:p w14:paraId="64298D13" w14:textId="77777777" w:rsidR="007B6C97" w:rsidRDefault="007B6C97">
            <w:pPr>
              <w:rPr>
                <w:rFonts w:ascii="宋体"/>
                <w:vanish/>
              </w:rPr>
            </w:pPr>
          </w:p>
        </w:tc>
        <w:tc>
          <w:tcPr>
            <w:tcW w:w="0" w:type="auto"/>
            <w:gridSpan w:val="3"/>
            <w:shd w:val="clear" w:color="auto" w:fill="auto"/>
            <w:vAlign w:val="bottom"/>
          </w:tcPr>
          <w:p w14:paraId="64298D14" w14:textId="77777777" w:rsidR="007B6C97" w:rsidRDefault="007B6C97">
            <w:pPr>
              <w:rPr>
                <w:rFonts w:ascii="宋体"/>
                <w:vanish/>
              </w:rPr>
            </w:pPr>
          </w:p>
        </w:tc>
        <w:tc>
          <w:tcPr>
            <w:tcW w:w="0" w:type="auto"/>
            <w:gridSpan w:val="3"/>
            <w:shd w:val="clear" w:color="auto" w:fill="auto"/>
            <w:vAlign w:val="bottom"/>
          </w:tcPr>
          <w:p w14:paraId="64298D15" w14:textId="77777777" w:rsidR="007B6C97" w:rsidRDefault="007B6C97">
            <w:pPr>
              <w:rPr>
                <w:rFonts w:ascii="宋体"/>
                <w:vanish/>
              </w:rPr>
            </w:pPr>
          </w:p>
        </w:tc>
        <w:tc>
          <w:tcPr>
            <w:tcW w:w="0" w:type="auto"/>
            <w:gridSpan w:val="3"/>
            <w:shd w:val="clear" w:color="auto" w:fill="auto"/>
            <w:vAlign w:val="bottom"/>
          </w:tcPr>
          <w:p w14:paraId="64298D16" w14:textId="77777777" w:rsidR="007B6C97" w:rsidRDefault="007B6C97">
            <w:pPr>
              <w:rPr>
                <w:rFonts w:ascii="宋体"/>
                <w:vanish/>
              </w:rPr>
            </w:pPr>
          </w:p>
        </w:tc>
        <w:tc>
          <w:tcPr>
            <w:tcW w:w="0" w:type="auto"/>
            <w:gridSpan w:val="3"/>
            <w:shd w:val="clear" w:color="auto" w:fill="auto"/>
            <w:vAlign w:val="bottom"/>
          </w:tcPr>
          <w:p w14:paraId="64298D17" w14:textId="77777777" w:rsidR="007B6C97" w:rsidRDefault="007B6C97">
            <w:pPr>
              <w:rPr>
                <w:rFonts w:ascii="宋体"/>
                <w:vanish/>
              </w:rPr>
            </w:pPr>
          </w:p>
        </w:tc>
        <w:tc>
          <w:tcPr>
            <w:tcW w:w="0" w:type="auto"/>
            <w:gridSpan w:val="3"/>
            <w:shd w:val="clear" w:color="auto" w:fill="auto"/>
            <w:vAlign w:val="bottom"/>
          </w:tcPr>
          <w:p w14:paraId="64298D18" w14:textId="77777777" w:rsidR="007B6C97" w:rsidRDefault="007B6C97">
            <w:pPr>
              <w:rPr>
                <w:rFonts w:ascii="宋体"/>
                <w:vanish/>
              </w:rPr>
            </w:pPr>
          </w:p>
        </w:tc>
        <w:tc>
          <w:tcPr>
            <w:tcW w:w="0" w:type="auto"/>
            <w:gridSpan w:val="3"/>
            <w:shd w:val="clear" w:color="auto" w:fill="auto"/>
            <w:vAlign w:val="bottom"/>
          </w:tcPr>
          <w:p w14:paraId="64298D19" w14:textId="77777777" w:rsidR="007B6C97" w:rsidRDefault="007B6C97">
            <w:pPr>
              <w:rPr>
                <w:rFonts w:ascii="宋体"/>
                <w:vanish/>
              </w:rPr>
            </w:pPr>
          </w:p>
        </w:tc>
        <w:tc>
          <w:tcPr>
            <w:tcW w:w="0" w:type="auto"/>
            <w:gridSpan w:val="3"/>
            <w:shd w:val="clear" w:color="auto" w:fill="auto"/>
            <w:vAlign w:val="bottom"/>
          </w:tcPr>
          <w:p w14:paraId="64298D1A" w14:textId="77777777" w:rsidR="007B6C97" w:rsidRDefault="007B6C97">
            <w:pPr>
              <w:rPr>
                <w:rFonts w:ascii="宋体"/>
                <w:vanish/>
              </w:rPr>
            </w:pPr>
          </w:p>
        </w:tc>
      </w:tr>
      <w:tr w:rsidR="00E426D1" w14:paraId="64298D3A" w14:textId="77777777">
        <w:trPr>
          <w:jc w:val="center"/>
        </w:trPr>
        <w:tc>
          <w:tcPr>
            <w:tcW w:w="0" w:type="auto"/>
            <w:gridSpan w:val="3"/>
            <w:shd w:val="clear" w:color="auto" w:fill="D7E4BC"/>
            <w:tcMar>
              <w:top w:w="40" w:type="dxa"/>
              <w:left w:w="20" w:type="dxa"/>
              <w:bottom w:w="40" w:type="dxa"/>
              <w:right w:w="20" w:type="dxa"/>
            </w:tcMar>
          </w:tcPr>
          <w:p w14:paraId="64298D1C"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1D" w14:textId="77777777" w:rsidR="007B6C97" w:rsidRDefault="00E426D1">
            <w:pPr>
              <w:jc w:val="right"/>
              <w:textAlignment w:val="bottom"/>
            </w:pPr>
            <w:r>
              <w:rPr>
                <w:rFonts w:ascii="Times New Roman" w:eastAsia="宋体" w:hAnsi="Times New Roman"/>
                <w:color w:val="000000"/>
                <w:sz w:val="20"/>
                <w:szCs w:val="20"/>
              </w:rPr>
              <w:t>6,908.7 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1F"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0" w14:textId="77777777" w:rsidR="007B6C97" w:rsidRDefault="00E426D1">
            <w:pPr>
              <w:jc w:val="right"/>
              <w:textAlignment w:val="bottom"/>
            </w:pPr>
            <w:r>
              <w:rPr>
                <w:rFonts w:ascii="Times New Roman" w:eastAsia="宋体" w:hAnsi="Times New Roman"/>
                <w:color w:val="000000"/>
                <w:sz w:val="20"/>
                <w:szCs w:val="20"/>
              </w:rPr>
              <w:t>6,113.3 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22"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3" w14:textId="77777777" w:rsidR="007B6C97" w:rsidRDefault="00E426D1">
            <w:pPr>
              <w:jc w:val="right"/>
              <w:textAlignment w:val="bottom"/>
            </w:pPr>
            <w:r>
              <w:rPr>
                <w:rFonts w:ascii="Times New Roman" w:eastAsia="宋体" w:hAnsi="Times New Roman"/>
                <w:color w:val="000000"/>
                <w:sz w:val="20"/>
                <w:szCs w:val="20"/>
              </w:rPr>
              <w:t>795.4 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2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2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6" w14:textId="77777777" w:rsidR="007B6C97" w:rsidRDefault="00E426D1">
            <w:pPr>
              <w:jc w:val="right"/>
              <w:textAlignment w:val="bottom"/>
            </w:pPr>
            <w:r>
              <w:rPr>
                <w:rFonts w:ascii="Times New Roman" w:eastAsia="宋体" w:hAnsi="Times New Roman"/>
                <w:color w:val="000000"/>
                <w:sz w:val="20"/>
                <w:szCs w:val="20"/>
              </w:rPr>
              <w:t>84.8 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2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2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9" w14:textId="77777777" w:rsidR="007B6C97" w:rsidRDefault="00E426D1">
            <w:pPr>
              <w:jc w:val="right"/>
              <w:textAlignment w:val="bottom"/>
            </w:pPr>
            <w:r>
              <w:rPr>
                <w:rFonts w:ascii="Times New Roman" w:eastAsia="宋体" w:hAnsi="Times New Roman"/>
                <w:color w:val="000000"/>
                <w:sz w:val="20"/>
                <w:szCs w:val="20"/>
              </w:rPr>
              <w:t>81.5 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2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2B"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C" w14:textId="77777777" w:rsidR="007B6C97" w:rsidRDefault="00E426D1">
            <w:pPr>
              <w:jc w:val="right"/>
              <w:textAlignment w:val="bottom"/>
            </w:pPr>
            <w:r>
              <w:rPr>
                <w:rFonts w:ascii="Times New Roman" w:eastAsia="宋体" w:hAnsi="Times New Roman"/>
                <w:color w:val="000000"/>
                <w:sz w:val="20"/>
                <w:szCs w:val="20"/>
              </w:rPr>
              <w:t>20,557.3 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2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2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2F" w14:textId="77777777" w:rsidR="007B6C97" w:rsidRDefault="00E426D1">
            <w:pPr>
              <w:jc w:val="right"/>
              <w:textAlignment w:val="bottom"/>
            </w:pPr>
            <w:r>
              <w:rPr>
                <w:rFonts w:ascii="Times New Roman" w:eastAsia="宋体" w:hAnsi="Times New Roman"/>
                <w:color w:val="000000"/>
                <w:sz w:val="20"/>
                <w:szCs w:val="20"/>
              </w:rPr>
              <w:t>17,789.3 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3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3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32" w14:textId="77777777" w:rsidR="007B6C97" w:rsidRDefault="00E426D1">
            <w:pPr>
              <w:jc w:val="right"/>
              <w:textAlignment w:val="bottom"/>
            </w:pPr>
            <w:r>
              <w:rPr>
                <w:rFonts w:ascii="Times New Roman" w:eastAsia="宋体" w:hAnsi="Times New Roman"/>
                <w:color w:val="000000"/>
                <w:sz w:val="20"/>
                <w:szCs w:val="20"/>
              </w:rPr>
              <w:t>2,768.0 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3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3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35" w14:textId="77777777" w:rsidR="007B6C97" w:rsidRDefault="00E426D1">
            <w:pPr>
              <w:jc w:val="right"/>
              <w:textAlignment w:val="bottom"/>
            </w:pPr>
            <w:r>
              <w:rPr>
                <w:rFonts w:ascii="Times New Roman" w:eastAsia="宋体" w:hAnsi="Times New Roman"/>
                <w:color w:val="000000"/>
                <w:sz w:val="20"/>
                <w:szCs w:val="20"/>
              </w:rPr>
              <w:t>86.2 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3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3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D38" w14:textId="77777777" w:rsidR="007B6C97" w:rsidRDefault="00E426D1">
            <w:pPr>
              <w:jc w:val="right"/>
              <w:textAlignment w:val="bottom"/>
            </w:pPr>
            <w:r>
              <w:rPr>
                <w:rFonts w:ascii="Times New Roman" w:eastAsia="宋体" w:hAnsi="Times New Roman"/>
                <w:color w:val="000000"/>
                <w:sz w:val="20"/>
                <w:szCs w:val="20"/>
              </w:rPr>
              <w:t>85.1 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D39" w14:textId="77777777" w:rsidR="007B6C97" w:rsidRDefault="007B6C97">
            <w:pPr>
              <w:jc w:val="right"/>
              <w:rPr>
                <w:rFonts w:ascii="宋体"/>
              </w:rPr>
            </w:pPr>
          </w:p>
        </w:tc>
      </w:tr>
      <w:tr w:rsidR="00E426D1" w14:paraId="64298D59" w14:textId="77777777">
        <w:trPr>
          <w:jc w:val="center"/>
        </w:trPr>
        <w:tc>
          <w:tcPr>
            <w:tcW w:w="0" w:type="auto"/>
            <w:gridSpan w:val="3"/>
            <w:shd w:val="clear" w:color="auto" w:fill="FFFFFF"/>
            <w:tcMar>
              <w:top w:w="40" w:type="dxa"/>
              <w:left w:w="20" w:type="dxa"/>
              <w:bottom w:w="40" w:type="dxa"/>
              <w:right w:w="20" w:type="dxa"/>
            </w:tcMar>
          </w:tcPr>
          <w:p w14:paraId="64298D3B"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8D3C" w14:textId="77777777" w:rsidR="007B6C97" w:rsidRDefault="00E426D1">
            <w:pPr>
              <w:jc w:val="right"/>
              <w:textAlignment w:val="bottom"/>
            </w:pPr>
            <w:r>
              <w:rPr>
                <w:rFonts w:ascii="Times New Roman" w:eastAsia="宋体" w:hAnsi="Times New Roman"/>
                <w:color w:val="000000"/>
                <w:sz w:val="20"/>
                <w:szCs w:val="20"/>
              </w:rPr>
              <w:t>54.1 </w:t>
            </w:r>
          </w:p>
        </w:tc>
        <w:tc>
          <w:tcPr>
            <w:tcW w:w="0" w:type="auto"/>
            <w:shd w:val="clear" w:color="auto" w:fill="FFFFFF"/>
            <w:tcMar>
              <w:top w:w="40" w:type="dxa"/>
              <w:left w:w="0" w:type="dxa"/>
              <w:bottom w:w="40" w:type="dxa"/>
              <w:right w:w="20" w:type="dxa"/>
            </w:tcMar>
            <w:vAlign w:val="bottom"/>
          </w:tcPr>
          <w:p w14:paraId="64298D3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3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3F" w14:textId="77777777" w:rsidR="007B6C97" w:rsidRDefault="00E426D1">
            <w:pPr>
              <w:jc w:val="right"/>
              <w:textAlignment w:val="bottom"/>
            </w:pPr>
            <w:r>
              <w:rPr>
                <w:rFonts w:ascii="Times New Roman" w:eastAsia="宋体" w:hAnsi="Times New Roman"/>
                <w:color w:val="000000"/>
                <w:sz w:val="20"/>
                <w:szCs w:val="20"/>
              </w:rPr>
              <w:t>105.5 </w:t>
            </w:r>
          </w:p>
        </w:tc>
        <w:tc>
          <w:tcPr>
            <w:tcW w:w="0" w:type="auto"/>
            <w:shd w:val="clear" w:color="auto" w:fill="FFFFFF"/>
            <w:tcMar>
              <w:top w:w="40" w:type="dxa"/>
              <w:left w:w="0" w:type="dxa"/>
              <w:bottom w:w="40" w:type="dxa"/>
              <w:right w:w="20" w:type="dxa"/>
            </w:tcMar>
            <w:vAlign w:val="bottom"/>
          </w:tcPr>
          <w:p w14:paraId="64298D4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4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42" w14:textId="77777777" w:rsidR="007B6C97" w:rsidRDefault="00E426D1">
            <w:pPr>
              <w:jc w:val="right"/>
              <w:textAlignment w:val="bottom"/>
            </w:pPr>
            <w:r>
              <w:rPr>
                <w:rFonts w:ascii="Times New Roman" w:eastAsia="宋体" w:hAnsi="Times New Roman"/>
                <w:color w:val="000000"/>
                <w:sz w:val="20"/>
                <w:szCs w:val="20"/>
              </w:rPr>
              <w:t>(51.4)</w:t>
            </w:r>
          </w:p>
        </w:tc>
        <w:tc>
          <w:tcPr>
            <w:tcW w:w="0" w:type="auto"/>
            <w:shd w:val="clear" w:color="auto" w:fill="FFFFFF"/>
            <w:tcMar>
              <w:top w:w="40" w:type="dxa"/>
              <w:left w:w="0" w:type="dxa"/>
              <w:bottom w:w="40" w:type="dxa"/>
              <w:right w:w="20" w:type="dxa"/>
            </w:tcMar>
            <w:vAlign w:val="bottom"/>
          </w:tcPr>
          <w:p w14:paraId="64298D4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4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45" w14:textId="77777777" w:rsidR="007B6C97" w:rsidRDefault="00E426D1">
            <w:pPr>
              <w:jc w:val="right"/>
              <w:textAlignment w:val="bottom"/>
            </w:pPr>
            <w:r>
              <w:rPr>
                <w:rFonts w:ascii="Times New Roman" w:eastAsia="宋体" w:hAnsi="Times New Roman"/>
                <w:color w:val="000000"/>
                <w:sz w:val="20"/>
                <w:szCs w:val="20"/>
              </w:rPr>
              <w:t>0.</w:t>
            </w: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4298D4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4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48"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4298D4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4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4B" w14:textId="77777777" w:rsidR="007B6C97" w:rsidRDefault="00E426D1">
            <w:pPr>
              <w:jc w:val="right"/>
              <w:textAlignment w:val="bottom"/>
            </w:pPr>
            <w:r>
              <w:rPr>
                <w:rFonts w:ascii="Times New Roman" w:eastAsia="宋体" w:hAnsi="Times New Roman"/>
                <w:color w:val="000000"/>
                <w:sz w:val="20"/>
                <w:szCs w:val="20"/>
              </w:rPr>
              <w:t>143.5 </w:t>
            </w:r>
          </w:p>
        </w:tc>
        <w:tc>
          <w:tcPr>
            <w:tcW w:w="0" w:type="auto"/>
            <w:shd w:val="clear" w:color="auto" w:fill="FFFFFF"/>
            <w:tcMar>
              <w:top w:w="40" w:type="dxa"/>
              <w:left w:w="0" w:type="dxa"/>
              <w:bottom w:w="40" w:type="dxa"/>
              <w:right w:w="20" w:type="dxa"/>
            </w:tcMar>
            <w:vAlign w:val="bottom"/>
          </w:tcPr>
          <w:p w14:paraId="64298D4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4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4E" w14:textId="77777777" w:rsidR="007B6C97" w:rsidRDefault="00E426D1">
            <w:pPr>
              <w:jc w:val="right"/>
              <w:textAlignment w:val="bottom"/>
            </w:pPr>
            <w:r>
              <w:rPr>
                <w:rFonts w:ascii="Times New Roman" w:eastAsia="宋体" w:hAnsi="Times New Roman"/>
                <w:color w:val="000000"/>
                <w:sz w:val="20"/>
                <w:szCs w:val="20"/>
              </w:rPr>
              <w:t>265.3 </w:t>
            </w:r>
          </w:p>
        </w:tc>
        <w:tc>
          <w:tcPr>
            <w:tcW w:w="0" w:type="auto"/>
            <w:shd w:val="clear" w:color="auto" w:fill="FFFFFF"/>
            <w:tcMar>
              <w:top w:w="40" w:type="dxa"/>
              <w:left w:w="0" w:type="dxa"/>
              <w:bottom w:w="40" w:type="dxa"/>
              <w:right w:w="20" w:type="dxa"/>
            </w:tcMar>
            <w:vAlign w:val="bottom"/>
          </w:tcPr>
          <w:p w14:paraId="64298D4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5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51" w14:textId="77777777" w:rsidR="007B6C97" w:rsidRDefault="00E426D1">
            <w:pPr>
              <w:jc w:val="right"/>
              <w:textAlignment w:val="bottom"/>
            </w:pPr>
            <w:r>
              <w:rPr>
                <w:rFonts w:ascii="Times New Roman" w:eastAsia="宋体" w:hAnsi="Times New Roman"/>
                <w:color w:val="000000"/>
                <w:sz w:val="20"/>
                <w:szCs w:val="20"/>
              </w:rPr>
              <w:t>(121.8)</w:t>
            </w:r>
          </w:p>
        </w:tc>
        <w:tc>
          <w:tcPr>
            <w:tcW w:w="0" w:type="auto"/>
            <w:shd w:val="clear" w:color="auto" w:fill="FFFFFF"/>
            <w:tcMar>
              <w:top w:w="40" w:type="dxa"/>
              <w:left w:w="0" w:type="dxa"/>
              <w:bottom w:w="40" w:type="dxa"/>
              <w:right w:w="20" w:type="dxa"/>
            </w:tcMar>
            <w:vAlign w:val="bottom"/>
          </w:tcPr>
          <w:p w14:paraId="64298D5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5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54" w14:textId="77777777" w:rsidR="007B6C97" w:rsidRDefault="00E426D1">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4298D5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D5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D57" w14:textId="77777777" w:rsidR="007B6C97" w:rsidRDefault="00E426D1">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4298D58" w14:textId="77777777" w:rsidR="007B6C97" w:rsidRDefault="007B6C97">
            <w:pPr>
              <w:jc w:val="right"/>
              <w:rPr>
                <w:rFonts w:ascii="宋体"/>
              </w:rPr>
            </w:pPr>
          </w:p>
        </w:tc>
      </w:tr>
      <w:tr w:rsidR="00E426D1" w14:paraId="64298D7E" w14:textId="77777777">
        <w:trPr>
          <w:jc w:val="center"/>
        </w:trPr>
        <w:tc>
          <w:tcPr>
            <w:tcW w:w="0" w:type="auto"/>
            <w:gridSpan w:val="3"/>
            <w:shd w:val="clear" w:color="auto" w:fill="D7E4BC"/>
            <w:tcMar>
              <w:top w:w="40" w:type="dxa"/>
              <w:left w:w="20" w:type="dxa"/>
              <w:bottom w:w="40" w:type="dxa"/>
              <w:right w:w="20" w:type="dxa"/>
            </w:tcMar>
          </w:tcPr>
          <w:p w14:paraId="64298D5A" w14:textId="77777777" w:rsidR="007B6C97" w:rsidRDefault="00E426D1">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4298D5B"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5C" w14:textId="77777777" w:rsidR="007B6C97" w:rsidRDefault="00E426D1">
            <w:pPr>
              <w:jc w:val="right"/>
              <w:textAlignment w:val="bottom"/>
            </w:pPr>
            <w:r>
              <w:rPr>
                <w:rFonts w:ascii="Times New Roman" w:eastAsia="宋体" w:hAnsi="Times New Roman"/>
                <w:b/>
                <w:bCs/>
                <w:color w:val="000000"/>
                <w:sz w:val="20"/>
                <w:szCs w:val="20"/>
              </w:rPr>
              <w:t>1,295.5</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5E"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8D5F"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60" w14:textId="77777777" w:rsidR="007B6C97" w:rsidRDefault="00E426D1">
            <w:pPr>
              <w:jc w:val="right"/>
              <w:textAlignment w:val="bottom"/>
            </w:pPr>
            <w:r>
              <w:rPr>
                <w:rFonts w:ascii="Times New Roman" w:eastAsia="宋体" w:hAnsi="Times New Roman"/>
                <w:b/>
                <w:bCs/>
                <w:color w:val="000000"/>
                <w:sz w:val="20"/>
                <w:szCs w:val="20"/>
              </w:rPr>
              <w:t>1,488.7</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62"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8D63"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64" w14:textId="77777777" w:rsidR="007B6C97" w:rsidRDefault="00E426D1">
            <w:pPr>
              <w:jc w:val="right"/>
              <w:textAlignment w:val="bottom"/>
            </w:pPr>
            <w:r>
              <w:rPr>
                <w:rFonts w:ascii="Times New Roman" w:eastAsia="宋体" w:hAnsi="Times New Roman"/>
                <w:b/>
                <w:bCs/>
                <w:color w:val="000000"/>
                <w:sz w:val="20"/>
                <w:szCs w:val="20"/>
              </w:rPr>
              <w:t>(193.2)</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6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66"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8D67" w14:textId="77777777" w:rsidR="007B6C97" w:rsidRDefault="00E426D1">
            <w:pPr>
              <w:jc w:val="right"/>
              <w:textAlignment w:val="bottom"/>
            </w:pPr>
            <w:r>
              <w:rPr>
                <w:rFonts w:ascii="Times New Roman" w:eastAsia="宋体" w:hAnsi="Times New Roman"/>
                <w:b/>
                <w:bCs/>
                <w:color w:val="000000"/>
                <w:sz w:val="20"/>
                <w:szCs w:val="20"/>
              </w:rPr>
              <w:t>15.9</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68"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D69"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8D6A" w14:textId="77777777" w:rsidR="007B6C97" w:rsidRDefault="00E426D1">
            <w:pPr>
              <w:jc w:val="right"/>
              <w:textAlignment w:val="bottom"/>
            </w:pPr>
            <w:r>
              <w:rPr>
                <w:rFonts w:ascii="Times New Roman" w:eastAsia="宋体" w:hAnsi="Times New Roman"/>
                <w:b/>
                <w:bCs/>
                <w:color w:val="000000"/>
                <w:sz w:val="20"/>
                <w:szCs w:val="20"/>
              </w:rPr>
              <w:t>19.9</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6B"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D6C"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8D6D"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6E" w14:textId="77777777" w:rsidR="007B6C97" w:rsidRDefault="00E426D1">
            <w:pPr>
              <w:jc w:val="right"/>
              <w:textAlignment w:val="bottom"/>
            </w:pPr>
            <w:r>
              <w:rPr>
                <w:rFonts w:ascii="Times New Roman" w:eastAsia="宋体" w:hAnsi="Times New Roman"/>
                <w:b/>
                <w:bCs/>
                <w:color w:val="000000"/>
                <w:sz w:val="20"/>
                <w:szCs w:val="20"/>
              </w:rPr>
              <w:t>3,422.3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6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70"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8D71"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72" w14:textId="77777777" w:rsidR="007B6C97" w:rsidRDefault="00E426D1">
            <w:pPr>
              <w:jc w:val="right"/>
              <w:textAlignment w:val="bottom"/>
            </w:pPr>
            <w:r>
              <w:rPr>
                <w:rFonts w:ascii="Times New Roman" w:eastAsia="宋体" w:hAnsi="Times New Roman"/>
                <w:b/>
                <w:bCs/>
                <w:color w:val="000000"/>
                <w:sz w:val="20"/>
                <w:szCs w:val="20"/>
              </w:rPr>
              <w:t>3,389.9</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7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74"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8D75"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8D76" w14:textId="77777777" w:rsidR="007B6C97" w:rsidRDefault="00E426D1">
            <w:pPr>
              <w:jc w:val="right"/>
              <w:textAlignment w:val="bottom"/>
            </w:pPr>
            <w:r>
              <w:rPr>
                <w:rFonts w:ascii="Times New Roman" w:eastAsia="宋体" w:hAnsi="Times New Roman"/>
                <w:b/>
                <w:bCs/>
                <w:color w:val="000000"/>
                <w:sz w:val="20"/>
                <w:szCs w:val="20"/>
              </w:rPr>
              <w:t>32.4</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7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D78"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8D79" w14:textId="77777777" w:rsidR="007B6C97" w:rsidRDefault="00E426D1">
            <w:pPr>
              <w:jc w:val="right"/>
              <w:textAlignment w:val="bottom"/>
            </w:pPr>
            <w:r>
              <w:rPr>
                <w:rFonts w:ascii="Times New Roman" w:eastAsia="宋体" w:hAnsi="Times New Roman"/>
                <w:b/>
                <w:bCs/>
                <w:color w:val="000000"/>
                <w:sz w:val="20"/>
                <w:szCs w:val="20"/>
              </w:rPr>
              <w:t>14.4</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7A"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D7B"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8D7C" w14:textId="77777777" w:rsidR="007B6C97" w:rsidRDefault="00E426D1">
            <w:pPr>
              <w:jc w:val="right"/>
              <w:textAlignment w:val="bottom"/>
            </w:pPr>
            <w:r>
              <w:rPr>
                <w:rFonts w:ascii="Times New Roman" w:eastAsia="宋体" w:hAnsi="Times New Roman"/>
                <w:b/>
                <w:bCs/>
                <w:color w:val="000000"/>
                <w:sz w:val="20"/>
                <w:szCs w:val="20"/>
              </w:rPr>
              <w:t>16.2</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8D7D" w14:textId="77777777" w:rsidR="007B6C97" w:rsidRDefault="00E426D1">
            <w:pPr>
              <w:jc w:val="right"/>
              <w:textAlignment w:val="bottom"/>
            </w:pPr>
            <w:r>
              <w:rPr>
                <w:rFonts w:ascii="Times New Roman" w:eastAsia="宋体" w:hAnsi="Times New Roman"/>
                <w:b/>
                <w:bCs/>
                <w:color w:val="000000"/>
                <w:sz w:val="20"/>
                <w:szCs w:val="20"/>
              </w:rPr>
              <w:t>%</w:t>
            </w:r>
          </w:p>
        </w:tc>
      </w:tr>
      <w:tr w:rsidR="007B6C97" w14:paraId="64298D96" w14:textId="77777777">
        <w:trPr>
          <w:jc w:val="center"/>
        </w:trPr>
        <w:tc>
          <w:tcPr>
            <w:tcW w:w="0" w:type="auto"/>
            <w:gridSpan w:val="6"/>
            <w:shd w:val="clear" w:color="auto" w:fill="FFFFFF"/>
            <w:tcMar>
              <w:top w:w="40" w:type="dxa"/>
              <w:left w:w="20" w:type="dxa"/>
              <w:bottom w:w="40" w:type="dxa"/>
              <w:right w:w="20" w:type="dxa"/>
            </w:tcMar>
          </w:tcPr>
          <w:p w14:paraId="64298D7F" w14:textId="77777777" w:rsidR="007B6C97" w:rsidRDefault="00E426D1">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4298D8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D85" w14:textId="77777777" w:rsidR="007B6C97" w:rsidRDefault="00E426D1">
            <w:pPr>
              <w:jc w:val="right"/>
              <w:textAlignment w:val="top"/>
            </w:pPr>
            <w:r>
              <w:rPr>
                <w:rFonts w:ascii="Times New Roman" w:eastAsia="宋体" w:hAnsi="Times New Roman"/>
                <w:color w:val="000000"/>
                <w:sz w:val="20"/>
                <w:szCs w:val="20"/>
              </w:rPr>
              <w:t>49.5 </w:t>
            </w:r>
          </w:p>
        </w:tc>
        <w:tc>
          <w:tcPr>
            <w:tcW w:w="0" w:type="auto"/>
            <w:shd w:val="clear" w:color="auto" w:fill="FFFFFF"/>
            <w:tcMar>
              <w:top w:w="40" w:type="dxa"/>
              <w:left w:w="0" w:type="dxa"/>
              <w:bottom w:w="40" w:type="dxa"/>
              <w:right w:w="20" w:type="dxa"/>
            </w:tcMar>
          </w:tcPr>
          <w:p w14:paraId="64298D86"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D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D88" w14:textId="77777777" w:rsidR="007B6C97" w:rsidRDefault="00E426D1">
            <w:pPr>
              <w:jc w:val="right"/>
              <w:textAlignment w:val="top"/>
            </w:pPr>
            <w:r>
              <w:rPr>
                <w:rFonts w:ascii="Times New Roman" w:eastAsia="宋体" w:hAnsi="Times New Roman"/>
                <w:color w:val="000000"/>
                <w:sz w:val="20"/>
                <w:szCs w:val="20"/>
              </w:rPr>
              <w:t>46.6 </w:t>
            </w:r>
          </w:p>
        </w:tc>
        <w:tc>
          <w:tcPr>
            <w:tcW w:w="0" w:type="auto"/>
            <w:shd w:val="clear" w:color="auto" w:fill="FFFFFF"/>
            <w:tcMar>
              <w:top w:w="40" w:type="dxa"/>
              <w:left w:w="0" w:type="dxa"/>
              <w:bottom w:w="40" w:type="dxa"/>
              <w:right w:w="20" w:type="dxa"/>
            </w:tcMar>
          </w:tcPr>
          <w:p w14:paraId="64298D89"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D8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8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D9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D91" w14:textId="77777777" w:rsidR="007B6C97" w:rsidRDefault="00E426D1">
            <w:pPr>
              <w:jc w:val="right"/>
              <w:textAlignment w:val="top"/>
            </w:pPr>
            <w:r>
              <w:rPr>
                <w:rFonts w:ascii="Times New Roman" w:eastAsia="宋体" w:hAnsi="Times New Roman"/>
                <w:color w:val="000000"/>
                <w:sz w:val="20"/>
                <w:szCs w:val="20"/>
              </w:rPr>
              <w:t>50.9 </w:t>
            </w:r>
          </w:p>
        </w:tc>
        <w:tc>
          <w:tcPr>
            <w:tcW w:w="0" w:type="auto"/>
            <w:shd w:val="clear" w:color="auto" w:fill="FFFFFF"/>
            <w:tcMar>
              <w:top w:w="40" w:type="dxa"/>
              <w:left w:w="0" w:type="dxa"/>
              <w:bottom w:w="40" w:type="dxa"/>
              <w:right w:w="20" w:type="dxa"/>
            </w:tcMar>
          </w:tcPr>
          <w:p w14:paraId="64298D92"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D9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8D94" w14:textId="77777777" w:rsidR="007B6C97" w:rsidRDefault="00E426D1">
            <w:pPr>
              <w:jc w:val="right"/>
              <w:textAlignment w:val="top"/>
            </w:pPr>
            <w:r>
              <w:rPr>
                <w:rFonts w:ascii="Times New Roman" w:eastAsia="宋体" w:hAnsi="Times New Roman"/>
                <w:color w:val="000000"/>
                <w:sz w:val="20"/>
                <w:szCs w:val="20"/>
              </w:rPr>
              <w:t>48.8 </w:t>
            </w:r>
          </w:p>
        </w:tc>
        <w:tc>
          <w:tcPr>
            <w:tcW w:w="0" w:type="auto"/>
            <w:shd w:val="clear" w:color="auto" w:fill="FFFFFF"/>
            <w:tcMar>
              <w:top w:w="40" w:type="dxa"/>
              <w:left w:w="0" w:type="dxa"/>
              <w:bottom w:w="40" w:type="dxa"/>
              <w:right w:w="20" w:type="dxa"/>
            </w:tcMar>
          </w:tcPr>
          <w:p w14:paraId="64298D95" w14:textId="77777777" w:rsidR="007B6C97" w:rsidRDefault="00E426D1">
            <w:pPr>
              <w:jc w:val="right"/>
              <w:textAlignment w:val="top"/>
            </w:pPr>
            <w:r>
              <w:rPr>
                <w:rFonts w:ascii="Times New Roman" w:eastAsia="宋体" w:hAnsi="Times New Roman"/>
                <w:color w:val="000000"/>
                <w:sz w:val="20"/>
                <w:szCs w:val="20"/>
              </w:rPr>
              <w:t>%</w:t>
            </w:r>
          </w:p>
        </w:tc>
      </w:tr>
    </w:tbl>
    <w:p w14:paraId="64298D97" w14:textId="77777777" w:rsidR="007B6C97" w:rsidRDefault="00E426D1">
      <w:pPr>
        <w:spacing w:before="120"/>
      </w:pPr>
      <w:r>
        <w:rPr>
          <w:rFonts w:ascii="Times New Roman" w:eastAsia="宋体" w:hAnsi="Times New Roman"/>
          <w:i/>
          <w:iCs/>
          <w:color w:val="000000"/>
          <w:sz w:val="20"/>
          <w:szCs w:val="20"/>
        </w:rPr>
        <w:t xml:space="preserve">For the quarter ended July 3, 2022 compared with the quarter ended June 27, 2021 </w:t>
      </w:r>
    </w:p>
    <w:p w14:paraId="64298D98" w14:textId="77777777" w:rsidR="007B6C97" w:rsidRDefault="00E426D1">
      <w:pPr>
        <w:spacing w:before="120"/>
      </w:pPr>
      <w:r>
        <w:rPr>
          <w:rFonts w:ascii="Times New Roman" w:eastAsia="宋体" w:hAnsi="Times New Roman"/>
          <w:color w:val="000000"/>
          <w:sz w:val="20"/>
          <w:szCs w:val="20"/>
        </w:rPr>
        <w:t>Product and distribution costs as a percent</w:t>
      </w:r>
      <w:r>
        <w:rPr>
          <w:rFonts w:ascii="Times New Roman" w:eastAsia="宋体" w:hAnsi="Times New Roman"/>
          <w:color w:val="000000"/>
          <w:sz w:val="20"/>
          <w:szCs w:val="20"/>
        </w:rPr>
        <w:t>age of total net revenues increased 270 basis points for the third quarter of fiscal 2022, primarily due to higher supply chain costs driven by inflationary pressures.</w:t>
      </w:r>
    </w:p>
    <w:p w14:paraId="64298D99" w14:textId="77777777" w:rsidR="007B6C97" w:rsidRDefault="00E426D1">
      <w:pPr>
        <w:spacing w:before="120"/>
      </w:pPr>
      <w:r>
        <w:rPr>
          <w:rFonts w:ascii="Times New Roman" w:eastAsia="宋体" w:hAnsi="Times New Roman"/>
          <w:color w:val="000000"/>
          <w:sz w:val="20"/>
          <w:szCs w:val="20"/>
        </w:rPr>
        <w:t>Store operating expenses as a percentage of total net revenues increased 90 basis points</w:t>
      </w:r>
      <w:r>
        <w:rPr>
          <w:rFonts w:ascii="Times New Roman" w:eastAsia="宋体" w:hAnsi="Times New Roman"/>
          <w:color w:val="000000"/>
          <w:sz w:val="20"/>
          <w:szCs w:val="20"/>
        </w:rPr>
        <w:t xml:space="preserve"> for the third quarter of fiscal 2022. Store operating expenses as a percentage of company-operated stores revenue increased 290 basis points, primarily due to enhancements in retail store partner wages.</w:t>
      </w:r>
    </w:p>
    <w:p w14:paraId="64298D9A" w14:textId="77777777" w:rsidR="007B6C97" w:rsidRDefault="00E426D1">
      <w:pPr>
        <w:spacing w:before="120"/>
      </w:pPr>
      <w:r>
        <w:rPr>
          <w:rFonts w:ascii="Times New Roman" w:eastAsia="宋体" w:hAnsi="Times New Roman"/>
          <w:color w:val="000000"/>
          <w:sz w:val="20"/>
          <w:szCs w:val="20"/>
        </w:rPr>
        <w:t>Other operating expenses increased $64 million for t</w:t>
      </w:r>
      <w:r>
        <w:rPr>
          <w:rFonts w:ascii="Times New Roman" w:eastAsia="宋体" w:hAnsi="Times New Roman"/>
          <w:color w:val="000000"/>
          <w:sz w:val="20"/>
          <w:szCs w:val="20"/>
        </w:rPr>
        <w:t>he third quarter of fiscal 2022, primarily due to lapping a change in estimate relating to a transaction cost accrual ($23 million), transaction costs associated with our Russia market exit ($20 million) and higher support costs for our North America licen</w:t>
      </w:r>
      <w:r>
        <w:rPr>
          <w:rFonts w:ascii="Times New Roman" w:eastAsia="宋体" w:hAnsi="Times New Roman"/>
          <w:color w:val="000000"/>
          <w:sz w:val="20"/>
          <w:szCs w:val="20"/>
        </w:rPr>
        <w:t>sed stores ($4 million).</w:t>
      </w:r>
    </w:p>
    <w:p w14:paraId="64298D9B" w14:textId="77777777" w:rsidR="007B6C97" w:rsidRDefault="00E426D1">
      <w:pPr>
        <w:spacing w:before="120"/>
      </w:pPr>
      <w:r>
        <w:rPr>
          <w:rFonts w:ascii="Times New Roman" w:eastAsia="宋体" w:hAnsi="Times New Roman"/>
          <w:color w:val="000000"/>
          <w:sz w:val="20"/>
          <w:szCs w:val="20"/>
        </w:rPr>
        <w:t>Depreciation and amortization expenses as a percentage of total net revenues decreased 30 basis points, primarily due to sales leverage.</w:t>
      </w:r>
    </w:p>
    <w:p w14:paraId="64298D9C" w14:textId="77777777" w:rsidR="007B6C97" w:rsidRDefault="00E426D1">
      <w:pPr>
        <w:spacing w:before="120"/>
      </w:pPr>
      <w:r>
        <w:rPr>
          <w:rFonts w:ascii="Times New Roman" w:eastAsia="宋体" w:hAnsi="Times New Roman"/>
          <w:color w:val="000000"/>
          <w:sz w:val="20"/>
          <w:szCs w:val="20"/>
        </w:rPr>
        <w:t>General and administrative expenses decreased $8 million, primarily due to lower performance-b</w:t>
      </w:r>
      <w:r>
        <w:rPr>
          <w:rFonts w:ascii="Times New Roman" w:eastAsia="宋体" w:hAnsi="Times New Roman"/>
          <w:color w:val="000000"/>
          <w:sz w:val="20"/>
          <w:szCs w:val="20"/>
        </w:rPr>
        <w:t>ased compensation ($47 million) which was partially offset by increased partner wages ($22 million) and incremental investments in technology ($15 million).</w:t>
      </w:r>
    </w:p>
    <w:p w14:paraId="64298D9D" w14:textId="77777777" w:rsidR="007B6C97" w:rsidRDefault="00E426D1">
      <w:pPr>
        <w:spacing w:before="120"/>
      </w:pPr>
      <w:r>
        <w:rPr>
          <w:rFonts w:ascii="Times New Roman" w:eastAsia="宋体" w:hAnsi="Times New Roman"/>
          <w:color w:val="000000"/>
          <w:sz w:val="20"/>
          <w:szCs w:val="20"/>
        </w:rPr>
        <w:t>Restructuring and impairment expenses decreased $6 million, primarily due to lower restructuring ac</w:t>
      </w:r>
      <w:r>
        <w:rPr>
          <w:rFonts w:ascii="Times New Roman" w:eastAsia="宋体" w:hAnsi="Times New Roman"/>
          <w:color w:val="000000"/>
          <w:sz w:val="20"/>
          <w:szCs w:val="20"/>
        </w:rPr>
        <w:t>tivities related to our North America store portfolio optimization in the prior year, specifically lower accelerated lease right-of-use asset amortization costs ($11 million) and lower asset impairment charges ($4 million), partially offset by lapping prio</w:t>
      </w:r>
      <w:r>
        <w:rPr>
          <w:rFonts w:ascii="Times New Roman" w:eastAsia="宋体" w:hAnsi="Times New Roman"/>
          <w:color w:val="000000"/>
          <w:sz w:val="20"/>
          <w:szCs w:val="20"/>
        </w:rPr>
        <w:t>r year beneficial adjustment to severance expense ($9 million).</w:t>
      </w:r>
    </w:p>
    <w:p w14:paraId="64298D9E" w14:textId="77777777" w:rsidR="007B6C97" w:rsidRDefault="00E426D1">
      <w:pPr>
        <w:spacing w:before="120"/>
        <w:jc w:val="both"/>
      </w:pPr>
      <w:r>
        <w:rPr>
          <w:rFonts w:ascii="Times New Roman" w:eastAsia="宋体" w:hAnsi="Times New Roman"/>
          <w:color w:val="000000"/>
          <w:sz w:val="20"/>
          <w:szCs w:val="20"/>
        </w:rPr>
        <w:t>Income from equity investees decreased $51 million, primarily due to the conversion of our Korea market from a joint venture to a fully licensed market in the fourth quarter of fiscal 2021 ($4</w:t>
      </w:r>
      <w:r>
        <w:rPr>
          <w:rFonts w:ascii="Times New Roman" w:eastAsia="宋体" w:hAnsi="Times New Roman"/>
          <w:color w:val="000000"/>
          <w:sz w:val="20"/>
          <w:szCs w:val="20"/>
        </w:rPr>
        <w:t>5 million).</w:t>
      </w:r>
    </w:p>
    <w:p w14:paraId="64298D9F" w14:textId="77777777" w:rsidR="007B6C97" w:rsidRDefault="00E426D1">
      <w:pPr>
        <w:spacing w:before="120"/>
      </w:pPr>
      <w:r>
        <w:rPr>
          <w:rFonts w:ascii="Times New Roman" w:eastAsia="宋体" w:hAnsi="Times New Roman"/>
          <w:color w:val="000000"/>
          <w:sz w:val="20"/>
          <w:szCs w:val="20"/>
        </w:rPr>
        <w:t>The combination of these changes resulted in an overall decrease in operating margin of 400 basis points for the third quarter of fiscal 2022.</w:t>
      </w:r>
    </w:p>
    <w:p w14:paraId="64298DA0" w14:textId="77777777" w:rsidR="007B6C97" w:rsidRDefault="00E426D1">
      <w:pPr>
        <w:spacing w:before="120"/>
      </w:pPr>
      <w:r>
        <w:rPr>
          <w:rFonts w:ascii="Times New Roman" w:eastAsia="宋体" w:hAnsi="Times New Roman"/>
          <w:i/>
          <w:iCs/>
          <w:color w:val="000000"/>
          <w:sz w:val="20"/>
          <w:szCs w:val="20"/>
        </w:rPr>
        <w:t xml:space="preserve">For the three quarters ended July 3, 2022 compared with the three quarters ended June 27, 2021 </w:t>
      </w:r>
    </w:p>
    <w:p w14:paraId="64298DA1" w14:textId="77777777" w:rsidR="007B6C97" w:rsidRDefault="00E426D1">
      <w:pPr>
        <w:spacing w:before="120"/>
      </w:pPr>
      <w:r>
        <w:rPr>
          <w:rFonts w:ascii="Times New Roman" w:eastAsia="宋体" w:hAnsi="Times New Roman"/>
          <w:color w:val="000000"/>
          <w:sz w:val="20"/>
          <w:szCs w:val="20"/>
        </w:rPr>
        <w:t>Product and distribution costs as a percentage of total net revenues increased 200 basis points for the first three quarters of fiscal 2022, primarily due to higher supply chain costs due to inflationary pressures.</w:t>
      </w:r>
    </w:p>
    <w:p w14:paraId="64298DA2" w14:textId="77777777" w:rsidR="007B6C97" w:rsidRDefault="00E426D1">
      <w:pPr>
        <w:jc w:val="center"/>
      </w:pPr>
      <w:r>
        <w:rPr>
          <w:rFonts w:ascii="Times New Roman" w:eastAsia="宋体" w:hAnsi="Times New Roman"/>
          <w:color w:val="000000"/>
          <w:sz w:val="20"/>
          <w:szCs w:val="20"/>
        </w:rPr>
        <w:t>33</w:t>
      </w:r>
    </w:p>
    <w:p w14:paraId="64298DA3" w14:textId="77777777" w:rsidR="007B6C97" w:rsidRDefault="00E426D1">
      <w:r>
        <w:pict w14:anchorId="642999FB">
          <v:rect id="_x0000_i1057" style="width:415.3pt;height:1.5pt" o:hralign="center" o:hrstd="t" o:hr="t" fillcolor="#a0a0a0" stroked="f"/>
        </w:pict>
      </w:r>
    </w:p>
    <w:p w14:paraId="64298DA4" w14:textId="77777777" w:rsidR="007B6C97" w:rsidRDefault="00E426D1">
      <w:hyperlink r:id="rId147" w:anchor="ie38a2b375c9840e583a36769999bbee6_7" w:history="1">
        <w:r>
          <w:rPr>
            <w:rStyle w:val="a5"/>
            <w:rFonts w:ascii="Times New Roman" w:eastAsia="宋体" w:hAnsi="Times New Roman"/>
            <w:sz w:val="20"/>
            <w:szCs w:val="20"/>
          </w:rPr>
          <w:t>Table</w:t>
        </w:r>
      </w:hyperlink>
      <w:hyperlink r:id="rId148" w:anchor="ie38a2b375c9840e583a36769999bbee6_7" w:history="1">
        <w:r>
          <w:rPr>
            <w:rStyle w:val="a5"/>
            <w:rFonts w:ascii="Times New Roman" w:eastAsia="宋体" w:hAnsi="Times New Roman"/>
            <w:sz w:val="20"/>
            <w:szCs w:val="20"/>
          </w:rPr>
          <w:t xml:space="preserve"> of Contents</w:t>
        </w:r>
      </w:hyperlink>
    </w:p>
    <w:p w14:paraId="64298DA5" w14:textId="77777777" w:rsidR="007B6C97" w:rsidRDefault="00E426D1">
      <w:pPr>
        <w:spacing w:before="120"/>
      </w:pPr>
      <w:r>
        <w:rPr>
          <w:rFonts w:ascii="Times New Roman" w:eastAsia="宋体" w:hAnsi="Times New Roman"/>
          <w:color w:val="000000"/>
          <w:sz w:val="20"/>
          <w:szCs w:val="20"/>
        </w:rPr>
        <w:t>Store operating expenses as a percentage of total net revenues increased 60 basis points for the first three quarters of fiscal 2022. Store operating expenses as a percentage of company-op</w:t>
      </w:r>
      <w:r>
        <w:rPr>
          <w:rFonts w:ascii="Times New Roman" w:eastAsia="宋体" w:hAnsi="Times New Roman"/>
          <w:color w:val="000000"/>
          <w:sz w:val="20"/>
          <w:szCs w:val="20"/>
        </w:rPr>
        <w:t>erated stores revenue increased 210 basis points, primarily due to enhancements in retail store partner wages and benefits (approximately 280 basis points), increased spend on new partner training and support costs (approximately 80 basis points) and lower</w:t>
      </w:r>
      <w:r>
        <w:rPr>
          <w:rFonts w:ascii="Times New Roman" w:eastAsia="宋体" w:hAnsi="Times New Roman"/>
          <w:color w:val="000000"/>
          <w:sz w:val="20"/>
          <w:szCs w:val="20"/>
        </w:rPr>
        <w:t xml:space="preserve"> temporary government subsidies in the prior year (approximately 80 basis points), partially offset by sales leverage.</w:t>
      </w:r>
    </w:p>
    <w:p w14:paraId="64298DA6" w14:textId="77777777" w:rsidR="007B6C97" w:rsidRDefault="00E426D1">
      <w:pPr>
        <w:spacing w:before="120"/>
      </w:pPr>
      <w:r>
        <w:rPr>
          <w:rFonts w:ascii="Times New Roman" w:eastAsia="宋体" w:hAnsi="Times New Roman"/>
          <w:color w:val="000000"/>
          <w:sz w:val="20"/>
          <w:szCs w:val="20"/>
        </w:rPr>
        <w:t>Other operating expenses increased $88 million for the first three quarters of fiscal 2022, primarily due to lapping a change in estimate</w:t>
      </w:r>
      <w:r>
        <w:rPr>
          <w:rFonts w:ascii="Times New Roman" w:eastAsia="宋体" w:hAnsi="Times New Roman"/>
          <w:color w:val="000000"/>
          <w:sz w:val="20"/>
          <w:szCs w:val="20"/>
        </w:rPr>
        <w:t xml:space="preserve"> relating to a transaction cost accrual ($23 million), transaction costs associated with our Russia market exit ($20 million), higher support costs for our growing North America and International licensed stores ($18 million) and strategic investments in t</w:t>
      </w:r>
      <w:r>
        <w:rPr>
          <w:rFonts w:ascii="Times New Roman" w:eastAsia="宋体" w:hAnsi="Times New Roman"/>
          <w:color w:val="000000"/>
          <w:sz w:val="20"/>
          <w:szCs w:val="20"/>
        </w:rPr>
        <w:t>echnology and other initiatives ($7 million).</w:t>
      </w:r>
    </w:p>
    <w:p w14:paraId="64298DA7" w14:textId="77777777" w:rsidR="007B6C97" w:rsidRDefault="00E426D1">
      <w:pPr>
        <w:spacing w:before="120"/>
      </w:pPr>
      <w:r>
        <w:rPr>
          <w:rFonts w:ascii="Times New Roman" w:eastAsia="宋体" w:hAnsi="Times New Roman"/>
          <w:color w:val="000000"/>
          <w:sz w:val="20"/>
          <w:szCs w:val="20"/>
        </w:rPr>
        <w:t>Depreciation and amortization expenses as a percentage of total net revenues decreased 60 basis points, primarily due to sales leverage.</w:t>
      </w:r>
    </w:p>
    <w:p w14:paraId="64298DA8" w14:textId="77777777" w:rsidR="007B6C97" w:rsidRDefault="00E426D1">
      <w:pPr>
        <w:spacing w:before="120"/>
      </w:pPr>
      <w:r>
        <w:rPr>
          <w:rFonts w:ascii="Times New Roman" w:eastAsia="宋体" w:hAnsi="Times New Roman"/>
          <w:color w:val="000000"/>
          <w:sz w:val="20"/>
          <w:szCs w:val="20"/>
        </w:rPr>
        <w:t xml:space="preserve">General and administrative expenses increased $63 million, primarily due </w:t>
      </w:r>
      <w:r>
        <w:rPr>
          <w:rFonts w:ascii="Times New Roman" w:eastAsia="宋体" w:hAnsi="Times New Roman"/>
          <w:color w:val="000000"/>
          <w:sz w:val="20"/>
          <w:szCs w:val="20"/>
        </w:rPr>
        <w:t>to incremental investments in technology ($67 million), increased partner wages ($59 million) and increased support costs to address labor market conditions ($23 million). These increases were partially offset by lower performance-based compensation ($88 m</w:t>
      </w:r>
      <w:r>
        <w:rPr>
          <w:rFonts w:ascii="Times New Roman" w:eastAsia="宋体" w:hAnsi="Times New Roman"/>
          <w:color w:val="000000"/>
          <w:sz w:val="20"/>
          <w:szCs w:val="20"/>
        </w:rPr>
        <w:t>illion).</w:t>
      </w:r>
    </w:p>
    <w:p w14:paraId="64298DA9" w14:textId="77777777" w:rsidR="007B6C97" w:rsidRDefault="00E426D1">
      <w:pPr>
        <w:spacing w:before="120"/>
      </w:pPr>
      <w:r>
        <w:rPr>
          <w:rFonts w:ascii="Times New Roman" w:eastAsia="宋体" w:hAnsi="Times New Roman"/>
          <w:color w:val="000000"/>
          <w:sz w:val="20"/>
          <w:szCs w:val="20"/>
        </w:rPr>
        <w:t>Restructuring and impairment expenses decreased $104 million, primarily due to lower restructuring activities related to our North America store portfolio optimization in the prior year, specifically lower accelerated lease right-of-use asset amor</w:t>
      </w:r>
      <w:r>
        <w:rPr>
          <w:rFonts w:ascii="Times New Roman" w:eastAsia="宋体" w:hAnsi="Times New Roman"/>
          <w:color w:val="000000"/>
          <w:sz w:val="20"/>
          <w:szCs w:val="20"/>
        </w:rPr>
        <w:t>tization costs ($63 million) and lower asset impairment charges ($51 million). These decreases were partially offset by lower severance related charges for certain company-operated prior year store closures ($9 million).</w:t>
      </w:r>
    </w:p>
    <w:p w14:paraId="64298DAA" w14:textId="77777777" w:rsidR="007B6C97" w:rsidRDefault="00E426D1">
      <w:pPr>
        <w:spacing w:before="120"/>
      </w:pPr>
      <w:r>
        <w:rPr>
          <w:rFonts w:ascii="Times New Roman" w:eastAsia="宋体" w:hAnsi="Times New Roman"/>
          <w:color w:val="000000"/>
          <w:sz w:val="20"/>
          <w:szCs w:val="20"/>
        </w:rPr>
        <w:t>Income from equity investees decrea</w:t>
      </w:r>
      <w:r>
        <w:rPr>
          <w:rFonts w:ascii="Times New Roman" w:eastAsia="宋体" w:hAnsi="Times New Roman"/>
          <w:color w:val="000000"/>
          <w:sz w:val="20"/>
          <w:szCs w:val="20"/>
        </w:rPr>
        <w:t>sed $122 million, primarily due to the conversion of our Korea market from a joint venture to a fully licensed market in the fourth quarter of fiscal 2021 ($99 million) and lower income from our North American Coffee Partnership joint venture ($28 million)</w:t>
      </w:r>
      <w:r>
        <w:rPr>
          <w:rFonts w:ascii="Times New Roman" w:eastAsia="宋体" w:hAnsi="Times New Roman"/>
          <w:color w:val="000000"/>
          <w:sz w:val="20"/>
          <w:szCs w:val="20"/>
        </w:rPr>
        <w:t>.</w:t>
      </w:r>
    </w:p>
    <w:p w14:paraId="64298DAB" w14:textId="77777777" w:rsidR="007B6C97" w:rsidRDefault="00E426D1">
      <w:pPr>
        <w:spacing w:before="120"/>
      </w:pPr>
      <w:r>
        <w:rPr>
          <w:rFonts w:ascii="Times New Roman" w:eastAsia="宋体" w:hAnsi="Times New Roman"/>
          <w:color w:val="000000"/>
          <w:sz w:val="20"/>
          <w:szCs w:val="20"/>
        </w:rPr>
        <w:t>The combination of these changes resulted in an overall decrease in operating margin of 190 basis points for the first three quarters of fiscal 2022.</w:t>
      </w:r>
    </w:p>
    <w:p w14:paraId="64298DAC" w14:textId="77777777" w:rsidR="007B6C97" w:rsidRDefault="00E426D1">
      <w:pPr>
        <w:spacing w:before="120"/>
        <w:jc w:val="both"/>
      </w:pPr>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140"/>
        <w:gridCol w:w="1212"/>
        <w:gridCol w:w="35"/>
        <w:gridCol w:w="104"/>
        <w:gridCol w:w="531"/>
        <w:gridCol w:w="34"/>
        <w:gridCol w:w="37"/>
        <w:gridCol w:w="34"/>
        <w:gridCol w:w="34"/>
        <w:gridCol w:w="104"/>
        <w:gridCol w:w="531"/>
        <w:gridCol w:w="34"/>
        <w:gridCol w:w="37"/>
        <w:gridCol w:w="34"/>
        <w:gridCol w:w="35"/>
        <w:gridCol w:w="105"/>
        <w:gridCol w:w="478"/>
        <w:gridCol w:w="35"/>
        <w:gridCol w:w="37"/>
        <w:gridCol w:w="35"/>
        <w:gridCol w:w="35"/>
        <w:gridCol w:w="55"/>
        <w:gridCol w:w="299"/>
        <w:gridCol w:w="184"/>
        <w:gridCol w:w="37"/>
        <w:gridCol w:w="35"/>
        <w:gridCol w:w="35"/>
        <w:gridCol w:w="55"/>
        <w:gridCol w:w="299"/>
        <w:gridCol w:w="184"/>
        <w:gridCol w:w="37"/>
        <w:gridCol w:w="35"/>
        <w:gridCol w:w="35"/>
        <w:gridCol w:w="105"/>
        <w:gridCol w:w="532"/>
        <w:gridCol w:w="35"/>
        <w:gridCol w:w="37"/>
        <w:gridCol w:w="35"/>
        <w:gridCol w:w="35"/>
        <w:gridCol w:w="105"/>
        <w:gridCol w:w="532"/>
        <w:gridCol w:w="35"/>
        <w:gridCol w:w="37"/>
        <w:gridCol w:w="35"/>
        <w:gridCol w:w="35"/>
        <w:gridCol w:w="105"/>
        <w:gridCol w:w="397"/>
        <w:gridCol w:w="35"/>
        <w:gridCol w:w="37"/>
        <w:gridCol w:w="35"/>
        <w:gridCol w:w="35"/>
        <w:gridCol w:w="55"/>
        <w:gridCol w:w="299"/>
        <w:gridCol w:w="184"/>
        <w:gridCol w:w="37"/>
        <w:gridCol w:w="35"/>
        <w:gridCol w:w="35"/>
        <w:gridCol w:w="55"/>
        <w:gridCol w:w="299"/>
        <w:gridCol w:w="184"/>
      </w:tblGrid>
      <w:tr w:rsidR="007B6C97" w14:paraId="64298DE9" w14:textId="77777777">
        <w:trPr>
          <w:jc w:val="center"/>
        </w:trPr>
        <w:tc>
          <w:tcPr>
            <w:tcW w:w="50" w:type="pct"/>
            <w:shd w:val="clear" w:color="auto" w:fill="auto"/>
            <w:vAlign w:val="bottom"/>
          </w:tcPr>
          <w:p w14:paraId="64298DAD" w14:textId="77777777" w:rsidR="007B6C97" w:rsidRDefault="007B6C97">
            <w:pPr>
              <w:rPr>
                <w:rFonts w:ascii="宋体"/>
              </w:rPr>
            </w:pPr>
          </w:p>
        </w:tc>
        <w:tc>
          <w:tcPr>
            <w:tcW w:w="953" w:type="pct"/>
            <w:shd w:val="clear" w:color="auto" w:fill="auto"/>
            <w:vAlign w:val="bottom"/>
          </w:tcPr>
          <w:p w14:paraId="64298DAE" w14:textId="77777777" w:rsidR="007B6C97" w:rsidRDefault="007B6C97">
            <w:pPr>
              <w:rPr>
                <w:rFonts w:ascii="宋体"/>
              </w:rPr>
            </w:pPr>
          </w:p>
        </w:tc>
        <w:tc>
          <w:tcPr>
            <w:tcW w:w="5" w:type="pct"/>
            <w:shd w:val="clear" w:color="auto" w:fill="auto"/>
            <w:vAlign w:val="bottom"/>
          </w:tcPr>
          <w:p w14:paraId="64298DAF" w14:textId="77777777" w:rsidR="007B6C97" w:rsidRDefault="007B6C97">
            <w:pPr>
              <w:rPr>
                <w:rFonts w:ascii="宋体"/>
              </w:rPr>
            </w:pPr>
          </w:p>
        </w:tc>
        <w:tc>
          <w:tcPr>
            <w:tcW w:w="50" w:type="pct"/>
            <w:shd w:val="clear" w:color="auto" w:fill="auto"/>
            <w:vAlign w:val="bottom"/>
          </w:tcPr>
          <w:p w14:paraId="64298DB0" w14:textId="77777777" w:rsidR="007B6C97" w:rsidRDefault="007B6C97">
            <w:pPr>
              <w:rPr>
                <w:rFonts w:ascii="宋体"/>
              </w:rPr>
            </w:pPr>
          </w:p>
        </w:tc>
        <w:tc>
          <w:tcPr>
            <w:tcW w:w="317" w:type="pct"/>
            <w:shd w:val="clear" w:color="auto" w:fill="auto"/>
            <w:vAlign w:val="bottom"/>
          </w:tcPr>
          <w:p w14:paraId="64298DB1" w14:textId="77777777" w:rsidR="007B6C97" w:rsidRDefault="007B6C97">
            <w:pPr>
              <w:rPr>
                <w:rFonts w:ascii="宋体"/>
              </w:rPr>
            </w:pPr>
          </w:p>
        </w:tc>
        <w:tc>
          <w:tcPr>
            <w:tcW w:w="5" w:type="pct"/>
            <w:shd w:val="clear" w:color="auto" w:fill="auto"/>
            <w:vAlign w:val="bottom"/>
          </w:tcPr>
          <w:p w14:paraId="64298DB2" w14:textId="77777777" w:rsidR="007B6C97" w:rsidRDefault="007B6C97">
            <w:pPr>
              <w:rPr>
                <w:rFonts w:ascii="宋体"/>
              </w:rPr>
            </w:pPr>
          </w:p>
        </w:tc>
        <w:tc>
          <w:tcPr>
            <w:tcW w:w="5" w:type="pct"/>
            <w:shd w:val="clear" w:color="auto" w:fill="auto"/>
            <w:vAlign w:val="bottom"/>
          </w:tcPr>
          <w:p w14:paraId="64298DB3" w14:textId="77777777" w:rsidR="007B6C97" w:rsidRDefault="007B6C97">
            <w:pPr>
              <w:rPr>
                <w:rFonts w:ascii="宋体"/>
              </w:rPr>
            </w:pPr>
          </w:p>
        </w:tc>
        <w:tc>
          <w:tcPr>
            <w:tcW w:w="19" w:type="pct"/>
            <w:shd w:val="clear" w:color="auto" w:fill="auto"/>
            <w:vAlign w:val="bottom"/>
          </w:tcPr>
          <w:p w14:paraId="64298DB4" w14:textId="77777777" w:rsidR="007B6C97" w:rsidRDefault="007B6C97">
            <w:pPr>
              <w:rPr>
                <w:rFonts w:ascii="宋体"/>
              </w:rPr>
            </w:pPr>
          </w:p>
        </w:tc>
        <w:tc>
          <w:tcPr>
            <w:tcW w:w="5" w:type="pct"/>
            <w:shd w:val="clear" w:color="auto" w:fill="auto"/>
            <w:vAlign w:val="bottom"/>
          </w:tcPr>
          <w:p w14:paraId="64298DB5" w14:textId="77777777" w:rsidR="007B6C97" w:rsidRDefault="007B6C97">
            <w:pPr>
              <w:rPr>
                <w:rFonts w:ascii="宋体"/>
              </w:rPr>
            </w:pPr>
          </w:p>
        </w:tc>
        <w:tc>
          <w:tcPr>
            <w:tcW w:w="50" w:type="pct"/>
            <w:shd w:val="clear" w:color="auto" w:fill="auto"/>
            <w:vAlign w:val="bottom"/>
          </w:tcPr>
          <w:p w14:paraId="64298DB6" w14:textId="77777777" w:rsidR="007B6C97" w:rsidRDefault="007B6C97">
            <w:pPr>
              <w:rPr>
                <w:rFonts w:ascii="宋体"/>
              </w:rPr>
            </w:pPr>
          </w:p>
        </w:tc>
        <w:tc>
          <w:tcPr>
            <w:tcW w:w="317" w:type="pct"/>
            <w:shd w:val="clear" w:color="auto" w:fill="auto"/>
            <w:vAlign w:val="bottom"/>
          </w:tcPr>
          <w:p w14:paraId="64298DB7" w14:textId="77777777" w:rsidR="007B6C97" w:rsidRDefault="007B6C97">
            <w:pPr>
              <w:rPr>
                <w:rFonts w:ascii="宋体"/>
              </w:rPr>
            </w:pPr>
          </w:p>
        </w:tc>
        <w:tc>
          <w:tcPr>
            <w:tcW w:w="5" w:type="pct"/>
            <w:shd w:val="clear" w:color="auto" w:fill="auto"/>
            <w:vAlign w:val="bottom"/>
          </w:tcPr>
          <w:p w14:paraId="64298DB8" w14:textId="77777777" w:rsidR="007B6C97" w:rsidRDefault="007B6C97">
            <w:pPr>
              <w:rPr>
                <w:rFonts w:ascii="宋体"/>
              </w:rPr>
            </w:pPr>
          </w:p>
        </w:tc>
        <w:tc>
          <w:tcPr>
            <w:tcW w:w="5" w:type="pct"/>
            <w:shd w:val="clear" w:color="auto" w:fill="auto"/>
            <w:vAlign w:val="bottom"/>
          </w:tcPr>
          <w:p w14:paraId="64298DB9" w14:textId="77777777" w:rsidR="007B6C97" w:rsidRDefault="007B6C97">
            <w:pPr>
              <w:rPr>
                <w:rFonts w:ascii="宋体"/>
              </w:rPr>
            </w:pPr>
          </w:p>
        </w:tc>
        <w:tc>
          <w:tcPr>
            <w:tcW w:w="19" w:type="pct"/>
            <w:shd w:val="clear" w:color="auto" w:fill="auto"/>
            <w:vAlign w:val="bottom"/>
          </w:tcPr>
          <w:p w14:paraId="64298DBA" w14:textId="77777777" w:rsidR="007B6C97" w:rsidRDefault="007B6C97">
            <w:pPr>
              <w:rPr>
                <w:rFonts w:ascii="宋体"/>
              </w:rPr>
            </w:pPr>
          </w:p>
        </w:tc>
        <w:tc>
          <w:tcPr>
            <w:tcW w:w="5" w:type="pct"/>
            <w:shd w:val="clear" w:color="auto" w:fill="auto"/>
            <w:vAlign w:val="bottom"/>
          </w:tcPr>
          <w:p w14:paraId="64298DBB" w14:textId="77777777" w:rsidR="007B6C97" w:rsidRDefault="007B6C97">
            <w:pPr>
              <w:rPr>
                <w:rFonts w:ascii="宋体"/>
              </w:rPr>
            </w:pPr>
          </w:p>
        </w:tc>
        <w:tc>
          <w:tcPr>
            <w:tcW w:w="50" w:type="pct"/>
            <w:shd w:val="clear" w:color="auto" w:fill="auto"/>
            <w:vAlign w:val="bottom"/>
          </w:tcPr>
          <w:p w14:paraId="64298DBC" w14:textId="77777777" w:rsidR="007B6C97" w:rsidRDefault="007B6C97">
            <w:pPr>
              <w:rPr>
                <w:rFonts w:ascii="宋体"/>
              </w:rPr>
            </w:pPr>
          </w:p>
        </w:tc>
        <w:tc>
          <w:tcPr>
            <w:tcW w:w="317" w:type="pct"/>
            <w:shd w:val="clear" w:color="auto" w:fill="auto"/>
            <w:vAlign w:val="bottom"/>
          </w:tcPr>
          <w:p w14:paraId="64298DBD" w14:textId="77777777" w:rsidR="007B6C97" w:rsidRDefault="007B6C97">
            <w:pPr>
              <w:rPr>
                <w:rFonts w:ascii="宋体"/>
              </w:rPr>
            </w:pPr>
          </w:p>
        </w:tc>
        <w:tc>
          <w:tcPr>
            <w:tcW w:w="5" w:type="pct"/>
            <w:shd w:val="clear" w:color="auto" w:fill="auto"/>
            <w:vAlign w:val="bottom"/>
          </w:tcPr>
          <w:p w14:paraId="64298DBE" w14:textId="77777777" w:rsidR="007B6C97" w:rsidRDefault="007B6C97">
            <w:pPr>
              <w:rPr>
                <w:rFonts w:ascii="宋体"/>
              </w:rPr>
            </w:pPr>
          </w:p>
        </w:tc>
        <w:tc>
          <w:tcPr>
            <w:tcW w:w="5" w:type="pct"/>
            <w:shd w:val="clear" w:color="auto" w:fill="auto"/>
            <w:vAlign w:val="bottom"/>
          </w:tcPr>
          <w:p w14:paraId="64298DBF" w14:textId="77777777" w:rsidR="007B6C97" w:rsidRDefault="007B6C97">
            <w:pPr>
              <w:rPr>
                <w:rFonts w:ascii="宋体"/>
              </w:rPr>
            </w:pPr>
          </w:p>
        </w:tc>
        <w:tc>
          <w:tcPr>
            <w:tcW w:w="19" w:type="pct"/>
            <w:shd w:val="clear" w:color="auto" w:fill="auto"/>
            <w:vAlign w:val="bottom"/>
          </w:tcPr>
          <w:p w14:paraId="64298DC0" w14:textId="77777777" w:rsidR="007B6C97" w:rsidRDefault="007B6C97">
            <w:pPr>
              <w:rPr>
                <w:rFonts w:ascii="宋体"/>
              </w:rPr>
            </w:pPr>
          </w:p>
        </w:tc>
        <w:tc>
          <w:tcPr>
            <w:tcW w:w="5" w:type="pct"/>
            <w:shd w:val="clear" w:color="auto" w:fill="auto"/>
            <w:vAlign w:val="bottom"/>
          </w:tcPr>
          <w:p w14:paraId="64298DC1" w14:textId="77777777" w:rsidR="007B6C97" w:rsidRDefault="007B6C97">
            <w:pPr>
              <w:rPr>
                <w:rFonts w:ascii="宋体"/>
              </w:rPr>
            </w:pPr>
          </w:p>
        </w:tc>
        <w:tc>
          <w:tcPr>
            <w:tcW w:w="50" w:type="pct"/>
            <w:shd w:val="clear" w:color="auto" w:fill="auto"/>
            <w:vAlign w:val="bottom"/>
          </w:tcPr>
          <w:p w14:paraId="64298DC2" w14:textId="77777777" w:rsidR="007B6C97" w:rsidRDefault="007B6C97">
            <w:pPr>
              <w:rPr>
                <w:rFonts w:ascii="宋体"/>
              </w:rPr>
            </w:pPr>
          </w:p>
        </w:tc>
        <w:tc>
          <w:tcPr>
            <w:tcW w:w="317" w:type="pct"/>
            <w:shd w:val="clear" w:color="auto" w:fill="auto"/>
            <w:vAlign w:val="bottom"/>
          </w:tcPr>
          <w:p w14:paraId="64298DC3" w14:textId="77777777" w:rsidR="007B6C97" w:rsidRDefault="007B6C97">
            <w:pPr>
              <w:rPr>
                <w:rFonts w:ascii="宋体"/>
              </w:rPr>
            </w:pPr>
          </w:p>
        </w:tc>
        <w:tc>
          <w:tcPr>
            <w:tcW w:w="5" w:type="pct"/>
            <w:shd w:val="clear" w:color="auto" w:fill="auto"/>
            <w:vAlign w:val="bottom"/>
          </w:tcPr>
          <w:p w14:paraId="64298DC4" w14:textId="77777777" w:rsidR="007B6C97" w:rsidRDefault="007B6C97">
            <w:pPr>
              <w:rPr>
                <w:rFonts w:ascii="宋体"/>
              </w:rPr>
            </w:pPr>
          </w:p>
        </w:tc>
        <w:tc>
          <w:tcPr>
            <w:tcW w:w="5" w:type="pct"/>
            <w:shd w:val="clear" w:color="auto" w:fill="auto"/>
            <w:vAlign w:val="bottom"/>
          </w:tcPr>
          <w:p w14:paraId="64298DC5" w14:textId="77777777" w:rsidR="007B6C97" w:rsidRDefault="007B6C97">
            <w:pPr>
              <w:rPr>
                <w:rFonts w:ascii="宋体"/>
              </w:rPr>
            </w:pPr>
          </w:p>
        </w:tc>
        <w:tc>
          <w:tcPr>
            <w:tcW w:w="19" w:type="pct"/>
            <w:shd w:val="clear" w:color="auto" w:fill="auto"/>
            <w:vAlign w:val="bottom"/>
          </w:tcPr>
          <w:p w14:paraId="64298DC6" w14:textId="77777777" w:rsidR="007B6C97" w:rsidRDefault="007B6C97">
            <w:pPr>
              <w:rPr>
                <w:rFonts w:ascii="宋体"/>
              </w:rPr>
            </w:pPr>
          </w:p>
        </w:tc>
        <w:tc>
          <w:tcPr>
            <w:tcW w:w="5" w:type="pct"/>
            <w:shd w:val="clear" w:color="auto" w:fill="auto"/>
            <w:vAlign w:val="bottom"/>
          </w:tcPr>
          <w:p w14:paraId="64298DC7" w14:textId="77777777" w:rsidR="007B6C97" w:rsidRDefault="007B6C97">
            <w:pPr>
              <w:rPr>
                <w:rFonts w:ascii="宋体"/>
              </w:rPr>
            </w:pPr>
          </w:p>
        </w:tc>
        <w:tc>
          <w:tcPr>
            <w:tcW w:w="50" w:type="pct"/>
            <w:shd w:val="clear" w:color="auto" w:fill="auto"/>
            <w:vAlign w:val="bottom"/>
          </w:tcPr>
          <w:p w14:paraId="64298DC8" w14:textId="77777777" w:rsidR="007B6C97" w:rsidRDefault="007B6C97">
            <w:pPr>
              <w:rPr>
                <w:rFonts w:ascii="宋体"/>
              </w:rPr>
            </w:pPr>
          </w:p>
        </w:tc>
        <w:tc>
          <w:tcPr>
            <w:tcW w:w="317" w:type="pct"/>
            <w:shd w:val="clear" w:color="auto" w:fill="auto"/>
            <w:vAlign w:val="bottom"/>
          </w:tcPr>
          <w:p w14:paraId="64298DC9" w14:textId="77777777" w:rsidR="007B6C97" w:rsidRDefault="007B6C97">
            <w:pPr>
              <w:rPr>
                <w:rFonts w:ascii="宋体"/>
              </w:rPr>
            </w:pPr>
          </w:p>
        </w:tc>
        <w:tc>
          <w:tcPr>
            <w:tcW w:w="5" w:type="pct"/>
            <w:shd w:val="clear" w:color="auto" w:fill="auto"/>
            <w:vAlign w:val="bottom"/>
          </w:tcPr>
          <w:p w14:paraId="64298DCA" w14:textId="77777777" w:rsidR="007B6C97" w:rsidRDefault="007B6C97">
            <w:pPr>
              <w:rPr>
                <w:rFonts w:ascii="宋体"/>
              </w:rPr>
            </w:pPr>
          </w:p>
        </w:tc>
        <w:tc>
          <w:tcPr>
            <w:tcW w:w="5" w:type="pct"/>
            <w:shd w:val="clear" w:color="auto" w:fill="auto"/>
            <w:vAlign w:val="bottom"/>
          </w:tcPr>
          <w:p w14:paraId="64298DCB" w14:textId="77777777" w:rsidR="007B6C97" w:rsidRDefault="007B6C97">
            <w:pPr>
              <w:rPr>
                <w:rFonts w:ascii="宋体"/>
              </w:rPr>
            </w:pPr>
          </w:p>
        </w:tc>
        <w:tc>
          <w:tcPr>
            <w:tcW w:w="19" w:type="pct"/>
            <w:shd w:val="clear" w:color="auto" w:fill="auto"/>
            <w:vAlign w:val="bottom"/>
          </w:tcPr>
          <w:p w14:paraId="64298DCC" w14:textId="77777777" w:rsidR="007B6C97" w:rsidRDefault="007B6C97">
            <w:pPr>
              <w:rPr>
                <w:rFonts w:ascii="宋体"/>
              </w:rPr>
            </w:pPr>
          </w:p>
        </w:tc>
        <w:tc>
          <w:tcPr>
            <w:tcW w:w="5" w:type="pct"/>
            <w:shd w:val="clear" w:color="auto" w:fill="auto"/>
            <w:vAlign w:val="bottom"/>
          </w:tcPr>
          <w:p w14:paraId="64298DCD" w14:textId="77777777" w:rsidR="007B6C97" w:rsidRDefault="007B6C97">
            <w:pPr>
              <w:rPr>
                <w:rFonts w:ascii="宋体"/>
              </w:rPr>
            </w:pPr>
          </w:p>
        </w:tc>
        <w:tc>
          <w:tcPr>
            <w:tcW w:w="50" w:type="pct"/>
            <w:shd w:val="clear" w:color="auto" w:fill="auto"/>
            <w:vAlign w:val="bottom"/>
          </w:tcPr>
          <w:p w14:paraId="64298DCE" w14:textId="77777777" w:rsidR="007B6C97" w:rsidRDefault="007B6C97">
            <w:pPr>
              <w:rPr>
                <w:rFonts w:ascii="宋体"/>
              </w:rPr>
            </w:pPr>
          </w:p>
        </w:tc>
        <w:tc>
          <w:tcPr>
            <w:tcW w:w="317" w:type="pct"/>
            <w:shd w:val="clear" w:color="auto" w:fill="auto"/>
            <w:vAlign w:val="bottom"/>
          </w:tcPr>
          <w:p w14:paraId="64298DCF" w14:textId="77777777" w:rsidR="007B6C97" w:rsidRDefault="007B6C97">
            <w:pPr>
              <w:rPr>
                <w:rFonts w:ascii="宋体"/>
              </w:rPr>
            </w:pPr>
          </w:p>
        </w:tc>
        <w:tc>
          <w:tcPr>
            <w:tcW w:w="5" w:type="pct"/>
            <w:shd w:val="clear" w:color="auto" w:fill="auto"/>
            <w:vAlign w:val="bottom"/>
          </w:tcPr>
          <w:p w14:paraId="64298DD0" w14:textId="77777777" w:rsidR="007B6C97" w:rsidRDefault="007B6C97">
            <w:pPr>
              <w:rPr>
                <w:rFonts w:ascii="宋体"/>
              </w:rPr>
            </w:pPr>
          </w:p>
        </w:tc>
        <w:tc>
          <w:tcPr>
            <w:tcW w:w="5" w:type="pct"/>
            <w:shd w:val="clear" w:color="auto" w:fill="auto"/>
            <w:vAlign w:val="bottom"/>
          </w:tcPr>
          <w:p w14:paraId="64298DD1" w14:textId="77777777" w:rsidR="007B6C97" w:rsidRDefault="007B6C97">
            <w:pPr>
              <w:rPr>
                <w:rFonts w:ascii="宋体"/>
              </w:rPr>
            </w:pPr>
          </w:p>
        </w:tc>
        <w:tc>
          <w:tcPr>
            <w:tcW w:w="19" w:type="pct"/>
            <w:shd w:val="clear" w:color="auto" w:fill="auto"/>
            <w:vAlign w:val="bottom"/>
          </w:tcPr>
          <w:p w14:paraId="64298DD2" w14:textId="77777777" w:rsidR="007B6C97" w:rsidRDefault="007B6C97">
            <w:pPr>
              <w:rPr>
                <w:rFonts w:ascii="宋体"/>
              </w:rPr>
            </w:pPr>
          </w:p>
        </w:tc>
        <w:tc>
          <w:tcPr>
            <w:tcW w:w="5" w:type="pct"/>
            <w:shd w:val="clear" w:color="auto" w:fill="auto"/>
            <w:vAlign w:val="bottom"/>
          </w:tcPr>
          <w:p w14:paraId="64298DD3" w14:textId="77777777" w:rsidR="007B6C97" w:rsidRDefault="007B6C97">
            <w:pPr>
              <w:rPr>
                <w:rFonts w:ascii="宋体"/>
              </w:rPr>
            </w:pPr>
          </w:p>
        </w:tc>
        <w:tc>
          <w:tcPr>
            <w:tcW w:w="50" w:type="pct"/>
            <w:shd w:val="clear" w:color="auto" w:fill="auto"/>
            <w:vAlign w:val="bottom"/>
          </w:tcPr>
          <w:p w14:paraId="64298DD4" w14:textId="77777777" w:rsidR="007B6C97" w:rsidRDefault="007B6C97">
            <w:pPr>
              <w:rPr>
                <w:rFonts w:ascii="宋体"/>
              </w:rPr>
            </w:pPr>
          </w:p>
        </w:tc>
        <w:tc>
          <w:tcPr>
            <w:tcW w:w="317" w:type="pct"/>
            <w:shd w:val="clear" w:color="auto" w:fill="auto"/>
            <w:vAlign w:val="bottom"/>
          </w:tcPr>
          <w:p w14:paraId="64298DD5" w14:textId="77777777" w:rsidR="007B6C97" w:rsidRDefault="007B6C97">
            <w:pPr>
              <w:rPr>
                <w:rFonts w:ascii="宋体"/>
              </w:rPr>
            </w:pPr>
          </w:p>
        </w:tc>
        <w:tc>
          <w:tcPr>
            <w:tcW w:w="5" w:type="pct"/>
            <w:shd w:val="clear" w:color="auto" w:fill="auto"/>
            <w:vAlign w:val="bottom"/>
          </w:tcPr>
          <w:p w14:paraId="64298DD6" w14:textId="77777777" w:rsidR="007B6C97" w:rsidRDefault="007B6C97">
            <w:pPr>
              <w:rPr>
                <w:rFonts w:ascii="宋体"/>
              </w:rPr>
            </w:pPr>
          </w:p>
        </w:tc>
        <w:tc>
          <w:tcPr>
            <w:tcW w:w="5" w:type="pct"/>
            <w:shd w:val="clear" w:color="auto" w:fill="auto"/>
            <w:vAlign w:val="bottom"/>
          </w:tcPr>
          <w:p w14:paraId="64298DD7" w14:textId="77777777" w:rsidR="007B6C97" w:rsidRDefault="007B6C97">
            <w:pPr>
              <w:rPr>
                <w:rFonts w:ascii="宋体"/>
              </w:rPr>
            </w:pPr>
          </w:p>
        </w:tc>
        <w:tc>
          <w:tcPr>
            <w:tcW w:w="19" w:type="pct"/>
            <w:shd w:val="clear" w:color="auto" w:fill="auto"/>
            <w:vAlign w:val="bottom"/>
          </w:tcPr>
          <w:p w14:paraId="64298DD8" w14:textId="77777777" w:rsidR="007B6C97" w:rsidRDefault="007B6C97">
            <w:pPr>
              <w:rPr>
                <w:rFonts w:ascii="宋体"/>
              </w:rPr>
            </w:pPr>
          </w:p>
        </w:tc>
        <w:tc>
          <w:tcPr>
            <w:tcW w:w="5" w:type="pct"/>
            <w:shd w:val="clear" w:color="auto" w:fill="auto"/>
            <w:vAlign w:val="bottom"/>
          </w:tcPr>
          <w:p w14:paraId="64298DD9" w14:textId="77777777" w:rsidR="007B6C97" w:rsidRDefault="007B6C97">
            <w:pPr>
              <w:rPr>
                <w:rFonts w:ascii="宋体"/>
              </w:rPr>
            </w:pPr>
          </w:p>
        </w:tc>
        <w:tc>
          <w:tcPr>
            <w:tcW w:w="50" w:type="pct"/>
            <w:shd w:val="clear" w:color="auto" w:fill="auto"/>
            <w:vAlign w:val="bottom"/>
          </w:tcPr>
          <w:p w14:paraId="64298DDA" w14:textId="77777777" w:rsidR="007B6C97" w:rsidRDefault="007B6C97">
            <w:pPr>
              <w:rPr>
                <w:rFonts w:ascii="宋体"/>
              </w:rPr>
            </w:pPr>
          </w:p>
        </w:tc>
        <w:tc>
          <w:tcPr>
            <w:tcW w:w="317" w:type="pct"/>
            <w:shd w:val="clear" w:color="auto" w:fill="auto"/>
            <w:vAlign w:val="bottom"/>
          </w:tcPr>
          <w:p w14:paraId="64298DDB" w14:textId="77777777" w:rsidR="007B6C97" w:rsidRDefault="007B6C97">
            <w:pPr>
              <w:rPr>
                <w:rFonts w:ascii="宋体"/>
              </w:rPr>
            </w:pPr>
          </w:p>
        </w:tc>
        <w:tc>
          <w:tcPr>
            <w:tcW w:w="5" w:type="pct"/>
            <w:shd w:val="clear" w:color="auto" w:fill="auto"/>
            <w:vAlign w:val="bottom"/>
          </w:tcPr>
          <w:p w14:paraId="64298DDC" w14:textId="77777777" w:rsidR="007B6C97" w:rsidRDefault="007B6C97">
            <w:pPr>
              <w:rPr>
                <w:rFonts w:ascii="宋体"/>
              </w:rPr>
            </w:pPr>
          </w:p>
        </w:tc>
        <w:tc>
          <w:tcPr>
            <w:tcW w:w="5" w:type="pct"/>
            <w:shd w:val="clear" w:color="auto" w:fill="auto"/>
            <w:vAlign w:val="bottom"/>
          </w:tcPr>
          <w:p w14:paraId="64298DDD" w14:textId="77777777" w:rsidR="007B6C97" w:rsidRDefault="007B6C97">
            <w:pPr>
              <w:rPr>
                <w:rFonts w:ascii="宋体"/>
              </w:rPr>
            </w:pPr>
          </w:p>
        </w:tc>
        <w:tc>
          <w:tcPr>
            <w:tcW w:w="19" w:type="pct"/>
            <w:shd w:val="clear" w:color="auto" w:fill="auto"/>
            <w:vAlign w:val="bottom"/>
          </w:tcPr>
          <w:p w14:paraId="64298DDE" w14:textId="77777777" w:rsidR="007B6C97" w:rsidRDefault="007B6C97">
            <w:pPr>
              <w:rPr>
                <w:rFonts w:ascii="宋体"/>
              </w:rPr>
            </w:pPr>
          </w:p>
        </w:tc>
        <w:tc>
          <w:tcPr>
            <w:tcW w:w="5" w:type="pct"/>
            <w:shd w:val="clear" w:color="auto" w:fill="auto"/>
            <w:vAlign w:val="bottom"/>
          </w:tcPr>
          <w:p w14:paraId="64298DDF" w14:textId="77777777" w:rsidR="007B6C97" w:rsidRDefault="007B6C97">
            <w:pPr>
              <w:rPr>
                <w:rFonts w:ascii="宋体"/>
              </w:rPr>
            </w:pPr>
          </w:p>
        </w:tc>
        <w:tc>
          <w:tcPr>
            <w:tcW w:w="50" w:type="pct"/>
            <w:shd w:val="clear" w:color="auto" w:fill="auto"/>
            <w:vAlign w:val="bottom"/>
          </w:tcPr>
          <w:p w14:paraId="64298DE0" w14:textId="77777777" w:rsidR="007B6C97" w:rsidRDefault="007B6C97">
            <w:pPr>
              <w:rPr>
                <w:rFonts w:ascii="宋体"/>
              </w:rPr>
            </w:pPr>
          </w:p>
        </w:tc>
        <w:tc>
          <w:tcPr>
            <w:tcW w:w="317" w:type="pct"/>
            <w:shd w:val="clear" w:color="auto" w:fill="auto"/>
            <w:vAlign w:val="bottom"/>
          </w:tcPr>
          <w:p w14:paraId="64298DE1" w14:textId="77777777" w:rsidR="007B6C97" w:rsidRDefault="007B6C97">
            <w:pPr>
              <w:rPr>
                <w:rFonts w:ascii="宋体"/>
              </w:rPr>
            </w:pPr>
          </w:p>
        </w:tc>
        <w:tc>
          <w:tcPr>
            <w:tcW w:w="5" w:type="pct"/>
            <w:shd w:val="clear" w:color="auto" w:fill="auto"/>
            <w:vAlign w:val="bottom"/>
          </w:tcPr>
          <w:p w14:paraId="64298DE2" w14:textId="77777777" w:rsidR="007B6C97" w:rsidRDefault="007B6C97">
            <w:pPr>
              <w:rPr>
                <w:rFonts w:ascii="宋体"/>
              </w:rPr>
            </w:pPr>
          </w:p>
        </w:tc>
        <w:tc>
          <w:tcPr>
            <w:tcW w:w="5" w:type="pct"/>
            <w:shd w:val="clear" w:color="auto" w:fill="auto"/>
            <w:vAlign w:val="bottom"/>
          </w:tcPr>
          <w:p w14:paraId="64298DE3" w14:textId="77777777" w:rsidR="007B6C97" w:rsidRDefault="007B6C97">
            <w:pPr>
              <w:rPr>
                <w:rFonts w:ascii="宋体"/>
              </w:rPr>
            </w:pPr>
          </w:p>
        </w:tc>
        <w:tc>
          <w:tcPr>
            <w:tcW w:w="19" w:type="pct"/>
            <w:shd w:val="clear" w:color="auto" w:fill="auto"/>
            <w:vAlign w:val="bottom"/>
          </w:tcPr>
          <w:p w14:paraId="64298DE4" w14:textId="77777777" w:rsidR="007B6C97" w:rsidRDefault="007B6C97">
            <w:pPr>
              <w:rPr>
                <w:rFonts w:ascii="宋体"/>
              </w:rPr>
            </w:pPr>
          </w:p>
        </w:tc>
        <w:tc>
          <w:tcPr>
            <w:tcW w:w="5" w:type="pct"/>
            <w:shd w:val="clear" w:color="auto" w:fill="auto"/>
            <w:vAlign w:val="bottom"/>
          </w:tcPr>
          <w:p w14:paraId="64298DE5" w14:textId="77777777" w:rsidR="007B6C97" w:rsidRDefault="007B6C97">
            <w:pPr>
              <w:rPr>
                <w:rFonts w:ascii="宋体"/>
              </w:rPr>
            </w:pPr>
          </w:p>
        </w:tc>
        <w:tc>
          <w:tcPr>
            <w:tcW w:w="50" w:type="pct"/>
            <w:shd w:val="clear" w:color="auto" w:fill="auto"/>
            <w:vAlign w:val="bottom"/>
          </w:tcPr>
          <w:p w14:paraId="64298DE6" w14:textId="77777777" w:rsidR="007B6C97" w:rsidRDefault="007B6C97">
            <w:pPr>
              <w:rPr>
                <w:rFonts w:ascii="宋体"/>
              </w:rPr>
            </w:pPr>
          </w:p>
        </w:tc>
        <w:tc>
          <w:tcPr>
            <w:tcW w:w="318" w:type="pct"/>
            <w:shd w:val="clear" w:color="auto" w:fill="auto"/>
            <w:vAlign w:val="bottom"/>
          </w:tcPr>
          <w:p w14:paraId="64298DE7" w14:textId="77777777" w:rsidR="007B6C97" w:rsidRDefault="007B6C97">
            <w:pPr>
              <w:rPr>
                <w:rFonts w:ascii="宋体"/>
              </w:rPr>
            </w:pPr>
          </w:p>
        </w:tc>
        <w:tc>
          <w:tcPr>
            <w:tcW w:w="5" w:type="pct"/>
            <w:shd w:val="clear" w:color="auto" w:fill="auto"/>
            <w:vAlign w:val="bottom"/>
          </w:tcPr>
          <w:p w14:paraId="64298DE8" w14:textId="77777777" w:rsidR="007B6C97" w:rsidRDefault="007B6C97">
            <w:pPr>
              <w:rPr>
                <w:rFonts w:ascii="宋体"/>
              </w:rPr>
            </w:pPr>
          </w:p>
        </w:tc>
      </w:tr>
      <w:tr w:rsidR="007B6C97" w14:paraId="64298DEE" w14:textId="77777777">
        <w:trPr>
          <w:jc w:val="center"/>
        </w:trPr>
        <w:tc>
          <w:tcPr>
            <w:tcW w:w="0" w:type="auto"/>
            <w:gridSpan w:val="3"/>
            <w:shd w:val="clear" w:color="auto" w:fill="auto"/>
            <w:tcMar>
              <w:top w:w="40" w:type="dxa"/>
              <w:left w:w="20" w:type="dxa"/>
              <w:bottom w:w="40" w:type="dxa"/>
              <w:right w:w="20" w:type="dxa"/>
            </w:tcMar>
            <w:vAlign w:val="bottom"/>
          </w:tcPr>
          <w:p w14:paraId="64298DEA" w14:textId="77777777" w:rsidR="007B6C97" w:rsidRDefault="00E426D1">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4298DEB"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4298DEC"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8DED"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E04" w14:textId="77777777">
        <w:trPr>
          <w:jc w:val="center"/>
        </w:trPr>
        <w:tc>
          <w:tcPr>
            <w:tcW w:w="0" w:type="auto"/>
            <w:gridSpan w:val="3"/>
            <w:shd w:val="clear" w:color="auto" w:fill="auto"/>
            <w:tcMar>
              <w:top w:w="0" w:type="dxa"/>
              <w:left w:w="20" w:type="dxa"/>
              <w:bottom w:w="0" w:type="dxa"/>
              <w:right w:w="20" w:type="dxa"/>
            </w:tcMar>
            <w:vAlign w:val="bottom"/>
          </w:tcPr>
          <w:p w14:paraId="64298DE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0"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DF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2"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DF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4"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 xml:space="preserve">$ </w:t>
            </w:r>
          </w:p>
          <w:p w14:paraId="64298DF5"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8DF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7"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DF8"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DF9"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4298DF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B"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2022</w:t>
            </w:r>
          </w:p>
        </w:tc>
        <w:tc>
          <w:tcPr>
            <w:tcW w:w="0" w:type="auto"/>
            <w:gridSpan w:val="3"/>
            <w:shd w:val="clear" w:color="auto" w:fill="FFFFFF"/>
            <w:tcMar>
              <w:top w:w="0" w:type="dxa"/>
              <w:left w:w="20" w:type="dxa"/>
              <w:bottom w:w="0" w:type="dxa"/>
              <w:right w:w="20" w:type="dxa"/>
            </w:tcMar>
            <w:vAlign w:val="bottom"/>
          </w:tcPr>
          <w:p w14:paraId="64298DF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D"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4298DF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DFF" w14:textId="77777777" w:rsidR="007B6C97" w:rsidRDefault="00E426D1">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64298E0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E01"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4298E02"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E03"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8E15" w14:textId="77777777">
        <w:trPr>
          <w:jc w:val="center"/>
        </w:trPr>
        <w:tc>
          <w:tcPr>
            <w:tcW w:w="0" w:type="auto"/>
            <w:gridSpan w:val="3"/>
            <w:shd w:val="clear" w:color="auto" w:fill="auto"/>
            <w:tcMar>
              <w:top w:w="0" w:type="dxa"/>
              <w:left w:w="20" w:type="dxa"/>
              <w:bottom w:w="0" w:type="dxa"/>
              <w:right w:w="20" w:type="dxa"/>
            </w:tcMar>
            <w:vAlign w:val="bottom"/>
          </w:tcPr>
          <w:p w14:paraId="64298E05"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06"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E07"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08"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E09"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0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E0B"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E0C" w14:textId="77777777" w:rsidR="007B6C97" w:rsidRDefault="00E426D1">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gridSpan w:val="3"/>
            <w:shd w:val="clear" w:color="auto" w:fill="FFFFFF"/>
            <w:tcMar>
              <w:top w:w="0" w:type="dxa"/>
              <w:left w:w="20" w:type="dxa"/>
              <w:bottom w:w="0" w:type="dxa"/>
              <w:right w:w="20" w:type="dxa"/>
            </w:tcMar>
            <w:vAlign w:val="bottom"/>
          </w:tcPr>
          <w:p w14:paraId="64298E0D"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0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E0F"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1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E11"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E1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8E13"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E14" w14:textId="77777777" w:rsidR="007B6C97" w:rsidRDefault="00E426D1">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Net Revenues</w:t>
            </w:r>
          </w:p>
        </w:tc>
      </w:tr>
      <w:tr w:rsidR="00E426D1" w14:paraId="64298E3A" w14:textId="77777777">
        <w:trPr>
          <w:jc w:val="center"/>
        </w:trPr>
        <w:tc>
          <w:tcPr>
            <w:tcW w:w="0" w:type="auto"/>
            <w:gridSpan w:val="3"/>
            <w:shd w:val="clear" w:color="auto" w:fill="D7E4BC"/>
            <w:tcMar>
              <w:top w:w="40" w:type="dxa"/>
              <w:left w:w="20" w:type="dxa"/>
              <w:bottom w:w="40" w:type="dxa"/>
              <w:right w:w="20" w:type="dxa"/>
            </w:tcMar>
          </w:tcPr>
          <w:p w14:paraId="64298E16" w14:textId="77777777" w:rsidR="007B6C97" w:rsidRDefault="00E426D1">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64298E17"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18" w14:textId="77777777" w:rsidR="007B6C97" w:rsidRDefault="00E426D1">
            <w:pPr>
              <w:jc w:val="right"/>
              <w:textAlignment w:val="bottom"/>
            </w:pPr>
            <w:r>
              <w:rPr>
                <w:rFonts w:ascii="Times New Roman" w:eastAsia="宋体" w:hAnsi="Times New Roman"/>
                <w:color w:val="000000"/>
                <w:sz w:val="20"/>
                <w:szCs w:val="20"/>
              </w:rPr>
              <w:t>1,295.5 </w:t>
            </w:r>
          </w:p>
        </w:tc>
        <w:tc>
          <w:tcPr>
            <w:tcW w:w="0" w:type="auto"/>
            <w:shd w:val="clear" w:color="auto" w:fill="D7E4BC"/>
            <w:tcMar>
              <w:top w:w="40" w:type="dxa"/>
              <w:left w:w="0" w:type="dxa"/>
              <w:bottom w:w="40" w:type="dxa"/>
              <w:right w:w="20" w:type="dxa"/>
            </w:tcMar>
            <w:vAlign w:val="bottom"/>
          </w:tcPr>
          <w:p w14:paraId="64298E1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1A"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E1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1C" w14:textId="77777777" w:rsidR="007B6C97" w:rsidRDefault="00E426D1">
            <w:pPr>
              <w:jc w:val="right"/>
              <w:textAlignment w:val="bottom"/>
            </w:pPr>
            <w:r>
              <w:rPr>
                <w:rFonts w:ascii="Times New Roman" w:eastAsia="宋体" w:hAnsi="Times New Roman"/>
                <w:color w:val="000000"/>
                <w:sz w:val="20"/>
                <w:szCs w:val="20"/>
              </w:rPr>
              <w:t>1,488.7 </w:t>
            </w:r>
          </w:p>
        </w:tc>
        <w:tc>
          <w:tcPr>
            <w:tcW w:w="0" w:type="auto"/>
            <w:shd w:val="clear" w:color="auto" w:fill="D7E4BC"/>
            <w:tcMar>
              <w:top w:w="40" w:type="dxa"/>
              <w:left w:w="0" w:type="dxa"/>
              <w:bottom w:w="40" w:type="dxa"/>
              <w:right w:w="20" w:type="dxa"/>
            </w:tcMar>
            <w:vAlign w:val="bottom"/>
          </w:tcPr>
          <w:p w14:paraId="64298E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1E"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E1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20" w14:textId="77777777" w:rsidR="007B6C97" w:rsidRDefault="00E426D1">
            <w:pPr>
              <w:jc w:val="right"/>
              <w:textAlignment w:val="bottom"/>
            </w:pPr>
            <w:r>
              <w:rPr>
                <w:rFonts w:ascii="Times New Roman" w:eastAsia="宋体" w:hAnsi="Times New Roman"/>
                <w:color w:val="000000"/>
                <w:sz w:val="20"/>
                <w:szCs w:val="20"/>
              </w:rPr>
              <w:t>(193.2)</w:t>
            </w:r>
          </w:p>
        </w:tc>
        <w:tc>
          <w:tcPr>
            <w:tcW w:w="0" w:type="auto"/>
            <w:shd w:val="clear" w:color="auto" w:fill="D7E4BC"/>
            <w:tcMar>
              <w:top w:w="40" w:type="dxa"/>
              <w:left w:w="0" w:type="dxa"/>
              <w:bottom w:w="40" w:type="dxa"/>
              <w:right w:w="20" w:type="dxa"/>
            </w:tcMar>
            <w:vAlign w:val="bottom"/>
          </w:tcPr>
          <w:p w14:paraId="64298E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22"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E23" w14:textId="77777777" w:rsidR="007B6C97" w:rsidRDefault="00E426D1">
            <w:pPr>
              <w:jc w:val="right"/>
              <w:textAlignment w:val="bottom"/>
            </w:pPr>
            <w:r>
              <w:rPr>
                <w:rFonts w:ascii="Times New Roman" w:eastAsia="宋体" w:hAnsi="Times New Roman"/>
                <w:color w:val="000000"/>
                <w:sz w:val="20"/>
                <w:szCs w:val="20"/>
              </w:rPr>
              <w:t>15.9 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E24"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E2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E26" w14:textId="77777777" w:rsidR="007B6C97" w:rsidRDefault="00E426D1">
            <w:pPr>
              <w:jc w:val="right"/>
              <w:textAlignment w:val="bottom"/>
            </w:pPr>
            <w:r>
              <w:rPr>
                <w:rFonts w:ascii="Times New Roman" w:eastAsia="宋体" w:hAnsi="Times New Roman"/>
                <w:color w:val="000000"/>
                <w:sz w:val="20"/>
                <w:szCs w:val="20"/>
              </w:rPr>
              <w:t>19.9 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E2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E28"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E29"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2A" w14:textId="77777777" w:rsidR="007B6C97" w:rsidRDefault="00E426D1">
            <w:pPr>
              <w:jc w:val="right"/>
              <w:textAlignment w:val="bottom"/>
            </w:pPr>
            <w:r>
              <w:rPr>
                <w:rFonts w:ascii="Times New Roman" w:eastAsia="宋体" w:hAnsi="Times New Roman"/>
                <w:color w:val="000000"/>
                <w:sz w:val="20"/>
                <w:szCs w:val="20"/>
              </w:rPr>
              <w:t>3,422.3 </w:t>
            </w:r>
          </w:p>
        </w:tc>
        <w:tc>
          <w:tcPr>
            <w:tcW w:w="0" w:type="auto"/>
            <w:shd w:val="clear" w:color="auto" w:fill="D7E4BC"/>
            <w:tcMar>
              <w:top w:w="40" w:type="dxa"/>
              <w:left w:w="0" w:type="dxa"/>
              <w:bottom w:w="40" w:type="dxa"/>
              <w:right w:w="20" w:type="dxa"/>
            </w:tcMar>
            <w:vAlign w:val="bottom"/>
          </w:tcPr>
          <w:p w14:paraId="64298E2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2C"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E2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2E" w14:textId="77777777" w:rsidR="007B6C97" w:rsidRDefault="00E426D1">
            <w:pPr>
              <w:jc w:val="right"/>
              <w:textAlignment w:val="bottom"/>
            </w:pPr>
            <w:r>
              <w:rPr>
                <w:rFonts w:ascii="Times New Roman" w:eastAsia="宋体" w:hAnsi="Times New Roman"/>
                <w:color w:val="000000"/>
                <w:sz w:val="20"/>
                <w:szCs w:val="20"/>
              </w:rPr>
              <w:t>3,389.9 </w:t>
            </w:r>
          </w:p>
        </w:tc>
        <w:tc>
          <w:tcPr>
            <w:tcW w:w="0" w:type="auto"/>
            <w:shd w:val="clear" w:color="auto" w:fill="D7E4BC"/>
            <w:tcMar>
              <w:top w:w="40" w:type="dxa"/>
              <w:left w:w="0" w:type="dxa"/>
              <w:bottom w:w="40" w:type="dxa"/>
              <w:right w:w="20" w:type="dxa"/>
            </w:tcMar>
            <w:vAlign w:val="bottom"/>
          </w:tcPr>
          <w:p w14:paraId="64298E2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30"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8E3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8E32" w14:textId="77777777" w:rsidR="007B6C97" w:rsidRDefault="00E426D1">
            <w:pPr>
              <w:jc w:val="right"/>
              <w:textAlignment w:val="bottom"/>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bottom"/>
          </w:tcPr>
          <w:p w14:paraId="64298E3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3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E35" w14:textId="77777777" w:rsidR="007B6C97" w:rsidRDefault="00E426D1">
            <w:pPr>
              <w:jc w:val="right"/>
              <w:textAlignment w:val="bottom"/>
            </w:pPr>
            <w:r>
              <w:rPr>
                <w:rFonts w:ascii="Times New Roman" w:eastAsia="宋体" w:hAnsi="Times New Roman"/>
                <w:color w:val="000000"/>
                <w:sz w:val="20"/>
                <w:szCs w:val="20"/>
              </w:rPr>
              <w:t>14.4 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E36"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E3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8E38" w14:textId="77777777" w:rsidR="007B6C97" w:rsidRDefault="00E426D1">
            <w:pPr>
              <w:jc w:val="right"/>
              <w:textAlignment w:val="bottom"/>
            </w:pPr>
            <w:r>
              <w:rPr>
                <w:rFonts w:ascii="Times New Roman" w:eastAsia="宋体" w:hAnsi="Times New Roman"/>
                <w:color w:val="000000"/>
                <w:sz w:val="20"/>
                <w:szCs w:val="20"/>
              </w:rPr>
              <w:t>16.2 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8E39"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8E4F" w14:textId="77777777">
        <w:trPr>
          <w:jc w:val="center"/>
          <w:hidden/>
        </w:trPr>
        <w:tc>
          <w:tcPr>
            <w:tcW w:w="0" w:type="auto"/>
            <w:gridSpan w:val="3"/>
            <w:shd w:val="clear" w:color="auto" w:fill="auto"/>
            <w:vAlign w:val="bottom"/>
          </w:tcPr>
          <w:p w14:paraId="64298E3B" w14:textId="77777777" w:rsidR="007B6C97" w:rsidRDefault="007B6C97">
            <w:pPr>
              <w:rPr>
                <w:rFonts w:ascii="宋体"/>
                <w:vanish/>
              </w:rPr>
            </w:pPr>
          </w:p>
        </w:tc>
        <w:tc>
          <w:tcPr>
            <w:tcW w:w="0" w:type="auto"/>
            <w:gridSpan w:val="3"/>
            <w:shd w:val="clear" w:color="auto" w:fill="auto"/>
            <w:vAlign w:val="bottom"/>
          </w:tcPr>
          <w:p w14:paraId="64298E3C" w14:textId="77777777" w:rsidR="007B6C97" w:rsidRDefault="007B6C97">
            <w:pPr>
              <w:rPr>
                <w:rFonts w:ascii="宋体"/>
                <w:vanish/>
              </w:rPr>
            </w:pPr>
          </w:p>
        </w:tc>
        <w:tc>
          <w:tcPr>
            <w:tcW w:w="0" w:type="auto"/>
            <w:gridSpan w:val="3"/>
            <w:shd w:val="clear" w:color="auto" w:fill="auto"/>
            <w:vAlign w:val="bottom"/>
          </w:tcPr>
          <w:p w14:paraId="64298E3D" w14:textId="77777777" w:rsidR="007B6C97" w:rsidRDefault="007B6C97">
            <w:pPr>
              <w:rPr>
                <w:rFonts w:ascii="宋体"/>
                <w:vanish/>
              </w:rPr>
            </w:pPr>
          </w:p>
        </w:tc>
        <w:tc>
          <w:tcPr>
            <w:tcW w:w="0" w:type="auto"/>
            <w:gridSpan w:val="3"/>
            <w:shd w:val="clear" w:color="auto" w:fill="auto"/>
            <w:vAlign w:val="bottom"/>
          </w:tcPr>
          <w:p w14:paraId="64298E3E" w14:textId="77777777" w:rsidR="007B6C97" w:rsidRDefault="007B6C97">
            <w:pPr>
              <w:rPr>
                <w:rFonts w:ascii="宋体"/>
                <w:vanish/>
              </w:rPr>
            </w:pPr>
          </w:p>
        </w:tc>
        <w:tc>
          <w:tcPr>
            <w:tcW w:w="0" w:type="auto"/>
            <w:gridSpan w:val="3"/>
            <w:shd w:val="clear" w:color="auto" w:fill="auto"/>
            <w:vAlign w:val="bottom"/>
          </w:tcPr>
          <w:p w14:paraId="64298E3F" w14:textId="77777777" w:rsidR="007B6C97" w:rsidRDefault="007B6C97">
            <w:pPr>
              <w:rPr>
                <w:rFonts w:ascii="宋体"/>
                <w:vanish/>
              </w:rPr>
            </w:pPr>
          </w:p>
        </w:tc>
        <w:tc>
          <w:tcPr>
            <w:tcW w:w="0" w:type="auto"/>
            <w:gridSpan w:val="3"/>
            <w:shd w:val="clear" w:color="auto" w:fill="auto"/>
            <w:vAlign w:val="bottom"/>
          </w:tcPr>
          <w:p w14:paraId="64298E40" w14:textId="77777777" w:rsidR="007B6C97" w:rsidRDefault="007B6C97">
            <w:pPr>
              <w:rPr>
                <w:rFonts w:ascii="宋体"/>
                <w:vanish/>
              </w:rPr>
            </w:pPr>
          </w:p>
        </w:tc>
        <w:tc>
          <w:tcPr>
            <w:tcW w:w="0" w:type="auto"/>
            <w:gridSpan w:val="3"/>
            <w:shd w:val="clear" w:color="auto" w:fill="auto"/>
            <w:vAlign w:val="bottom"/>
          </w:tcPr>
          <w:p w14:paraId="64298E41" w14:textId="77777777" w:rsidR="007B6C97" w:rsidRDefault="007B6C97">
            <w:pPr>
              <w:rPr>
                <w:rFonts w:ascii="宋体"/>
                <w:vanish/>
              </w:rPr>
            </w:pPr>
          </w:p>
        </w:tc>
        <w:tc>
          <w:tcPr>
            <w:tcW w:w="0" w:type="auto"/>
            <w:gridSpan w:val="3"/>
            <w:shd w:val="clear" w:color="auto" w:fill="auto"/>
            <w:vAlign w:val="bottom"/>
          </w:tcPr>
          <w:p w14:paraId="64298E42" w14:textId="77777777" w:rsidR="007B6C97" w:rsidRDefault="007B6C97">
            <w:pPr>
              <w:rPr>
                <w:rFonts w:ascii="宋体"/>
                <w:vanish/>
              </w:rPr>
            </w:pPr>
          </w:p>
        </w:tc>
        <w:tc>
          <w:tcPr>
            <w:tcW w:w="0" w:type="auto"/>
            <w:gridSpan w:val="3"/>
            <w:shd w:val="clear" w:color="auto" w:fill="auto"/>
            <w:vAlign w:val="bottom"/>
          </w:tcPr>
          <w:p w14:paraId="64298E43" w14:textId="77777777" w:rsidR="007B6C97" w:rsidRDefault="007B6C97">
            <w:pPr>
              <w:rPr>
                <w:rFonts w:ascii="宋体"/>
                <w:vanish/>
              </w:rPr>
            </w:pPr>
          </w:p>
        </w:tc>
        <w:tc>
          <w:tcPr>
            <w:tcW w:w="0" w:type="auto"/>
            <w:gridSpan w:val="3"/>
            <w:shd w:val="clear" w:color="auto" w:fill="auto"/>
            <w:vAlign w:val="bottom"/>
          </w:tcPr>
          <w:p w14:paraId="64298E44" w14:textId="77777777" w:rsidR="007B6C97" w:rsidRDefault="007B6C97">
            <w:pPr>
              <w:rPr>
                <w:rFonts w:ascii="宋体"/>
                <w:vanish/>
              </w:rPr>
            </w:pPr>
          </w:p>
        </w:tc>
        <w:tc>
          <w:tcPr>
            <w:tcW w:w="0" w:type="auto"/>
            <w:gridSpan w:val="3"/>
            <w:shd w:val="clear" w:color="auto" w:fill="auto"/>
            <w:vAlign w:val="bottom"/>
          </w:tcPr>
          <w:p w14:paraId="64298E45" w14:textId="77777777" w:rsidR="007B6C97" w:rsidRDefault="007B6C97">
            <w:pPr>
              <w:rPr>
                <w:rFonts w:ascii="宋体"/>
                <w:vanish/>
              </w:rPr>
            </w:pPr>
          </w:p>
        </w:tc>
        <w:tc>
          <w:tcPr>
            <w:tcW w:w="0" w:type="auto"/>
            <w:gridSpan w:val="3"/>
            <w:shd w:val="clear" w:color="auto" w:fill="auto"/>
            <w:vAlign w:val="bottom"/>
          </w:tcPr>
          <w:p w14:paraId="64298E46" w14:textId="77777777" w:rsidR="007B6C97" w:rsidRDefault="007B6C97">
            <w:pPr>
              <w:rPr>
                <w:rFonts w:ascii="宋体"/>
                <w:vanish/>
              </w:rPr>
            </w:pPr>
          </w:p>
        </w:tc>
        <w:tc>
          <w:tcPr>
            <w:tcW w:w="0" w:type="auto"/>
            <w:gridSpan w:val="3"/>
            <w:shd w:val="clear" w:color="auto" w:fill="auto"/>
            <w:vAlign w:val="bottom"/>
          </w:tcPr>
          <w:p w14:paraId="64298E47" w14:textId="77777777" w:rsidR="007B6C97" w:rsidRDefault="007B6C97">
            <w:pPr>
              <w:rPr>
                <w:rFonts w:ascii="宋体"/>
                <w:vanish/>
              </w:rPr>
            </w:pPr>
          </w:p>
        </w:tc>
        <w:tc>
          <w:tcPr>
            <w:tcW w:w="0" w:type="auto"/>
            <w:gridSpan w:val="3"/>
            <w:shd w:val="clear" w:color="auto" w:fill="auto"/>
            <w:vAlign w:val="bottom"/>
          </w:tcPr>
          <w:p w14:paraId="64298E48" w14:textId="77777777" w:rsidR="007B6C97" w:rsidRDefault="007B6C97">
            <w:pPr>
              <w:rPr>
                <w:rFonts w:ascii="宋体"/>
                <w:vanish/>
              </w:rPr>
            </w:pPr>
          </w:p>
        </w:tc>
        <w:tc>
          <w:tcPr>
            <w:tcW w:w="0" w:type="auto"/>
            <w:gridSpan w:val="3"/>
            <w:shd w:val="clear" w:color="auto" w:fill="auto"/>
            <w:vAlign w:val="bottom"/>
          </w:tcPr>
          <w:p w14:paraId="64298E49" w14:textId="77777777" w:rsidR="007B6C97" w:rsidRDefault="007B6C97">
            <w:pPr>
              <w:rPr>
                <w:rFonts w:ascii="宋体"/>
                <w:vanish/>
              </w:rPr>
            </w:pPr>
          </w:p>
        </w:tc>
        <w:tc>
          <w:tcPr>
            <w:tcW w:w="0" w:type="auto"/>
            <w:gridSpan w:val="3"/>
            <w:shd w:val="clear" w:color="auto" w:fill="auto"/>
            <w:vAlign w:val="bottom"/>
          </w:tcPr>
          <w:p w14:paraId="64298E4A" w14:textId="77777777" w:rsidR="007B6C97" w:rsidRDefault="007B6C97">
            <w:pPr>
              <w:rPr>
                <w:rFonts w:ascii="宋体"/>
                <w:vanish/>
              </w:rPr>
            </w:pPr>
          </w:p>
        </w:tc>
        <w:tc>
          <w:tcPr>
            <w:tcW w:w="0" w:type="auto"/>
            <w:gridSpan w:val="3"/>
            <w:shd w:val="clear" w:color="auto" w:fill="auto"/>
            <w:vAlign w:val="bottom"/>
          </w:tcPr>
          <w:p w14:paraId="64298E4B" w14:textId="77777777" w:rsidR="007B6C97" w:rsidRDefault="007B6C97">
            <w:pPr>
              <w:rPr>
                <w:rFonts w:ascii="宋体"/>
                <w:vanish/>
              </w:rPr>
            </w:pPr>
          </w:p>
        </w:tc>
        <w:tc>
          <w:tcPr>
            <w:tcW w:w="0" w:type="auto"/>
            <w:gridSpan w:val="3"/>
            <w:shd w:val="clear" w:color="auto" w:fill="auto"/>
            <w:vAlign w:val="bottom"/>
          </w:tcPr>
          <w:p w14:paraId="64298E4C" w14:textId="77777777" w:rsidR="007B6C97" w:rsidRDefault="007B6C97">
            <w:pPr>
              <w:rPr>
                <w:rFonts w:ascii="宋体"/>
                <w:vanish/>
              </w:rPr>
            </w:pPr>
          </w:p>
        </w:tc>
        <w:tc>
          <w:tcPr>
            <w:tcW w:w="0" w:type="auto"/>
            <w:gridSpan w:val="3"/>
            <w:shd w:val="clear" w:color="auto" w:fill="auto"/>
            <w:vAlign w:val="bottom"/>
          </w:tcPr>
          <w:p w14:paraId="64298E4D" w14:textId="77777777" w:rsidR="007B6C97" w:rsidRDefault="007B6C97">
            <w:pPr>
              <w:rPr>
                <w:rFonts w:ascii="宋体"/>
                <w:vanish/>
              </w:rPr>
            </w:pPr>
          </w:p>
        </w:tc>
        <w:tc>
          <w:tcPr>
            <w:tcW w:w="0" w:type="auto"/>
            <w:gridSpan w:val="3"/>
            <w:shd w:val="clear" w:color="auto" w:fill="auto"/>
            <w:vAlign w:val="bottom"/>
          </w:tcPr>
          <w:p w14:paraId="64298E4E" w14:textId="77777777" w:rsidR="007B6C97" w:rsidRDefault="007B6C97">
            <w:pPr>
              <w:rPr>
                <w:rFonts w:ascii="宋体"/>
                <w:vanish/>
              </w:rPr>
            </w:pPr>
          </w:p>
        </w:tc>
      </w:tr>
      <w:tr w:rsidR="007B6C97" w14:paraId="64298E64" w14:textId="77777777">
        <w:trPr>
          <w:jc w:val="center"/>
          <w:hidden/>
        </w:trPr>
        <w:tc>
          <w:tcPr>
            <w:tcW w:w="0" w:type="auto"/>
            <w:gridSpan w:val="3"/>
            <w:shd w:val="clear" w:color="auto" w:fill="auto"/>
            <w:vAlign w:val="bottom"/>
          </w:tcPr>
          <w:p w14:paraId="64298E50" w14:textId="77777777" w:rsidR="007B6C97" w:rsidRDefault="007B6C97">
            <w:pPr>
              <w:rPr>
                <w:rFonts w:ascii="宋体"/>
                <w:vanish/>
              </w:rPr>
            </w:pPr>
          </w:p>
        </w:tc>
        <w:tc>
          <w:tcPr>
            <w:tcW w:w="0" w:type="auto"/>
            <w:gridSpan w:val="3"/>
            <w:shd w:val="clear" w:color="auto" w:fill="auto"/>
            <w:vAlign w:val="bottom"/>
          </w:tcPr>
          <w:p w14:paraId="64298E51" w14:textId="77777777" w:rsidR="007B6C97" w:rsidRDefault="007B6C97">
            <w:pPr>
              <w:rPr>
                <w:rFonts w:ascii="宋体"/>
                <w:vanish/>
              </w:rPr>
            </w:pPr>
          </w:p>
        </w:tc>
        <w:tc>
          <w:tcPr>
            <w:tcW w:w="0" w:type="auto"/>
            <w:gridSpan w:val="3"/>
            <w:shd w:val="clear" w:color="auto" w:fill="auto"/>
            <w:vAlign w:val="bottom"/>
          </w:tcPr>
          <w:p w14:paraId="64298E52" w14:textId="77777777" w:rsidR="007B6C97" w:rsidRDefault="007B6C97">
            <w:pPr>
              <w:rPr>
                <w:rFonts w:ascii="宋体"/>
                <w:vanish/>
              </w:rPr>
            </w:pPr>
          </w:p>
        </w:tc>
        <w:tc>
          <w:tcPr>
            <w:tcW w:w="0" w:type="auto"/>
            <w:gridSpan w:val="3"/>
            <w:shd w:val="clear" w:color="auto" w:fill="auto"/>
            <w:vAlign w:val="bottom"/>
          </w:tcPr>
          <w:p w14:paraId="64298E53" w14:textId="77777777" w:rsidR="007B6C97" w:rsidRDefault="007B6C97">
            <w:pPr>
              <w:rPr>
                <w:rFonts w:ascii="宋体"/>
                <w:vanish/>
              </w:rPr>
            </w:pPr>
          </w:p>
        </w:tc>
        <w:tc>
          <w:tcPr>
            <w:tcW w:w="0" w:type="auto"/>
            <w:gridSpan w:val="3"/>
            <w:shd w:val="clear" w:color="auto" w:fill="auto"/>
            <w:vAlign w:val="bottom"/>
          </w:tcPr>
          <w:p w14:paraId="64298E54" w14:textId="77777777" w:rsidR="007B6C97" w:rsidRDefault="007B6C97">
            <w:pPr>
              <w:rPr>
                <w:rFonts w:ascii="宋体"/>
                <w:vanish/>
              </w:rPr>
            </w:pPr>
          </w:p>
        </w:tc>
        <w:tc>
          <w:tcPr>
            <w:tcW w:w="0" w:type="auto"/>
            <w:gridSpan w:val="3"/>
            <w:shd w:val="clear" w:color="auto" w:fill="auto"/>
            <w:vAlign w:val="bottom"/>
          </w:tcPr>
          <w:p w14:paraId="64298E55" w14:textId="77777777" w:rsidR="007B6C97" w:rsidRDefault="007B6C97">
            <w:pPr>
              <w:rPr>
                <w:rFonts w:ascii="宋体"/>
                <w:vanish/>
              </w:rPr>
            </w:pPr>
          </w:p>
        </w:tc>
        <w:tc>
          <w:tcPr>
            <w:tcW w:w="0" w:type="auto"/>
            <w:gridSpan w:val="3"/>
            <w:shd w:val="clear" w:color="auto" w:fill="auto"/>
            <w:vAlign w:val="bottom"/>
          </w:tcPr>
          <w:p w14:paraId="64298E56" w14:textId="77777777" w:rsidR="007B6C97" w:rsidRDefault="007B6C97">
            <w:pPr>
              <w:rPr>
                <w:rFonts w:ascii="宋体"/>
                <w:vanish/>
              </w:rPr>
            </w:pPr>
          </w:p>
        </w:tc>
        <w:tc>
          <w:tcPr>
            <w:tcW w:w="0" w:type="auto"/>
            <w:gridSpan w:val="3"/>
            <w:shd w:val="clear" w:color="auto" w:fill="auto"/>
            <w:vAlign w:val="bottom"/>
          </w:tcPr>
          <w:p w14:paraId="64298E57" w14:textId="77777777" w:rsidR="007B6C97" w:rsidRDefault="007B6C97">
            <w:pPr>
              <w:rPr>
                <w:rFonts w:ascii="宋体"/>
                <w:vanish/>
              </w:rPr>
            </w:pPr>
          </w:p>
        </w:tc>
        <w:tc>
          <w:tcPr>
            <w:tcW w:w="0" w:type="auto"/>
            <w:gridSpan w:val="3"/>
            <w:shd w:val="clear" w:color="auto" w:fill="auto"/>
            <w:vAlign w:val="bottom"/>
          </w:tcPr>
          <w:p w14:paraId="64298E58" w14:textId="77777777" w:rsidR="007B6C97" w:rsidRDefault="007B6C97">
            <w:pPr>
              <w:rPr>
                <w:rFonts w:ascii="宋体"/>
                <w:vanish/>
              </w:rPr>
            </w:pPr>
          </w:p>
        </w:tc>
        <w:tc>
          <w:tcPr>
            <w:tcW w:w="0" w:type="auto"/>
            <w:gridSpan w:val="3"/>
            <w:shd w:val="clear" w:color="auto" w:fill="auto"/>
            <w:vAlign w:val="bottom"/>
          </w:tcPr>
          <w:p w14:paraId="64298E59" w14:textId="77777777" w:rsidR="007B6C97" w:rsidRDefault="007B6C97">
            <w:pPr>
              <w:rPr>
                <w:rFonts w:ascii="宋体"/>
                <w:vanish/>
              </w:rPr>
            </w:pPr>
          </w:p>
        </w:tc>
        <w:tc>
          <w:tcPr>
            <w:tcW w:w="0" w:type="auto"/>
            <w:gridSpan w:val="3"/>
            <w:shd w:val="clear" w:color="auto" w:fill="auto"/>
            <w:vAlign w:val="bottom"/>
          </w:tcPr>
          <w:p w14:paraId="64298E5A" w14:textId="77777777" w:rsidR="007B6C97" w:rsidRDefault="007B6C97">
            <w:pPr>
              <w:rPr>
                <w:rFonts w:ascii="宋体"/>
                <w:vanish/>
              </w:rPr>
            </w:pPr>
          </w:p>
        </w:tc>
        <w:tc>
          <w:tcPr>
            <w:tcW w:w="0" w:type="auto"/>
            <w:gridSpan w:val="3"/>
            <w:shd w:val="clear" w:color="auto" w:fill="auto"/>
            <w:vAlign w:val="bottom"/>
          </w:tcPr>
          <w:p w14:paraId="64298E5B" w14:textId="77777777" w:rsidR="007B6C97" w:rsidRDefault="007B6C97">
            <w:pPr>
              <w:rPr>
                <w:rFonts w:ascii="宋体"/>
                <w:vanish/>
              </w:rPr>
            </w:pPr>
          </w:p>
        </w:tc>
        <w:tc>
          <w:tcPr>
            <w:tcW w:w="0" w:type="auto"/>
            <w:gridSpan w:val="3"/>
            <w:shd w:val="clear" w:color="auto" w:fill="auto"/>
            <w:vAlign w:val="bottom"/>
          </w:tcPr>
          <w:p w14:paraId="64298E5C" w14:textId="77777777" w:rsidR="007B6C97" w:rsidRDefault="007B6C97">
            <w:pPr>
              <w:rPr>
                <w:rFonts w:ascii="宋体"/>
                <w:vanish/>
              </w:rPr>
            </w:pPr>
          </w:p>
        </w:tc>
        <w:tc>
          <w:tcPr>
            <w:tcW w:w="0" w:type="auto"/>
            <w:gridSpan w:val="3"/>
            <w:shd w:val="clear" w:color="auto" w:fill="auto"/>
            <w:vAlign w:val="bottom"/>
          </w:tcPr>
          <w:p w14:paraId="64298E5D" w14:textId="77777777" w:rsidR="007B6C97" w:rsidRDefault="007B6C97">
            <w:pPr>
              <w:rPr>
                <w:rFonts w:ascii="宋体"/>
                <w:vanish/>
              </w:rPr>
            </w:pPr>
          </w:p>
        </w:tc>
        <w:tc>
          <w:tcPr>
            <w:tcW w:w="0" w:type="auto"/>
            <w:gridSpan w:val="3"/>
            <w:shd w:val="clear" w:color="auto" w:fill="auto"/>
            <w:vAlign w:val="bottom"/>
          </w:tcPr>
          <w:p w14:paraId="64298E5E" w14:textId="77777777" w:rsidR="007B6C97" w:rsidRDefault="007B6C97">
            <w:pPr>
              <w:rPr>
                <w:rFonts w:ascii="宋体"/>
                <w:vanish/>
              </w:rPr>
            </w:pPr>
          </w:p>
        </w:tc>
        <w:tc>
          <w:tcPr>
            <w:tcW w:w="0" w:type="auto"/>
            <w:gridSpan w:val="3"/>
            <w:shd w:val="clear" w:color="auto" w:fill="auto"/>
            <w:vAlign w:val="bottom"/>
          </w:tcPr>
          <w:p w14:paraId="64298E5F" w14:textId="77777777" w:rsidR="007B6C97" w:rsidRDefault="007B6C97">
            <w:pPr>
              <w:rPr>
                <w:rFonts w:ascii="宋体"/>
                <w:vanish/>
              </w:rPr>
            </w:pPr>
          </w:p>
        </w:tc>
        <w:tc>
          <w:tcPr>
            <w:tcW w:w="0" w:type="auto"/>
            <w:gridSpan w:val="3"/>
            <w:shd w:val="clear" w:color="auto" w:fill="auto"/>
            <w:vAlign w:val="bottom"/>
          </w:tcPr>
          <w:p w14:paraId="64298E60" w14:textId="77777777" w:rsidR="007B6C97" w:rsidRDefault="007B6C97">
            <w:pPr>
              <w:rPr>
                <w:rFonts w:ascii="宋体"/>
                <w:vanish/>
              </w:rPr>
            </w:pPr>
          </w:p>
        </w:tc>
        <w:tc>
          <w:tcPr>
            <w:tcW w:w="0" w:type="auto"/>
            <w:gridSpan w:val="3"/>
            <w:shd w:val="clear" w:color="auto" w:fill="auto"/>
            <w:vAlign w:val="bottom"/>
          </w:tcPr>
          <w:p w14:paraId="64298E61" w14:textId="77777777" w:rsidR="007B6C97" w:rsidRDefault="007B6C97">
            <w:pPr>
              <w:rPr>
                <w:rFonts w:ascii="宋体"/>
                <w:vanish/>
              </w:rPr>
            </w:pPr>
          </w:p>
        </w:tc>
        <w:tc>
          <w:tcPr>
            <w:tcW w:w="0" w:type="auto"/>
            <w:gridSpan w:val="3"/>
            <w:shd w:val="clear" w:color="auto" w:fill="auto"/>
            <w:vAlign w:val="bottom"/>
          </w:tcPr>
          <w:p w14:paraId="64298E62" w14:textId="77777777" w:rsidR="007B6C97" w:rsidRDefault="007B6C97">
            <w:pPr>
              <w:rPr>
                <w:rFonts w:ascii="宋体"/>
                <w:vanish/>
              </w:rPr>
            </w:pPr>
          </w:p>
        </w:tc>
        <w:tc>
          <w:tcPr>
            <w:tcW w:w="0" w:type="auto"/>
            <w:gridSpan w:val="3"/>
            <w:shd w:val="clear" w:color="auto" w:fill="auto"/>
            <w:vAlign w:val="bottom"/>
          </w:tcPr>
          <w:p w14:paraId="64298E63" w14:textId="77777777" w:rsidR="007B6C97" w:rsidRDefault="007B6C97">
            <w:pPr>
              <w:rPr>
                <w:rFonts w:ascii="宋体"/>
                <w:vanish/>
              </w:rPr>
            </w:pPr>
          </w:p>
        </w:tc>
      </w:tr>
      <w:tr w:rsidR="00E426D1" w14:paraId="64298E83" w14:textId="77777777">
        <w:trPr>
          <w:jc w:val="center"/>
        </w:trPr>
        <w:tc>
          <w:tcPr>
            <w:tcW w:w="0" w:type="auto"/>
            <w:gridSpan w:val="3"/>
            <w:shd w:val="clear" w:color="auto" w:fill="FFFFFF"/>
            <w:tcMar>
              <w:top w:w="40" w:type="dxa"/>
              <w:left w:w="20" w:type="dxa"/>
              <w:bottom w:w="40" w:type="dxa"/>
              <w:right w:w="20" w:type="dxa"/>
            </w:tcMar>
          </w:tcPr>
          <w:p w14:paraId="64298E65" w14:textId="77777777" w:rsidR="007B6C97" w:rsidRDefault="00E426D1">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64298E66"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64298E6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6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69" w14:textId="77777777" w:rsidR="007B6C97" w:rsidRDefault="00E426D1">
            <w:pPr>
              <w:jc w:val="right"/>
              <w:textAlignment w:val="bottom"/>
            </w:pPr>
            <w:r>
              <w:rPr>
                <w:rFonts w:ascii="Times New Roman" w:eastAsia="宋体" w:hAnsi="Times New Roman"/>
                <w:color w:val="000000"/>
                <w:sz w:val="20"/>
                <w:szCs w:val="20"/>
              </w:rPr>
              <w:t>36.0 </w:t>
            </w:r>
          </w:p>
        </w:tc>
        <w:tc>
          <w:tcPr>
            <w:tcW w:w="0" w:type="auto"/>
            <w:shd w:val="clear" w:color="auto" w:fill="FFFFFF"/>
            <w:tcMar>
              <w:top w:w="40" w:type="dxa"/>
              <w:left w:w="0" w:type="dxa"/>
              <w:bottom w:w="40" w:type="dxa"/>
              <w:right w:w="20" w:type="dxa"/>
            </w:tcMar>
            <w:vAlign w:val="bottom"/>
          </w:tcPr>
          <w:p w14:paraId="64298E6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6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6C" w14:textId="77777777" w:rsidR="007B6C97" w:rsidRDefault="00E426D1">
            <w:pPr>
              <w:jc w:val="right"/>
              <w:textAlignment w:val="bottom"/>
            </w:pPr>
            <w:r>
              <w:rPr>
                <w:rFonts w:ascii="Times New Roman" w:eastAsia="宋体" w:hAnsi="Times New Roman"/>
                <w:color w:val="000000"/>
                <w:sz w:val="20"/>
                <w:szCs w:val="20"/>
              </w:rPr>
              <w:t>(16.2)</w:t>
            </w:r>
          </w:p>
        </w:tc>
        <w:tc>
          <w:tcPr>
            <w:tcW w:w="0" w:type="auto"/>
            <w:shd w:val="clear" w:color="auto" w:fill="FFFFFF"/>
            <w:tcMar>
              <w:top w:w="40" w:type="dxa"/>
              <w:left w:w="0" w:type="dxa"/>
              <w:bottom w:w="40" w:type="dxa"/>
              <w:right w:w="20" w:type="dxa"/>
            </w:tcMar>
            <w:vAlign w:val="bottom"/>
          </w:tcPr>
          <w:p w14:paraId="64298E6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6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6F"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64298E7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7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72" w14:textId="77777777" w:rsidR="007B6C97" w:rsidRDefault="00E426D1">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64298E7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7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75" w14:textId="77777777" w:rsidR="007B6C97" w:rsidRDefault="00E426D1">
            <w:pPr>
              <w:jc w:val="right"/>
              <w:textAlignment w:val="bottom"/>
            </w:pPr>
            <w:r>
              <w:rPr>
                <w:rFonts w:ascii="Times New Roman" w:eastAsia="宋体" w:hAnsi="Times New Roman"/>
                <w:color w:val="000000"/>
                <w:sz w:val="20"/>
                <w:szCs w:val="20"/>
              </w:rPr>
              <w:t>66.0 </w:t>
            </w:r>
          </w:p>
        </w:tc>
        <w:tc>
          <w:tcPr>
            <w:tcW w:w="0" w:type="auto"/>
            <w:shd w:val="clear" w:color="auto" w:fill="FFFFFF"/>
            <w:tcMar>
              <w:top w:w="40" w:type="dxa"/>
              <w:left w:w="0" w:type="dxa"/>
              <w:bottom w:w="40" w:type="dxa"/>
              <w:right w:w="20" w:type="dxa"/>
            </w:tcMar>
            <w:vAlign w:val="bottom"/>
          </w:tcPr>
          <w:p w14:paraId="64298E7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7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78" w14:textId="77777777" w:rsidR="007B6C97" w:rsidRDefault="00E426D1">
            <w:pPr>
              <w:jc w:val="right"/>
              <w:textAlignment w:val="bottom"/>
            </w:pPr>
            <w:r>
              <w:rPr>
                <w:rFonts w:ascii="Times New Roman" w:eastAsia="宋体" w:hAnsi="Times New Roman"/>
                <w:color w:val="000000"/>
                <w:sz w:val="20"/>
                <w:szCs w:val="20"/>
              </w:rPr>
              <w:t>68.6 </w:t>
            </w:r>
          </w:p>
        </w:tc>
        <w:tc>
          <w:tcPr>
            <w:tcW w:w="0" w:type="auto"/>
            <w:shd w:val="clear" w:color="auto" w:fill="FFFFFF"/>
            <w:tcMar>
              <w:top w:w="40" w:type="dxa"/>
              <w:left w:w="0" w:type="dxa"/>
              <w:bottom w:w="40" w:type="dxa"/>
              <w:right w:w="20" w:type="dxa"/>
            </w:tcMar>
            <w:vAlign w:val="bottom"/>
          </w:tcPr>
          <w:p w14:paraId="64298E7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7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7B" w14:textId="77777777" w:rsidR="007B6C97" w:rsidRDefault="00E426D1">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64298E7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7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7E" w14:textId="77777777" w:rsidR="007B6C97" w:rsidRDefault="00E426D1">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4298E7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8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E81" w14:textId="77777777" w:rsidR="007B6C97" w:rsidRDefault="00E426D1">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4298E82" w14:textId="77777777" w:rsidR="007B6C97" w:rsidRDefault="007B6C97">
            <w:pPr>
              <w:jc w:val="right"/>
              <w:rPr>
                <w:rFonts w:ascii="宋体"/>
              </w:rPr>
            </w:pPr>
          </w:p>
        </w:tc>
      </w:tr>
      <w:tr w:rsidR="00E426D1" w14:paraId="64298EA2" w14:textId="77777777">
        <w:trPr>
          <w:jc w:val="center"/>
        </w:trPr>
        <w:tc>
          <w:tcPr>
            <w:tcW w:w="0" w:type="auto"/>
            <w:gridSpan w:val="3"/>
            <w:shd w:val="clear" w:color="auto" w:fill="D7E4BC"/>
            <w:tcMar>
              <w:top w:w="40" w:type="dxa"/>
              <w:left w:w="20" w:type="dxa"/>
              <w:bottom w:w="40" w:type="dxa"/>
              <w:right w:w="20" w:type="dxa"/>
            </w:tcMar>
          </w:tcPr>
          <w:p w14:paraId="64298E84" w14:textId="77777777" w:rsidR="007B6C97" w:rsidRDefault="00E426D1">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64298E85" w14:textId="77777777" w:rsidR="007B6C97" w:rsidRDefault="00E426D1">
            <w:pPr>
              <w:jc w:val="right"/>
              <w:textAlignment w:val="bottom"/>
            </w:pPr>
            <w:r>
              <w:rPr>
                <w:rFonts w:ascii="Times New Roman" w:eastAsia="宋体" w:hAnsi="Times New Roman"/>
                <w:color w:val="000000"/>
                <w:sz w:val="20"/>
                <w:szCs w:val="20"/>
              </w:rPr>
              <w:t>(123.1)</w:t>
            </w:r>
          </w:p>
        </w:tc>
        <w:tc>
          <w:tcPr>
            <w:tcW w:w="0" w:type="auto"/>
            <w:shd w:val="clear" w:color="auto" w:fill="D7E4BC"/>
            <w:tcMar>
              <w:top w:w="40" w:type="dxa"/>
              <w:left w:w="0" w:type="dxa"/>
              <w:bottom w:w="40" w:type="dxa"/>
              <w:right w:w="20" w:type="dxa"/>
            </w:tcMar>
            <w:vAlign w:val="bottom"/>
          </w:tcPr>
          <w:p w14:paraId="64298E8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8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88" w14:textId="77777777" w:rsidR="007B6C97" w:rsidRDefault="00E426D1">
            <w:pPr>
              <w:jc w:val="right"/>
              <w:textAlignment w:val="bottom"/>
            </w:pPr>
            <w:r>
              <w:rPr>
                <w:rFonts w:ascii="Times New Roman" w:eastAsia="宋体" w:hAnsi="Times New Roman"/>
                <w:color w:val="000000"/>
                <w:sz w:val="20"/>
                <w:szCs w:val="20"/>
              </w:rPr>
              <w:t>(113.4)</w:t>
            </w:r>
          </w:p>
        </w:tc>
        <w:tc>
          <w:tcPr>
            <w:tcW w:w="0" w:type="auto"/>
            <w:shd w:val="clear" w:color="auto" w:fill="D7E4BC"/>
            <w:tcMar>
              <w:top w:w="40" w:type="dxa"/>
              <w:left w:w="0" w:type="dxa"/>
              <w:bottom w:w="40" w:type="dxa"/>
              <w:right w:w="20" w:type="dxa"/>
            </w:tcMar>
            <w:vAlign w:val="bottom"/>
          </w:tcPr>
          <w:p w14:paraId="64298E8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8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8B" w14:textId="77777777" w:rsidR="007B6C97" w:rsidRDefault="00E426D1">
            <w:pPr>
              <w:jc w:val="right"/>
              <w:textAlignment w:val="bottom"/>
            </w:pPr>
            <w:r>
              <w:rPr>
                <w:rFonts w:ascii="Times New Roman" w:eastAsia="宋体" w:hAnsi="Times New Roman"/>
                <w:color w:val="000000"/>
                <w:sz w:val="20"/>
                <w:szCs w:val="20"/>
              </w:rPr>
              <w:t>(9.7)</w:t>
            </w:r>
          </w:p>
        </w:tc>
        <w:tc>
          <w:tcPr>
            <w:tcW w:w="0" w:type="auto"/>
            <w:shd w:val="clear" w:color="auto" w:fill="D7E4BC"/>
            <w:tcMar>
              <w:top w:w="40" w:type="dxa"/>
              <w:left w:w="0" w:type="dxa"/>
              <w:bottom w:w="40" w:type="dxa"/>
              <w:right w:w="20" w:type="dxa"/>
            </w:tcMar>
            <w:vAlign w:val="bottom"/>
          </w:tcPr>
          <w:p w14:paraId="64298E8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8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8E" w14:textId="77777777" w:rsidR="007B6C97" w:rsidRDefault="00E426D1">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64298E8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91" w14:textId="77777777" w:rsidR="007B6C97" w:rsidRDefault="00E426D1">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64298E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94" w14:textId="77777777" w:rsidR="007B6C97" w:rsidRDefault="00E426D1">
            <w:pPr>
              <w:jc w:val="right"/>
              <w:textAlignment w:val="bottom"/>
            </w:pPr>
            <w:r>
              <w:rPr>
                <w:rFonts w:ascii="Times New Roman" w:eastAsia="宋体" w:hAnsi="Times New Roman"/>
                <w:color w:val="000000"/>
                <w:sz w:val="20"/>
                <w:szCs w:val="20"/>
              </w:rPr>
              <w:t>(357.6)</w:t>
            </w:r>
          </w:p>
        </w:tc>
        <w:tc>
          <w:tcPr>
            <w:tcW w:w="0" w:type="auto"/>
            <w:shd w:val="clear" w:color="auto" w:fill="D7E4BC"/>
            <w:tcMar>
              <w:top w:w="40" w:type="dxa"/>
              <w:left w:w="0" w:type="dxa"/>
              <w:bottom w:w="40" w:type="dxa"/>
              <w:right w:w="20" w:type="dxa"/>
            </w:tcMar>
            <w:vAlign w:val="bottom"/>
          </w:tcPr>
          <w:p w14:paraId="64298E9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97" w14:textId="77777777" w:rsidR="007B6C97" w:rsidRDefault="00E426D1">
            <w:pPr>
              <w:jc w:val="right"/>
              <w:textAlignment w:val="bottom"/>
            </w:pPr>
            <w:r>
              <w:rPr>
                <w:rFonts w:ascii="Times New Roman" w:eastAsia="宋体" w:hAnsi="Times New Roman"/>
                <w:color w:val="000000"/>
                <w:sz w:val="20"/>
                <w:szCs w:val="20"/>
              </w:rPr>
              <w:t>(349.2)</w:t>
            </w:r>
          </w:p>
        </w:tc>
        <w:tc>
          <w:tcPr>
            <w:tcW w:w="0" w:type="auto"/>
            <w:shd w:val="clear" w:color="auto" w:fill="D7E4BC"/>
            <w:tcMar>
              <w:top w:w="40" w:type="dxa"/>
              <w:left w:w="0" w:type="dxa"/>
              <w:bottom w:w="40" w:type="dxa"/>
              <w:right w:w="20" w:type="dxa"/>
            </w:tcMar>
            <w:vAlign w:val="bottom"/>
          </w:tcPr>
          <w:p w14:paraId="64298E9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9A" w14:textId="77777777" w:rsidR="007B6C97" w:rsidRDefault="00E426D1">
            <w:pPr>
              <w:jc w:val="right"/>
              <w:textAlignment w:val="bottom"/>
            </w:pPr>
            <w:r>
              <w:rPr>
                <w:rFonts w:ascii="Times New Roman" w:eastAsia="宋体" w:hAnsi="Times New Roman"/>
                <w:color w:val="000000"/>
                <w:sz w:val="20"/>
                <w:szCs w:val="20"/>
              </w:rPr>
              <w:t>(8.4)</w:t>
            </w:r>
          </w:p>
        </w:tc>
        <w:tc>
          <w:tcPr>
            <w:tcW w:w="0" w:type="auto"/>
            <w:shd w:val="clear" w:color="auto" w:fill="D7E4BC"/>
            <w:tcMar>
              <w:top w:w="40" w:type="dxa"/>
              <w:left w:w="0" w:type="dxa"/>
              <w:bottom w:w="40" w:type="dxa"/>
              <w:right w:w="20" w:type="dxa"/>
            </w:tcMar>
            <w:vAlign w:val="bottom"/>
          </w:tcPr>
          <w:p w14:paraId="64298E9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9D" w14:textId="77777777" w:rsidR="007B6C97" w:rsidRDefault="00E426D1">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64298E9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9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A0" w14:textId="77777777" w:rsidR="007B6C97" w:rsidRDefault="00E426D1">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64298EA1" w14:textId="77777777" w:rsidR="007B6C97" w:rsidRDefault="007B6C97">
            <w:pPr>
              <w:jc w:val="right"/>
              <w:rPr>
                <w:rFonts w:ascii="宋体"/>
              </w:rPr>
            </w:pPr>
          </w:p>
        </w:tc>
      </w:tr>
      <w:tr w:rsidR="00E426D1" w14:paraId="64298EC1" w14:textId="77777777">
        <w:trPr>
          <w:jc w:val="center"/>
        </w:trPr>
        <w:tc>
          <w:tcPr>
            <w:tcW w:w="0" w:type="auto"/>
            <w:gridSpan w:val="3"/>
            <w:shd w:val="clear" w:color="auto" w:fill="FFFFFF"/>
            <w:tcMar>
              <w:top w:w="40" w:type="dxa"/>
              <w:left w:w="380" w:type="dxa"/>
              <w:bottom w:w="40" w:type="dxa"/>
              <w:right w:w="20" w:type="dxa"/>
            </w:tcMar>
          </w:tcPr>
          <w:p w14:paraId="64298EA3" w14:textId="77777777" w:rsidR="007B6C97" w:rsidRDefault="00E426D1">
            <w:pPr>
              <w:textAlignment w:val="top"/>
            </w:pPr>
            <w:r>
              <w:rPr>
                <w:rFonts w:ascii="Times New Roman" w:eastAsia="宋体" w:hAnsi="Times New Roman"/>
                <w:color w:val="000000"/>
                <w:sz w:val="20"/>
                <w:szCs w:val="20"/>
              </w:rPr>
              <w:t>Earnings before income taxes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A4" w14:textId="77777777" w:rsidR="007B6C97" w:rsidRDefault="00E426D1">
            <w:pPr>
              <w:jc w:val="right"/>
              <w:textAlignment w:val="bottom"/>
            </w:pPr>
            <w:r>
              <w:rPr>
                <w:rFonts w:ascii="Times New Roman" w:eastAsia="宋体" w:hAnsi="Times New Roman"/>
                <w:color w:val="000000"/>
                <w:sz w:val="20"/>
                <w:szCs w:val="20"/>
              </w:rPr>
              <w:t>1,192.2 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A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A6"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A7" w14:textId="77777777" w:rsidR="007B6C97" w:rsidRDefault="00E426D1">
            <w:pPr>
              <w:jc w:val="right"/>
              <w:textAlignment w:val="bottom"/>
            </w:pPr>
            <w:r>
              <w:rPr>
                <w:rFonts w:ascii="Times New Roman" w:eastAsia="宋体" w:hAnsi="Times New Roman"/>
                <w:color w:val="000000"/>
                <w:sz w:val="20"/>
                <w:szCs w:val="20"/>
              </w:rPr>
              <w:t>1,411.3 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A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A9"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AA" w14:textId="77777777" w:rsidR="007B6C97" w:rsidRDefault="00E426D1">
            <w:pPr>
              <w:jc w:val="right"/>
              <w:textAlignment w:val="bottom"/>
            </w:pPr>
            <w:r>
              <w:rPr>
                <w:rFonts w:ascii="Times New Roman" w:eastAsia="宋体" w:hAnsi="Times New Roman"/>
                <w:color w:val="000000"/>
                <w:sz w:val="20"/>
                <w:szCs w:val="20"/>
              </w:rPr>
              <w:t>(219.1)</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A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AC"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AD" w14:textId="77777777" w:rsidR="007B6C97" w:rsidRDefault="00E426D1">
            <w:pPr>
              <w:jc w:val="right"/>
              <w:textAlignment w:val="bottom"/>
            </w:pPr>
            <w:r>
              <w:rPr>
                <w:rFonts w:ascii="Times New Roman" w:eastAsia="宋体" w:hAnsi="Times New Roman"/>
                <w:color w:val="000000"/>
                <w:sz w:val="20"/>
                <w:szCs w:val="20"/>
              </w:rPr>
              <w:t>14.6 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A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AF"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0" w14:textId="77777777" w:rsidR="007B6C97" w:rsidRDefault="00E426D1">
            <w:pPr>
              <w:jc w:val="right"/>
              <w:textAlignment w:val="bottom"/>
            </w:pPr>
            <w:r>
              <w:rPr>
                <w:rFonts w:ascii="Times New Roman" w:eastAsia="宋体" w:hAnsi="Times New Roman"/>
                <w:color w:val="000000"/>
                <w:sz w:val="20"/>
                <w:szCs w:val="20"/>
              </w:rPr>
              <w:t>18.8 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B2"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3" w14:textId="77777777" w:rsidR="007B6C97" w:rsidRDefault="00E426D1">
            <w:pPr>
              <w:jc w:val="right"/>
              <w:textAlignment w:val="bottom"/>
            </w:pPr>
            <w:r>
              <w:rPr>
                <w:rFonts w:ascii="Times New Roman" w:eastAsia="宋体" w:hAnsi="Times New Roman"/>
                <w:color w:val="000000"/>
                <w:sz w:val="20"/>
                <w:szCs w:val="20"/>
              </w:rPr>
              <w:t>3,130.7 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B5"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6" w14:textId="77777777" w:rsidR="007B6C97" w:rsidRDefault="00E426D1">
            <w:pPr>
              <w:jc w:val="right"/>
              <w:textAlignment w:val="bottom"/>
            </w:pPr>
            <w:r>
              <w:rPr>
                <w:rFonts w:ascii="Times New Roman" w:eastAsia="宋体" w:hAnsi="Times New Roman"/>
                <w:color w:val="000000"/>
                <w:sz w:val="20"/>
                <w:szCs w:val="20"/>
              </w:rPr>
              <w:t>3,109.3 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B8"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9" w14:textId="77777777" w:rsidR="007B6C97" w:rsidRDefault="00E426D1">
            <w:pPr>
              <w:jc w:val="right"/>
              <w:textAlignment w:val="bottom"/>
            </w:pPr>
            <w:r>
              <w:rPr>
                <w:rFonts w:ascii="Times New Roman" w:eastAsia="宋体" w:hAnsi="Times New Roman"/>
                <w:color w:val="000000"/>
                <w:sz w:val="20"/>
                <w:szCs w:val="20"/>
              </w:rPr>
              <w:t>21.4 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BB"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C" w14:textId="77777777" w:rsidR="007B6C97" w:rsidRDefault="00E426D1">
            <w:pPr>
              <w:jc w:val="right"/>
              <w:textAlignment w:val="bottom"/>
            </w:pPr>
            <w:r>
              <w:rPr>
                <w:rFonts w:ascii="Times New Roman" w:eastAsia="宋体" w:hAnsi="Times New Roman"/>
                <w:color w:val="000000"/>
                <w:sz w:val="20"/>
                <w:szCs w:val="20"/>
              </w:rPr>
              <w:t>13.1 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B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BE"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BF" w14:textId="77777777" w:rsidR="007B6C97" w:rsidRDefault="00E426D1">
            <w:pPr>
              <w:jc w:val="right"/>
              <w:textAlignment w:val="bottom"/>
            </w:pPr>
            <w:r>
              <w:rPr>
                <w:rFonts w:ascii="Times New Roman" w:eastAsia="宋体" w:hAnsi="Times New Roman"/>
                <w:color w:val="000000"/>
                <w:sz w:val="20"/>
                <w:szCs w:val="20"/>
              </w:rPr>
              <w:t>14.9 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C0" w14:textId="77777777" w:rsidR="007B6C97" w:rsidRDefault="007B6C97">
            <w:pPr>
              <w:jc w:val="right"/>
              <w:rPr>
                <w:rFonts w:ascii="宋体"/>
              </w:rPr>
            </w:pPr>
          </w:p>
        </w:tc>
      </w:tr>
      <w:tr w:rsidR="00E426D1" w14:paraId="64298EE0" w14:textId="77777777">
        <w:trPr>
          <w:jc w:val="center"/>
        </w:trPr>
        <w:tc>
          <w:tcPr>
            <w:tcW w:w="0" w:type="auto"/>
            <w:gridSpan w:val="3"/>
            <w:shd w:val="clear" w:color="auto" w:fill="D7E4BC"/>
            <w:tcMar>
              <w:top w:w="40" w:type="dxa"/>
              <w:left w:w="20" w:type="dxa"/>
              <w:bottom w:w="40" w:type="dxa"/>
              <w:right w:w="20" w:type="dxa"/>
            </w:tcMar>
          </w:tcPr>
          <w:p w14:paraId="64298EC2" w14:textId="77777777" w:rsidR="007B6C97" w:rsidRDefault="00E426D1">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64298EC3" w14:textId="77777777" w:rsidR="007B6C97" w:rsidRDefault="00E426D1">
            <w:pPr>
              <w:jc w:val="right"/>
              <w:textAlignment w:val="bottom"/>
            </w:pPr>
            <w:r>
              <w:rPr>
                <w:rFonts w:ascii="Times New Roman" w:eastAsia="宋体" w:hAnsi="Times New Roman"/>
                <w:color w:val="000000"/>
                <w:sz w:val="20"/>
                <w:szCs w:val="20"/>
              </w:rPr>
              <w:t>278.5 </w:t>
            </w:r>
          </w:p>
        </w:tc>
        <w:tc>
          <w:tcPr>
            <w:tcW w:w="0" w:type="auto"/>
            <w:shd w:val="clear" w:color="auto" w:fill="D7E4BC"/>
            <w:tcMar>
              <w:top w:w="40" w:type="dxa"/>
              <w:left w:w="0" w:type="dxa"/>
              <w:bottom w:w="40" w:type="dxa"/>
              <w:right w:w="20" w:type="dxa"/>
            </w:tcMar>
            <w:vAlign w:val="bottom"/>
          </w:tcPr>
          <w:p w14:paraId="64298EC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C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C6" w14:textId="77777777" w:rsidR="007B6C97" w:rsidRDefault="00E426D1">
            <w:pPr>
              <w:jc w:val="right"/>
              <w:textAlignment w:val="bottom"/>
            </w:pPr>
            <w:r>
              <w:rPr>
                <w:rFonts w:ascii="Times New Roman" w:eastAsia="宋体" w:hAnsi="Times New Roman"/>
                <w:color w:val="000000"/>
                <w:sz w:val="20"/>
                <w:szCs w:val="20"/>
              </w:rPr>
              <w:t>257.1 </w:t>
            </w:r>
          </w:p>
        </w:tc>
        <w:tc>
          <w:tcPr>
            <w:tcW w:w="0" w:type="auto"/>
            <w:shd w:val="clear" w:color="auto" w:fill="D7E4BC"/>
            <w:tcMar>
              <w:top w:w="40" w:type="dxa"/>
              <w:left w:w="0" w:type="dxa"/>
              <w:bottom w:w="40" w:type="dxa"/>
              <w:right w:w="20" w:type="dxa"/>
            </w:tcMar>
            <w:vAlign w:val="bottom"/>
          </w:tcPr>
          <w:p w14:paraId="64298EC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C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C9" w14:textId="77777777" w:rsidR="007B6C97" w:rsidRDefault="00E426D1">
            <w:pPr>
              <w:jc w:val="right"/>
              <w:textAlignment w:val="bottom"/>
            </w:pPr>
            <w:r>
              <w:rPr>
                <w:rFonts w:ascii="Times New Roman" w:eastAsia="宋体" w:hAnsi="Times New Roman"/>
                <w:color w:val="000000"/>
                <w:sz w:val="20"/>
                <w:szCs w:val="20"/>
              </w:rPr>
              <w:t>21.4 </w:t>
            </w:r>
          </w:p>
        </w:tc>
        <w:tc>
          <w:tcPr>
            <w:tcW w:w="0" w:type="auto"/>
            <w:shd w:val="clear" w:color="auto" w:fill="D7E4BC"/>
            <w:tcMar>
              <w:top w:w="40" w:type="dxa"/>
              <w:left w:w="0" w:type="dxa"/>
              <w:bottom w:w="40" w:type="dxa"/>
              <w:right w:w="20" w:type="dxa"/>
            </w:tcMar>
            <w:vAlign w:val="bottom"/>
          </w:tcPr>
          <w:p w14:paraId="64298EC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C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CC" w14:textId="77777777" w:rsidR="007B6C97" w:rsidRDefault="00E426D1">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64298EC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C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CF" w14:textId="77777777" w:rsidR="007B6C97" w:rsidRDefault="00E426D1">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64298ED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D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D2" w14:textId="77777777" w:rsidR="007B6C97" w:rsidRDefault="00E426D1">
            <w:pPr>
              <w:jc w:val="right"/>
              <w:textAlignment w:val="bottom"/>
            </w:pPr>
            <w:r>
              <w:rPr>
                <w:rFonts w:ascii="Times New Roman" w:eastAsia="宋体" w:hAnsi="Times New Roman"/>
                <w:color w:val="000000"/>
                <w:sz w:val="20"/>
                <w:szCs w:val="20"/>
              </w:rPr>
              <w:t>725.9 </w:t>
            </w:r>
          </w:p>
        </w:tc>
        <w:tc>
          <w:tcPr>
            <w:tcW w:w="0" w:type="auto"/>
            <w:shd w:val="clear" w:color="auto" w:fill="D7E4BC"/>
            <w:tcMar>
              <w:top w:w="40" w:type="dxa"/>
              <w:left w:w="0" w:type="dxa"/>
              <w:bottom w:w="40" w:type="dxa"/>
              <w:right w:w="20" w:type="dxa"/>
            </w:tcMar>
            <w:vAlign w:val="bottom"/>
          </w:tcPr>
          <w:p w14:paraId="64298ED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D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D5" w14:textId="77777777" w:rsidR="007B6C97" w:rsidRDefault="00E426D1">
            <w:pPr>
              <w:jc w:val="right"/>
              <w:textAlignment w:val="bottom"/>
            </w:pPr>
            <w:r>
              <w:rPr>
                <w:rFonts w:ascii="Times New Roman" w:eastAsia="宋体" w:hAnsi="Times New Roman"/>
                <w:color w:val="000000"/>
                <w:sz w:val="20"/>
                <w:szCs w:val="20"/>
              </w:rPr>
              <w:t>673.6 </w:t>
            </w:r>
          </w:p>
        </w:tc>
        <w:tc>
          <w:tcPr>
            <w:tcW w:w="0" w:type="auto"/>
            <w:shd w:val="clear" w:color="auto" w:fill="D7E4BC"/>
            <w:tcMar>
              <w:top w:w="40" w:type="dxa"/>
              <w:left w:w="0" w:type="dxa"/>
              <w:bottom w:w="40" w:type="dxa"/>
              <w:right w:w="20" w:type="dxa"/>
            </w:tcMar>
            <w:vAlign w:val="bottom"/>
          </w:tcPr>
          <w:p w14:paraId="64298ED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D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D8" w14:textId="77777777" w:rsidR="007B6C97" w:rsidRDefault="00E426D1">
            <w:pPr>
              <w:jc w:val="right"/>
              <w:textAlignment w:val="bottom"/>
            </w:pPr>
            <w:r>
              <w:rPr>
                <w:rFonts w:ascii="Times New Roman" w:eastAsia="宋体" w:hAnsi="Times New Roman"/>
                <w:color w:val="000000"/>
                <w:sz w:val="20"/>
                <w:szCs w:val="20"/>
              </w:rPr>
              <w:t>52.3 </w:t>
            </w:r>
          </w:p>
        </w:tc>
        <w:tc>
          <w:tcPr>
            <w:tcW w:w="0" w:type="auto"/>
            <w:shd w:val="clear" w:color="auto" w:fill="D7E4BC"/>
            <w:tcMar>
              <w:top w:w="40" w:type="dxa"/>
              <w:left w:w="0" w:type="dxa"/>
              <w:bottom w:w="40" w:type="dxa"/>
              <w:right w:w="20" w:type="dxa"/>
            </w:tcMar>
            <w:vAlign w:val="bottom"/>
          </w:tcPr>
          <w:p w14:paraId="64298ED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D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DB" w14:textId="77777777" w:rsidR="007B6C97" w:rsidRDefault="00E426D1">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64298ED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ED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EDE" w14:textId="77777777" w:rsidR="007B6C97" w:rsidRDefault="00E426D1">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vAlign w:val="bottom"/>
          </w:tcPr>
          <w:p w14:paraId="64298EDF" w14:textId="77777777" w:rsidR="007B6C97" w:rsidRDefault="007B6C97">
            <w:pPr>
              <w:jc w:val="right"/>
              <w:rPr>
                <w:rFonts w:ascii="宋体"/>
              </w:rPr>
            </w:pPr>
          </w:p>
        </w:tc>
      </w:tr>
      <w:tr w:rsidR="00E426D1" w14:paraId="64298EFF" w14:textId="77777777">
        <w:trPr>
          <w:jc w:val="center"/>
        </w:trPr>
        <w:tc>
          <w:tcPr>
            <w:tcW w:w="0" w:type="auto"/>
            <w:gridSpan w:val="3"/>
            <w:shd w:val="clear" w:color="auto" w:fill="FFFFFF"/>
            <w:tcMar>
              <w:top w:w="40" w:type="dxa"/>
              <w:left w:w="380" w:type="dxa"/>
              <w:bottom w:w="40" w:type="dxa"/>
              <w:right w:w="20" w:type="dxa"/>
            </w:tcMar>
          </w:tcPr>
          <w:p w14:paraId="64298EE1" w14:textId="77777777" w:rsidR="007B6C97" w:rsidRDefault="00E426D1">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E2" w14:textId="77777777" w:rsidR="007B6C97" w:rsidRDefault="00E426D1">
            <w:pPr>
              <w:jc w:val="right"/>
              <w:textAlignment w:val="bottom"/>
            </w:pPr>
            <w:r>
              <w:rPr>
                <w:rFonts w:ascii="Times New Roman" w:eastAsia="宋体" w:hAnsi="Times New Roman"/>
                <w:color w:val="000000"/>
                <w:sz w:val="20"/>
                <w:szCs w:val="20"/>
              </w:rPr>
              <w:t>913.7 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E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E4"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E5" w14:textId="77777777" w:rsidR="007B6C97" w:rsidRDefault="00E426D1">
            <w:pPr>
              <w:jc w:val="right"/>
              <w:textAlignment w:val="bottom"/>
            </w:pPr>
            <w:r>
              <w:rPr>
                <w:rFonts w:ascii="Times New Roman" w:eastAsia="宋体" w:hAnsi="Times New Roman"/>
                <w:color w:val="000000"/>
                <w:sz w:val="20"/>
                <w:szCs w:val="20"/>
              </w:rPr>
              <w:t>1,154.2 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E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E7"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E8" w14:textId="77777777" w:rsidR="007B6C97" w:rsidRDefault="00E426D1">
            <w:pPr>
              <w:jc w:val="right"/>
              <w:textAlignment w:val="bottom"/>
            </w:pPr>
            <w:r>
              <w:rPr>
                <w:rFonts w:ascii="Times New Roman" w:eastAsia="宋体" w:hAnsi="Times New Roman"/>
                <w:color w:val="000000"/>
                <w:sz w:val="20"/>
                <w:szCs w:val="20"/>
              </w:rPr>
              <w:t>(240.5)</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E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EA"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EB" w14:textId="77777777" w:rsidR="007B6C97" w:rsidRDefault="00E426D1">
            <w:pPr>
              <w:jc w:val="right"/>
              <w:textAlignment w:val="bottom"/>
            </w:pPr>
            <w:r>
              <w:rPr>
                <w:rFonts w:ascii="Times New Roman" w:eastAsia="宋体" w:hAnsi="Times New Roman"/>
                <w:color w:val="000000"/>
                <w:sz w:val="20"/>
                <w:szCs w:val="20"/>
              </w:rPr>
              <w:t>11.2 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E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ED"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EE" w14:textId="77777777" w:rsidR="007B6C97" w:rsidRDefault="00E426D1">
            <w:pPr>
              <w:jc w:val="right"/>
              <w:textAlignment w:val="bottom"/>
            </w:pPr>
            <w:r>
              <w:rPr>
                <w:rFonts w:ascii="Times New Roman" w:eastAsia="宋体" w:hAnsi="Times New Roman"/>
                <w:color w:val="000000"/>
                <w:sz w:val="20"/>
                <w:szCs w:val="20"/>
              </w:rPr>
              <w:t>15.4 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F0"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F1" w14:textId="77777777" w:rsidR="007B6C97" w:rsidRDefault="00E426D1">
            <w:pPr>
              <w:jc w:val="right"/>
              <w:textAlignment w:val="bottom"/>
            </w:pPr>
            <w:r>
              <w:rPr>
                <w:rFonts w:ascii="Times New Roman" w:eastAsia="宋体" w:hAnsi="Times New Roman"/>
                <w:color w:val="000000"/>
                <w:sz w:val="20"/>
                <w:szCs w:val="20"/>
              </w:rPr>
              <w:t>2,404.8 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F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F3"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F4" w14:textId="77777777" w:rsidR="007B6C97" w:rsidRDefault="00E426D1">
            <w:pPr>
              <w:jc w:val="right"/>
              <w:textAlignment w:val="bottom"/>
            </w:pPr>
            <w:r>
              <w:rPr>
                <w:rFonts w:ascii="Times New Roman" w:eastAsia="宋体" w:hAnsi="Times New Roman"/>
                <w:color w:val="000000"/>
                <w:sz w:val="20"/>
                <w:szCs w:val="20"/>
              </w:rPr>
              <w:t>2,435.7 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F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F6"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F7" w14:textId="77777777" w:rsidR="007B6C97" w:rsidRDefault="00E426D1">
            <w:pPr>
              <w:jc w:val="right"/>
              <w:textAlignment w:val="bottom"/>
            </w:pPr>
            <w:r>
              <w:rPr>
                <w:rFonts w:ascii="Times New Roman" w:eastAsia="宋体" w:hAnsi="Times New Roman"/>
                <w:color w:val="000000"/>
                <w:sz w:val="20"/>
                <w:szCs w:val="20"/>
              </w:rPr>
              <w:t>(30.9)</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F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F9"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FA" w14:textId="77777777" w:rsidR="007B6C97" w:rsidRDefault="00E426D1">
            <w:pPr>
              <w:jc w:val="right"/>
              <w:textAlignment w:val="bottom"/>
            </w:pPr>
            <w:r>
              <w:rPr>
                <w:rFonts w:ascii="Times New Roman" w:eastAsia="宋体" w:hAnsi="Times New Roman"/>
                <w:color w:val="000000"/>
                <w:sz w:val="20"/>
                <w:szCs w:val="20"/>
              </w:rPr>
              <w:t>10.1 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F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EFC" w14:textId="77777777" w:rsidR="007B6C97" w:rsidRDefault="007B6C97">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4298EFD" w14:textId="77777777" w:rsidR="007B6C97" w:rsidRDefault="00E426D1">
            <w:pPr>
              <w:jc w:val="right"/>
              <w:textAlignment w:val="bottom"/>
            </w:pPr>
            <w:r>
              <w:rPr>
                <w:rFonts w:ascii="Times New Roman" w:eastAsia="宋体" w:hAnsi="Times New Roman"/>
                <w:color w:val="000000"/>
                <w:sz w:val="20"/>
                <w:szCs w:val="20"/>
              </w:rPr>
              <w:t>11.6 </w:t>
            </w:r>
          </w:p>
        </w:tc>
        <w:tc>
          <w:tcPr>
            <w:tcW w:w="0" w:type="auto"/>
            <w:tcBorders>
              <w:top w:val="single" w:sz="4" w:space="0" w:color="000000"/>
            </w:tcBorders>
            <w:shd w:val="clear" w:color="auto" w:fill="FFFFFF"/>
            <w:tcMar>
              <w:top w:w="40" w:type="dxa"/>
              <w:left w:w="0" w:type="dxa"/>
              <w:bottom w:w="40" w:type="dxa"/>
              <w:right w:w="20" w:type="dxa"/>
            </w:tcMar>
            <w:vAlign w:val="bottom"/>
          </w:tcPr>
          <w:p w14:paraId="64298EFE" w14:textId="77777777" w:rsidR="007B6C97" w:rsidRDefault="007B6C97">
            <w:pPr>
              <w:jc w:val="right"/>
              <w:rPr>
                <w:rFonts w:ascii="宋体"/>
              </w:rPr>
            </w:pPr>
          </w:p>
        </w:tc>
      </w:tr>
      <w:tr w:rsidR="00E426D1" w14:paraId="64298F1E" w14:textId="77777777">
        <w:trPr>
          <w:jc w:val="center"/>
        </w:trPr>
        <w:tc>
          <w:tcPr>
            <w:tcW w:w="0" w:type="auto"/>
            <w:gridSpan w:val="3"/>
            <w:shd w:val="clear" w:color="auto" w:fill="D7E4BC"/>
            <w:tcMar>
              <w:top w:w="40" w:type="dxa"/>
              <w:left w:w="380" w:type="dxa"/>
              <w:bottom w:w="40" w:type="dxa"/>
              <w:right w:w="20" w:type="dxa"/>
            </w:tcMar>
          </w:tcPr>
          <w:p w14:paraId="64298F00" w14:textId="77777777" w:rsidR="007B6C97" w:rsidRDefault="00E426D1">
            <w:pPr>
              <w:textAlignment w:val="top"/>
            </w:pPr>
            <w:r>
              <w:rPr>
                <w:rFonts w:ascii="Times New Roman" w:eastAsia="宋体" w:hAnsi="Times New Roman"/>
                <w:color w:val="000000"/>
                <w:sz w:val="20"/>
                <w:szCs w:val="20"/>
              </w:rPr>
              <w:t xml:space="preserve">Net earnings attributable to </w:t>
            </w:r>
            <w:r>
              <w:rPr>
                <w:rFonts w:ascii="Times New Roman" w:eastAsia="宋体" w:hAnsi="Times New Roman"/>
                <w:color w:val="000000"/>
                <w:sz w:val="20"/>
                <w:szCs w:val="20"/>
              </w:rPr>
              <w:t>noncontrolling interests</w:t>
            </w:r>
          </w:p>
        </w:tc>
        <w:tc>
          <w:tcPr>
            <w:tcW w:w="0" w:type="auto"/>
            <w:gridSpan w:val="2"/>
            <w:shd w:val="clear" w:color="auto" w:fill="D7E4BC"/>
            <w:tcMar>
              <w:top w:w="40" w:type="dxa"/>
              <w:left w:w="20" w:type="dxa"/>
              <w:bottom w:w="40" w:type="dxa"/>
              <w:right w:w="0" w:type="dxa"/>
            </w:tcMar>
            <w:vAlign w:val="bottom"/>
          </w:tcPr>
          <w:p w14:paraId="64298F01"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4298F0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0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04"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4298F0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0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0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F0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0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0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F0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0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0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F0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0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10"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4298F1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1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13"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4298F1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1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16" w14:textId="77777777" w:rsidR="007B6C97" w:rsidRDefault="00E426D1">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4298F1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1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1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F1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8F1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1C"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4298F1D" w14:textId="77777777" w:rsidR="007B6C97" w:rsidRDefault="007B6C97">
            <w:pPr>
              <w:jc w:val="right"/>
              <w:rPr>
                <w:rFonts w:ascii="宋体"/>
              </w:rPr>
            </w:pPr>
          </w:p>
        </w:tc>
      </w:tr>
      <w:tr w:rsidR="00E426D1" w14:paraId="64298F43" w14:textId="77777777">
        <w:trPr>
          <w:jc w:val="center"/>
        </w:trPr>
        <w:tc>
          <w:tcPr>
            <w:tcW w:w="0" w:type="auto"/>
            <w:gridSpan w:val="3"/>
            <w:shd w:val="clear" w:color="auto" w:fill="FFFFFF"/>
            <w:tcMar>
              <w:top w:w="40" w:type="dxa"/>
              <w:left w:w="380" w:type="dxa"/>
              <w:bottom w:w="40" w:type="dxa"/>
              <w:right w:w="20" w:type="dxa"/>
            </w:tcMar>
          </w:tcPr>
          <w:p w14:paraId="64298F1F" w14:textId="77777777" w:rsidR="007B6C97" w:rsidRDefault="00E426D1">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8F20"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21" w14:textId="77777777" w:rsidR="007B6C97" w:rsidRDefault="00E426D1">
            <w:pPr>
              <w:jc w:val="right"/>
              <w:textAlignment w:val="bottom"/>
            </w:pPr>
            <w:r>
              <w:rPr>
                <w:rFonts w:ascii="Times New Roman" w:eastAsia="宋体" w:hAnsi="Times New Roman"/>
                <w:b/>
                <w:bCs/>
                <w:color w:val="000000"/>
                <w:sz w:val="20"/>
                <w:szCs w:val="20"/>
              </w:rPr>
              <w:t>912.9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2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23"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F24"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25" w14:textId="77777777" w:rsidR="007B6C97" w:rsidRDefault="00E426D1">
            <w:pPr>
              <w:jc w:val="right"/>
              <w:textAlignment w:val="bottom"/>
            </w:pPr>
            <w:r>
              <w:rPr>
                <w:rFonts w:ascii="Times New Roman" w:eastAsia="宋体" w:hAnsi="Times New Roman"/>
                <w:b/>
                <w:bCs/>
                <w:color w:val="000000"/>
                <w:sz w:val="20"/>
                <w:szCs w:val="20"/>
              </w:rPr>
              <w:t>1,153.4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2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27"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F28"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29" w14:textId="77777777" w:rsidR="007B6C97" w:rsidRDefault="00E426D1">
            <w:pPr>
              <w:jc w:val="right"/>
              <w:textAlignment w:val="bottom"/>
            </w:pPr>
            <w:r>
              <w:rPr>
                <w:rFonts w:ascii="Times New Roman" w:eastAsia="宋体" w:hAnsi="Times New Roman"/>
                <w:b/>
                <w:bCs/>
                <w:color w:val="000000"/>
                <w:sz w:val="20"/>
                <w:szCs w:val="20"/>
              </w:rPr>
              <w:t>(240.5)</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2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2B"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F2C" w14:textId="77777777" w:rsidR="007B6C97" w:rsidRDefault="00E426D1">
            <w:pPr>
              <w:jc w:val="right"/>
              <w:textAlignment w:val="bottom"/>
            </w:pPr>
            <w:r>
              <w:rPr>
                <w:rFonts w:ascii="Times New Roman" w:eastAsia="宋体" w:hAnsi="Times New Roman"/>
                <w:b/>
                <w:bCs/>
                <w:color w:val="000000"/>
                <w:sz w:val="20"/>
                <w:szCs w:val="20"/>
              </w:rPr>
              <w:t>11.2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2D"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F2E"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F2F" w14:textId="77777777" w:rsidR="007B6C97" w:rsidRDefault="00E426D1">
            <w:pPr>
              <w:jc w:val="right"/>
              <w:textAlignment w:val="bottom"/>
            </w:pPr>
            <w:r>
              <w:rPr>
                <w:rFonts w:ascii="Times New Roman" w:eastAsia="宋体" w:hAnsi="Times New Roman"/>
                <w:b/>
                <w:bCs/>
                <w:color w:val="000000"/>
                <w:sz w:val="20"/>
                <w:szCs w:val="20"/>
              </w:rPr>
              <w:t>15.4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30"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F31"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F32"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33" w14:textId="77777777" w:rsidR="007B6C97" w:rsidRDefault="00E426D1">
            <w:pPr>
              <w:jc w:val="right"/>
              <w:textAlignment w:val="bottom"/>
            </w:pPr>
            <w:r>
              <w:rPr>
                <w:rFonts w:ascii="Times New Roman" w:eastAsia="宋体" w:hAnsi="Times New Roman"/>
                <w:b/>
                <w:bCs/>
                <w:color w:val="000000"/>
                <w:sz w:val="20"/>
                <w:szCs w:val="20"/>
              </w:rPr>
              <w:t>2,403.3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3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35"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F36"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37" w14:textId="77777777" w:rsidR="007B6C97" w:rsidRDefault="00E426D1">
            <w:pPr>
              <w:jc w:val="right"/>
              <w:textAlignment w:val="bottom"/>
            </w:pPr>
            <w:r>
              <w:rPr>
                <w:rFonts w:ascii="Times New Roman" w:eastAsia="宋体" w:hAnsi="Times New Roman"/>
                <w:b/>
                <w:bCs/>
                <w:color w:val="000000"/>
                <w:sz w:val="20"/>
                <w:szCs w:val="20"/>
              </w:rPr>
              <w:t>2,434.9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3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39"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8F3A"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8F3B" w14:textId="77777777" w:rsidR="007B6C97" w:rsidRDefault="00E426D1">
            <w:pPr>
              <w:jc w:val="right"/>
              <w:textAlignment w:val="bottom"/>
            </w:pPr>
            <w:r>
              <w:rPr>
                <w:rFonts w:ascii="Times New Roman" w:eastAsia="宋体" w:hAnsi="Times New Roman"/>
                <w:b/>
                <w:bCs/>
                <w:color w:val="000000"/>
                <w:sz w:val="20"/>
                <w:szCs w:val="20"/>
              </w:rPr>
              <w:t>(31.6)</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3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3D"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F3E" w14:textId="77777777" w:rsidR="007B6C97" w:rsidRDefault="00E426D1">
            <w:pPr>
              <w:jc w:val="right"/>
              <w:textAlignment w:val="bottom"/>
            </w:pPr>
            <w:r>
              <w:rPr>
                <w:rFonts w:ascii="Times New Roman" w:eastAsia="宋体" w:hAnsi="Times New Roman"/>
                <w:b/>
                <w:bCs/>
                <w:color w:val="000000"/>
                <w:sz w:val="20"/>
                <w:szCs w:val="20"/>
              </w:rPr>
              <w:t>10.1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3F"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F40"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8F41" w14:textId="77777777" w:rsidR="007B6C97" w:rsidRDefault="00E426D1">
            <w:pPr>
              <w:jc w:val="right"/>
              <w:textAlignment w:val="bottom"/>
            </w:pPr>
            <w:r>
              <w:rPr>
                <w:rFonts w:ascii="Times New Roman" w:eastAsia="宋体" w:hAnsi="Times New Roman"/>
                <w:b/>
                <w:bCs/>
                <w:color w:val="000000"/>
                <w:sz w:val="20"/>
                <w:szCs w:val="20"/>
              </w:rPr>
              <w:t>11.6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8F42" w14:textId="77777777" w:rsidR="007B6C97" w:rsidRDefault="00E426D1">
            <w:pPr>
              <w:jc w:val="right"/>
              <w:textAlignment w:val="bottom"/>
            </w:pPr>
            <w:r>
              <w:rPr>
                <w:rFonts w:ascii="Times New Roman" w:eastAsia="宋体" w:hAnsi="Times New Roman"/>
                <w:b/>
                <w:bCs/>
                <w:color w:val="000000"/>
                <w:sz w:val="20"/>
                <w:szCs w:val="20"/>
              </w:rPr>
              <w:t>%</w:t>
            </w:r>
          </w:p>
        </w:tc>
      </w:tr>
      <w:tr w:rsidR="007B6C97" w14:paraId="64298F5C" w14:textId="77777777">
        <w:trPr>
          <w:jc w:val="center"/>
        </w:trPr>
        <w:tc>
          <w:tcPr>
            <w:tcW w:w="0" w:type="auto"/>
            <w:gridSpan w:val="3"/>
            <w:shd w:val="clear" w:color="auto" w:fill="D7E4BC"/>
            <w:tcMar>
              <w:top w:w="40" w:type="dxa"/>
              <w:left w:w="20" w:type="dxa"/>
              <w:bottom w:w="40" w:type="dxa"/>
              <w:right w:w="20" w:type="dxa"/>
            </w:tcMar>
          </w:tcPr>
          <w:p w14:paraId="64298F44" w14:textId="77777777" w:rsidR="007B6C97" w:rsidRDefault="00E426D1">
            <w:pPr>
              <w:textAlignment w:val="top"/>
            </w:pPr>
            <w:r>
              <w:rPr>
                <w:rFonts w:ascii="Times New Roman" w:eastAsia="宋体" w:hAnsi="Times New Roman"/>
                <w:color w:val="000000"/>
                <w:sz w:val="20"/>
                <w:szCs w:val="20"/>
              </w:rPr>
              <w:t>Effective tax rate including noncontrolling interests</w:t>
            </w:r>
          </w:p>
        </w:tc>
        <w:tc>
          <w:tcPr>
            <w:tcW w:w="0" w:type="auto"/>
            <w:gridSpan w:val="3"/>
            <w:shd w:val="clear" w:color="auto" w:fill="D7E4BC"/>
            <w:tcMar>
              <w:top w:w="0" w:type="dxa"/>
              <w:left w:w="20" w:type="dxa"/>
              <w:bottom w:w="0" w:type="dxa"/>
              <w:right w:w="20" w:type="dxa"/>
            </w:tcMar>
            <w:vAlign w:val="bottom"/>
          </w:tcPr>
          <w:p w14:paraId="64298F4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4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4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4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4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4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4B" w14:textId="77777777" w:rsidR="007B6C97" w:rsidRDefault="00E426D1">
            <w:pPr>
              <w:jc w:val="right"/>
              <w:textAlignment w:val="bottom"/>
            </w:pPr>
            <w:r>
              <w:rPr>
                <w:rFonts w:ascii="Times New Roman" w:eastAsia="宋体" w:hAnsi="Times New Roman"/>
                <w:color w:val="000000"/>
                <w:sz w:val="20"/>
                <w:szCs w:val="20"/>
              </w:rPr>
              <w:t>23.4 </w:t>
            </w:r>
          </w:p>
        </w:tc>
        <w:tc>
          <w:tcPr>
            <w:tcW w:w="0" w:type="auto"/>
            <w:shd w:val="clear" w:color="auto" w:fill="D7E4BC"/>
            <w:tcMar>
              <w:top w:w="40" w:type="dxa"/>
              <w:left w:w="0" w:type="dxa"/>
              <w:bottom w:w="40" w:type="dxa"/>
              <w:right w:w="20" w:type="dxa"/>
            </w:tcMar>
            <w:vAlign w:val="bottom"/>
          </w:tcPr>
          <w:p w14:paraId="64298F4C"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F4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4E" w14:textId="77777777" w:rsidR="007B6C97" w:rsidRDefault="00E426D1">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left w:w="0" w:type="dxa"/>
              <w:bottom w:w="40" w:type="dxa"/>
              <w:right w:w="20" w:type="dxa"/>
            </w:tcMar>
            <w:vAlign w:val="bottom"/>
          </w:tcPr>
          <w:p w14:paraId="64298F4F"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F5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5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57" w14:textId="77777777" w:rsidR="007B6C97" w:rsidRDefault="00E426D1">
            <w:pPr>
              <w:jc w:val="right"/>
              <w:textAlignment w:val="bottom"/>
            </w:pPr>
            <w:r>
              <w:rPr>
                <w:rFonts w:ascii="Times New Roman" w:eastAsia="宋体" w:hAnsi="Times New Roman"/>
                <w:color w:val="000000"/>
                <w:sz w:val="20"/>
                <w:szCs w:val="20"/>
              </w:rPr>
              <w:t>23.2 </w:t>
            </w:r>
          </w:p>
        </w:tc>
        <w:tc>
          <w:tcPr>
            <w:tcW w:w="0" w:type="auto"/>
            <w:shd w:val="clear" w:color="auto" w:fill="D7E4BC"/>
            <w:tcMar>
              <w:top w:w="40" w:type="dxa"/>
              <w:left w:w="0" w:type="dxa"/>
              <w:bottom w:w="40" w:type="dxa"/>
              <w:right w:w="20" w:type="dxa"/>
            </w:tcMar>
            <w:vAlign w:val="bottom"/>
          </w:tcPr>
          <w:p w14:paraId="64298F5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8F5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8F5A" w14:textId="77777777" w:rsidR="007B6C97" w:rsidRDefault="00E426D1">
            <w:pPr>
              <w:jc w:val="right"/>
              <w:textAlignment w:val="bottom"/>
            </w:pPr>
            <w:r>
              <w:rPr>
                <w:rFonts w:ascii="Times New Roman" w:eastAsia="宋体" w:hAnsi="Times New Roman"/>
                <w:color w:val="000000"/>
                <w:sz w:val="20"/>
                <w:szCs w:val="20"/>
              </w:rPr>
              <w:t>21.7 </w:t>
            </w:r>
          </w:p>
        </w:tc>
        <w:tc>
          <w:tcPr>
            <w:tcW w:w="0" w:type="auto"/>
            <w:shd w:val="clear" w:color="auto" w:fill="D7E4BC"/>
            <w:tcMar>
              <w:top w:w="40" w:type="dxa"/>
              <w:left w:w="0" w:type="dxa"/>
              <w:bottom w:w="40" w:type="dxa"/>
              <w:right w:w="20" w:type="dxa"/>
            </w:tcMar>
            <w:vAlign w:val="bottom"/>
          </w:tcPr>
          <w:p w14:paraId="64298F5B" w14:textId="77777777" w:rsidR="007B6C97" w:rsidRDefault="00E426D1">
            <w:pPr>
              <w:jc w:val="right"/>
              <w:textAlignment w:val="bottom"/>
            </w:pPr>
            <w:r>
              <w:rPr>
                <w:rFonts w:ascii="Times New Roman" w:eastAsia="宋体" w:hAnsi="Times New Roman"/>
                <w:color w:val="000000"/>
                <w:sz w:val="20"/>
                <w:szCs w:val="20"/>
              </w:rPr>
              <w:t>%</w:t>
            </w:r>
          </w:p>
        </w:tc>
      </w:tr>
    </w:tbl>
    <w:p w14:paraId="64298F5D" w14:textId="77777777" w:rsidR="007B6C97" w:rsidRDefault="007B6C97">
      <w:pPr>
        <w:ind w:firstLine="720"/>
        <w:jc w:val="center"/>
      </w:pPr>
    </w:p>
    <w:p w14:paraId="64298F5E" w14:textId="77777777" w:rsidR="007B6C97" w:rsidRDefault="00E426D1">
      <w:pPr>
        <w:spacing w:before="120"/>
      </w:pPr>
      <w:r>
        <w:rPr>
          <w:rFonts w:ascii="Times New Roman" w:eastAsia="宋体" w:hAnsi="Times New Roman"/>
          <w:i/>
          <w:iCs/>
          <w:color w:val="000000"/>
          <w:sz w:val="20"/>
          <w:szCs w:val="20"/>
        </w:rPr>
        <w:t xml:space="preserve">For the quarter ended July 3, 2022 compared with the quarter ended June 27, 2021 </w:t>
      </w:r>
    </w:p>
    <w:p w14:paraId="64298F5F" w14:textId="77777777" w:rsidR="007B6C97" w:rsidRDefault="00E426D1">
      <w:pPr>
        <w:spacing w:before="120"/>
      </w:pPr>
      <w:r>
        <w:rPr>
          <w:rFonts w:ascii="Times New Roman" w:eastAsia="宋体" w:hAnsi="Times New Roman"/>
          <w:color w:val="000000"/>
          <w:sz w:val="20"/>
          <w:szCs w:val="20"/>
        </w:rPr>
        <w:t xml:space="preserve">Interest income and other, net decreased $16 million, primarily due to lower net gains from certain investments. </w:t>
      </w:r>
    </w:p>
    <w:p w14:paraId="64298F60" w14:textId="77777777" w:rsidR="007B6C97" w:rsidRDefault="00E426D1">
      <w:pPr>
        <w:jc w:val="center"/>
      </w:pPr>
      <w:r>
        <w:rPr>
          <w:rFonts w:ascii="Times New Roman" w:eastAsia="宋体" w:hAnsi="Times New Roman"/>
          <w:color w:val="000000"/>
          <w:sz w:val="20"/>
          <w:szCs w:val="20"/>
        </w:rPr>
        <w:t>34</w:t>
      </w:r>
    </w:p>
    <w:p w14:paraId="64298F61" w14:textId="77777777" w:rsidR="007B6C97" w:rsidRDefault="00E426D1">
      <w:r>
        <w:pict w14:anchorId="642999FC">
          <v:rect id="_x0000_i1058" style="width:415.3pt;height:1.5pt" o:hralign="center" o:hrstd="t" o:hr="t" fillcolor="#a0a0a0" stroked="f"/>
        </w:pict>
      </w:r>
    </w:p>
    <w:p w14:paraId="64298F62" w14:textId="77777777" w:rsidR="007B6C97" w:rsidRDefault="00E426D1">
      <w:hyperlink r:id="rId149" w:anchor="ie38a2b375c9840e583a36769999bbee6_7" w:history="1">
        <w:r>
          <w:rPr>
            <w:rStyle w:val="a5"/>
            <w:rFonts w:ascii="Times New Roman" w:eastAsia="宋体" w:hAnsi="Times New Roman"/>
            <w:sz w:val="20"/>
            <w:szCs w:val="20"/>
          </w:rPr>
          <w:t>Table</w:t>
        </w:r>
      </w:hyperlink>
      <w:hyperlink r:id="rId150" w:anchor="ie38a2b375c9840e583a36769999bbee6_7" w:history="1">
        <w:r>
          <w:rPr>
            <w:rStyle w:val="a5"/>
            <w:rFonts w:ascii="Times New Roman" w:eastAsia="宋体" w:hAnsi="Times New Roman"/>
            <w:sz w:val="20"/>
            <w:szCs w:val="20"/>
          </w:rPr>
          <w:t xml:space="preserve"> of Contents</w:t>
        </w:r>
      </w:hyperlink>
    </w:p>
    <w:p w14:paraId="64298F63" w14:textId="77777777" w:rsidR="007B6C97" w:rsidRDefault="00E426D1">
      <w:pPr>
        <w:spacing w:before="120"/>
      </w:pPr>
      <w:r>
        <w:rPr>
          <w:rFonts w:ascii="Times New Roman" w:eastAsia="宋体" w:hAnsi="Times New Roman"/>
          <w:color w:val="000000"/>
          <w:sz w:val="20"/>
          <w:szCs w:val="20"/>
        </w:rPr>
        <w:t>Interest expense increased $10 million, primarily due to additional interest incurred on l</w:t>
      </w:r>
      <w:r>
        <w:rPr>
          <w:rFonts w:ascii="Times New Roman" w:eastAsia="宋体" w:hAnsi="Times New Roman"/>
          <w:color w:val="000000"/>
          <w:sz w:val="20"/>
          <w:szCs w:val="20"/>
        </w:rPr>
        <w:t>ong-term debt issued in February 2022.</w:t>
      </w:r>
    </w:p>
    <w:p w14:paraId="64298F64" w14:textId="77777777" w:rsidR="007B6C97" w:rsidRDefault="00E426D1">
      <w:pPr>
        <w:spacing w:before="120"/>
      </w:pPr>
      <w:r>
        <w:rPr>
          <w:rFonts w:ascii="Times New Roman" w:eastAsia="宋体" w:hAnsi="Times New Roman"/>
          <w:color w:val="000000"/>
          <w:sz w:val="20"/>
          <w:szCs w:val="20"/>
        </w:rPr>
        <w:t>The effective tax rate for the quarter ended July 3, 2022 was 23.4% compared to 18.2% for the same period in fiscal 2021. The increase was primarily due to lapping a prior year remeasurement of deferred tax assets due</w:t>
      </w:r>
      <w:r>
        <w:rPr>
          <w:rFonts w:ascii="Times New Roman" w:eastAsia="宋体" w:hAnsi="Times New Roman"/>
          <w:color w:val="000000"/>
          <w:sz w:val="20"/>
          <w:szCs w:val="20"/>
        </w:rPr>
        <w:t xml:space="preserve"> to an enacted foreign corporate rate change (approximately 510 basis points).</w:t>
      </w:r>
    </w:p>
    <w:p w14:paraId="64298F65" w14:textId="77777777" w:rsidR="007B6C97" w:rsidRDefault="00E426D1">
      <w:pPr>
        <w:spacing w:before="120"/>
        <w:jc w:val="both"/>
      </w:pPr>
      <w:r>
        <w:rPr>
          <w:rFonts w:ascii="Times New Roman" w:eastAsia="宋体" w:hAnsi="Times New Roman"/>
          <w:i/>
          <w:iCs/>
          <w:color w:val="000000"/>
          <w:sz w:val="20"/>
          <w:szCs w:val="20"/>
        </w:rPr>
        <w:t xml:space="preserve">For the three quarters ended July 3, 2022 </w:t>
      </w:r>
      <w:r>
        <w:rPr>
          <w:rFonts w:ascii="Times New Roman" w:eastAsia="宋体" w:hAnsi="Times New Roman"/>
          <w:color w:val="000000"/>
          <w:sz w:val="20"/>
          <w:szCs w:val="20"/>
        </w:rPr>
        <w:t>compared</w:t>
      </w:r>
      <w:r>
        <w:rPr>
          <w:rFonts w:ascii="Times New Roman" w:eastAsia="宋体" w:hAnsi="Times New Roman"/>
          <w:i/>
          <w:iCs/>
          <w:color w:val="000000"/>
          <w:sz w:val="20"/>
          <w:szCs w:val="20"/>
        </w:rPr>
        <w:t xml:space="preserve"> with the three quarters ended June 27, 2021 </w:t>
      </w:r>
    </w:p>
    <w:p w14:paraId="64298F66" w14:textId="77777777" w:rsidR="007B6C97" w:rsidRDefault="00E426D1">
      <w:pPr>
        <w:spacing w:before="120"/>
      </w:pPr>
      <w:r>
        <w:rPr>
          <w:rFonts w:ascii="Times New Roman" w:eastAsia="宋体" w:hAnsi="Times New Roman"/>
          <w:color w:val="000000"/>
          <w:sz w:val="20"/>
          <w:szCs w:val="20"/>
        </w:rPr>
        <w:t>Interest income and other, net decreased $3 million, primarily due to lower net g</w:t>
      </w:r>
      <w:r>
        <w:rPr>
          <w:rFonts w:ascii="Times New Roman" w:eastAsia="宋体" w:hAnsi="Times New Roman"/>
          <w:color w:val="000000"/>
          <w:sz w:val="20"/>
          <w:szCs w:val="20"/>
        </w:rPr>
        <w:t>ains from certain investments.</w:t>
      </w:r>
    </w:p>
    <w:p w14:paraId="64298F67" w14:textId="77777777" w:rsidR="007B6C97" w:rsidRDefault="00E426D1">
      <w:pPr>
        <w:spacing w:before="120"/>
      </w:pPr>
      <w:r>
        <w:rPr>
          <w:rFonts w:ascii="Times New Roman" w:eastAsia="宋体" w:hAnsi="Times New Roman"/>
          <w:color w:val="000000"/>
          <w:sz w:val="20"/>
          <w:szCs w:val="20"/>
        </w:rPr>
        <w:t>Interest expense increased $8 million, primarily due to additional interest incurred on long-term debt issued in February 2022.</w:t>
      </w:r>
    </w:p>
    <w:p w14:paraId="64298F68" w14:textId="77777777" w:rsidR="007B6C97" w:rsidRDefault="00E426D1">
      <w:pPr>
        <w:spacing w:before="120"/>
      </w:pPr>
      <w:r>
        <w:rPr>
          <w:rFonts w:ascii="Times New Roman" w:eastAsia="宋体" w:hAnsi="Times New Roman"/>
          <w:color w:val="000000"/>
          <w:sz w:val="20"/>
          <w:szCs w:val="20"/>
        </w:rPr>
        <w:t>The effective tax rate for the first three quarters ended July 3, 2022 was 23.2% compared to 21.7</w:t>
      </w:r>
      <w:r>
        <w:rPr>
          <w:rFonts w:ascii="Times New Roman" w:eastAsia="宋体" w:hAnsi="Times New Roman"/>
          <w:color w:val="000000"/>
          <w:sz w:val="20"/>
          <w:szCs w:val="20"/>
        </w:rPr>
        <w:t>% for the same period in fiscal 2021. The increase was primarily due to lapping a prior year remeasurement of deferred tax assets due to an enacted foreign corporate rate change (approximately 230 basis points).</w:t>
      </w:r>
    </w:p>
    <w:p w14:paraId="64298F69" w14:textId="77777777" w:rsidR="007B6C97" w:rsidRDefault="00E426D1">
      <w:pPr>
        <w:spacing w:before="180"/>
      </w:pPr>
      <w:r>
        <w:rPr>
          <w:rFonts w:ascii="Times New Roman" w:eastAsia="宋体" w:hAnsi="Times New Roman"/>
          <w:b/>
          <w:bCs/>
          <w:color w:val="000000"/>
          <w:sz w:val="20"/>
          <w:szCs w:val="20"/>
        </w:rPr>
        <w:t>Segment Information</w:t>
      </w:r>
    </w:p>
    <w:p w14:paraId="64298F6A" w14:textId="77777777" w:rsidR="007B6C97" w:rsidRDefault="00E426D1">
      <w:pPr>
        <w:spacing w:before="120"/>
      </w:pPr>
      <w:r>
        <w:rPr>
          <w:rFonts w:ascii="Times New Roman" w:eastAsia="宋体" w:hAnsi="Times New Roman"/>
          <w:color w:val="000000"/>
          <w:sz w:val="20"/>
          <w:szCs w:val="20"/>
        </w:rPr>
        <w:t>Results of operations by</w:t>
      </w:r>
      <w:r>
        <w:rPr>
          <w:rFonts w:ascii="Times New Roman" w:eastAsia="宋体" w:hAnsi="Times New Roman"/>
          <w:color w:val="000000"/>
          <w:sz w:val="20"/>
          <w:szCs w:val="20"/>
        </w:rPr>
        <w:t xml:space="preserve">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64298F6B" w14:textId="77777777" w:rsidR="007B6C97" w:rsidRDefault="00E426D1">
      <w:pPr>
        <w:spacing w:before="180"/>
      </w:pPr>
      <w:r>
        <w:rPr>
          <w:rFonts w:ascii="Times New Roman" w:eastAsia="宋体" w:hAnsi="Times New Roman"/>
          <w:b/>
          <w:bCs/>
          <w:i/>
          <w:iCs/>
          <w:color w:val="000000"/>
          <w:sz w:val="20"/>
          <w:szCs w:val="20"/>
        </w:rPr>
        <w:t xml:space="preserve">North America </w:t>
      </w:r>
      <w:r>
        <w:rPr>
          <w:rFonts w:ascii="Times New Roman" w:eastAsia="宋体" w:hAnsi="Times New Roman"/>
          <w:b/>
          <w:bCs/>
          <w:i/>
          <w:iCs/>
          <w:color w:val="000000"/>
          <w:sz w:val="13"/>
          <w:szCs w:val="13"/>
        </w:rPr>
        <w:t>(1)</w:t>
      </w:r>
      <w:r>
        <w:rPr>
          <w:rFonts w:ascii="Times New Roman" w:eastAsia="宋体" w:hAnsi="Times New Roman"/>
          <w:color w:val="000000"/>
          <w:sz w:val="20"/>
          <w:szCs w:val="20"/>
        </w:rPr>
        <w:t>    </w:t>
      </w:r>
    </w:p>
    <w:tbl>
      <w:tblPr>
        <w:tblW w:w="4971" w:type="pct"/>
        <w:tblCellMar>
          <w:top w:w="15" w:type="dxa"/>
          <w:left w:w="15" w:type="dxa"/>
          <w:bottom w:w="15" w:type="dxa"/>
          <w:right w:w="15" w:type="dxa"/>
        </w:tblCellMar>
        <w:tblLook w:val="04A0" w:firstRow="1" w:lastRow="0" w:firstColumn="1" w:lastColumn="0" w:noHBand="0" w:noVBand="1"/>
      </w:tblPr>
      <w:tblGrid>
        <w:gridCol w:w="265"/>
        <w:gridCol w:w="1061"/>
        <w:gridCol w:w="35"/>
        <w:gridCol w:w="100"/>
        <w:gridCol w:w="486"/>
        <w:gridCol w:w="35"/>
        <w:gridCol w:w="40"/>
        <w:gridCol w:w="33"/>
        <w:gridCol w:w="35"/>
        <w:gridCol w:w="100"/>
        <w:gridCol w:w="486"/>
        <w:gridCol w:w="35"/>
        <w:gridCol w:w="40"/>
        <w:gridCol w:w="32"/>
        <w:gridCol w:w="34"/>
        <w:gridCol w:w="99"/>
        <w:gridCol w:w="375"/>
        <w:gridCol w:w="34"/>
        <w:gridCol w:w="40"/>
        <w:gridCol w:w="31"/>
        <w:gridCol w:w="34"/>
        <w:gridCol w:w="65"/>
        <w:gridCol w:w="335"/>
        <w:gridCol w:w="169"/>
        <w:gridCol w:w="40"/>
        <w:gridCol w:w="31"/>
        <w:gridCol w:w="34"/>
        <w:gridCol w:w="65"/>
        <w:gridCol w:w="335"/>
        <w:gridCol w:w="169"/>
        <w:gridCol w:w="40"/>
        <w:gridCol w:w="31"/>
        <w:gridCol w:w="34"/>
        <w:gridCol w:w="99"/>
        <w:gridCol w:w="558"/>
        <w:gridCol w:w="34"/>
        <w:gridCol w:w="40"/>
        <w:gridCol w:w="31"/>
        <w:gridCol w:w="34"/>
        <w:gridCol w:w="99"/>
        <w:gridCol w:w="558"/>
        <w:gridCol w:w="34"/>
        <w:gridCol w:w="40"/>
        <w:gridCol w:w="31"/>
        <w:gridCol w:w="34"/>
        <w:gridCol w:w="99"/>
        <w:gridCol w:w="485"/>
        <w:gridCol w:w="34"/>
        <w:gridCol w:w="40"/>
        <w:gridCol w:w="31"/>
        <w:gridCol w:w="34"/>
        <w:gridCol w:w="65"/>
        <w:gridCol w:w="335"/>
        <w:gridCol w:w="169"/>
        <w:gridCol w:w="40"/>
        <w:gridCol w:w="31"/>
        <w:gridCol w:w="34"/>
        <w:gridCol w:w="65"/>
        <w:gridCol w:w="335"/>
        <w:gridCol w:w="169"/>
      </w:tblGrid>
      <w:tr w:rsidR="007B6C97" w14:paraId="64298FA8" w14:textId="77777777">
        <w:tc>
          <w:tcPr>
            <w:tcW w:w="50" w:type="pct"/>
            <w:shd w:val="clear" w:color="auto" w:fill="auto"/>
            <w:vAlign w:val="bottom"/>
          </w:tcPr>
          <w:p w14:paraId="64298F6C" w14:textId="77777777" w:rsidR="007B6C97" w:rsidRDefault="007B6C97">
            <w:pPr>
              <w:rPr>
                <w:rFonts w:ascii="宋体"/>
              </w:rPr>
            </w:pPr>
          </w:p>
        </w:tc>
        <w:tc>
          <w:tcPr>
            <w:tcW w:w="753" w:type="pct"/>
            <w:shd w:val="clear" w:color="auto" w:fill="auto"/>
            <w:vAlign w:val="bottom"/>
          </w:tcPr>
          <w:p w14:paraId="64298F6D" w14:textId="77777777" w:rsidR="007B6C97" w:rsidRDefault="007B6C97">
            <w:pPr>
              <w:rPr>
                <w:rFonts w:ascii="宋体"/>
              </w:rPr>
            </w:pPr>
          </w:p>
        </w:tc>
        <w:tc>
          <w:tcPr>
            <w:tcW w:w="5" w:type="pct"/>
            <w:shd w:val="clear" w:color="auto" w:fill="auto"/>
            <w:vAlign w:val="bottom"/>
          </w:tcPr>
          <w:p w14:paraId="64298F6E" w14:textId="77777777" w:rsidR="007B6C97" w:rsidRDefault="007B6C97">
            <w:pPr>
              <w:rPr>
                <w:rFonts w:ascii="宋体"/>
              </w:rPr>
            </w:pPr>
          </w:p>
        </w:tc>
        <w:tc>
          <w:tcPr>
            <w:tcW w:w="50" w:type="pct"/>
            <w:shd w:val="clear" w:color="auto" w:fill="auto"/>
            <w:vAlign w:val="bottom"/>
          </w:tcPr>
          <w:p w14:paraId="64298F6F" w14:textId="77777777" w:rsidR="007B6C97" w:rsidRDefault="007B6C97">
            <w:pPr>
              <w:rPr>
                <w:rFonts w:ascii="宋体"/>
              </w:rPr>
            </w:pPr>
          </w:p>
        </w:tc>
        <w:tc>
          <w:tcPr>
            <w:tcW w:w="378" w:type="pct"/>
            <w:shd w:val="clear" w:color="auto" w:fill="auto"/>
            <w:vAlign w:val="bottom"/>
          </w:tcPr>
          <w:p w14:paraId="64298F70" w14:textId="77777777" w:rsidR="007B6C97" w:rsidRDefault="007B6C97">
            <w:pPr>
              <w:rPr>
                <w:rFonts w:ascii="宋体"/>
              </w:rPr>
            </w:pPr>
          </w:p>
        </w:tc>
        <w:tc>
          <w:tcPr>
            <w:tcW w:w="5" w:type="pct"/>
            <w:shd w:val="clear" w:color="auto" w:fill="auto"/>
            <w:vAlign w:val="bottom"/>
          </w:tcPr>
          <w:p w14:paraId="64298F71" w14:textId="77777777" w:rsidR="007B6C97" w:rsidRDefault="007B6C97">
            <w:pPr>
              <w:rPr>
                <w:rFonts w:ascii="宋体"/>
              </w:rPr>
            </w:pPr>
          </w:p>
        </w:tc>
        <w:tc>
          <w:tcPr>
            <w:tcW w:w="5" w:type="pct"/>
            <w:shd w:val="clear" w:color="auto" w:fill="auto"/>
            <w:vAlign w:val="bottom"/>
          </w:tcPr>
          <w:p w14:paraId="64298F72" w14:textId="77777777" w:rsidR="007B6C97" w:rsidRDefault="007B6C97">
            <w:pPr>
              <w:rPr>
                <w:rFonts w:ascii="宋体"/>
              </w:rPr>
            </w:pPr>
          </w:p>
        </w:tc>
        <w:tc>
          <w:tcPr>
            <w:tcW w:w="19" w:type="pct"/>
            <w:shd w:val="clear" w:color="auto" w:fill="auto"/>
            <w:vAlign w:val="bottom"/>
          </w:tcPr>
          <w:p w14:paraId="64298F73" w14:textId="77777777" w:rsidR="007B6C97" w:rsidRDefault="007B6C97">
            <w:pPr>
              <w:rPr>
                <w:rFonts w:ascii="宋体"/>
              </w:rPr>
            </w:pPr>
          </w:p>
        </w:tc>
        <w:tc>
          <w:tcPr>
            <w:tcW w:w="5" w:type="pct"/>
            <w:shd w:val="clear" w:color="auto" w:fill="auto"/>
            <w:vAlign w:val="bottom"/>
          </w:tcPr>
          <w:p w14:paraId="64298F74" w14:textId="77777777" w:rsidR="007B6C97" w:rsidRDefault="007B6C97">
            <w:pPr>
              <w:rPr>
                <w:rFonts w:ascii="宋体"/>
              </w:rPr>
            </w:pPr>
          </w:p>
        </w:tc>
        <w:tc>
          <w:tcPr>
            <w:tcW w:w="50" w:type="pct"/>
            <w:shd w:val="clear" w:color="auto" w:fill="auto"/>
            <w:vAlign w:val="bottom"/>
          </w:tcPr>
          <w:p w14:paraId="64298F75" w14:textId="77777777" w:rsidR="007B6C97" w:rsidRDefault="007B6C97">
            <w:pPr>
              <w:rPr>
                <w:rFonts w:ascii="宋体"/>
              </w:rPr>
            </w:pPr>
          </w:p>
        </w:tc>
        <w:tc>
          <w:tcPr>
            <w:tcW w:w="378" w:type="pct"/>
            <w:shd w:val="clear" w:color="auto" w:fill="auto"/>
            <w:vAlign w:val="bottom"/>
          </w:tcPr>
          <w:p w14:paraId="64298F76" w14:textId="77777777" w:rsidR="007B6C97" w:rsidRDefault="007B6C97">
            <w:pPr>
              <w:rPr>
                <w:rFonts w:ascii="宋体"/>
              </w:rPr>
            </w:pPr>
          </w:p>
        </w:tc>
        <w:tc>
          <w:tcPr>
            <w:tcW w:w="5" w:type="pct"/>
            <w:shd w:val="clear" w:color="auto" w:fill="auto"/>
            <w:vAlign w:val="bottom"/>
          </w:tcPr>
          <w:p w14:paraId="64298F77" w14:textId="77777777" w:rsidR="007B6C97" w:rsidRDefault="007B6C97">
            <w:pPr>
              <w:rPr>
                <w:rFonts w:ascii="宋体"/>
              </w:rPr>
            </w:pPr>
          </w:p>
        </w:tc>
        <w:tc>
          <w:tcPr>
            <w:tcW w:w="5" w:type="pct"/>
            <w:shd w:val="clear" w:color="auto" w:fill="auto"/>
            <w:vAlign w:val="bottom"/>
          </w:tcPr>
          <w:p w14:paraId="64298F78" w14:textId="77777777" w:rsidR="007B6C97" w:rsidRDefault="007B6C97">
            <w:pPr>
              <w:rPr>
                <w:rFonts w:ascii="宋体"/>
              </w:rPr>
            </w:pPr>
          </w:p>
        </w:tc>
        <w:tc>
          <w:tcPr>
            <w:tcW w:w="19" w:type="pct"/>
            <w:shd w:val="clear" w:color="auto" w:fill="auto"/>
            <w:vAlign w:val="bottom"/>
          </w:tcPr>
          <w:p w14:paraId="64298F79" w14:textId="77777777" w:rsidR="007B6C97" w:rsidRDefault="007B6C97">
            <w:pPr>
              <w:rPr>
                <w:rFonts w:ascii="宋体"/>
              </w:rPr>
            </w:pPr>
          </w:p>
        </w:tc>
        <w:tc>
          <w:tcPr>
            <w:tcW w:w="5" w:type="pct"/>
            <w:shd w:val="clear" w:color="auto" w:fill="auto"/>
            <w:vAlign w:val="bottom"/>
          </w:tcPr>
          <w:p w14:paraId="64298F7A" w14:textId="77777777" w:rsidR="007B6C97" w:rsidRDefault="007B6C97">
            <w:pPr>
              <w:rPr>
                <w:rFonts w:ascii="宋体"/>
              </w:rPr>
            </w:pPr>
          </w:p>
        </w:tc>
        <w:tc>
          <w:tcPr>
            <w:tcW w:w="50" w:type="pct"/>
            <w:shd w:val="clear" w:color="auto" w:fill="auto"/>
            <w:vAlign w:val="bottom"/>
          </w:tcPr>
          <w:p w14:paraId="64298F7B" w14:textId="77777777" w:rsidR="007B6C97" w:rsidRDefault="007B6C97">
            <w:pPr>
              <w:rPr>
                <w:rFonts w:ascii="宋体"/>
              </w:rPr>
            </w:pPr>
          </w:p>
        </w:tc>
        <w:tc>
          <w:tcPr>
            <w:tcW w:w="305" w:type="pct"/>
            <w:shd w:val="clear" w:color="auto" w:fill="auto"/>
            <w:vAlign w:val="bottom"/>
          </w:tcPr>
          <w:p w14:paraId="64298F7C" w14:textId="77777777" w:rsidR="007B6C97" w:rsidRDefault="007B6C97">
            <w:pPr>
              <w:rPr>
                <w:rFonts w:ascii="宋体"/>
              </w:rPr>
            </w:pPr>
          </w:p>
        </w:tc>
        <w:tc>
          <w:tcPr>
            <w:tcW w:w="5" w:type="pct"/>
            <w:shd w:val="clear" w:color="auto" w:fill="auto"/>
            <w:vAlign w:val="bottom"/>
          </w:tcPr>
          <w:p w14:paraId="64298F7D" w14:textId="77777777" w:rsidR="007B6C97" w:rsidRDefault="007B6C97">
            <w:pPr>
              <w:rPr>
                <w:rFonts w:ascii="宋体"/>
              </w:rPr>
            </w:pPr>
          </w:p>
        </w:tc>
        <w:tc>
          <w:tcPr>
            <w:tcW w:w="5" w:type="pct"/>
            <w:shd w:val="clear" w:color="auto" w:fill="auto"/>
            <w:vAlign w:val="bottom"/>
          </w:tcPr>
          <w:p w14:paraId="64298F7E" w14:textId="77777777" w:rsidR="007B6C97" w:rsidRDefault="007B6C97">
            <w:pPr>
              <w:rPr>
                <w:rFonts w:ascii="宋体"/>
              </w:rPr>
            </w:pPr>
          </w:p>
        </w:tc>
        <w:tc>
          <w:tcPr>
            <w:tcW w:w="19" w:type="pct"/>
            <w:shd w:val="clear" w:color="auto" w:fill="auto"/>
            <w:vAlign w:val="bottom"/>
          </w:tcPr>
          <w:p w14:paraId="64298F7F" w14:textId="77777777" w:rsidR="007B6C97" w:rsidRDefault="007B6C97">
            <w:pPr>
              <w:rPr>
                <w:rFonts w:ascii="宋体"/>
              </w:rPr>
            </w:pPr>
          </w:p>
        </w:tc>
        <w:tc>
          <w:tcPr>
            <w:tcW w:w="5" w:type="pct"/>
            <w:shd w:val="clear" w:color="auto" w:fill="auto"/>
            <w:vAlign w:val="bottom"/>
          </w:tcPr>
          <w:p w14:paraId="64298F80" w14:textId="77777777" w:rsidR="007B6C97" w:rsidRDefault="007B6C97">
            <w:pPr>
              <w:rPr>
                <w:rFonts w:ascii="宋体"/>
              </w:rPr>
            </w:pPr>
          </w:p>
        </w:tc>
        <w:tc>
          <w:tcPr>
            <w:tcW w:w="50" w:type="pct"/>
            <w:shd w:val="clear" w:color="auto" w:fill="auto"/>
            <w:vAlign w:val="bottom"/>
          </w:tcPr>
          <w:p w14:paraId="64298F81" w14:textId="77777777" w:rsidR="007B6C97" w:rsidRDefault="007B6C97">
            <w:pPr>
              <w:rPr>
                <w:rFonts w:ascii="宋体"/>
              </w:rPr>
            </w:pPr>
          </w:p>
        </w:tc>
        <w:tc>
          <w:tcPr>
            <w:tcW w:w="305" w:type="pct"/>
            <w:shd w:val="clear" w:color="auto" w:fill="auto"/>
            <w:vAlign w:val="bottom"/>
          </w:tcPr>
          <w:p w14:paraId="64298F82" w14:textId="77777777" w:rsidR="007B6C97" w:rsidRDefault="007B6C97">
            <w:pPr>
              <w:rPr>
                <w:rFonts w:ascii="宋体"/>
              </w:rPr>
            </w:pPr>
          </w:p>
        </w:tc>
        <w:tc>
          <w:tcPr>
            <w:tcW w:w="5" w:type="pct"/>
            <w:shd w:val="clear" w:color="auto" w:fill="auto"/>
            <w:vAlign w:val="bottom"/>
          </w:tcPr>
          <w:p w14:paraId="64298F83" w14:textId="77777777" w:rsidR="007B6C97" w:rsidRDefault="007B6C97">
            <w:pPr>
              <w:rPr>
                <w:rFonts w:ascii="宋体"/>
              </w:rPr>
            </w:pPr>
          </w:p>
        </w:tc>
        <w:tc>
          <w:tcPr>
            <w:tcW w:w="5" w:type="pct"/>
            <w:shd w:val="clear" w:color="auto" w:fill="auto"/>
            <w:vAlign w:val="bottom"/>
          </w:tcPr>
          <w:p w14:paraId="64298F84" w14:textId="77777777" w:rsidR="007B6C97" w:rsidRDefault="007B6C97">
            <w:pPr>
              <w:rPr>
                <w:rFonts w:ascii="宋体"/>
              </w:rPr>
            </w:pPr>
          </w:p>
        </w:tc>
        <w:tc>
          <w:tcPr>
            <w:tcW w:w="19" w:type="pct"/>
            <w:shd w:val="clear" w:color="auto" w:fill="auto"/>
            <w:vAlign w:val="bottom"/>
          </w:tcPr>
          <w:p w14:paraId="64298F85" w14:textId="77777777" w:rsidR="007B6C97" w:rsidRDefault="007B6C97">
            <w:pPr>
              <w:rPr>
                <w:rFonts w:ascii="宋体"/>
              </w:rPr>
            </w:pPr>
          </w:p>
        </w:tc>
        <w:tc>
          <w:tcPr>
            <w:tcW w:w="5" w:type="pct"/>
            <w:shd w:val="clear" w:color="auto" w:fill="auto"/>
            <w:vAlign w:val="bottom"/>
          </w:tcPr>
          <w:p w14:paraId="64298F86" w14:textId="77777777" w:rsidR="007B6C97" w:rsidRDefault="007B6C97">
            <w:pPr>
              <w:rPr>
                <w:rFonts w:ascii="宋体"/>
              </w:rPr>
            </w:pPr>
          </w:p>
        </w:tc>
        <w:tc>
          <w:tcPr>
            <w:tcW w:w="50" w:type="pct"/>
            <w:shd w:val="clear" w:color="auto" w:fill="auto"/>
            <w:vAlign w:val="bottom"/>
          </w:tcPr>
          <w:p w14:paraId="64298F87" w14:textId="77777777" w:rsidR="007B6C97" w:rsidRDefault="007B6C97">
            <w:pPr>
              <w:rPr>
                <w:rFonts w:ascii="宋体"/>
              </w:rPr>
            </w:pPr>
          </w:p>
        </w:tc>
        <w:tc>
          <w:tcPr>
            <w:tcW w:w="305" w:type="pct"/>
            <w:shd w:val="clear" w:color="auto" w:fill="auto"/>
            <w:vAlign w:val="bottom"/>
          </w:tcPr>
          <w:p w14:paraId="64298F88" w14:textId="77777777" w:rsidR="007B6C97" w:rsidRDefault="007B6C97">
            <w:pPr>
              <w:rPr>
                <w:rFonts w:ascii="宋体"/>
              </w:rPr>
            </w:pPr>
          </w:p>
        </w:tc>
        <w:tc>
          <w:tcPr>
            <w:tcW w:w="5" w:type="pct"/>
            <w:shd w:val="clear" w:color="auto" w:fill="auto"/>
            <w:vAlign w:val="bottom"/>
          </w:tcPr>
          <w:p w14:paraId="64298F89" w14:textId="77777777" w:rsidR="007B6C97" w:rsidRDefault="007B6C97">
            <w:pPr>
              <w:rPr>
                <w:rFonts w:ascii="宋体"/>
              </w:rPr>
            </w:pPr>
          </w:p>
        </w:tc>
        <w:tc>
          <w:tcPr>
            <w:tcW w:w="5" w:type="pct"/>
            <w:shd w:val="clear" w:color="auto" w:fill="auto"/>
            <w:vAlign w:val="bottom"/>
          </w:tcPr>
          <w:p w14:paraId="64298F8A" w14:textId="77777777" w:rsidR="007B6C97" w:rsidRDefault="007B6C97">
            <w:pPr>
              <w:rPr>
                <w:rFonts w:ascii="宋体"/>
              </w:rPr>
            </w:pPr>
          </w:p>
        </w:tc>
        <w:tc>
          <w:tcPr>
            <w:tcW w:w="19" w:type="pct"/>
            <w:shd w:val="clear" w:color="auto" w:fill="auto"/>
            <w:vAlign w:val="bottom"/>
          </w:tcPr>
          <w:p w14:paraId="64298F8B" w14:textId="77777777" w:rsidR="007B6C97" w:rsidRDefault="007B6C97">
            <w:pPr>
              <w:rPr>
                <w:rFonts w:ascii="宋体"/>
              </w:rPr>
            </w:pPr>
          </w:p>
        </w:tc>
        <w:tc>
          <w:tcPr>
            <w:tcW w:w="5" w:type="pct"/>
            <w:shd w:val="clear" w:color="auto" w:fill="auto"/>
            <w:vAlign w:val="bottom"/>
          </w:tcPr>
          <w:p w14:paraId="64298F8C" w14:textId="77777777" w:rsidR="007B6C97" w:rsidRDefault="007B6C97">
            <w:pPr>
              <w:rPr>
                <w:rFonts w:ascii="宋体"/>
              </w:rPr>
            </w:pPr>
          </w:p>
        </w:tc>
        <w:tc>
          <w:tcPr>
            <w:tcW w:w="50" w:type="pct"/>
            <w:shd w:val="clear" w:color="auto" w:fill="auto"/>
            <w:vAlign w:val="bottom"/>
          </w:tcPr>
          <w:p w14:paraId="64298F8D" w14:textId="77777777" w:rsidR="007B6C97" w:rsidRDefault="007B6C97">
            <w:pPr>
              <w:rPr>
                <w:rFonts w:ascii="宋体"/>
              </w:rPr>
            </w:pPr>
          </w:p>
        </w:tc>
        <w:tc>
          <w:tcPr>
            <w:tcW w:w="378" w:type="pct"/>
            <w:shd w:val="clear" w:color="auto" w:fill="auto"/>
            <w:vAlign w:val="bottom"/>
          </w:tcPr>
          <w:p w14:paraId="64298F8E" w14:textId="77777777" w:rsidR="007B6C97" w:rsidRDefault="007B6C97">
            <w:pPr>
              <w:rPr>
                <w:rFonts w:ascii="宋体"/>
              </w:rPr>
            </w:pPr>
          </w:p>
        </w:tc>
        <w:tc>
          <w:tcPr>
            <w:tcW w:w="5" w:type="pct"/>
            <w:shd w:val="clear" w:color="auto" w:fill="auto"/>
            <w:vAlign w:val="bottom"/>
          </w:tcPr>
          <w:p w14:paraId="64298F8F" w14:textId="77777777" w:rsidR="007B6C97" w:rsidRDefault="007B6C97">
            <w:pPr>
              <w:rPr>
                <w:rFonts w:ascii="宋体"/>
              </w:rPr>
            </w:pPr>
          </w:p>
        </w:tc>
        <w:tc>
          <w:tcPr>
            <w:tcW w:w="5" w:type="pct"/>
            <w:shd w:val="clear" w:color="auto" w:fill="auto"/>
            <w:vAlign w:val="bottom"/>
          </w:tcPr>
          <w:p w14:paraId="64298F90" w14:textId="77777777" w:rsidR="007B6C97" w:rsidRDefault="007B6C97">
            <w:pPr>
              <w:rPr>
                <w:rFonts w:ascii="宋体"/>
              </w:rPr>
            </w:pPr>
          </w:p>
        </w:tc>
        <w:tc>
          <w:tcPr>
            <w:tcW w:w="19" w:type="pct"/>
            <w:shd w:val="clear" w:color="auto" w:fill="auto"/>
            <w:vAlign w:val="bottom"/>
          </w:tcPr>
          <w:p w14:paraId="64298F91" w14:textId="77777777" w:rsidR="007B6C97" w:rsidRDefault="007B6C97">
            <w:pPr>
              <w:rPr>
                <w:rFonts w:ascii="宋体"/>
              </w:rPr>
            </w:pPr>
          </w:p>
        </w:tc>
        <w:tc>
          <w:tcPr>
            <w:tcW w:w="5" w:type="pct"/>
            <w:shd w:val="clear" w:color="auto" w:fill="auto"/>
            <w:vAlign w:val="bottom"/>
          </w:tcPr>
          <w:p w14:paraId="64298F92" w14:textId="77777777" w:rsidR="007B6C97" w:rsidRDefault="007B6C97">
            <w:pPr>
              <w:rPr>
                <w:rFonts w:ascii="宋体"/>
              </w:rPr>
            </w:pPr>
          </w:p>
        </w:tc>
        <w:tc>
          <w:tcPr>
            <w:tcW w:w="50" w:type="pct"/>
            <w:shd w:val="clear" w:color="auto" w:fill="auto"/>
            <w:vAlign w:val="bottom"/>
          </w:tcPr>
          <w:p w14:paraId="64298F93" w14:textId="77777777" w:rsidR="007B6C97" w:rsidRDefault="007B6C97">
            <w:pPr>
              <w:rPr>
                <w:rFonts w:ascii="宋体"/>
              </w:rPr>
            </w:pPr>
          </w:p>
        </w:tc>
        <w:tc>
          <w:tcPr>
            <w:tcW w:w="378" w:type="pct"/>
            <w:shd w:val="clear" w:color="auto" w:fill="auto"/>
            <w:vAlign w:val="bottom"/>
          </w:tcPr>
          <w:p w14:paraId="64298F94" w14:textId="77777777" w:rsidR="007B6C97" w:rsidRDefault="007B6C97">
            <w:pPr>
              <w:rPr>
                <w:rFonts w:ascii="宋体"/>
              </w:rPr>
            </w:pPr>
          </w:p>
        </w:tc>
        <w:tc>
          <w:tcPr>
            <w:tcW w:w="5" w:type="pct"/>
            <w:shd w:val="clear" w:color="auto" w:fill="auto"/>
            <w:vAlign w:val="bottom"/>
          </w:tcPr>
          <w:p w14:paraId="64298F95" w14:textId="77777777" w:rsidR="007B6C97" w:rsidRDefault="007B6C97">
            <w:pPr>
              <w:rPr>
                <w:rFonts w:ascii="宋体"/>
              </w:rPr>
            </w:pPr>
          </w:p>
        </w:tc>
        <w:tc>
          <w:tcPr>
            <w:tcW w:w="5" w:type="pct"/>
            <w:shd w:val="clear" w:color="auto" w:fill="auto"/>
            <w:vAlign w:val="bottom"/>
          </w:tcPr>
          <w:p w14:paraId="64298F96" w14:textId="77777777" w:rsidR="007B6C97" w:rsidRDefault="007B6C97">
            <w:pPr>
              <w:rPr>
                <w:rFonts w:ascii="宋体"/>
              </w:rPr>
            </w:pPr>
          </w:p>
        </w:tc>
        <w:tc>
          <w:tcPr>
            <w:tcW w:w="19" w:type="pct"/>
            <w:shd w:val="clear" w:color="auto" w:fill="auto"/>
            <w:vAlign w:val="bottom"/>
          </w:tcPr>
          <w:p w14:paraId="64298F97" w14:textId="77777777" w:rsidR="007B6C97" w:rsidRDefault="007B6C97">
            <w:pPr>
              <w:rPr>
                <w:rFonts w:ascii="宋体"/>
              </w:rPr>
            </w:pPr>
          </w:p>
        </w:tc>
        <w:tc>
          <w:tcPr>
            <w:tcW w:w="5" w:type="pct"/>
            <w:shd w:val="clear" w:color="auto" w:fill="auto"/>
            <w:vAlign w:val="bottom"/>
          </w:tcPr>
          <w:p w14:paraId="64298F98" w14:textId="77777777" w:rsidR="007B6C97" w:rsidRDefault="007B6C97">
            <w:pPr>
              <w:rPr>
                <w:rFonts w:ascii="宋体"/>
              </w:rPr>
            </w:pPr>
          </w:p>
        </w:tc>
        <w:tc>
          <w:tcPr>
            <w:tcW w:w="50" w:type="pct"/>
            <w:shd w:val="clear" w:color="auto" w:fill="auto"/>
            <w:vAlign w:val="bottom"/>
          </w:tcPr>
          <w:p w14:paraId="64298F99" w14:textId="77777777" w:rsidR="007B6C97" w:rsidRDefault="007B6C97">
            <w:pPr>
              <w:rPr>
                <w:rFonts w:ascii="宋体"/>
              </w:rPr>
            </w:pPr>
          </w:p>
        </w:tc>
        <w:tc>
          <w:tcPr>
            <w:tcW w:w="334" w:type="pct"/>
            <w:shd w:val="clear" w:color="auto" w:fill="auto"/>
            <w:vAlign w:val="bottom"/>
          </w:tcPr>
          <w:p w14:paraId="64298F9A" w14:textId="77777777" w:rsidR="007B6C97" w:rsidRDefault="007B6C97">
            <w:pPr>
              <w:rPr>
                <w:rFonts w:ascii="宋体"/>
              </w:rPr>
            </w:pPr>
          </w:p>
        </w:tc>
        <w:tc>
          <w:tcPr>
            <w:tcW w:w="5" w:type="pct"/>
            <w:shd w:val="clear" w:color="auto" w:fill="auto"/>
            <w:vAlign w:val="bottom"/>
          </w:tcPr>
          <w:p w14:paraId="64298F9B" w14:textId="77777777" w:rsidR="007B6C97" w:rsidRDefault="007B6C97">
            <w:pPr>
              <w:rPr>
                <w:rFonts w:ascii="宋体"/>
              </w:rPr>
            </w:pPr>
          </w:p>
        </w:tc>
        <w:tc>
          <w:tcPr>
            <w:tcW w:w="5" w:type="pct"/>
            <w:shd w:val="clear" w:color="auto" w:fill="auto"/>
            <w:vAlign w:val="bottom"/>
          </w:tcPr>
          <w:p w14:paraId="64298F9C" w14:textId="77777777" w:rsidR="007B6C97" w:rsidRDefault="007B6C97">
            <w:pPr>
              <w:rPr>
                <w:rFonts w:ascii="宋体"/>
              </w:rPr>
            </w:pPr>
          </w:p>
        </w:tc>
        <w:tc>
          <w:tcPr>
            <w:tcW w:w="19" w:type="pct"/>
            <w:shd w:val="clear" w:color="auto" w:fill="auto"/>
            <w:vAlign w:val="bottom"/>
          </w:tcPr>
          <w:p w14:paraId="64298F9D" w14:textId="77777777" w:rsidR="007B6C97" w:rsidRDefault="007B6C97">
            <w:pPr>
              <w:rPr>
                <w:rFonts w:ascii="宋体"/>
              </w:rPr>
            </w:pPr>
          </w:p>
        </w:tc>
        <w:tc>
          <w:tcPr>
            <w:tcW w:w="5" w:type="pct"/>
            <w:shd w:val="clear" w:color="auto" w:fill="auto"/>
            <w:vAlign w:val="bottom"/>
          </w:tcPr>
          <w:p w14:paraId="64298F9E" w14:textId="77777777" w:rsidR="007B6C97" w:rsidRDefault="007B6C97">
            <w:pPr>
              <w:rPr>
                <w:rFonts w:ascii="宋体"/>
              </w:rPr>
            </w:pPr>
          </w:p>
        </w:tc>
        <w:tc>
          <w:tcPr>
            <w:tcW w:w="50" w:type="pct"/>
            <w:shd w:val="clear" w:color="auto" w:fill="auto"/>
            <w:vAlign w:val="bottom"/>
          </w:tcPr>
          <w:p w14:paraId="64298F9F" w14:textId="77777777" w:rsidR="007B6C97" w:rsidRDefault="007B6C97">
            <w:pPr>
              <w:rPr>
                <w:rFonts w:ascii="宋体"/>
              </w:rPr>
            </w:pPr>
          </w:p>
        </w:tc>
        <w:tc>
          <w:tcPr>
            <w:tcW w:w="305" w:type="pct"/>
            <w:shd w:val="clear" w:color="auto" w:fill="auto"/>
            <w:vAlign w:val="bottom"/>
          </w:tcPr>
          <w:p w14:paraId="64298FA0" w14:textId="77777777" w:rsidR="007B6C97" w:rsidRDefault="007B6C97">
            <w:pPr>
              <w:rPr>
                <w:rFonts w:ascii="宋体"/>
              </w:rPr>
            </w:pPr>
          </w:p>
        </w:tc>
        <w:tc>
          <w:tcPr>
            <w:tcW w:w="5" w:type="pct"/>
            <w:shd w:val="clear" w:color="auto" w:fill="auto"/>
            <w:vAlign w:val="bottom"/>
          </w:tcPr>
          <w:p w14:paraId="64298FA1" w14:textId="77777777" w:rsidR="007B6C97" w:rsidRDefault="007B6C97">
            <w:pPr>
              <w:rPr>
                <w:rFonts w:ascii="宋体"/>
              </w:rPr>
            </w:pPr>
          </w:p>
        </w:tc>
        <w:tc>
          <w:tcPr>
            <w:tcW w:w="5" w:type="pct"/>
            <w:shd w:val="clear" w:color="auto" w:fill="auto"/>
            <w:vAlign w:val="bottom"/>
          </w:tcPr>
          <w:p w14:paraId="64298FA2" w14:textId="77777777" w:rsidR="007B6C97" w:rsidRDefault="007B6C97">
            <w:pPr>
              <w:rPr>
                <w:rFonts w:ascii="宋体"/>
              </w:rPr>
            </w:pPr>
          </w:p>
        </w:tc>
        <w:tc>
          <w:tcPr>
            <w:tcW w:w="19" w:type="pct"/>
            <w:shd w:val="clear" w:color="auto" w:fill="auto"/>
            <w:vAlign w:val="bottom"/>
          </w:tcPr>
          <w:p w14:paraId="64298FA3" w14:textId="77777777" w:rsidR="007B6C97" w:rsidRDefault="007B6C97">
            <w:pPr>
              <w:rPr>
                <w:rFonts w:ascii="宋体"/>
              </w:rPr>
            </w:pPr>
          </w:p>
        </w:tc>
        <w:tc>
          <w:tcPr>
            <w:tcW w:w="5" w:type="pct"/>
            <w:shd w:val="clear" w:color="auto" w:fill="auto"/>
            <w:vAlign w:val="bottom"/>
          </w:tcPr>
          <w:p w14:paraId="64298FA4" w14:textId="77777777" w:rsidR="007B6C97" w:rsidRDefault="007B6C97">
            <w:pPr>
              <w:rPr>
                <w:rFonts w:ascii="宋体"/>
              </w:rPr>
            </w:pPr>
          </w:p>
        </w:tc>
        <w:tc>
          <w:tcPr>
            <w:tcW w:w="50" w:type="pct"/>
            <w:shd w:val="clear" w:color="auto" w:fill="auto"/>
            <w:vAlign w:val="bottom"/>
          </w:tcPr>
          <w:p w14:paraId="64298FA5" w14:textId="77777777" w:rsidR="007B6C97" w:rsidRDefault="007B6C97">
            <w:pPr>
              <w:rPr>
                <w:rFonts w:ascii="宋体"/>
              </w:rPr>
            </w:pPr>
          </w:p>
        </w:tc>
        <w:tc>
          <w:tcPr>
            <w:tcW w:w="305" w:type="pct"/>
            <w:shd w:val="clear" w:color="auto" w:fill="auto"/>
            <w:vAlign w:val="bottom"/>
          </w:tcPr>
          <w:p w14:paraId="64298FA6" w14:textId="77777777" w:rsidR="007B6C97" w:rsidRDefault="007B6C97">
            <w:pPr>
              <w:rPr>
                <w:rFonts w:ascii="宋体"/>
              </w:rPr>
            </w:pPr>
          </w:p>
        </w:tc>
        <w:tc>
          <w:tcPr>
            <w:tcW w:w="5" w:type="pct"/>
            <w:shd w:val="clear" w:color="auto" w:fill="auto"/>
            <w:vAlign w:val="bottom"/>
          </w:tcPr>
          <w:p w14:paraId="64298FA7" w14:textId="77777777" w:rsidR="007B6C97" w:rsidRDefault="007B6C97">
            <w:pPr>
              <w:rPr>
                <w:rFonts w:ascii="宋体"/>
              </w:rPr>
            </w:pPr>
          </w:p>
        </w:tc>
      </w:tr>
      <w:tr w:rsidR="007B6C97" w14:paraId="64298FAD" w14:textId="77777777">
        <w:tc>
          <w:tcPr>
            <w:tcW w:w="0" w:type="auto"/>
            <w:gridSpan w:val="3"/>
            <w:shd w:val="clear" w:color="auto" w:fill="auto"/>
            <w:tcMar>
              <w:top w:w="40" w:type="dxa"/>
              <w:left w:w="20" w:type="dxa"/>
              <w:bottom w:w="40" w:type="dxa"/>
              <w:right w:w="20" w:type="dxa"/>
            </w:tcMar>
            <w:vAlign w:val="bottom"/>
          </w:tcPr>
          <w:p w14:paraId="64298FA9" w14:textId="77777777" w:rsidR="007B6C97" w:rsidRDefault="00E426D1">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4298FAA"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8FAB"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8FAC"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8FC3" w14:textId="77777777">
        <w:tc>
          <w:tcPr>
            <w:tcW w:w="0" w:type="auto"/>
            <w:gridSpan w:val="3"/>
            <w:shd w:val="clear" w:color="auto" w:fill="auto"/>
            <w:tcMar>
              <w:top w:w="0" w:type="dxa"/>
              <w:left w:w="20" w:type="dxa"/>
              <w:bottom w:w="0" w:type="dxa"/>
              <w:right w:w="20" w:type="dxa"/>
            </w:tcMar>
            <w:vAlign w:val="bottom"/>
          </w:tcPr>
          <w:p w14:paraId="64298FA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AF"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FB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1"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FB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3"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8FB4"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8FB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6"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FB7"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FB8"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FB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A"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FB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C"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8FB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BE" w14:textId="77777777" w:rsidR="007B6C97" w:rsidRDefault="00E426D1">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4298FBF"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8FC0"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8FC1"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8FC2"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8FD4" w14:textId="77777777">
        <w:tc>
          <w:tcPr>
            <w:tcW w:w="0" w:type="auto"/>
            <w:gridSpan w:val="3"/>
            <w:shd w:val="clear" w:color="auto" w:fill="auto"/>
            <w:tcMar>
              <w:top w:w="0" w:type="dxa"/>
              <w:left w:w="20" w:type="dxa"/>
              <w:bottom w:w="0" w:type="dxa"/>
              <w:right w:w="20" w:type="dxa"/>
            </w:tcMar>
            <w:vAlign w:val="bottom"/>
          </w:tcPr>
          <w:p w14:paraId="64298FC4"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C5"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C6"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C7"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C8"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C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CA"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FCB" w14:textId="77777777" w:rsidR="007B6C97" w:rsidRDefault="00E426D1">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br/>
              <w:t>North America</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4298FCC"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C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CE"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C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D0"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8FD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8FD2"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8FD3" w14:textId="77777777" w:rsidR="007B6C97" w:rsidRDefault="00E426D1">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North America</w:t>
            </w:r>
            <w:r>
              <w:rPr>
                <w:rFonts w:ascii="Times New Roman" w:eastAsia="宋体" w:hAnsi="Times New Roman"/>
                <w:b/>
                <w:bCs/>
                <w:color w:val="000000"/>
                <w:sz w:val="16"/>
                <w:szCs w:val="16"/>
              </w:rPr>
              <w:br/>
              <w:t>Total Net Revenues</w:t>
            </w:r>
          </w:p>
        </w:tc>
      </w:tr>
      <w:tr w:rsidR="007B6C97" w14:paraId="64298FE9" w14:textId="77777777">
        <w:tc>
          <w:tcPr>
            <w:tcW w:w="0" w:type="auto"/>
            <w:gridSpan w:val="3"/>
            <w:shd w:val="clear" w:color="auto" w:fill="D7E4BC"/>
            <w:tcMar>
              <w:top w:w="40" w:type="dxa"/>
              <w:left w:w="20" w:type="dxa"/>
              <w:bottom w:w="40" w:type="dxa"/>
              <w:right w:w="20" w:type="dxa"/>
            </w:tcMar>
          </w:tcPr>
          <w:p w14:paraId="64298FD5" w14:textId="77777777" w:rsidR="007B6C97" w:rsidRDefault="00E426D1">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64298FD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B"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8FDC"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8FDD"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8FD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D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8FE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FE6"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FE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8FE8" w14:textId="77777777" w:rsidR="007B6C97" w:rsidRDefault="007B6C97">
            <w:pPr>
              <w:rPr>
                <w:rFonts w:ascii="宋体"/>
              </w:rPr>
            </w:pPr>
          </w:p>
        </w:tc>
      </w:tr>
      <w:tr w:rsidR="00E426D1" w14:paraId="6429900E" w14:textId="77777777">
        <w:tc>
          <w:tcPr>
            <w:tcW w:w="0" w:type="auto"/>
            <w:gridSpan w:val="3"/>
            <w:shd w:val="clear" w:color="auto" w:fill="FFFFFF"/>
            <w:tcMar>
              <w:top w:w="40" w:type="dxa"/>
              <w:left w:w="155" w:type="dxa"/>
              <w:bottom w:w="40" w:type="dxa"/>
              <w:right w:w="20" w:type="dxa"/>
            </w:tcMar>
          </w:tcPr>
          <w:p w14:paraId="64298FEA" w14:textId="77777777" w:rsidR="007B6C97" w:rsidRDefault="00E426D1">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4298FE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FEC" w14:textId="77777777" w:rsidR="007B6C97" w:rsidRDefault="00E426D1">
            <w:pPr>
              <w:jc w:val="right"/>
              <w:textAlignment w:val="bottom"/>
            </w:pPr>
            <w:r>
              <w:rPr>
                <w:rFonts w:ascii="Times New Roman" w:eastAsia="宋体" w:hAnsi="Times New Roman"/>
                <w:color w:val="000000"/>
                <w:sz w:val="20"/>
                <w:szCs w:val="20"/>
              </w:rPr>
              <w:t>5,513.2 </w:t>
            </w:r>
          </w:p>
        </w:tc>
        <w:tc>
          <w:tcPr>
            <w:tcW w:w="0" w:type="auto"/>
            <w:shd w:val="clear" w:color="auto" w:fill="FFFFFF"/>
            <w:tcMar>
              <w:top w:w="40" w:type="dxa"/>
              <w:left w:w="0" w:type="dxa"/>
              <w:bottom w:w="40" w:type="dxa"/>
              <w:right w:w="20" w:type="dxa"/>
            </w:tcMar>
            <w:vAlign w:val="bottom"/>
          </w:tcPr>
          <w:p w14:paraId="64298FE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EE"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FE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FF0" w14:textId="77777777" w:rsidR="007B6C97" w:rsidRDefault="00E426D1">
            <w:pPr>
              <w:jc w:val="right"/>
              <w:textAlignment w:val="bottom"/>
            </w:pPr>
            <w:r>
              <w:rPr>
                <w:rFonts w:ascii="Times New Roman" w:eastAsia="宋体" w:hAnsi="Times New Roman"/>
                <w:color w:val="000000"/>
                <w:sz w:val="20"/>
                <w:szCs w:val="20"/>
              </w:rPr>
              <w:t>4,929.8 </w:t>
            </w:r>
          </w:p>
        </w:tc>
        <w:tc>
          <w:tcPr>
            <w:tcW w:w="0" w:type="auto"/>
            <w:shd w:val="clear" w:color="auto" w:fill="FFFFFF"/>
            <w:tcMar>
              <w:top w:w="40" w:type="dxa"/>
              <w:left w:w="0" w:type="dxa"/>
              <w:bottom w:w="40" w:type="dxa"/>
              <w:right w:w="20" w:type="dxa"/>
            </w:tcMar>
            <w:vAlign w:val="bottom"/>
          </w:tcPr>
          <w:p w14:paraId="64298FF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F2"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FF3"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FF4" w14:textId="77777777" w:rsidR="007B6C97" w:rsidRDefault="00E426D1">
            <w:pPr>
              <w:jc w:val="right"/>
              <w:textAlignment w:val="bottom"/>
            </w:pPr>
            <w:r>
              <w:rPr>
                <w:rFonts w:ascii="Times New Roman" w:eastAsia="宋体" w:hAnsi="Times New Roman"/>
                <w:color w:val="000000"/>
                <w:sz w:val="20"/>
                <w:szCs w:val="20"/>
              </w:rPr>
              <w:t>583.4 </w:t>
            </w:r>
          </w:p>
        </w:tc>
        <w:tc>
          <w:tcPr>
            <w:tcW w:w="0" w:type="auto"/>
            <w:shd w:val="clear" w:color="auto" w:fill="FFFFFF"/>
            <w:tcMar>
              <w:top w:w="40" w:type="dxa"/>
              <w:left w:w="0" w:type="dxa"/>
              <w:bottom w:w="40" w:type="dxa"/>
              <w:right w:w="20" w:type="dxa"/>
            </w:tcMar>
            <w:vAlign w:val="bottom"/>
          </w:tcPr>
          <w:p w14:paraId="64298FF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8FF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FF7" w14:textId="77777777" w:rsidR="007B6C97" w:rsidRDefault="00E426D1">
            <w:pPr>
              <w:jc w:val="right"/>
              <w:textAlignment w:val="bottom"/>
            </w:pPr>
            <w:r>
              <w:rPr>
                <w:rFonts w:ascii="Times New Roman" w:eastAsia="宋体" w:hAnsi="Times New Roman"/>
                <w:color w:val="000000"/>
                <w:sz w:val="20"/>
                <w:szCs w:val="20"/>
              </w:rPr>
              <w:t>91.0 </w:t>
            </w:r>
          </w:p>
        </w:tc>
        <w:tc>
          <w:tcPr>
            <w:tcW w:w="0" w:type="auto"/>
            <w:shd w:val="clear" w:color="auto" w:fill="FFFFFF"/>
            <w:tcMar>
              <w:top w:w="40" w:type="dxa"/>
              <w:left w:w="0" w:type="dxa"/>
              <w:bottom w:w="40" w:type="dxa"/>
              <w:right w:w="20" w:type="dxa"/>
            </w:tcMar>
            <w:vAlign w:val="bottom"/>
          </w:tcPr>
          <w:p w14:paraId="64298FF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FF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8FFA" w14:textId="77777777" w:rsidR="007B6C97" w:rsidRDefault="00E426D1">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64298FFB"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8FFC"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8FFD"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8FFE" w14:textId="77777777" w:rsidR="007B6C97" w:rsidRDefault="00E426D1">
            <w:pPr>
              <w:jc w:val="right"/>
              <w:textAlignment w:val="bottom"/>
            </w:pPr>
            <w:r>
              <w:rPr>
                <w:rFonts w:ascii="Times New Roman" w:eastAsia="宋体" w:hAnsi="Times New Roman"/>
                <w:color w:val="000000"/>
                <w:sz w:val="20"/>
                <w:szCs w:val="20"/>
              </w:rPr>
              <w:t>15,663.6 </w:t>
            </w:r>
          </w:p>
        </w:tc>
        <w:tc>
          <w:tcPr>
            <w:tcW w:w="0" w:type="auto"/>
            <w:shd w:val="clear" w:color="auto" w:fill="FFFFFF"/>
            <w:tcMar>
              <w:top w:w="40" w:type="dxa"/>
              <w:left w:w="0" w:type="dxa"/>
              <w:bottom w:w="40" w:type="dxa"/>
              <w:right w:w="20" w:type="dxa"/>
            </w:tcMar>
            <w:vAlign w:val="bottom"/>
          </w:tcPr>
          <w:p w14:paraId="64298FF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00"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001"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002" w14:textId="77777777" w:rsidR="007B6C97" w:rsidRDefault="00E426D1">
            <w:pPr>
              <w:jc w:val="right"/>
              <w:textAlignment w:val="bottom"/>
            </w:pPr>
            <w:r>
              <w:rPr>
                <w:rFonts w:ascii="Times New Roman" w:eastAsia="宋体" w:hAnsi="Times New Roman"/>
                <w:color w:val="000000"/>
                <w:sz w:val="20"/>
                <w:szCs w:val="20"/>
              </w:rPr>
              <w:t>13,483.1 </w:t>
            </w:r>
          </w:p>
        </w:tc>
        <w:tc>
          <w:tcPr>
            <w:tcW w:w="0" w:type="auto"/>
            <w:shd w:val="clear" w:color="auto" w:fill="FFFFFF"/>
            <w:tcMar>
              <w:top w:w="40" w:type="dxa"/>
              <w:left w:w="0" w:type="dxa"/>
              <w:bottom w:w="40" w:type="dxa"/>
              <w:right w:w="20" w:type="dxa"/>
            </w:tcMar>
            <w:vAlign w:val="bottom"/>
          </w:tcPr>
          <w:p w14:paraId="642990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04"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005"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006" w14:textId="77777777" w:rsidR="007B6C97" w:rsidRDefault="00E426D1">
            <w:pPr>
              <w:jc w:val="right"/>
              <w:textAlignment w:val="bottom"/>
            </w:pPr>
            <w:r>
              <w:rPr>
                <w:rFonts w:ascii="Times New Roman" w:eastAsia="宋体" w:hAnsi="Times New Roman"/>
                <w:color w:val="000000"/>
                <w:sz w:val="20"/>
                <w:szCs w:val="20"/>
              </w:rPr>
              <w:t>2,180.5 </w:t>
            </w:r>
          </w:p>
        </w:tc>
        <w:tc>
          <w:tcPr>
            <w:tcW w:w="0" w:type="auto"/>
            <w:shd w:val="clear" w:color="auto" w:fill="FFFFFF"/>
            <w:tcMar>
              <w:top w:w="40" w:type="dxa"/>
              <w:left w:w="0" w:type="dxa"/>
              <w:bottom w:w="40" w:type="dxa"/>
              <w:right w:w="20" w:type="dxa"/>
            </w:tcMar>
            <w:vAlign w:val="bottom"/>
          </w:tcPr>
          <w:p w14:paraId="6429900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0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09" w14:textId="77777777" w:rsidR="007B6C97" w:rsidRDefault="00E426D1">
            <w:pPr>
              <w:jc w:val="right"/>
              <w:textAlignment w:val="bottom"/>
            </w:pPr>
            <w:r>
              <w:rPr>
                <w:rFonts w:ascii="Times New Roman" w:eastAsia="宋体" w:hAnsi="Times New Roman"/>
                <w:color w:val="000000"/>
                <w:sz w:val="20"/>
                <w:szCs w:val="20"/>
              </w:rPr>
              <w:t>90.9 </w:t>
            </w:r>
          </w:p>
        </w:tc>
        <w:tc>
          <w:tcPr>
            <w:tcW w:w="0" w:type="auto"/>
            <w:shd w:val="clear" w:color="auto" w:fill="FFFFFF"/>
            <w:tcMar>
              <w:top w:w="40" w:type="dxa"/>
              <w:left w:w="0" w:type="dxa"/>
              <w:bottom w:w="40" w:type="dxa"/>
              <w:right w:w="20" w:type="dxa"/>
            </w:tcMar>
            <w:vAlign w:val="bottom"/>
          </w:tcPr>
          <w:p w14:paraId="6429900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00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0C" w14:textId="77777777" w:rsidR="007B6C97" w:rsidRDefault="00E426D1">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6429900D" w14:textId="77777777" w:rsidR="007B6C97" w:rsidRDefault="00E426D1">
            <w:pPr>
              <w:jc w:val="right"/>
              <w:textAlignment w:val="bottom"/>
            </w:pPr>
            <w:r>
              <w:rPr>
                <w:rFonts w:ascii="Times New Roman" w:eastAsia="宋体" w:hAnsi="Times New Roman"/>
                <w:color w:val="000000"/>
                <w:sz w:val="20"/>
                <w:szCs w:val="20"/>
              </w:rPr>
              <w:t>%</w:t>
            </w:r>
          </w:p>
        </w:tc>
      </w:tr>
      <w:tr w:rsidR="00E426D1" w14:paraId="6429902D" w14:textId="77777777">
        <w:tc>
          <w:tcPr>
            <w:tcW w:w="0" w:type="auto"/>
            <w:gridSpan w:val="3"/>
            <w:shd w:val="clear" w:color="auto" w:fill="D7E4BC"/>
            <w:tcMar>
              <w:top w:w="40" w:type="dxa"/>
              <w:left w:w="155" w:type="dxa"/>
              <w:bottom w:w="40" w:type="dxa"/>
              <w:right w:w="20" w:type="dxa"/>
            </w:tcMar>
          </w:tcPr>
          <w:p w14:paraId="6429900F" w14:textId="77777777" w:rsidR="007B6C97" w:rsidRDefault="00E426D1">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4299010" w14:textId="77777777" w:rsidR="007B6C97" w:rsidRDefault="00E426D1">
            <w:pPr>
              <w:jc w:val="right"/>
              <w:textAlignment w:val="bottom"/>
            </w:pPr>
            <w:r>
              <w:rPr>
                <w:rFonts w:ascii="Times New Roman" w:eastAsia="宋体" w:hAnsi="Times New Roman"/>
                <w:color w:val="000000"/>
                <w:sz w:val="20"/>
                <w:szCs w:val="20"/>
              </w:rPr>
              <w:t>544.2 </w:t>
            </w:r>
          </w:p>
        </w:tc>
        <w:tc>
          <w:tcPr>
            <w:tcW w:w="0" w:type="auto"/>
            <w:shd w:val="clear" w:color="auto" w:fill="D7E4BC"/>
            <w:tcMar>
              <w:top w:w="40" w:type="dxa"/>
              <w:left w:w="0" w:type="dxa"/>
              <w:bottom w:w="40" w:type="dxa"/>
              <w:right w:w="20" w:type="dxa"/>
            </w:tcMar>
            <w:vAlign w:val="bottom"/>
          </w:tcPr>
          <w:p w14:paraId="6429901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1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13" w14:textId="77777777" w:rsidR="007B6C97" w:rsidRDefault="00E426D1">
            <w:pPr>
              <w:jc w:val="right"/>
              <w:textAlignment w:val="bottom"/>
            </w:pPr>
            <w:r>
              <w:rPr>
                <w:rFonts w:ascii="Times New Roman" w:eastAsia="宋体" w:hAnsi="Times New Roman"/>
                <w:color w:val="000000"/>
                <w:sz w:val="20"/>
                <w:szCs w:val="20"/>
              </w:rPr>
              <w:t>439.0 </w:t>
            </w:r>
          </w:p>
        </w:tc>
        <w:tc>
          <w:tcPr>
            <w:tcW w:w="0" w:type="auto"/>
            <w:shd w:val="clear" w:color="auto" w:fill="D7E4BC"/>
            <w:tcMar>
              <w:top w:w="40" w:type="dxa"/>
              <w:left w:w="0" w:type="dxa"/>
              <w:bottom w:w="40" w:type="dxa"/>
              <w:right w:w="20" w:type="dxa"/>
            </w:tcMar>
            <w:vAlign w:val="bottom"/>
          </w:tcPr>
          <w:p w14:paraId="6429901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1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16" w14:textId="77777777" w:rsidR="007B6C97" w:rsidRDefault="00E426D1">
            <w:pPr>
              <w:jc w:val="right"/>
              <w:textAlignment w:val="bottom"/>
            </w:pPr>
            <w:r>
              <w:rPr>
                <w:rFonts w:ascii="Times New Roman" w:eastAsia="宋体" w:hAnsi="Times New Roman"/>
                <w:color w:val="000000"/>
                <w:sz w:val="20"/>
                <w:szCs w:val="20"/>
              </w:rPr>
              <w:t>105.2 </w:t>
            </w:r>
          </w:p>
        </w:tc>
        <w:tc>
          <w:tcPr>
            <w:tcW w:w="0" w:type="auto"/>
            <w:shd w:val="clear" w:color="auto" w:fill="D7E4BC"/>
            <w:tcMar>
              <w:top w:w="40" w:type="dxa"/>
              <w:left w:w="0" w:type="dxa"/>
              <w:bottom w:w="40" w:type="dxa"/>
              <w:right w:w="20" w:type="dxa"/>
            </w:tcMar>
            <w:vAlign w:val="bottom"/>
          </w:tcPr>
          <w:p w14:paraId="6429901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1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19" w14:textId="77777777" w:rsidR="007B6C97" w:rsidRDefault="00E426D1">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left w:w="0" w:type="dxa"/>
              <w:bottom w:w="40" w:type="dxa"/>
              <w:right w:w="20" w:type="dxa"/>
            </w:tcMar>
            <w:vAlign w:val="bottom"/>
          </w:tcPr>
          <w:p w14:paraId="6429901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1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1C" w14:textId="77777777" w:rsidR="007B6C97" w:rsidRDefault="00E426D1">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42990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1F" w14:textId="77777777" w:rsidR="007B6C97" w:rsidRDefault="00E426D1">
            <w:pPr>
              <w:jc w:val="right"/>
              <w:textAlignment w:val="bottom"/>
            </w:pPr>
            <w:r>
              <w:rPr>
                <w:rFonts w:ascii="Times New Roman" w:eastAsia="宋体" w:hAnsi="Times New Roman"/>
                <w:color w:val="000000"/>
                <w:sz w:val="20"/>
                <w:szCs w:val="20"/>
              </w:rPr>
              <w:t>1,567.1 </w:t>
            </w:r>
          </w:p>
        </w:tc>
        <w:tc>
          <w:tcPr>
            <w:tcW w:w="0" w:type="auto"/>
            <w:shd w:val="clear" w:color="auto" w:fill="D7E4BC"/>
            <w:tcMar>
              <w:top w:w="40" w:type="dxa"/>
              <w:left w:w="0" w:type="dxa"/>
              <w:bottom w:w="40" w:type="dxa"/>
              <w:right w:w="20" w:type="dxa"/>
            </w:tcMar>
            <w:vAlign w:val="bottom"/>
          </w:tcPr>
          <w:p w14:paraId="642990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22" w14:textId="77777777" w:rsidR="007B6C97" w:rsidRDefault="00E426D1">
            <w:pPr>
              <w:jc w:val="right"/>
              <w:textAlignment w:val="bottom"/>
            </w:pPr>
            <w:r>
              <w:rPr>
                <w:rFonts w:ascii="Times New Roman" w:eastAsia="宋体" w:hAnsi="Times New Roman"/>
                <w:color w:val="000000"/>
                <w:sz w:val="20"/>
                <w:szCs w:val="20"/>
              </w:rPr>
              <w:t>1,195.6 </w:t>
            </w:r>
          </w:p>
        </w:tc>
        <w:tc>
          <w:tcPr>
            <w:tcW w:w="0" w:type="auto"/>
            <w:shd w:val="clear" w:color="auto" w:fill="D7E4BC"/>
            <w:tcMar>
              <w:top w:w="40" w:type="dxa"/>
              <w:left w:w="0" w:type="dxa"/>
              <w:bottom w:w="40" w:type="dxa"/>
              <w:right w:w="20" w:type="dxa"/>
            </w:tcMar>
            <w:vAlign w:val="bottom"/>
          </w:tcPr>
          <w:p w14:paraId="6429902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2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25" w14:textId="77777777" w:rsidR="007B6C97" w:rsidRDefault="00E426D1">
            <w:pPr>
              <w:jc w:val="right"/>
              <w:textAlignment w:val="bottom"/>
            </w:pPr>
            <w:r>
              <w:rPr>
                <w:rFonts w:ascii="Times New Roman" w:eastAsia="宋体" w:hAnsi="Times New Roman"/>
                <w:color w:val="000000"/>
                <w:sz w:val="20"/>
                <w:szCs w:val="20"/>
              </w:rPr>
              <w:t>371.5 </w:t>
            </w:r>
          </w:p>
        </w:tc>
        <w:tc>
          <w:tcPr>
            <w:tcW w:w="0" w:type="auto"/>
            <w:shd w:val="clear" w:color="auto" w:fill="D7E4BC"/>
            <w:tcMar>
              <w:top w:w="40" w:type="dxa"/>
              <w:left w:w="0" w:type="dxa"/>
              <w:bottom w:w="40" w:type="dxa"/>
              <w:right w:w="20" w:type="dxa"/>
            </w:tcMar>
            <w:vAlign w:val="bottom"/>
          </w:tcPr>
          <w:p w14:paraId="6429902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2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28" w14:textId="77777777" w:rsidR="007B6C97" w:rsidRDefault="00E426D1">
            <w:pPr>
              <w:jc w:val="right"/>
              <w:textAlignment w:val="bottom"/>
            </w:pPr>
            <w:r>
              <w:rPr>
                <w:rFonts w:ascii="Times New Roman" w:eastAsia="宋体" w:hAnsi="Times New Roman"/>
                <w:color w:val="000000"/>
                <w:sz w:val="20"/>
                <w:szCs w:val="20"/>
              </w:rPr>
              <w:t>9.1 </w:t>
            </w:r>
          </w:p>
        </w:tc>
        <w:tc>
          <w:tcPr>
            <w:tcW w:w="0" w:type="auto"/>
            <w:shd w:val="clear" w:color="auto" w:fill="D7E4BC"/>
            <w:tcMar>
              <w:top w:w="40" w:type="dxa"/>
              <w:left w:w="0" w:type="dxa"/>
              <w:bottom w:w="40" w:type="dxa"/>
              <w:right w:w="20" w:type="dxa"/>
            </w:tcMar>
            <w:vAlign w:val="bottom"/>
          </w:tcPr>
          <w:p w14:paraId="6429902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2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2B" w14:textId="77777777" w:rsidR="007B6C97" w:rsidRDefault="00E426D1">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6429902C" w14:textId="77777777" w:rsidR="007B6C97" w:rsidRDefault="007B6C97">
            <w:pPr>
              <w:jc w:val="right"/>
              <w:rPr>
                <w:rFonts w:ascii="宋体"/>
              </w:rPr>
            </w:pPr>
          </w:p>
        </w:tc>
      </w:tr>
      <w:tr w:rsidR="00E426D1" w14:paraId="6429904C" w14:textId="77777777">
        <w:tc>
          <w:tcPr>
            <w:tcW w:w="0" w:type="auto"/>
            <w:gridSpan w:val="3"/>
            <w:shd w:val="clear" w:color="auto" w:fill="FFFFFF"/>
            <w:tcMar>
              <w:top w:w="40" w:type="dxa"/>
              <w:left w:w="155" w:type="dxa"/>
              <w:bottom w:w="40" w:type="dxa"/>
              <w:right w:w="20" w:type="dxa"/>
            </w:tcMar>
          </w:tcPr>
          <w:p w14:paraId="6429902E" w14:textId="77777777" w:rsidR="007B6C97" w:rsidRDefault="00E426D1">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429902F" w14:textId="77777777" w:rsidR="007B6C97" w:rsidRDefault="00E426D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42990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3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32" w14:textId="77777777" w:rsidR="007B6C97" w:rsidRDefault="00E426D1">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42990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3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35" w14:textId="77777777" w:rsidR="007B6C97" w:rsidRDefault="00E426D1">
            <w:pPr>
              <w:jc w:val="right"/>
              <w:textAlignment w:val="bottom"/>
            </w:pPr>
            <w:r>
              <w:rPr>
                <w:rFonts w:ascii="Times New Roman" w:eastAsia="宋体" w:hAnsi="Times New Roman"/>
                <w:color w:val="000000"/>
                <w:sz w:val="20"/>
                <w:szCs w:val="20"/>
              </w:rPr>
              <w:t>(0.9)</w:t>
            </w:r>
          </w:p>
        </w:tc>
        <w:tc>
          <w:tcPr>
            <w:tcW w:w="0" w:type="auto"/>
            <w:shd w:val="clear" w:color="auto" w:fill="FFFFFF"/>
            <w:tcMar>
              <w:top w:w="40" w:type="dxa"/>
              <w:left w:w="0" w:type="dxa"/>
              <w:bottom w:w="40" w:type="dxa"/>
              <w:right w:w="20" w:type="dxa"/>
            </w:tcMar>
            <w:vAlign w:val="bottom"/>
          </w:tcPr>
          <w:p w14:paraId="6429903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3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38"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03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3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3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03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3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3E" w14:textId="77777777" w:rsidR="007B6C97" w:rsidRDefault="00E426D1">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429903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4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41" w14:textId="77777777" w:rsidR="007B6C97" w:rsidRDefault="00E426D1">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6429904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4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44" w14:textId="77777777" w:rsidR="007B6C97" w:rsidRDefault="00E426D1">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6429904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4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47"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04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4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4A"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04B" w14:textId="77777777" w:rsidR="007B6C97" w:rsidRDefault="007B6C97">
            <w:pPr>
              <w:jc w:val="right"/>
              <w:rPr>
                <w:rFonts w:ascii="宋体"/>
              </w:rPr>
            </w:pPr>
          </w:p>
        </w:tc>
      </w:tr>
      <w:tr w:rsidR="00E426D1" w14:paraId="6429906B" w14:textId="77777777">
        <w:tc>
          <w:tcPr>
            <w:tcW w:w="0" w:type="auto"/>
            <w:gridSpan w:val="3"/>
            <w:shd w:val="clear" w:color="auto" w:fill="D7E4BC"/>
            <w:tcMar>
              <w:top w:w="40" w:type="dxa"/>
              <w:left w:w="20" w:type="dxa"/>
              <w:bottom w:w="40" w:type="dxa"/>
              <w:right w:w="20" w:type="dxa"/>
            </w:tcMar>
          </w:tcPr>
          <w:p w14:paraId="6429904D" w14:textId="77777777" w:rsidR="007B6C97" w:rsidRDefault="00E426D1">
            <w:pPr>
              <w:textAlignment w:val="top"/>
            </w:pPr>
            <w:r>
              <w:rPr>
                <w:rFonts w:ascii="Times New Roman" w:eastAsia="宋体" w:hAnsi="Times New Roman"/>
                <w:b/>
                <w:bCs/>
                <w:color w:val="000000"/>
                <w:sz w:val="20"/>
                <w:szCs w:val="20"/>
              </w:rPr>
              <w:t>Total net revenues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4E" w14:textId="77777777" w:rsidR="007B6C97" w:rsidRDefault="00E426D1">
            <w:pPr>
              <w:jc w:val="right"/>
              <w:textAlignment w:val="bottom"/>
            </w:pPr>
            <w:r>
              <w:rPr>
                <w:rFonts w:ascii="Times New Roman" w:eastAsia="宋体" w:hAnsi="Times New Roman"/>
                <w:b/>
                <w:bCs/>
                <w:color w:val="000000"/>
                <w:sz w:val="20"/>
                <w:szCs w:val="20"/>
              </w:rPr>
              <w:t>6,058.4</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4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0"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51" w14:textId="77777777" w:rsidR="007B6C97" w:rsidRDefault="00E426D1">
            <w:pPr>
              <w:jc w:val="right"/>
              <w:textAlignment w:val="bottom"/>
            </w:pPr>
            <w:r>
              <w:rPr>
                <w:rFonts w:ascii="Times New Roman" w:eastAsia="宋体" w:hAnsi="Times New Roman"/>
                <w:b/>
                <w:bCs/>
                <w:color w:val="000000"/>
                <w:sz w:val="20"/>
                <w:szCs w:val="20"/>
              </w:rPr>
              <w:t>5,370.7</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5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3"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54" w14:textId="77777777" w:rsidR="007B6C97" w:rsidRDefault="00E426D1">
            <w:pPr>
              <w:jc w:val="right"/>
              <w:textAlignment w:val="bottom"/>
            </w:pPr>
            <w:r>
              <w:rPr>
                <w:rFonts w:ascii="Times New Roman" w:eastAsia="宋体" w:hAnsi="Times New Roman"/>
                <w:b/>
                <w:bCs/>
                <w:color w:val="000000"/>
                <w:sz w:val="20"/>
                <w:szCs w:val="20"/>
              </w:rPr>
              <w:t>687.7</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5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6"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57"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5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9"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5A"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5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C"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5D" w14:textId="77777777" w:rsidR="007B6C97" w:rsidRDefault="00E426D1">
            <w:pPr>
              <w:jc w:val="right"/>
              <w:textAlignment w:val="bottom"/>
            </w:pPr>
            <w:r>
              <w:rPr>
                <w:rFonts w:ascii="Times New Roman" w:eastAsia="宋体" w:hAnsi="Times New Roman"/>
                <w:b/>
                <w:bCs/>
                <w:color w:val="000000"/>
                <w:sz w:val="20"/>
                <w:szCs w:val="20"/>
              </w:rPr>
              <w:t>17,236.4</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5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5F"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60" w14:textId="77777777" w:rsidR="007B6C97" w:rsidRDefault="00E426D1">
            <w:pPr>
              <w:jc w:val="right"/>
              <w:textAlignment w:val="bottom"/>
            </w:pPr>
            <w:r>
              <w:rPr>
                <w:rFonts w:ascii="Times New Roman" w:eastAsia="宋体" w:hAnsi="Times New Roman"/>
                <w:b/>
                <w:bCs/>
                <w:color w:val="000000"/>
                <w:sz w:val="20"/>
                <w:szCs w:val="20"/>
              </w:rPr>
              <w:t>14,684.9</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62"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63" w14:textId="77777777" w:rsidR="007B6C97" w:rsidRDefault="00E426D1">
            <w:pPr>
              <w:jc w:val="right"/>
              <w:textAlignment w:val="bottom"/>
            </w:pPr>
            <w:r>
              <w:rPr>
                <w:rFonts w:ascii="Times New Roman" w:eastAsia="宋体" w:hAnsi="Times New Roman"/>
                <w:b/>
                <w:bCs/>
                <w:color w:val="000000"/>
                <w:sz w:val="20"/>
                <w:szCs w:val="20"/>
              </w:rPr>
              <w:t>2,551.5</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6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65"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66"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6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68"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069"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06A" w14:textId="77777777" w:rsidR="007B6C97" w:rsidRDefault="007B6C97">
            <w:pPr>
              <w:jc w:val="right"/>
              <w:rPr>
                <w:rFonts w:ascii="宋体"/>
              </w:rPr>
            </w:pPr>
          </w:p>
        </w:tc>
      </w:tr>
      <w:tr w:rsidR="00E426D1" w14:paraId="6429908A" w14:textId="77777777">
        <w:tc>
          <w:tcPr>
            <w:tcW w:w="0" w:type="auto"/>
            <w:gridSpan w:val="3"/>
            <w:shd w:val="clear" w:color="auto" w:fill="FFFFFF"/>
            <w:tcMar>
              <w:top w:w="40" w:type="dxa"/>
              <w:left w:w="20" w:type="dxa"/>
              <w:bottom w:w="40" w:type="dxa"/>
              <w:right w:w="20" w:type="dxa"/>
            </w:tcMar>
          </w:tcPr>
          <w:p w14:paraId="6429906C"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429906D" w14:textId="77777777" w:rsidR="007B6C97" w:rsidRDefault="00E426D1">
            <w:pPr>
              <w:jc w:val="right"/>
              <w:textAlignment w:val="bottom"/>
            </w:pPr>
            <w:r>
              <w:rPr>
                <w:rFonts w:ascii="Times New Roman" w:eastAsia="宋体" w:hAnsi="Times New Roman"/>
                <w:color w:val="000000"/>
                <w:sz w:val="20"/>
                <w:szCs w:val="20"/>
              </w:rPr>
              <w:t>1,713.2 </w:t>
            </w:r>
          </w:p>
        </w:tc>
        <w:tc>
          <w:tcPr>
            <w:tcW w:w="0" w:type="auto"/>
            <w:shd w:val="clear" w:color="auto" w:fill="FFFFFF"/>
            <w:tcMar>
              <w:top w:w="40" w:type="dxa"/>
              <w:left w:w="0" w:type="dxa"/>
              <w:bottom w:w="40" w:type="dxa"/>
              <w:right w:w="20" w:type="dxa"/>
            </w:tcMar>
            <w:vAlign w:val="bottom"/>
          </w:tcPr>
          <w:p w14:paraId="6429906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6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0" w14:textId="77777777" w:rsidR="007B6C97" w:rsidRDefault="00E426D1">
            <w:pPr>
              <w:jc w:val="right"/>
              <w:textAlignment w:val="bottom"/>
            </w:pPr>
            <w:r>
              <w:rPr>
                <w:rFonts w:ascii="Times New Roman" w:eastAsia="宋体" w:hAnsi="Times New Roman"/>
                <w:color w:val="000000"/>
                <w:sz w:val="20"/>
                <w:szCs w:val="20"/>
              </w:rPr>
              <w:t>1,399.9 </w:t>
            </w:r>
          </w:p>
        </w:tc>
        <w:tc>
          <w:tcPr>
            <w:tcW w:w="0" w:type="auto"/>
            <w:shd w:val="clear" w:color="auto" w:fill="FFFFFF"/>
            <w:tcMar>
              <w:top w:w="40" w:type="dxa"/>
              <w:left w:w="0" w:type="dxa"/>
              <w:bottom w:w="40" w:type="dxa"/>
              <w:right w:w="20" w:type="dxa"/>
            </w:tcMar>
            <w:vAlign w:val="bottom"/>
          </w:tcPr>
          <w:p w14:paraId="6429907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7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3" w14:textId="77777777" w:rsidR="007B6C97" w:rsidRDefault="00E426D1">
            <w:pPr>
              <w:jc w:val="right"/>
              <w:textAlignment w:val="bottom"/>
            </w:pPr>
            <w:r>
              <w:rPr>
                <w:rFonts w:ascii="Times New Roman" w:eastAsia="宋体" w:hAnsi="Times New Roman"/>
                <w:color w:val="000000"/>
                <w:sz w:val="20"/>
                <w:szCs w:val="20"/>
              </w:rPr>
              <w:t>313.3 </w:t>
            </w:r>
          </w:p>
        </w:tc>
        <w:tc>
          <w:tcPr>
            <w:tcW w:w="0" w:type="auto"/>
            <w:shd w:val="clear" w:color="auto" w:fill="FFFFFF"/>
            <w:tcMar>
              <w:top w:w="40" w:type="dxa"/>
              <w:left w:w="0" w:type="dxa"/>
              <w:bottom w:w="40" w:type="dxa"/>
              <w:right w:w="20" w:type="dxa"/>
            </w:tcMar>
            <w:vAlign w:val="bottom"/>
          </w:tcPr>
          <w:p w14:paraId="6429907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7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6" w14:textId="77777777" w:rsidR="007B6C97" w:rsidRDefault="00E426D1">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6429907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7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9" w14:textId="77777777" w:rsidR="007B6C97" w:rsidRDefault="00E426D1">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6429907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7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C" w14:textId="77777777" w:rsidR="007B6C97" w:rsidRDefault="00E426D1">
            <w:pPr>
              <w:jc w:val="right"/>
              <w:textAlignment w:val="bottom"/>
            </w:pPr>
            <w:r>
              <w:rPr>
                <w:rFonts w:ascii="Times New Roman" w:eastAsia="宋体" w:hAnsi="Times New Roman"/>
                <w:color w:val="000000"/>
                <w:sz w:val="20"/>
                <w:szCs w:val="20"/>
              </w:rPr>
              <w:t>4,906.5 </w:t>
            </w:r>
          </w:p>
        </w:tc>
        <w:tc>
          <w:tcPr>
            <w:tcW w:w="0" w:type="auto"/>
            <w:shd w:val="clear" w:color="auto" w:fill="FFFFFF"/>
            <w:tcMar>
              <w:top w:w="40" w:type="dxa"/>
              <w:left w:w="0" w:type="dxa"/>
              <w:bottom w:w="40" w:type="dxa"/>
              <w:right w:w="20" w:type="dxa"/>
            </w:tcMar>
            <w:vAlign w:val="bottom"/>
          </w:tcPr>
          <w:p w14:paraId="6429907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7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7F" w14:textId="77777777" w:rsidR="007B6C97" w:rsidRDefault="00E426D1">
            <w:pPr>
              <w:jc w:val="right"/>
              <w:textAlignment w:val="bottom"/>
            </w:pPr>
            <w:r>
              <w:rPr>
                <w:rFonts w:ascii="Times New Roman" w:eastAsia="宋体" w:hAnsi="Times New Roman"/>
                <w:color w:val="000000"/>
                <w:sz w:val="20"/>
                <w:szCs w:val="20"/>
              </w:rPr>
              <w:t>3,873.4 </w:t>
            </w:r>
          </w:p>
        </w:tc>
        <w:tc>
          <w:tcPr>
            <w:tcW w:w="0" w:type="auto"/>
            <w:shd w:val="clear" w:color="auto" w:fill="FFFFFF"/>
            <w:tcMar>
              <w:top w:w="40" w:type="dxa"/>
              <w:left w:w="0" w:type="dxa"/>
              <w:bottom w:w="40" w:type="dxa"/>
              <w:right w:w="20" w:type="dxa"/>
            </w:tcMar>
            <w:vAlign w:val="bottom"/>
          </w:tcPr>
          <w:p w14:paraId="6429908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8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82" w14:textId="77777777" w:rsidR="007B6C97" w:rsidRDefault="00E426D1">
            <w:pPr>
              <w:jc w:val="right"/>
              <w:textAlignment w:val="bottom"/>
            </w:pPr>
            <w:r>
              <w:rPr>
                <w:rFonts w:ascii="Times New Roman" w:eastAsia="宋体" w:hAnsi="Times New Roman"/>
                <w:color w:val="000000"/>
                <w:sz w:val="20"/>
                <w:szCs w:val="20"/>
              </w:rPr>
              <w:t>1,033.1 </w:t>
            </w:r>
          </w:p>
        </w:tc>
        <w:tc>
          <w:tcPr>
            <w:tcW w:w="0" w:type="auto"/>
            <w:shd w:val="clear" w:color="auto" w:fill="FFFFFF"/>
            <w:tcMar>
              <w:top w:w="40" w:type="dxa"/>
              <w:left w:w="0" w:type="dxa"/>
              <w:bottom w:w="40" w:type="dxa"/>
              <w:right w:w="20" w:type="dxa"/>
            </w:tcMar>
            <w:vAlign w:val="bottom"/>
          </w:tcPr>
          <w:p w14:paraId="6429908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85" w14:textId="77777777" w:rsidR="007B6C97" w:rsidRDefault="00E426D1">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6429908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88" w14:textId="77777777" w:rsidR="007B6C97" w:rsidRDefault="00E426D1">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left w:w="0" w:type="dxa"/>
              <w:bottom w:w="40" w:type="dxa"/>
              <w:right w:w="20" w:type="dxa"/>
            </w:tcMar>
            <w:vAlign w:val="bottom"/>
          </w:tcPr>
          <w:p w14:paraId="64299089" w14:textId="77777777" w:rsidR="007B6C97" w:rsidRDefault="007B6C97">
            <w:pPr>
              <w:jc w:val="right"/>
              <w:rPr>
                <w:rFonts w:ascii="宋体"/>
              </w:rPr>
            </w:pPr>
          </w:p>
        </w:tc>
      </w:tr>
      <w:tr w:rsidR="00E426D1" w14:paraId="642990A9" w14:textId="77777777">
        <w:tc>
          <w:tcPr>
            <w:tcW w:w="0" w:type="auto"/>
            <w:gridSpan w:val="3"/>
            <w:shd w:val="clear" w:color="auto" w:fill="D7E4BC"/>
            <w:tcMar>
              <w:top w:w="40" w:type="dxa"/>
              <w:left w:w="20" w:type="dxa"/>
              <w:bottom w:w="40" w:type="dxa"/>
              <w:right w:w="20" w:type="dxa"/>
            </w:tcMar>
          </w:tcPr>
          <w:p w14:paraId="6429908B" w14:textId="77777777" w:rsidR="007B6C97" w:rsidRDefault="00E426D1">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429908C" w14:textId="77777777" w:rsidR="007B6C97" w:rsidRDefault="00E426D1">
            <w:pPr>
              <w:jc w:val="right"/>
              <w:textAlignment w:val="bottom"/>
            </w:pPr>
            <w:r>
              <w:rPr>
                <w:rFonts w:ascii="Times New Roman" w:eastAsia="宋体" w:hAnsi="Times New Roman"/>
                <w:color w:val="000000"/>
                <w:sz w:val="20"/>
                <w:szCs w:val="20"/>
              </w:rPr>
              <w:t>2,670.0 </w:t>
            </w:r>
          </w:p>
        </w:tc>
        <w:tc>
          <w:tcPr>
            <w:tcW w:w="0" w:type="auto"/>
            <w:shd w:val="clear" w:color="auto" w:fill="D7E4BC"/>
            <w:tcMar>
              <w:top w:w="40" w:type="dxa"/>
              <w:left w:w="0" w:type="dxa"/>
              <w:bottom w:w="40" w:type="dxa"/>
              <w:right w:w="20" w:type="dxa"/>
            </w:tcMar>
            <w:vAlign w:val="bottom"/>
          </w:tcPr>
          <w:p w14:paraId="6429908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8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8F" w14:textId="77777777" w:rsidR="007B6C97" w:rsidRDefault="00E426D1">
            <w:pPr>
              <w:jc w:val="right"/>
              <w:textAlignment w:val="bottom"/>
            </w:pPr>
            <w:r>
              <w:rPr>
                <w:rFonts w:ascii="Times New Roman" w:eastAsia="宋体" w:hAnsi="Times New Roman"/>
                <w:color w:val="000000"/>
                <w:sz w:val="20"/>
                <w:szCs w:val="20"/>
              </w:rPr>
              <w:t>2,346.8 </w:t>
            </w:r>
          </w:p>
        </w:tc>
        <w:tc>
          <w:tcPr>
            <w:tcW w:w="0" w:type="auto"/>
            <w:shd w:val="clear" w:color="auto" w:fill="D7E4BC"/>
            <w:tcMar>
              <w:top w:w="40" w:type="dxa"/>
              <w:left w:w="0" w:type="dxa"/>
              <w:bottom w:w="40" w:type="dxa"/>
              <w:right w:w="20" w:type="dxa"/>
            </w:tcMar>
            <w:vAlign w:val="bottom"/>
          </w:tcPr>
          <w:p w14:paraId="6429909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9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92" w14:textId="77777777" w:rsidR="007B6C97" w:rsidRDefault="00E426D1">
            <w:pPr>
              <w:jc w:val="right"/>
              <w:textAlignment w:val="bottom"/>
            </w:pPr>
            <w:r>
              <w:rPr>
                <w:rFonts w:ascii="Times New Roman" w:eastAsia="宋体" w:hAnsi="Times New Roman"/>
                <w:color w:val="000000"/>
                <w:sz w:val="20"/>
                <w:szCs w:val="20"/>
              </w:rPr>
              <w:t>323.2 </w:t>
            </w:r>
          </w:p>
        </w:tc>
        <w:tc>
          <w:tcPr>
            <w:tcW w:w="0" w:type="auto"/>
            <w:shd w:val="clear" w:color="auto" w:fill="D7E4BC"/>
            <w:tcMar>
              <w:top w:w="40" w:type="dxa"/>
              <w:left w:w="0" w:type="dxa"/>
              <w:bottom w:w="40" w:type="dxa"/>
              <w:right w:w="20" w:type="dxa"/>
            </w:tcMar>
            <w:vAlign w:val="bottom"/>
          </w:tcPr>
          <w:p w14:paraId="6429909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9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95" w14:textId="77777777" w:rsidR="007B6C97" w:rsidRDefault="00E426D1">
            <w:pPr>
              <w:jc w:val="right"/>
              <w:textAlignment w:val="bottom"/>
            </w:pPr>
            <w:r>
              <w:rPr>
                <w:rFonts w:ascii="Times New Roman" w:eastAsia="宋体" w:hAnsi="Times New Roman"/>
                <w:color w:val="000000"/>
                <w:sz w:val="20"/>
                <w:szCs w:val="20"/>
              </w:rPr>
              <w:t>44.1 </w:t>
            </w:r>
          </w:p>
        </w:tc>
        <w:tc>
          <w:tcPr>
            <w:tcW w:w="0" w:type="auto"/>
            <w:shd w:val="clear" w:color="auto" w:fill="D7E4BC"/>
            <w:tcMar>
              <w:top w:w="40" w:type="dxa"/>
              <w:left w:w="0" w:type="dxa"/>
              <w:bottom w:w="40" w:type="dxa"/>
              <w:right w:w="20" w:type="dxa"/>
            </w:tcMar>
            <w:vAlign w:val="bottom"/>
          </w:tcPr>
          <w:p w14:paraId="6429909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9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98" w14:textId="77777777" w:rsidR="007B6C97" w:rsidRDefault="00E426D1">
            <w:pPr>
              <w:jc w:val="right"/>
              <w:textAlignment w:val="bottom"/>
            </w:pPr>
            <w:r>
              <w:rPr>
                <w:rFonts w:ascii="Times New Roman" w:eastAsia="宋体" w:hAnsi="Times New Roman"/>
                <w:color w:val="000000"/>
                <w:sz w:val="20"/>
                <w:szCs w:val="20"/>
              </w:rPr>
              <w:t>43.7 </w:t>
            </w:r>
          </w:p>
        </w:tc>
        <w:tc>
          <w:tcPr>
            <w:tcW w:w="0" w:type="auto"/>
            <w:shd w:val="clear" w:color="auto" w:fill="D7E4BC"/>
            <w:tcMar>
              <w:top w:w="40" w:type="dxa"/>
              <w:left w:w="0" w:type="dxa"/>
              <w:bottom w:w="40" w:type="dxa"/>
              <w:right w:w="20" w:type="dxa"/>
            </w:tcMar>
            <w:vAlign w:val="bottom"/>
          </w:tcPr>
          <w:p w14:paraId="6429909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9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9B" w14:textId="77777777" w:rsidR="007B6C97" w:rsidRDefault="00E426D1">
            <w:pPr>
              <w:jc w:val="right"/>
              <w:textAlignment w:val="bottom"/>
            </w:pPr>
            <w:r>
              <w:rPr>
                <w:rFonts w:ascii="Times New Roman" w:eastAsia="宋体" w:hAnsi="Times New Roman"/>
                <w:color w:val="000000"/>
                <w:sz w:val="20"/>
                <w:szCs w:val="20"/>
              </w:rPr>
              <w:t>7,997.8 </w:t>
            </w:r>
          </w:p>
        </w:tc>
        <w:tc>
          <w:tcPr>
            <w:tcW w:w="0" w:type="auto"/>
            <w:shd w:val="clear" w:color="auto" w:fill="D7E4BC"/>
            <w:tcMar>
              <w:top w:w="40" w:type="dxa"/>
              <w:left w:w="0" w:type="dxa"/>
              <w:bottom w:w="40" w:type="dxa"/>
              <w:right w:w="20" w:type="dxa"/>
            </w:tcMar>
            <w:vAlign w:val="bottom"/>
          </w:tcPr>
          <w:p w14:paraId="642990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9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9E" w14:textId="77777777" w:rsidR="007B6C97" w:rsidRDefault="00E426D1">
            <w:pPr>
              <w:jc w:val="right"/>
              <w:textAlignment w:val="bottom"/>
            </w:pPr>
            <w:r>
              <w:rPr>
                <w:rFonts w:ascii="Times New Roman" w:eastAsia="宋体" w:hAnsi="Times New Roman"/>
                <w:color w:val="000000"/>
                <w:sz w:val="20"/>
                <w:szCs w:val="20"/>
              </w:rPr>
              <w:t>6,788.8 </w:t>
            </w:r>
          </w:p>
        </w:tc>
        <w:tc>
          <w:tcPr>
            <w:tcW w:w="0" w:type="auto"/>
            <w:shd w:val="clear" w:color="auto" w:fill="D7E4BC"/>
            <w:tcMar>
              <w:top w:w="40" w:type="dxa"/>
              <w:left w:w="0" w:type="dxa"/>
              <w:bottom w:w="40" w:type="dxa"/>
              <w:right w:w="20" w:type="dxa"/>
            </w:tcMar>
            <w:vAlign w:val="bottom"/>
          </w:tcPr>
          <w:p w14:paraId="6429909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A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A1" w14:textId="77777777" w:rsidR="007B6C97" w:rsidRDefault="00E426D1">
            <w:pPr>
              <w:jc w:val="right"/>
              <w:textAlignment w:val="bottom"/>
            </w:pPr>
            <w:r>
              <w:rPr>
                <w:rFonts w:ascii="Times New Roman" w:eastAsia="宋体" w:hAnsi="Times New Roman"/>
                <w:color w:val="000000"/>
                <w:sz w:val="20"/>
                <w:szCs w:val="20"/>
              </w:rPr>
              <w:t>1,209.0 </w:t>
            </w:r>
          </w:p>
        </w:tc>
        <w:tc>
          <w:tcPr>
            <w:tcW w:w="0" w:type="auto"/>
            <w:shd w:val="clear" w:color="auto" w:fill="D7E4BC"/>
            <w:tcMar>
              <w:top w:w="40" w:type="dxa"/>
              <w:left w:w="0" w:type="dxa"/>
              <w:bottom w:w="40" w:type="dxa"/>
              <w:right w:w="20" w:type="dxa"/>
            </w:tcMar>
            <w:vAlign w:val="bottom"/>
          </w:tcPr>
          <w:p w14:paraId="642990A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A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A4" w14:textId="77777777" w:rsidR="007B6C97" w:rsidRDefault="00E426D1">
            <w:pPr>
              <w:jc w:val="right"/>
              <w:textAlignment w:val="bottom"/>
            </w:pPr>
            <w:r>
              <w:rPr>
                <w:rFonts w:ascii="Times New Roman" w:eastAsia="宋体" w:hAnsi="Times New Roman"/>
                <w:color w:val="000000"/>
                <w:sz w:val="20"/>
                <w:szCs w:val="20"/>
              </w:rPr>
              <w:t>46.4 </w:t>
            </w:r>
          </w:p>
        </w:tc>
        <w:tc>
          <w:tcPr>
            <w:tcW w:w="0" w:type="auto"/>
            <w:shd w:val="clear" w:color="auto" w:fill="D7E4BC"/>
            <w:tcMar>
              <w:top w:w="40" w:type="dxa"/>
              <w:left w:w="0" w:type="dxa"/>
              <w:bottom w:w="40" w:type="dxa"/>
              <w:right w:w="20" w:type="dxa"/>
            </w:tcMar>
            <w:vAlign w:val="bottom"/>
          </w:tcPr>
          <w:p w14:paraId="642990A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A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A7" w14:textId="77777777" w:rsidR="007B6C97" w:rsidRDefault="00E426D1">
            <w:pPr>
              <w:jc w:val="right"/>
              <w:textAlignment w:val="bottom"/>
            </w:pPr>
            <w:r>
              <w:rPr>
                <w:rFonts w:ascii="Times New Roman" w:eastAsia="宋体" w:hAnsi="Times New Roman"/>
                <w:color w:val="000000"/>
                <w:sz w:val="20"/>
                <w:szCs w:val="20"/>
              </w:rPr>
              <w:t>46.2 </w:t>
            </w:r>
          </w:p>
        </w:tc>
        <w:tc>
          <w:tcPr>
            <w:tcW w:w="0" w:type="auto"/>
            <w:shd w:val="clear" w:color="auto" w:fill="D7E4BC"/>
            <w:tcMar>
              <w:top w:w="40" w:type="dxa"/>
              <w:left w:w="0" w:type="dxa"/>
              <w:bottom w:w="40" w:type="dxa"/>
              <w:right w:w="20" w:type="dxa"/>
            </w:tcMar>
            <w:vAlign w:val="bottom"/>
          </w:tcPr>
          <w:p w14:paraId="642990A8" w14:textId="77777777" w:rsidR="007B6C97" w:rsidRDefault="007B6C97">
            <w:pPr>
              <w:jc w:val="right"/>
              <w:rPr>
                <w:rFonts w:ascii="宋体"/>
              </w:rPr>
            </w:pPr>
          </w:p>
        </w:tc>
      </w:tr>
      <w:tr w:rsidR="00E426D1" w14:paraId="642990C8" w14:textId="77777777">
        <w:tc>
          <w:tcPr>
            <w:tcW w:w="0" w:type="auto"/>
            <w:gridSpan w:val="3"/>
            <w:shd w:val="clear" w:color="auto" w:fill="FFFFFF"/>
            <w:tcMar>
              <w:top w:w="40" w:type="dxa"/>
              <w:left w:w="20" w:type="dxa"/>
              <w:bottom w:w="40" w:type="dxa"/>
              <w:right w:w="20" w:type="dxa"/>
            </w:tcMar>
          </w:tcPr>
          <w:p w14:paraId="642990AA"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42990AB" w14:textId="77777777" w:rsidR="007B6C97" w:rsidRDefault="00E426D1">
            <w:pPr>
              <w:jc w:val="right"/>
              <w:textAlignment w:val="bottom"/>
            </w:pPr>
            <w:r>
              <w:rPr>
                <w:rFonts w:ascii="Times New Roman" w:eastAsia="宋体" w:hAnsi="Times New Roman"/>
                <w:color w:val="000000"/>
                <w:sz w:val="20"/>
                <w:szCs w:val="20"/>
              </w:rPr>
              <w:t>55.4 </w:t>
            </w:r>
          </w:p>
        </w:tc>
        <w:tc>
          <w:tcPr>
            <w:tcW w:w="0" w:type="auto"/>
            <w:shd w:val="clear" w:color="auto" w:fill="FFFFFF"/>
            <w:tcMar>
              <w:top w:w="40" w:type="dxa"/>
              <w:left w:w="0" w:type="dxa"/>
              <w:bottom w:w="40" w:type="dxa"/>
              <w:right w:w="20" w:type="dxa"/>
            </w:tcMar>
            <w:vAlign w:val="bottom"/>
          </w:tcPr>
          <w:p w14:paraId="642990A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A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AE" w14:textId="77777777" w:rsidR="007B6C97" w:rsidRDefault="00E426D1">
            <w:pPr>
              <w:jc w:val="right"/>
              <w:textAlignment w:val="bottom"/>
            </w:pPr>
            <w:r>
              <w:rPr>
                <w:rFonts w:ascii="Times New Roman" w:eastAsia="宋体" w:hAnsi="Times New Roman"/>
                <w:color w:val="000000"/>
                <w:sz w:val="20"/>
                <w:szCs w:val="20"/>
              </w:rPr>
              <w:t>38.0 </w:t>
            </w:r>
          </w:p>
        </w:tc>
        <w:tc>
          <w:tcPr>
            <w:tcW w:w="0" w:type="auto"/>
            <w:shd w:val="clear" w:color="auto" w:fill="FFFFFF"/>
            <w:tcMar>
              <w:top w:w="40" w:type="dxa"/>
              <w:left w:w="0" w:type="dxa"/>
              <w:bottom w:w="40" w:type="dxa"/>
              <w:right w:w="20" w:type="dxa"/>
            </w:tcMar>
            <w:vAlign w:val="bottom"/>
          </w:tcPr>
          <w:p w14:paraId="642990A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B1" w14:textId="77777777" w:rsidR="007B6C97" w:rsidRDefault="00E426D1">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642990B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B4" w14:textId="77777777" w:rsidR="007B6C97" w:rsidRDefault="00E426D1">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42990B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B7" w14:textId="77777777" w:rsidR="007B6C97" w:rsidRDefault="00E426D1">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642990B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BA" w14:textId="77777777" w:rsidR="007B6C97" w:rsidRDefault="00E426D1">
            <w:pPr>
              <w:jc w:val="right"/>
              <w:textAlignment w:val="bottom"/>
            </w:pPr>
            <w:r>
              <w:rPr>
                <w:rFonts w:ascii="Times New Roman" w:eastAsia="宋体" w:hAnsi="Times New Roman"/>
                <w:color w:val="000000"/>
                <w:sz w:val="20"/>
                <w:szCs w:val="20"/>
              </w:rPr>
              <w:t>150.7 </w:t>
            </w:r>
          </w:p>
        </w:tc>
        <w:tc>
          <w:tcPr>
            <w:tcW w:w="0" w:type="auto"/>
            <w:shd w:val="clear" w:color="auto" w:fill="FFFFFF"/>
            <w:tcMar>
              <w:top w:w="40" w:type="dxa"/>
              <w:left w:w="0" w:type="dxa"/>
              <w:bottom w:w="40" w:type="dxa"/>
              <w:right w:w="20" w:type="dxa"/>
            </w:tcMar>
            <w:vAlign w:val="bottom"/>
          </w:tcPr>
          <w:p w14:paraId="642990B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BD" w14:textId="77777777" w:rsidR="007B6C97" w:rsidRDefault="00E426D1">
            <w:pPr>
              <w:jc w:val="right"/>
              <w:textAlignment w:val="bottom"/>
            </w:pPr>
            <w:r>
              <w:rPr>
                <w:rFonts w:ascii="Times New Roman" w:eastAsia="宋体" w:hAnsi="Times New Roman"/>
                <w:color w:val="000000"/>
                <w:sz w:val="20"/>
                <w:szCs w:val="20"/>
              </w:rPr>
              <w:t>118.7 </w:t>
            </w:r>
          </w:p>
        </w:tc>
        <w:tc>
          <w:tcPr>
            <w:tcW w:w="0" w:type="auto"/>
            <w:shd w:val="clear" w:color="auto" w:fill="FFFFFF"/>
            <w:tcMar>
              <w:top w:w="40" w:type="dxa"/>
              <w:left w:w="0" w:type="dxa"/>
              <w:bottom w:w="40" w:type="dxa"/>
              <w:right w:w="20" w:type="dxa"/>
            </w:tcMar>
            <w:vAlign w:val="bottom"/>
          </w:tcPr>
          <w:p w14:paraId="642990B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B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C0" w14:textId="77777777" w:rsidR="007B6C97" w:rsidRDefault="00E426D1">
            <w:pPr>
              <w:jc w:val="right"/>
              <w:textAlignment w:val="bottom"/>
            </w:pPr>
            <w:r>
              <w:rPr>
                <w:rFonts w:ascii="Times New Roman" w:eastAsia="宋体" w:hAnsi="Times New Roman"/>
                <w:color w:val="000000"/>
                <w:sz w:val="20"/>
                <w:szCs w:val="20"/>
              </w:rPr>
              <w:t>32.0 </w:t>
            </w:r>
          </w:p>
        </w:tc>
        <w:tc>
          <w:tcPr>
            <w:tcW w:w="0" w:type="auto"/>
            <w:shd w:val="clear" w:color="auto" w:fill="FFFFFF"/>
            <w:tcMar>
              <w:top w:w="40" w:type="dxa"/>
              <w:left w:w="0" w:type="dxa"/>
              <w:bottom w:w="40" w:type="dxa"/>
              <w:right w:w="20" w:type="dxa"/>
            </w:tcMar>
            <w:vAlign w:val="bottom"/>
          </w:tcPr>
          <w:p w14:paraId="642990C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C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C3" w14:textId="77777777" w:rsidR="007B6C97" w:rsidRDefault="00E426D1">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42990C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C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C6"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90C7" w14:textId="77777777" w:rsidR="007B6C97" w:rsidRDefault="007B6C97">
            <w:pPr>
              <w:jc w:val="right"/>
              <w:rPr>
                <w:rFonts w:ascii="宋体"/>
              </w:rPr>
            </w:pPr>
          </w:p>
        </w:tc>
      </w:tr>
      <w:tr w:rsidR="00E426D1" w14:paraId="642990E7" w14:textId="77777777">
        <w:tc>
          <w:tcPr>
            <w:tcW w:w="0" w:type="auto"/>
            <w:gridSpan w:val="3"/>
            <w:shd w:val="clear" w:color="auto" w:fill="D7E4BC"/>
            <w:tcMar>
              <w:top w:w="40" w:type="dxa"/>
              <w:left w:w="20" w:type="dxa"/>
              <w:bottom w:w="40" w:type="dxa"/>
              <w:right w:w="20" w:type="dxa"/>
            </w:tcMar>
          </w:tcPr>
          <w:p w14:paraId="642990C9"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90CA" w14:textId="77777777" w:rsidR="007B6C97" w:rsidRDefault="00E426D1">
            <w:pPr>
              <w:jc w:val="right"/>
              <w:textAlignment w:val="bottom"/>
            </w:pPr>
            <w:r>
              <w:rPr>
                <w:rFonts w:ascii="Times New Roman" w:eastAsia="宋体" w:hAnsi="Times New Roman"/>
                <w:color w:val="000000"/>
                <w:sz w:val="20"/>
                <w:szCs w:val="20"/>
              </w:rPr>
              <w:t>201.2 </w:t>
            </w:r>
          </w:p>
        </w:tc>
        <w:tc>
          <w:tcPr>
            <w:tcW w:w="0" w:type="auto"/>
            <w:shd w:val="clear" w:color="auto" w:fill="D7E4BC"/>
            <w:tcMar>
              <w:top w:w="40" w:type="dxa"/>
              <w:left w:w="0" w:type="dxa"/>
              <w:bottom w:w="40" w:type="dxa"/>
              <w:right w:w="20" w:type="dxa"/>
            </w:tcMar>
            <w:vAlign w:val="bottom"/>
          </w:tcPr>
          <w:p w14:paraId="642990C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C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CD" w14:textId="77777777" w:rsidR="007B6C97" w:rsidRDefault="00E426D1">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642990C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C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0" w14:textId="77777777" w:rsidR="007B6C97" w:rsidRDefault="00E426D1">
            <w:pPr>
              <w:jc w:val="right"/>
              <w:textAlignment w:val="bottom"/>
            </w:pPr>
            <w:r>
              <w:rPr>
                <w:rFonts w:ascii="Times New Roman" w:eastAsia="宋体" w:hAnsi="Times New Roman"/>
                <w:color w:val="000000"/>
                <w:sz w:val="20"/>
                <w:szCs w:val="20"/>
              </w:rPr>
              <w:t>12.3 </w:t>
            </w:r>
          </w:p>
        </w:tc>
        <w:tc>
          <w:tcPr>
            <w:tcW w:w="0" w:type="auto"/>
            <w:shd w:val="clear" w:color="auto" w:fill="D7E4BC"/>
            <w:tcMar>
              <w:top w:w="40" w:type="dxa"/>
              <w:left w:w="0" w:type="dxa"/>
              <w:bottom w:w="40" w:type="dxa"/>
              <w:right w:w="20" w:type="dxa"/>
            </w:tcMar>
            <w:vAlign w:val="bottom"/>
          </w:tcPr>
          <w:p w14:paraId="642990D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D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3" w14:textId="77777777" w:rsidR="007B6C97" w:rsidRDefault="00E426D1">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642990D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D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6"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642990D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D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9" w14:textId="77777777" w:rsidR="007B6C97" w:rsidRDefault="00E426D1">
            <w:pPr>
              <w:jc w:val="right"/>
              <w:textAlignment w:val="bottom"/>
            </w:pPr>
            <w:r>
              <w:rPr>
                <w:rFonts w:ascii="Times New Roman" w:eastAsia="宋体" w:hAnsi="Times New Roman"/>
                <w:color w:val="000000"/>
                <w:sz w:val="20"/>
                <w:szCs w:val="20"/>
              </w:rPr>
              <w:t>603.2 </w:t>
            </w:r>
          </w:p>
        </w:tc>
        <w:tc>
          <w:tcPr>
            <w:tcW w:w="0" w:type="auto"/>
            <w:shd w:val="clear" w:color="auto" w:fill="D7E4BC"/>
            <w:tcMar>
              <w:top w:w="40" w:type="dxa"/>
              <w:left w:w="0" w:type="dxa"/>
              <w:bottom w:w="40" w:type="dxa"/>
              <w:right w:w="20" w:type="dxa"/>
            </w:tcMar>
            <w:vAlign w:val="bottom"/>
          </w:tcPr>
          <w:p w14:paraId="642990D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D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C" w14:textId="77777777" w:rsidR="007B6C97" w:rsidRDefault="00E426D1">
            <w:pPr>
              <w:jc w:val="right"/>
              <w:textAlignment w:val="bottom"/>
            </w:pPr>
            <w:r>
              <w:rPr>
                <w:rFonts w:ascii="Times New Roman" w:eastAsia="宋体" w:hAnsi="Times New Roman"/>
                <w:color w:val="000000"/>
                <w:sz w:val="20"/>
                <w:szCs w:val="20"/>
              </w:rPr>
              <w:t>563.9 </w:t>
            </w:r>
          </w:p>
        </w:tc>
        <w:tc>
          <w:tcPr>
            <w:tcW w:w="0" w:type="auto"/>
            <w:shd w:val="clear" w:color="auto" w:fill="D7E4BC"/>
            <w:tcMar>
              <w:top w:w="40" w:type="dxa"/>
              <w:left w:w="0" w:type="dxa"/>
              <w:bottom w:w="40" w:type="dxa"/>
              <w:right w:w="20" w:type="dxa"/>
            </w:tcMar>
            <w:vAlign w:val="bottom"/>
          </w:tcPr>
          <w:p w14:paraId="642990D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D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DF" w14:textId="77777777" w:rsidR="007B6C97" w:rsidRDefault="00E426D1">
            <w:pPr>
              <w:jc w:val="right"/>
              <w:textAlignment w:val="bottom"/>
            </w:pPr>
            <w:r>
              <w:rPr>
                <w:rFonts w:ascii="Times New Roman" w:eastAsia="宋体" w:hAnsi="Times New Roman"/>
                <w:color w:val="000000"/>
                <w:sz w:val="20"/>
                <w:szCs w:val="20"/>
              </w:rPr>
              <w:t>39.3 </w:t>
            </w:r>
          </w:p>
        </w:tc>
        <w:tc>
          <w:tcPr>
            <w:tcW w:w="0" w:type="auto"/>
            <w:shd w:val="clear" w:color="auto" w:fill="D7E4BC"/>
            <w:tcMar>
              <w:top w:w="40" w:type="dxa"/>
              <w:left w:w="0" w:type="dxa"/>
              <w:bottom w:w="40" w:type="dxa"/>
              <w:right w:w="20" w:type="dxa"/>
            </w:tcMar>
            <w:vAlign w:val="bottom"/>
          </w:tcPr>
          <w:p w14:paraId="642990E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E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E2"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642990E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0E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0E5" w14:textId="77777777" w:rsidR="007B6C97" w:rsidRDefault="00E426D1">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642990E6" w14:textId="77777777" w:rsidR="007B6C97" w:rsidRDefault="007B6C97">
            <w:pPr>
              <w:jc w:val="right"/>
              <w:rPr>
                <w:rFonts w:ascii="宋体"/>
              </w:rPr>
            </w:pPr>
          </w:p>
        </w:tc>
      </w:tr>
      <w:tr w:rsidR="00E426D1" w14:paraId="64299106" w14:textId="77777777">
        <w:tc>
          <w:tcPr>
            <w:tcW w:w="0" w:type="auto"/>
            <w:gridSpan w:val="3"/>
            <w:shd w:val="clear" w:color="auto" w:fill="FFFFFF"/>
            <w:tcMar>
              <w:top w:w="40" w:type="dxa"/>
              <w:left w:w="20" w:type="dxa"/>
              <w:bottom w:w="40" w:type="dxa"/>
              <w:right w:w="20" w:type="dxa"/>
            </w:tcMar>
          </w:tcPr>
          <w:p w14:paraId="642990E8"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42990E9" w14:textId="77777777" w:rsidR="007B6C97" w:rsidRDefault="00E426D1">
            <w:pPr>
              <w:jc w:val="right"/>
              <w:textAlignment w:val="bottom"/>
            </w:pPr>
            <w:r>
              <w:rPr>
                <w:rFonts w:ascii="Times New Roman" w:eastAsia="宋体" w:hAnsi="Times New Roman"/>
                <w:color w:val="000000"/>
                <w:sz w:val="20"/>
                <w:szCs w:val="20"/>
              </w:rPr>
              <w:t>76.5 </w:t>
            </w:r>
          </w:p>
        </w:tc>
        <w:tc>
          <w:tcPr>
            <w:tcW w:w="0" w:type="auto"/>
            <w:shd w:val="clear" w:color="auto" w:fill="FFFFFF"/>
            <w:tcMar>
              <w:top w:w="40" w:type="dxa"/>
              <w:left w:w="0" w:type="dxa"/>
              <w:bottom w:w="40" w:type="dxa"/>
              <w:right w:w="20" w:type="dxa"/>
            </w:tcMar>
            <w:vAlign w:val="bottom"/>
          </w:tcPr>
          <w:p w14:paraId="642990E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E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EC" w14:textId="77777777" w:rsidR="007B6C97" w:rsidRDefault="00E426D1">
            <w:pPr>
              <w:jc w:val="right"/>
              <w:textAlignment w:val="bottom"/>
            </w:pPr>
            <w:r>
              <w:rPr>
                <w:rFonts w:ascii="Times New Roman" w:eastAsia="宋体" w:hAnsi="Times New Roman"/>
                <w:color w:val="000000"/>
                <w:sz w:val="20"/>
                <w:szCs w:val="20"/>
              </w:rPr>
              <w:t>73.0 </w:t>
            </w:r>
          </w:p>
        </w:tc>
        <w:tc>
          <w:tcPr>
            <w:tcW w:w="0" w:type="auto"/>
            <w:shd w:val="clear" w:color="auto" w:fill="FFFFFF"/>
            <w:tcMar>
              <w:top w:w="40" w:type="dxa"/>
              <w:left w:w="0" w:type="dxa"/>
              <w:bottom w:w="40" w:type="dxa"/>
              <w:right w:w="20" w:type="dxa"/>
            </w:tcMar>
            <w:vAlign w:val="bottom"/>
          </w:tcPr>
          <w:p w14:paraId="642990E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E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EF"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42990F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F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F2" w14:textId="77777777" w:rsidR="007B6C97" w:rsidRDefault="00E426D1">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42990F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F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F5" w14:textId="77777777" w:rsidR="007B6C97" w:rsidRDefault="00E426D1">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42990F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F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F8" w14:textId="77777777" w:rsidR="007B6C97" w:rsidRDefault="00E426D1">
            <w:pPr>
              <w:jc w:val="right"/>
              <w:textAlignment w:val="bottom"/>
            </w:pPr>
            <w:r>
              <w:rPr>
                <w:rFonts w:ascii="Times New Roman" w:eastAsia="宋体" w:hAnsi="Times New Roman"/>
                <w:color w:val="000000"/>
                <w:sz w:val="20"/>
                <w:szCs w:val="20"/>
              </w:rPr>
              <w:t>224.5 </w:t>
            </w:r>
          </w:p>
        </w:tc>
        <w:tc>
          <w:tcPr>
            <w:tcW w:w="0" w:type="auto"/>
            <w:shd w:val="clear" w:color="auto" w:fill="FFFFFF"/>
            <w:tcMar>
              <w:top w:w="40" w:type="dxa"/>
              <w:left w:w="0" w:type="dxa"/>
              <w:bottom w:w="40" w:type="dxa"/>
              <w:right w:w="20" w:type="dxa"/>
            </w:tcMar>
            <w:vAlign w:val="bottom"/>
          </w:tcPr>
          <w:p w14:paraId="642990F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F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FB" w14:textId="77777777" w:rsidR="007B6C97" w:rsidRDefault="00E426D1">
            <w:pPr>
              <w:jc w:val="right"/>
              <w:textAlignment w:val="bottom"/>
            </w:pPr>
            <w:r>
              <w:rPr>
                <w:rFonts w:ascii="Times New Roman" w:eastAsia="宋体" w:hAnsi="Times New Roman"/>
                <w:color w:val="000000"/>
                <w:sz w:val="20"/>
                <w:szCs w:val="20"/>
              </w:rPr>
              <w:t>221.6 </w:t>
            </w:r>
          </w:p>
        </w:tc>
        <w:tc>
          <w:tcPr>
            <w:tcW w:w="0" w:type="auto"/>
            <w:shd w:val="clear" w:color="auto" w:fill="FFFFFF"/>
            <w:tcMar>
              <w:top w:w="40" w:type="dxa"/>
              <w:left w:w="0" w:type="dxa"/>
              <w:bottom w:w="40" w:type="dxa"/>
              <w:right w:w="20" w:type="dxa"/>
            </w:tcMar>
            <w:vAlign w:val="bottom"/>
          </w:tcPr>
          <w:p w14:paraId="642990F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0F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0FE" w14:textId="77777777" w:rsidR="007B6C97" w:rsidRDefault="00E426D1">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642990F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0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101" w14:textId="77777777" w:rsidR="007B6C97" w:rsidRDefault="00E426D1">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429910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0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104" w14:textId="77777777" w:rsidR="007B6C97" w:rsidRDefault="00E426D1">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4299105" w14:textId="77777777" w:rsidR="007B6C97" w:rsidRDefault="007B6C97">
            <w:pPr>
              <w:jc w:val="right"/>
              <w:rPr>
                <w:rFonts w:ascii="宋体"/>
              </w:rPr>
            </w:pPr>
          </w:p>
        </w:tc>
      </w:tr>
      <w:tr w:rsidR="00E426D1" w14:paraId="64299125" w14:textId="77777777">
        <w:tc>
          <w:tcPr>
            <w:tcW w:w="0" w:type="auto"/>
            <w:gridSpan w:val="3"/>
            <w:shd w:val="clear" w:color="auto" w:fill="D7E4BC"/>
            <w:tcMar>
              <w:top w:w="40" w:type="dxa"/>
              <w:left w:w="20" w:type="dxa"/>
              <w:bottom w:w="40" w:type="dxa"/>
              <w:right w:w="20" w:type="dxa"/>
            </w:tcMar>
          </w:tcPr>
          <w:p w14:paraId="64299107" w14:textId="77777777" w:rsidR="007B6C97" w:rsidRDefault="00E426D1">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64299108" w14:textId="77777777" w:rsidR="007B6C97" w:rsidRDefault="00E426D1">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left w:w="0" w:type="dxa"/>
              <w:bottom w:w="40" w:type="dxa"/>
              <w:right w:w="20" w:type="dxa"/>
            </w:tcMar>
            <w:vAlign w:val="bottom"/>
          </w:tcPr>
          <w:p w14:paraId="6429910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0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0B"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6429910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0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0E" w14:textId="77777777" w:rsidR="007B6C97" w:rsidRDefault="00E426D1">
            <w:pPr>
              <w:jc w:val="right"/>
              <w:textAlignment w:val="bottom"/>
            </w:pPr>
            <w:r>
              <w:rPr>
                <w:rFonts w:ascii="Times New Roman" w:eastAsia="宋体" w:hAnsi="Times New Roman"/>
                <w:color w:val="000000"/>
                <w:sz w:val="20"/>
                <w:szCs w:val="20"/>
              </w:rPr>
              <w:t>(7.8)</w:t>
            </w:r>
          </w:p>
        </w:tc>
        <w:tc>
          <w:tcPr>
            <w:tcW w:w="0" w:type="auto"/>
            <w:shd w:val="clear" w:color="auto" w:fill="D7E4BC"/>
            <w:tcMar>
              <w:top w:w="40" w:type="dxa"/>
              <w:left w:w="0" w:type="dxa"/>
              <w:bottom w:w="40" w:type="dxa"/>
              <w:right w:w="20" w:type="dxa"/>
            </w:tcMar>
            <w:vAlign w:val="bottom"/>
          </w:tcPr>
          <w:p w14:paraId="6429910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11"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429911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14" w14:textId="77777777" w:rsidR="007B6C97" w:rsidRDefault="00E426D1">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6429911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17" w14:textId="77777777" w:rsidR="007B6C97" w:rsidRDefault="00E426D1">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6429911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1A" w14:textId="77777777" w:rsidR="007B6C97" w:rsidRDefault="00E426D1">
            <w:pPr>
              <w:jc w:val="right"/>
              <w:textAlignment w:val="bottom"/>
            </w:pPr>
            <w:r>
              <w:rPr>
                <w:rFonts w:ascii="Times New Roman" w:eastAsia="宋体" w:hAnsi="Times New Roman"/>
                <w:color w:val="000000"/>
                <w:sz w:val="20"/>
                <w:szCs w:val="20"/>
              </w:rPr>
              <w:t>115.0 </w:t>
            </w:r>
          </w:p>
        </w:tc>
        <w:tc>
          <w:tcPr>
            <w:tcW w:w="0" w:type="auto"/>
            <w:shd w:val="clear" w:color="auto" w:fill="D7E4BC"/>
            <w:tcMar>
              <w:top w:w="40" w:type="dxa"/>
              <w:left w:w="0" w:type="dxa"/>
              <w:bottom w:w="40" w:type="dxa"/>
              <w:right w:w="20" w:type="dxa"/>
            </w:tcMar>
            <w:vAlign w:val="bottom"/>
          </w:tcPr>
          <w:p w14:paraId="6429911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1D" w14:textId="77777777" w:rsidR="007B6C97" w:rsidRDefault="00E426D1">
            <w:pPr>
              <w:jc w:val="right"/>
              <w:textAlignment w:val="bottom"/>
            </w:pPr>
            <w:r>
              <w:rPr>
                <w:rFonts w:ascii="Times New Roman" w:eastAsia="宋体" w:hAnsi="Times New Roman"/>
                <w:color w:val="000000"/>
                <w:sz w:val="20"/>
                <w:szCs w:val="20"/>
              </w:rPr>
              <w:t>(106.1)</w:t>
            </w:r>
          </w:p>
        </w:tc>
        <w:tc>
          <w:tcPr>
            <w:tcW w:w="0" w:type="auto"/>
            <w:shd w:val="clear" w:color="auto" w:fill="D7E4BC"/>
            <w:tcMar>
              <w:top w:w="40" w:type="dxa"/>
              <w:left w:w="0" w:type="dxa"/>
              <w:bottom w:w="40" w:type="dxa"/>
              <w:right w:w="20" w:type="dxa"/>
            </w:tcMar>
            <w:vAlign w:val="bottom"/>
          </w:tcPr>
          <w:p w14:paraId="6429911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1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20"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429912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2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123"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4299124" w14:textId="77777777" w:rsidR="007B6C97" w:rsidRDefault="007B6C97">
            <w:pPr>
              <w:jc w:val="right"/>
              <w:rPr>
                <w:rFonts w:ascii="宋体"/>
              </w:rPr>
            </w:pPr>
          </w:p>
        </w:tc>
      </w:tr>
      <w:tr w:rsidR="00E426D1" w14:paraId="64299144" w14:textId="77777777">
        <w:tc>
          <w:tcPr>
            <w:tcW w:w="0" w:type="auto"/>
            <w:gridSpan w:val="3"/>
            <w:shd w:val="clear" w:color="auto" w:fill="FFFFFF"/>
            <w:tcMar>
              <w:top w:w="40" w:type="dxa"/>
              <w:left w:w="20" w:type="dxa"/>
              <w:bottom w:w="40" w:type="dxa"/>
              <w:right w:w="20" w:type="dxa"/>
            </w:tcMar>
          </w:tcPr>
          <w:p w14:paraId="64299126"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27" w14:textId="77777777" w:rsidR="007B6C97" w:rsidRDefault="00E426D1">
            <w:pPr>
              <w:jc w:val="right"/>
              <w:textAlignment w:val="bottom"/>
            </w:pPr>
            <w:r>
              <w:rPr>
                <w:rFonts w:ascii="Times New Roman" w:eastAsia="宋体" w:hAnsi="Times New Roman"/>
                <w:color w:val="000000"/>
                <w:sz w:val="20"/>
                <w:szCs w:val="20"/>
              </w:rPr>
              <w:t>4,728.3 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2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29"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2A" w14:textId="77777777" w:rsidR="007B6C97" w:rsidRDefault="00E426D1">
            <w:pPr>
              <w:jc w:val="right"/>
              <w:textAlignment w:val="bottom"/>
            </w:pPr>
            <w:r>
              <w:rPr>
                <w:rFonts w:ascii="Times New Roman" w:eastAsia="宋体" w:hAnsi="Times New Roman"/>
                <w:color w:val="000000"/>
                <w:sz w:val="20"/>
                <w:szCs w:val="20"/>
              </w:rPr>
              <w:t>4,066.4 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2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2C"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2D" w14:textId="77777777" w:rsidR="007B6C97" w:rsidRDefault="00E426D1">
            <w:pPr>
              <w:jc w:val="right"/>
              <w:textAlignment w:val="bottom"/>
            </w:pPr>
            <w:r>
              <w:rPr>
                <w:rFonts w:ascii="Times New Roman" w:eastAsia="宋体" w:hAnsi="Times New Roman"/>
                <w:color w:val="000000"/>
                <w:sz w:val="20"/>
                <w:szCs w:val="20"/>
              </w:rPr>
              <w:t>661.9 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2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2F"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0" w14:textId="77777777" w:rsidR="007B6C97" w:rsidRDefault="00E426D1">
            <w:pPr>
              <w:jc w:val="right"/>
              <w:textAlignment w:val="bottom"/>
            </w:pPr>
            <w:r>
              <w:rPr>
                <w:rFonts w:ascii="Times New Roman" w:eastAsia="宋体" w:hAnsi="Times New Roman"/>
                <w:color w:val="000000"/>
                <w:sz w:val="20"/>
                <w:szCs w:val="20"/>
              </w:rPr>
              <w:t>78.0 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3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32"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3" w14:textId="77777777" w:rsidR="007B6C97" w:rsidRDefault="00E426D1">
            <w:pPr>
              <w:jc w:val="right"/>
              <w:textAlignment w:val="bottom"/>
            </w:pPr>
            <w:r>
              <w:rPr>
                <w:rFonts w:ascii="Times New Roman" w:eastAsia="宋体" w:hAnsi="Times New Roman"/>
                <w:color w:val="000000"/>
                <w:sz w:val="20"/>
                <w:szCs w:val="20"/>
              </w:rPr>
              <w:t>75.7 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3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35"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6" w14:textId="77777777" w:rsidR="007B6C97" w:rsidRDefault="00E426D1">
            <w:pPr>
              <w:jc w:val="right"/>
              <w:textAlignment w:val="bottom"/>
            </w:pPr>
            <w:r>
              <w:rPr>
                <w:rFonts w:ascii="Times New Roman" w:eastAsia="宋体" w:hAnsi="Times New Roman"/>
                <w:color w:val="000000"/>
                <w:sz w:val="20"/>
                <w:szCs w:val="20"/>
              </w:rPr>
              <w:t>13,891.6 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3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38"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9" w14:textId="77777777" w:rsidR="007B6C97" w:rsidRDefault="00E426D1">
            <w:pPr>
              <w:jc w:val="right"/>
              <w:textAlignment w:val="bottom"/>
            </w:pPr>
            <w:r>
              <w:rPr>
                <w:rFonts w:ascii="Times New Roman" w:eastAsia="宋体" w:hAnsi="Times New Roman"/>
                <w:color w:val="000000"/>
                <w:sz w:val="20"/>
                <w:szCs w:val="20"/>
              </w:rPr>
              <w:t>11,681.4 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3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3B"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C" w14:textId="77777777" w:rsidR="007B6C97" w:rsidRDefault="00E426D1">
            <w:pPr>
              <w:jc w:val="right"/>
              <w:textAlignment w:val="bottom"/>
            </w:pPr>
            <w:r>
              <w:rPr>
                <w:rFonts w:ascii="Times New Roman" w:eastAsia="宋体" w:hAnsi="Times New Roman"/>
                <w:color w:val="000000"/>
                <w:sz w:val="20"/>
                <w:szCs w:val="20"/>
              </w:rPr>
              <w:t>2,210.2 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3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3E"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3F" w14:textId="77777777" w:rsidR="007B6C97" w:rsidRDefault="00E426D1">
            <w:pPr>
              <w:jc w:val="right"/>
              <w:textAlignment w:val="bottom"/>
            </w:pPr>
            <w:r>
              <w:rPr>
                <w:rFonts w:ascii="Times New Roman" w:eastAsia="宋体" w:hAnsi="Times New Roman"/>
                <w:color w:val="000000"/>
                <w:sz w:val="20"/>
                <w:szCs w:val="20"/>
              </w:rPr>
              <w:t>80.6 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4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141"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142" w14:textId="77777777" w:rsidR="007B6C97" w:rsidRDefault="00E426D1">
            <w:pPr>
              <w:jc w:val="right"/>
              <w:textAlignment w:val="bottom"/>
            </w:pPr>
            <w:r>
              <w:rPr>
                <w:rFonts w:ascii="Times New Roman" w:eastAsia="宋体" w:hAnsi="Times New Roman"/>
                <w:color w:val="000000"/>
                <w:sz w:val="20"/>
                <w:szCs w:val="20"/>
              </w:rPr>
              <w:t>79.5 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143" w14:textId="77777777" w:rsidR="007B6C97" w:rsidRDefault="007B6C97">
            <w:pPr>
              <w:jc w:val="right"/>
              <w:rPr>
                <w:rFonts w:ascii="宋体"/>
              </w:rPr>
            </w:pPr>
          </w:p>
        </w:tc>
      </w:tr>
      <w:tr w:rsidR="007B6C97" w14:paraId="64299159" w14:textId="77777777">
        <w:trPr>
          <w:hidden/>
        </w:trPr>
        <w:tc>
          <w:tcPr>
            <w:tcW w:w="0" w:type="auto"/>
            <w:gridSpan w:val="3"/>
            <w:shd w:val="clear" w:color="auto" w:fill="auto"/>
            <w:vAlign w:val="bottom"/>
          </w:tcPr>
          <w:p w14:paraId="64299145" w14:textId="77777777" w:rsidR="007B6C97" w:rsidRDefault="007B6C97">
            <w:pPr>
              <w:rPr>
                <w:rFonts w:ascii="宋体"/>
                <w:vanish/>
              </w:rPr>
            </w:pPr>
          </w:p>
        </w:tc>
        <w:tc>
          <w:tcPr>
            <w:tcW w:w="0" w:type="auto"/>
            <w:gridSpan w:val="3"/>
            <w:shd w:val="clear" w:color="auto" w:fill="auto"/>
            <w:vAlign w:val="bottom"/>
          </w:tcPr>
          <w:p w14:paraId="64299146" w14:textId="77777777" w:rsidR="007B6C97" w:rsidRDefault="007B6C97">
            <w:pPr>
              <w:rPr>
                <w:rFonts w:ascii="宋体"/>
                <w:vanish/>
              </w:rPr>
            </w:pPr>
          </w:p>
        </w:tc>
        <w:tc>
          <w:tcPr>
            <w:tcW w:w="0" w:type="auto"/>
            <w:gridSpan w:val="3"/>
            <w:shd w:val="clear" w:color="auto" w:fill="auto"/>
            <w:vAlign w:val="bottom"/>
          </w:tcPr>
          <w:p w14:paraId="64299147" w14:textId="77777777" w:rsidR="007B6C97" w:rsidRDefault="007B6C97">
            <w:pPr>
              <w:rPr>
                <w:rFonts w:ascii="宋体"/>
                <w:vanish/>
              </w:rPr>
            </w:pPr>
          </w:p>
        </w:tc>
        <w:tc>
          <w:tcPr>
            <w:tcW w:w="0" w:type="auto"/>
            <w:gridSpan w:val="3"/>
            <w:shd w:val="clear" w:color="auto" w:fill="auto"/>
            <w:vAlign w:val="bottom"/>
          </w:tcPr>
          <w:p w14:paraId="64299148" w14:textId="77777777" w:rsidR="007B6C97" w:rsidRDefault="007B6C97">
            <w:pPr>
              <w:rPr>
                <w:rFonts w:ascii="宋体"/>
                <w:vanish/>
              </w:rPr>
            </w:pPr>
          </w:p>
        </w:tc>
        <w:tc>
          <w:tcPr>
            <w:tcW w:w="0" w:type="auto"/>
            <w:gridSpan w:val="3"/>
            <w:shd w:val="clear" w:color="auto" w:fill="auto"/>
            <w:vAlign w:val="bottom"/>
          </w:tcPr>
          <w:p w14:paraId="64299149" w14:textId="77777777" w:rsidR="007B6C97" w:rsidRDefault="007B6C97">
            <w:pPr>
              <w:rPr>
                <w:rFonts w:ascii="宋体"/>
                <w:vanish/>
              </w:rPr>
            </w:pPr>
          </w:p>
        </w:tc>
        <w:tc>
          <w:tcPr>
            <w:tcW w:w="0" w:type="auto"/>
            <w:gridSpan w:val="3"/>
            <w:shd w:val="clear" w:color="auto" w:fill="auto"/>
            <w:vAlign w:val="bottom"/>
          </w:tcPr>
          <w:p w14:paraId="6429914A" w14:textId="77777777" w:rsidR="007B6C97" w:rsidRDefault="007B6C97">
            <w:pPr>
              <w:rPr>
                <w:rFonts w:ascii="宋体"/>
                <w:vanish/>
              </w:rPr>
            </w:pPr>
          </w:p>
        </w:tc>
        <w:tc>
          <w:tcPr>
            <w:tcW w:w="0" w:type="auto"/>
            <w:gridSpan w:val="3"/>
            <w:shd w:val="clear" w:color="auto" w:fill="auto"/>
            <w:vAlign w:val="bottom"/>
          </w:tcPr>
          <w:p w14:paraId="6429914B" w14:textId="77777777" w:rsidR="007B6C97" w:rsidRDefault="007B6C97">
            <w:pPr>
              <w:rPr>
                <w:rFonts w:ascii="宋体"/>
                <w:vanish/>
              </w:rPr>
            </w:pPr>
          </w:p>
        </w:tc>
        <w:tc>
          <w:tcPr>
            <w:tcW w:w="0" w:type="auto"/>
            <w:gridSpan w:val="3"/>
            <w:shd w:val="clear" w:color="auto" w:fill="auto"/>
            <w:vAlign w:val="bottom"/>
          </w:tcPr>
          <w:p w14:paraId="6429914C" w14:textId="77777777" w:rsidR="007B6C97" w:rsidRDefault="007B6C97">
            <w:pPr>
              <w:rPr>
                <w:rFonts w:ascii="宋体"/>
                <w:vanish/>
              </w:rPr>
            </w:pPr>
          </w:p>
        </w:tc>
        <w:tc>
          <w:tcPr>
            <w:tcW w:w="0" w:type="auto"/>
            <w:gridSpan w:val="3"/>
            <w:shd w:val="clear" w:color="auto" w:fill="auto"/>
            <w:vAlign w:val="bottom"/>
          </w:tcPr>
          <w:p w14:paraId="6429914D" w14:textId="77777777" w:rsidR="007B6C97" w:rsidRDefault="007B6C97">
            <w:pPr>
              <w:rPr>
                <w:rFonts w:ascii="宋体"/>
                <w:vanish/>
              </w:rPr>
            </w:pPr>
          </w:p>
        </w:tc>
        <w:tc>
          <w:tcPr>
            <w:tcW w:w="0" w:type="auto"/>
            <w:gridSpan w:val="3"/>
            <w:shd w:val="clear" w:color="auto" w:fill="auto"/>
            <w:vAlign w:val="bottom"/>
          </w:tcPr>
          <w:p w14:paraId="6429914E" w14:textId="77777777" w:rsidR="007B6C97" w:rsidRDefault="007B6C97">
            <w:pPr>
              <w:rPr>
                <w:rFonts w:ascii="宋体"/>
                <w:vanish/>
              </w:rPr>
            </w:pPr>
          </w:p>
        </w:tc>
        <w:tc>
          <w:tcPr>
            <w:tcW w:w="0" w:type="auto"/>
            <w:gridSpan w:val="3"/>
            <w:shd w:val="clear" w:color="auto" w:fill="auto"/>
            <w:vAlign w:val="bottom"/>
          </w:tcPr>
          <w:p w14:paraId="6429914F" w14:textId="77777777" w:rsidR="007B6C97" w:rsidRDefault="007B6C97">
            <w:pPr>
              <w:rPr>
                <w:rFonts w:ascii="宋体"/>
                <w:vanish/>
              </w:rPr>
            </w:pPr>
          </w:p>
        </w:tc>
        <w:tc>
          <w:tcPr>
            <w:tcW w:w="0" w:type="auto"/>
            <w:gridSpan w:val="3"/>
            <w:shd w:val="clear" w:color="auto" w:fill="auto"/>
            <w:vAlign w:val="bottom"/>
          </w:tcPr>
          <w:p w14:paraId="64299150" w14:textId="77777777" w:rsidR="007B6C97" w:rsidRDefault="007B6C97">
            <w:pPr>
              <w:rPr>
                <w:rFonts w:ascii="宋体"/>
                <w:vanish/>
              </w:rPr>
            </w:pPr>
          </w:p>
        </w:tc>
        <w:tc>
          <w:tcPr>
            <w:tcW w:w="0" w:type="auto"/>
            <w:gridSpan w:val="3"/>
            <w:shd w:val="clear" w:color="auto" w:fill="auto"/>
            <w:vAlign w:val="bottom"/>
          </w:tcPr>
          <w:p w14:paraId="64299151" w14:textId="77777777" w:rsidR="007B6C97" w:rsidRDefault="007B6C97">
            <w:pPr>
              <w:rPr>
                <w:rFonts w:ascii="宋体"/>
                <w:vanish/>
              </w:rPr>
            </w:pPr>
          </w:p>
        </w:tc>
        <w:tc>
          <w:tcPr>
            <w:tcW w:w="0" w:type="auto"/>
            <w:gridSpan w:val="3"/>
            <w:shd w:val="clear" w:color="auto" w:fill="auto"/>
            <w:vAlign w:val="bottom"/>
          </w:tcPr>
          <w:p w14:paraId="64299152" w14:textId="77777777" w:rsidR="007B6C97" w:rsidRDefault="007B6C97">
            <w:pPr>
              <w:rPr>
                <w:rFonts w:ascii="宋体"/>
                <w:vanish/>
              </w:rPr>
            </w:pPr>
          </w:p>
        </w:tc>
        <w:tc>
          <w:tcPr>
            <w:tcW w:w="0" w:type="auto"/>
            <w:gridSpan w:val="3"/>
            <w:shd w:val="clear" w:color="auto" w:fill="auto"/>
            <w:vAlign w:val="bottom"/>
          </w:tcPr>
          <w:p w14:paraId="64299153" w14:textId="77777777" w:rsidR="007B6C97" w:rsidRDefault="007B6C97">
            <w:pPr>
              <w:rPr>
                <w:rFonts w:ascii="宋体"/>
                <w:vanish/>
              </w:rPr>
            </w:pPr>
          </w:p>
        </w:tc>
        <w:tc>
          <w:tcPr>
            <w:tcW w:w="0" w:type="auto"/>
            <w:gridSpan w:val="3"/>
            <w:shd w:val="clear" w:color="auto" w:fill="auto"/>
            <w:vAlign w:val="bottom"/>
          </w:tcPr>
          <w:p w14:paraId="64299154" w14:textId="77777777" w:rsidR="007B6C97" w:rsidRDefault="007B6C97">
            <w:pPr>
              <w:rPr>
                <w:rFonts w:ascii="宋体"/>
                <w:vanish/>
              </w:rPr>
            </w:pPr>
          </w:p>
        </w:tc>
        <w:tc>
          <w:tcPr>
            <w:tcW w:w="0" w:type="auto"/>
            <w:gridSpan w:val="3"/>
            <w:shd w:val="clear" w:color="auto" w:fill="auto"/>
            <w:vAlign w:val="bottom"/>
          </w:tcPr>
          <w:p w14:paraId="64299155" w14:textId="77777777" w:rsidR="007B6C97" w:rsidRDefault="007B6C97">
            <w:pPr>
              <w:rPr>
                <w:rFonts w:ascii="宋体"/>
                <w:vanish/>
              </w:rPr>
            </w:pPr>
          </w:p>
        </w:tc>
        <w:tc>
          <w:tcPr>
            <w:tcW w:w="0" w:type="auto"/>
            <w:gridSpan w:val="3"/>
            <w:shd w:val="clear" w:color="auto" w:fill="auto"/>
            <w:vAlign w:val="bottom"/>
          </w:tcPr>
          <w:p w14:paraId="64299156" w14:textId="77777777" w:rsidR="007B6C97" w:rsidRDefault="007B6C97">
            <w:pPr>
              <w:rPr>
                <w:rFonts w:ascii="宋体"/>
                <w:vanish/>
              </w:rPr>
            </w:pPr>
          </w:p>
        </w:tc>
        <w:tc>
          <w:tcPr>
            <w:tcW w:w="0" w:type="auto"/>
            <w:gridSpan w:val="3"/>
            <w:shd w:val="clear" w:color="auto" w:fill="auto"/>
            <w:vAlign w:val="bottom"/>
          </w:tcPr>
          <w:p w14:paraId="64299157" w14:textId="77777777" w:rsidR="007B6C97" w:rsidRDefault="007B6C97">
            <w:pPr>
              <w:rPr>
                <w:rFonts w:ascii="宋体"/>
                <w:vanish/>
              </w:rPr>
            </w:pPr>
          </w:p>
        </w:tc>
        <w:tc>
          <w:tcPr>
            <w:tcW w:w="0" w:type="auto"/>
            <w:gridSpan w:val="3"/>
            <w:shd w:val="clear" w:color="auto" w:fill="auto"/>
            <w:vAlign w:val="bottom"/>
          </w:tcPr>
          <w:p w14:paraId="64299158" w14:textId="77777777" w:rsidR="007B6C97" w:rsidRDefault="007B6C97">
            <w:pPr>
              <w:rPr>
                <w:rFonts w:ascii="宋体"/>
                <w:vanish/>
              </w:rPr>
            </w:pPr>
          </w:p>
        </w:tc>
      </w:tr>
      <w:tr w:rsidR="00E426D1" w14:paraId="6429917E" w14:textId="77777777">
        <w:tc>
          <w:tcPr>
            <w:tcW w:w="0" w:type="auto"/>
            <w:gridSpan w:val="3"/>
            <w:shd w:val="clear" w:color="auto" w:fill="D7E4BC"/>
            <w:tcMar>
              <w:top w:w="40" w:type="dxa"/>
              <w:left w:w="245" w:type="dxa"/>
              <w:bottom w:w="40" w:type="dxa"/>
              <w:right w:w="20" w:type="dxa"/>
            </w:tcMar>
          </w:tcPr>
          <w:p w14:paraId="6429915A" w14:textId="77777777" w:rsidR="007B6C97" w:rsidRDefault="00E426D1">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429915B"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5C" w14:textId="77777777" w:rsidR="007B6C97" w:rsidRDefault="00E426D1">
            <w:pPr>
              <w:jc w:val="right"/>
              <w:textAlignment w:val="bottom"/>
            </w:pPr>
            <w:r>
              <w:rPr>
                <w:rFonts w:ascii="Times New Roman" w:eastAsia="宋体" w:hAnsi="Times New Roman"/>
                <w:b/>
                <w:bCs/>
                <w:color w:val="000000"/>
                <w:sz w:val="20"/>
                <w:szCs w:val="20"/>
              </w:rPr>
              <w:t>1,330.1</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5E"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15F"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60" w14:textId="77777777" w:rsidR="007B6C97" w:rsidRDefault="00E426D1">
            <w:pPr>
              <w:jc w:val="right"/>
              <w:textAlignment w:val="bottom"/>
            </w:pPr>
            <w:r>
              <w:rPr>
                <w:rFonts w:ascii="Times New Roman" w:eastAsia="宋体" w:hAnsi="Times New Roman"/>
                <w:b/>
                <w:bCs/>
                <w:color w:val="000000"/>
                <w:sz w:val="20"/>
                <w:szCs w:val="20"/>
              </w:rPr>
              <w:t>1,304.3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62"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163"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64" w14:textId="77777777" w:rsidR="007B6C97" w:rsidRDefault="00E426D1">
            <w:pPr>
              <w:jc w:val="right"/>
              <w:textAlignment w:val="bottom"/>
            </w:pPr>
            <w:r>
              <w:rPr>
                <w:rFonts w:ascii="Times New Roman" w:eastAsia="宋体" w:hAnsi="Times New Roman"/>
                <w:b/>
                <w:bCs/>
                <w:color w:val="000000"/>
                <w:sz w:val="20"/>
                <w:szCs w:val="20"/>
              </w:rPr>
              <w:t>25.8</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6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66"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9167" w14:textId="77777777" w:rsidR="007B6C97" w:rsidRDefault="00E426D1">
            <w:pPr>
              <w:jc w:val="right"/>
              <w:textAlignment w:val="bottom"/>
            </w:pPr>
            <w:r>
              <w:rPr>
                <w:rFonts w:ascii="Times New Roman" w:eastAsia="宋体" w:hAnsi="Times New Roman"/>
                <w:b/>
                <w:bCs/>
                <w:color w:val="000000"/>
                <w:sz w:val="20"/>
                <w:szCs w:val="20"/>
              </w:rPr>
              <w:t>22.0</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68"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169"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916A" w14:textId="77777777" w:rsidR="007B6C97" w:rsidRDefault="00E426D1">
            <w:pPr>
              <w:jc w:val="right"/>
              <w:textAlignment w:val="bottom"/>
            </w:pPr>
            <w:r>
              <w:rPr>
                <w:rFonts w:ascii="Times New Roman" w:eastAsia="宋体" w:hAnsi="Times New Roman"/>
                <w:b/>
                <w:bCs/>
                <w:color w:val="000000"/>
                <w:sz w:val="20"/>
                <w:szCs w:val="20"/>
              </w:rPr>
              <w:t>24.3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6B"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16C"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16D"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6E" w14:textId="77777777" w:rsidR="007B6C97" w:rsidRDefault="00E426D1">
            <w:pPr>
              <w:jc w:val="right"/>
              <w:textAlignment w:val="bottom"/>
            </w:pPr>
            <w:r>
              <w:rPr>
                <w:rFonts w:ascii="Times New Roman" w:eastAsia="宋体" w:hAnsi="Times New Roman"/>
                <w:b/>
                <w:bCs/>
                <w:color w:val="000000"/>
                <w:sz w:val="20"/>
                <w:szCs w:val="20"/>
              </w:rPr>
              <w:t>3,344.8</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6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70"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171"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72" w14:textId="77777777" w:rsidR="007B6C97" w:rsidRDefault="00E426D1">
            <w:pPr>
              <w:jc w:val="right"/>
              <w:textAlignment w:val="bottom"/>
            </w:pPr>
            <w:r>
              <w:rPr>
                <w:rFonts w:ascii="Times New Roman" w:eastAsia="宋体" w:hAnsi="Times New Roman"/>
                <w:b/>
                <w:bCs/>
                <w:color w:val="000000"/>
                <w:sz w:val="20"/>
                <w:szCs w:val="20"/>
              </w:rPr>
              <w:t>3,003.5</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7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74"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175"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176" w14:textId="77777777" w:rsidR="007B6C97" w:rsidRDefault="00E426D1">
            <w:pPr>
              <w:jc w:val="right"/>
              <w:textAlignment w:val="bottom"/>
            </w:pPr>
            <w:r>
              <w:rPr>
                <w:rFonts w:ascii="Times New Roman" w:eastAsia="宋体" w:hAnsi="Times New Roman"/>
                <w:b/>
                <w:bCs/>
                <w:color w:val="000000"/>
                <w:sz w:val="20"/>
                <w:szCs w:val="20"/>
              </w:rPr>
              <w:t>341.3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7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17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179" w14:textId="77777777" w:rsidR="007B6C97" w:rsidRDefault="00E426D1">
            <w:pPr>
              <w:jc w:val="right"/>
              <w:textAlignment w:val="bottom"/>
            </w:pPr>
            <w:r>
              <w:rPr>
                <w:rFonts w:ascii="Times New Roman" w:eastAsia="宋体" w:hAnsi="Times New Roman"/>
                <w:b/>
                <w:bCs/>
                <w:color w:val="000000"/>
                <w:sz w:val="20"/>
                <w:szCs w:val="20"/>
              </w:rPr>
              <w:t>19.4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17A"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17B"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917C" w14:textId="77777777" w:rsidR="007B6C97" w:rsidRDefault="00E426D1">
            <w:pPr>
              <w:jc w:val="right"/>
              <w:textAlignment w:val="bottom"/>
            </w:pPr>
            <w:r>
              <w:rPr>
                <w:rFonts w:ascii="Times New Roman" w:eastAsia="宋体" w:hAnsi="Times New Roman"/>
                <w:b/>
                <w:bCs/>
                <w:color w:val="000000"/>
                <w:sz w:val="20"/>
                <w:szCs w:val="20"/>
              </w:rPr>
              <w:t>20.5</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17D" w14:textId="77777777" w:rsidR="007B6C97" w:rsidRDefault="00E426D1">
            <w:pPr>
              <w:jc w:val="right"/>
              <w:textAlignment w:val="bottom"/>
            </w:pPr>
            <w:r>
              <w:rPr>
                <w:rFonts w:ascii="Times New Roman" w:eastAsia="宋体" w:hAnsi="Times New Roman"/>
                <w:b/>
                <w:bCs/>
                <w:color w:val="000000"/>
                <w:sz w:val="20"/>
                <w:szCs w:val="20"/>
              </w:rPr>
              <w:t>%</w:t>
            </w:r>
          </w:p>
        </w:tc>
      </w:tr>
      <w:tr w:rsidR="007B6C97" w14:paraId="64299196" w14:textId="77777777">
        <w:tc>
          <w:tcPr>
            <w:tcW w:w="0" w:type="auto"/>
            <w:gridSpan w:val="6"/>
            <w:shd w:val="clear" w:color="auto" w:fill="FFFFFF"/>
            <w:tcMar>
              <w:top w:w="40" w:type="dxa"/>
              <w:left w:w="20" w:type="dxa"/>
              <w:bottom w:w="40" w:type="dxa"/>
              <w:right w:w="20" w:type="dxa"/>
            </w:tcMar>
          </w:tcPr>
          <w:p w14:paraId="6429917F" w14:textId="77777777" w:rsidR="007B6C97" w:rsidRDefault="00E426D1">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429918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1"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2"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3"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185" w14:textId="77777777" w:rsidR="007B6C97" w:rsidRDefault="00E426D1">
            <w:pPr>
              <w:jc w:val="right"/>
              <w:textAlignment w:val="top"/>
            </w:pPr>
            <w:r>
              <w:rPr>
                <w:rFonts w:ascii="Times New Roman" w:eastAsia="宋体" w:hAnsi="Times New Roman"/>
                <w:color w:val="000000"/>
                <w:sz w:val="20"/>
                <w:szCs w:val="20"/>
              </w:rPr>
              <w:t>48.4 </w:t>
            </w:r>
          </w:p>
        </w:tc>
        <w:tc>
          <w:tcPr>
            <w:tcW w:w="0" w:type="auto"/>
            <w:shd w:val="clear" w:color="auto" w:fill="FFFFFF"/>
            <w:tcMar>
              <w:top w:w="40" w:type="dxa"/>
              <w:left w:w="0" w:type="dxa"/>
              <w:bottom w:w="40" w:type="dxa"/>
              <w:right w:w="20" w:type="dxa"/>
            </w:tcMar>
          </w:tcPr>
          <w:p w14:paraId="64299186"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18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188" w14:textId="77777777" w:rsidR="007B6C97" w:rsidRDefault="00E426D1">
            <w:pPr>
              <w:jc w:val="right"/>
              <w:textAlignment w:val="top"/>
            </w:pPr>
            <w:r>
              <w:rPr>
                <w:rFonts w:ascii="Times New Roman" w:eastAsia="宋体" w:hAnsi="Times New Roman"/>
                <w:color w:val="000000"/>
                <w:sz w:val="20"/>
                <w:szCs w:val="20"/>
              </w:rPr>
              <w:t>47.6 </w:t>
            </w:r>
          </w:p>
        </w:tc>
        <w:tc>
          <w:tcPr>
            <w:tcW w:w="0" w:type="auto"/>
            <w:shd w:val="clear" w:color="auto" w:fill="FFFFFF"/>
            <w:tcMar>
              <w:top w:w="40" w:type="dxa"/>
              <w:left w:w="0" w:type="dxa"/>
              <w:bottom w:w="40" w:type="dxa"/>
              <w:right w:w="20" w:type="dxa"/>
            </w:tcMar>
          </w:tcPr>
          <w:p w14:paraId="64299189"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18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D"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E"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8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19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191" w14:textId="77777777" w:rsidR="007B6C97" w:rsidRDefault="00E426D1">
            <w:pPr>
              <w:jc w:val="right"/>
              <w:textAlignment w:val="top"/>
            </w:pPr>
            <w:r>
              <w:rPr>
                <w:rFonts w:ascii="Times New Roman" w:eastAsia="宋体" w:hAnsi="Times New Roman"/>
                <w:color w:val="000000"/>
                <w:sz w:val="20"/>
                <w:szCs w:val="20"/>
              </w:rPr>
              <w:t>51.1 </w:t>
            </w:r>
          </w:p>
        </w:tc>
        <w:tc>
          <w:tcPr>
            <w:tcW w:w="0" w:type="auto"/>
            <w:shd w:val="clear" w:color="auto" w:fill="FFFFFF"/>
            <w:tcMar>
              <w:top w:w="40" w:type="dxa"/>
              <w:left w:w="0" w:type="dxa"/>
              <w:bottom w:w="40" w:type="dxa"/>
              <w:right w:w="20" w:type="dxa"/>
            </w:tcMar>
          </w:tcPr>
          <w:p w14:paraId="64299192"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19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194" w14:textId="77777777" w:rsidR="007B6C97" w:rsidRDefault="00E426D1">
            <w:pPr>
              <w:jc w:val="right"/>
              <w:textAlignment w:val="top"/>
            </w:pPr>
            <w:r>
              <w:rPr>
                <w:rFonts w:ascii="Times New Roman" w:eastAsia="宋体" w:hAnsi="Times New Roman"/>
                <w:color w:val="000000"/>
                <w:sz w:val="20"/>
                <w:szCs w:val="20"/>
              </w:rPr>
              <w:t>50.4 </w:t>
            </w:r>
          </w:p>
        </w:tc>
        <w:tc>
          <w:tcPr>
            <w:tcW w:w="0" w:type="auto"/>
            <w:shd w:val="clear" w:color="auto" w:fill="FFFFFF"/>
            <w:tcMar>
              <w:top w:w="40" w:type="dxa"/>
              <w:left w:w="0" w:type="dxa"/>
              <w:bottom w:w="40" w:type="dxa"/>
              <w:right w:w="20" w:type="dxa"/>
            </w:tcMar>
          </w:tcPr>
          <w:p w14:paraId="64299195" w14:textId="77777777" w:rsidR="007B6C97" w:rsidRDefault="00E426D1">
            <w:pPr>
              <w:jc w:val="right"/>
              <w:textAlignment w:val="top"/>
            </w:pPr>
            <w:r>
              <w:rPr>
                <w:rFonts w:ascii="Times New Roman" w:eastAsia="宋体" w:hAnsi="Times New Roman"/>
                <w:color w:val="000000"/>
                <w:sz w:val="20"/>
                <w:szCs w:val="20"/>
              </w:rPr>
              <w:t>%</w:t>
            </w:r>
          </w:p>
        </w:tc>
      </w:tr>
    </w:tbl>
    <w:p w14:paraId="64299197" w14:textId="77777777" w:rsidR="007B6C97" w:rsidRDefault="00E426D1">
      <w:pPr>
        <w:pBdr>
          <w:left w:val="none" w:sz="0" w:space="0" w:color="auto"/>
        </w:pBd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North America licensed stores revenue, total net revenues, product and distribution costs, other operating expenses, total o</w:t>
      </w:r>
      <w:r>
        <w:rPr>
          <w:rFonts w:ascii="Times New Roman" w:eastAsia="宋体" w:hAnsi="Times New Roman"/>
          <w:color w:val="000000"/>
          <w:sz w:val="20"/>
          <w:szCs w:val="20"/>
          <w:shd w:val="clear" w:color="auto" w:fill="FFFFFF"/>
        </w:rPr>
        <w:t xml:space="preserve">perating expenses and operating income for the quarter and </w:t>
      </w:r>
      <w:r>
        <w:rPr>
          <w:rFonts w:ascii="Times New Roman" w:eastAsia="宋体" w:hAnsi="Times New Roman"/>
          <w:color w:val="000000"/>
          <w:sz w:val="20"/>
          <w:szCs w:val="20"/>
        </w:rPr>
        <w:t>three quarters</w:t>
      </w:r>
      <w:r>
        <w:rPr>
          <w:rFonts w:ascii="Times New Roman" w:eastAsia="宋体" w:hAnsi="Times New Roman"/>
          <w:color w:val="000000"/>
          <w:sz w:val="20"/>
          <w:szCs w:val="20"/>
          <w:shd w:val="clear" w:color="auto" w:fill="FFFFFF"/>
        </w:rPr>
        <w:t xml:space="preserve"> ended June 27, 2021, have been restated to conform with current period presentation.</w:t>
      </w:r>
    </w:p>
    <w:p w14:paraId="64299198" w14:textId="77777777" w:rsidR="007B6C97" w:rsidRDefault="007B6C97">
      <w:pPr>
        <w:spacing w:before="120"/>
      </w:pPr>
    </w:p>
    <w:p w14:paraId="64299199" w14:textId="77777777" w:rsidR="007B6C97" w:rsidRDefault="00E426D1">
      <w:pPr>
        <w:jc w:val="center"/>
      </w:pPr>
      <w:r>
        <w:rPr>
          <w:rFonts w:ascii="Times New Roman" w:eastAsia="宋体" w:hAnsi="Times New Roman"/>
          <w:color w:val="000000"/>
          <w:sz w:val="20"/>
          <w:szCs w:val="20"/>
        </w:rPr>
        <w:t>35</w:t>
      </w:r>
    </w:p>
    <w:p w14:paraId="6429919A" w14:textId="77777777" w:rsidR="007B6C97" w:rsidRDefault="00E426D1">
      <w:r>
        <w:pict w14:anchorId="642999FD">
          <v:rect id="_x0000_i1059" style="width:415.3pt;height:1.5pt" o:hralign="center" o:hrstd="t" o:hr="t" fillcolor="#a0a0a0" stroked="f"/>
        </w:pict>
      </w:r>
    </w:p>
    <w:p w14:paraId="6429919B" w14:textId="77777777" w:rsidR="007B6C97" w:rsidRDefault="00E426D1">
      <w:hyperlink r:id="rId151" w:anchor="ie38a2b375c9840e583a36769999bbee6_7" w:history="1">
        <w:r>
          <w:rPr>
            <w:rStyle w:val="a5"/>
            <w:rFonts w:ascii="Times New Roman" w:eastAsia="宋体" w:hAnsi="Times New Roman"/>
            <w:sz w:val="20"/>
            <w:szCs w:val="20"/>
          </w:rPr>
          <w:t>Table</w:t>
        </w:r>
      </w:hyperlink>
      <w:hyperlink r:id="rId152" w:anchor="ie38a2b375c9840e583a36769999bbee6_7" w:history="1">
        <w:r>
          <w:rPr>
            <w:rStyle w:val="a5"/>
            <w:rFonts w:ascii="Times New Roman" w:eastAsia="宋体" w:hAnsi="Times New Roman"/>
            <w:sz w:val="20"/>
            <w:szCs w:val="20"/>
          </w:rPr>
          <w:t xml:space="preserve"> of Contents</w:t>
        </w:r>
      </w:hyperlink>
    </w:p>
    <w:p w14:paraId="6429919C" w14:textId="77777777" w:rsidR="007B6C97" w:rsidRDefault="00E426D1">
      <w:pPr>
        <w:spacing w:before="120"/>
      </w:pPr>
      <w:r>
        <w:rPr>
          <w:rFonts w:ascii="Times New Roman" w:eastAsia="宋体" w:hAnsi="Times New Roman"/>
          <w:i/>
          <w:iCs/>
          <w:color w:val="000000"/>
          <w:sz w:val="20"/>
          <w:szCs w:val="20"/>
        </w:rPr>
        <w:t xml:space="preserve">For the quarter ended July 3, 2022 compared with the quarter ended June 27, 2021 </w:t>
      </w:r>
    </w:p>
    <w:p w14:paraId="6429919D" w14:textId="77777777" w:rsidR="007B6C97" w:rsidRDefault="00E426D1">
      <w:pPr>
        <w:spacing w:before="120"/>
      </w:pPr>
      <w:r>
        <w:rPr>
          <w:rFonts w:ascii="Times New Roman" w:eastAsia="宋体" w:hAnsi="Times New Roman"/>
          <w:color w:val="000000"/>
          <w:sz w:val="20"/>
          <w:szCs w:val="20"/>
          <w:u w:val="single"/>
        </w:rPr>
        <w:t>Revenues</w:t>
      </w:r>
    </w:p>
    <w:p w14:paraId="6429919E" w14:textId="77777777" w:rsidR="007B6C97" w:rsidRDefault="00E426D1">
      <w:pPr>
        <w:spacing w:before="120"/>
      </w:pPr>
      <w:r>
        <w:rPr>
          <w:rFonts w:ascii="Times New Roman" w:eastAsia="宋体" w:hAnsi="Times New Roman"/>
          <w:color w:val="000000"/>
          <w:sz w:val="20"/>
          <w:szCs w:val="20"/>
        </w:rPr>
        <w:t xml:space="preserve">North America total net revenues for the third quarter of fiscal 2022 increased $688 million, or 13%, primarily due to a 9% increase in comparable store sales ($421 </w:t>
      </w:r>
      <w:r>
        <w:rPr>
          <w:rFonts w:ascii="Times New Roman" w:eastAsia="宋体" w:hAnsi="Times New Roman"/>
          <w:color w:val="000000"/>
          <w:sz w:val="20"/>
          <w:szCs w:val="20"/>
        </w:rPr>
        <w:t>million) driven by a 8% increase in average ticket and a 1% increase in transactions. Also contributing to these increases were the performance of net new company-operated store openings over the past 12 months ($168 million) and higher product and equipme</w:t>
      </w:r>
      <w:r>
        <w:rPr>
          <w:rFonts w:ascii="Times New Roman" w:eastAsia="宋体" w:hAnsi="Times New Roman"/>
          <w:color w:val="000000"/>
          <w:sz w:val="20"/>
          <w:szCs w:val="20"/>
        </w:rPr>
        <w:t>nt sales to and royalty revenues from our licensees ($103 million).</w:t>
      </w:r>
    </w:p>
    <w:p w14:paraId="6429919F" w14:textId="77777777" w:rsidR="007B6C97" w:rsidRDefault="00E426D1">
      <w:pPr>
        <w:spacing w:before="120"/>
      </w:pPr>
      <w:r>
        <w:rPr>
          <w:rFonts w:ascii="Times New Roman" w:eastAsia="宋体" w:hAnsi="Times New Roman"/>
          <w:color w:val="000000"/>
          <w:sz w:val="20"/>
          <w:szCs w:val="20"/>
          <w:u w:val="single"/>
        </w:rPr>
        <w:t>Operating Margin</w:t>
      </w:r>
    </w:p>
    <w:p w14:paraId="642991A0" w14:textId="77777777" w:rsidR="007B6C97" w:rsidRDefault="00E426D1">
      <w:pPr>
        <w:spacing w:before="120"/>
      </w:pPr>
      <w:r>
        <w:rPr>
          <w:rFonts w:ascii="Times New Roman" w:eastAsia="宋体" w:hAnsi="Times New Roman"/>
          <w:color w:val="000000"/>
          <w:sz w:val="20"/>
          <w:szCs w:val="20"/>
        </w:rPr>
        <w:t>North America operating income for the third quarter of fiscal 2022 increased 2% to $1,330 million, compared to $1,304 million in the third quarter of fiscal 2021. Operati</w:t>
      </w:r>
      <w:r>
        <w:rPr>
          <w:rFonts w:ascii="Times New Roman" w:eastAsia="宋体" w:hAnsi="Times New Roman"/>
          <w:color w:val="000000"/>
          <w:sz w:val="20"/>
          <w:szCs w:val="20"/>
        </w:rPr>
        <w:t xml:space="preserve">ng margin decreased 230 basis points to 22.0%, primarily due to inflationary pressures on commodities and our supply chain (approximately 400 basis points), investments in labor including enhancements in retail store partner wages (approximately 220 basis </w:t>
      </w:r>
      <w:r>
        <w:rPr>
          <w:rFonts w:ascii="Times New Roman" w:eastAsia="宋体" w:hAnsi="Times New Roman"/>
          <w:color w:val="000000"/>
          <w:sz w:val="20"/>
          <w:szCs w:val="20"/>
        </w:rPr>
        <w:t>points) as well as increased spend on new partner training and support costs (approximately 80 basis points). These were partially offset by strategic pricing (approximately 450 basis points) and sales leverage.</w:t>
      </w:r>
    </w:p>
    <w:p w14:paraId="642991A1" w14:textId="77777777" w:rsidR="007B6C97" w:rsidRDefault="00E426D1">
      <w:pPr>
        <w:spacing w:before="120"/>
      </w:pPr>
      <w:r>
        <w:rPr>
          <w:rFonts w:ascii="Times New Roman" w:eastAsia="宋体" w:hAnsi="Times New Roman"/>
          <w:i/>
          <w:iCs/>
          <w:color w:val="000000"/>
          <w:sz w:val="20"/>
          <w:szCs w:val="20"/>
        </w:rPr>
        <w:t>For the three quarters ended July 3, 2022 co</w:t>
      </w:r>
      <w:r>
        <w:rPr>
          <w:rFonts w:ascii="Times New Roman" w:eastAsia="宋体" w:hAnsi="Times New Roman"/>
          <w:i/>
          <w:iCs/>
          <w:color w:val="000000"/>
          <w:sz w:val="20"/>
          <w:szCs w:val="20"/>
        </w:rPr>
        <w:t xml:space="preserve">mpared with the three quarters ended June 27, 2021 </w:t>
      </w:r>
    </w:p>
    <w:p w14:paraId="642991A2" w14:textId="77777777" w:rsidR="007B6C97" w:rsidRDefault="00E426D1">
      <w:pPr>
        <w:spacing w:before="120"/>
      </w:pPr>
      <w:r>
        <w:rPr>
          <w:rFonts w:ascii="Times New Roman" w:eastAsia="宋体" w:hAnsi="Times New Roman"/>
          <w:color w:val="000000"/>
          <w:sz w:val="20"/>
          <w:szCs w:val="20"/>
          <w:u w:val="single"/>
        </w:rPr>
        <w:t>Revenues</w:t>
      </w:r>
    </w:p>
    <w:p w14:paraId="642991A3" w14:textId="77777777" w:rsidR="007B6C97" w:rsidRDefault="00E426D1">
      <w:pPr>
        <w:spacing w:before="120"/>
      </w:pPr>
      <w:r>
        <w:rPr>
          <w:rFonts w:ascii="Times New Roman" w:eastAsia="宋体" w:hAnsi="Times New Roman"/>
          <w:color w:val="000000"/>
          <w:sz w:val="20"/>
          <w:szCs w:val="20"/>
        </w:rPr>
        <w:t>North America total net revenues for the first three quarters of fiscal 2022 increased $2.6 billion, or 17% primarily due to a 13% increase in comparable store sales ($1.7 billion) driven by a 7%</w:t>
      </w:r>
      <w:r>
        <w:rPr>
          <w:rFonts w:ascii="Times New Roman" w:eastAsia="宋体" w:hAnsi="Times New Roman"/>
          <w:color w:val="000000"/>
          <w:sz w:val="20"/>
          <w:szCs w:val="20"/>
        </w:rPr>
        <w:t xml:space="preserve"> increase in average ticket and a 6% increase in transactions. Also contributing to these increases were the performance of net new company-operated store openings over the past 12 months ($455 million) and higher product and equipment sales to and royalty</w:t>
      </w:r>
      <w:r>
        <w:rPr>
          <w:rFonts w:ascii="Times New Roman" w:eastAsia="宋体" w:hAnsi="Times New Roman"/>
          <w:color w:val="000000"/>
          <w:sz w:val="20"/>
          <w:szCs w:val="20"/>
        </w:rPr>
        <w:t xml:space="preserve"> revenues from our licensees ($372 million), primarily due to business recovery from impact of the COVID-19 pandemic.</w:t>
      </w:r>
    </w:p>
    <w:p w14:paraId="642991A4" w14:textId="77777777" w:rsidR="007B6C97" w:rsidRDefault="00E426D1">
      <w:pPr>
        <w:spacing w:before="120"/>
      </w:pPr>
      <w:r>
        <w:rPr>
          <w:rFonts w:ascii="Times New Roman" w:eastAsia="宋体" w:hAnsi="Times New Roman"/>
          <w:color w:val="000000"/>
          <w:sz w:val="20"/>
          <w:szCs w:val="20"/>
          <w:u w:val="single"/>
        </w:rPr>
        <w:t>Operating Margin</w:t>
      </w:r>
    </w:p>
    <w:p w14:paraId="642991A5" w14:textId="77777777" w:rsidR="007B6C97" w:rsidRDefault="00E426D1">
      <w:pPr>
        <w:spacing w:before="120"/>
      </w:pPr>
      <w:r>
        <w:rPr>
          <w:rFonts w:ascii="Times New Roman" w:eastAsia="宋体" w:hAnsi="Times New Roman"/>
          <w:color w:val="000000"/>
          <w:sz w:val="20"/>
          <w:szCs w:val="20"/>
        </w:rPr>
        <w:t>North America operating income for the first three quarters of fiscal 2022 increased 11% to $3.3 billion, compared to $3.</w:t>
      </w:r>
      <w:r>
        <w:rPr>
          <w:rFonts w:ascii="Times New Roman" w:eastAsia="宋体" w:hAnsi="Times New Roman"/>
          <w:color w:val="000000"/>
          <w:sz w:val="20"/>
          <w:szCs w:val="20"/>
        </w:rPr>
        <w:t>0 billion for the same period in fiscal 2021. Operating margin decreased 110 basis points to 19.4%, primarily due to investments in labor including enhancements in retail store partner wages (approximately 250 basis points) as well as increased spend on pa</w:t>
      </w:r>
      <w:r>
        <w:rPr>
          <w:rFonts w:ascii="Times New Roman" w:eastAsia="宋体" w:hAnsi="Times New Roman"/>
          <w:color w:val="000000"/>
          <w:sz w:val="20"/>
          <w:szCs w:val="20"/>
        </w:rPr>
        <w:t>rtner training and support costs (approximately 100 basis points), inflationary pressures on commodities and our supply chain (approximately 340 basis points) and lapping temporary subsidies provided by the CARES Act and CEWS (approximately 70 basis points</w:t>
      </w:r>
      <w:r>
        <w:rPr>
          <w:rFonts w:ascii="Times New Roman" w:eastAsia="宋体" w:hAnsi="Times New Roman"/>
          <w:color w:val="000000"/>
          <w:sz w:val="20"/>
          <w:szCs w:val="20"/>
        </w:rPr>
        <w:t>). These were partially offset by strategic pricing (approximately 350 basis points), lower restructuring activities (approximately 70 basis points) and sales leverage.</w:t>
      </w:r>
    </w:p>
    <w:p w14:paraId="642991A6" w14:textId="77777777" w:rsidR="007B6C97" w:rsidRDefault="00E426D1">
      <w:pPr>
        <w:jc w:val="center"/>
      </w:pPr>
      <w:r>
        <w:rPr>
          <w:rFonts w:ascii="Times New Roman" w:eastAsia="宋体" w:hAnsi="Times New Roman"/>
          <w:color w:val="000000"/>
          <w:sz w:val="20"/>
          <w:szCs w:val="20"/>
        </w:rPr>
        <w:t>36</w:t>
      </w:r>
    </w:p>
    <w:p w14:paraId="642991A7" w14:textId="77777777" w:rsidR="007B6C97" w:rsidRDefault="00E426D1">
      <w:r>
        <w:pict w14:anchorId="642999FE">
          <v:rect id="_x0000_i1060" style="width:415.3pt;height:1.5pt" o:hralign="center" o:hrstd="t" o:hr="t" fillcolor="#a0a0a0" stroked="f"/>
        </w:pict>
      </w:r>
    </w:p>
    <w:p w14:paraId="642991A8" w14:textId="77777777" w:rsidR="007B6C97" w:rsidRDefault="00E426D1">
      <w:hyperlink r:id="rId153" w:anchor="ie38a2b375c9840e583a36769999bbee6_7" w:history="1">
        <w:r>
          <w:rPr>
            <w:rStyle w:val="a5"/>
            <w:rFonts w:ascii="Times New Roman" w:eastAsia="宋体" w:hAnsi="Times New Roman"/>
            <w:sz w:val="20"/>
            <w:szCs w:val="20"/>
          </w:rPr>
          <w:t>Table</w:t>
        </w:r>
      </w:hyperlink>
      <w:hyperlink r:id="rId154" w:anchor="ie38a2b375c9840e583a36769999bbee6_7" w:history="1">
        <w:r>
          <w:rPr>
            <w:rStyle w:val="a5"/>
            <w:rFonts w:ascii="Times New Roman" w:eastAsia="宋体" w:hAnsi="Times New Roman"/>
            <w:sz w:val="20"/>
            <w:szCs w:val="20"/>
          </w:rPr>
          <w:t xml:space="preserve"> of Contents</w:t>
        </w:r>
      </w:hyperlink>
    </w:p>
    <w:p w14:paraId="642991A9" w14:textId="77777777" w:rsidR="007B6C97" w:rsidRDefault="00E426D1">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b/>
          <w:bCs/>
          <w:i/>
          <w:iCs/>
          <w:color w:val="000000"/>
          <w:sz w:val="13"/>
          <w:szCs w:val="13"/>
        </w:rPr>
        <w:t>(1)</w:t>
      </w:r>
    </w:p>
    <w:tbl>
      <w:tblPr>
        <w:tblW w:w="5000" w:type="pct"/>
        <w:tblCellMar>
          <w:top w:w="15" w:type="dxa"/>
          <w:left w:w="15" w:type="dxa"/>
          <w:bottom w:w="15" w:type="dxa"/>
          <w:right w:w="15" w:type="dxa"/>
        </w:tblCellMar>
        <w:tblLook w:val="04A0" w:firstRow="1" w:lastRow="0" w:firstColumn="1" w:lastColumn="0" w:noHBand="0" w:noVBand="1"/>
      </w:tblPr>
      <w:tblGrid>
        <w:gridCol w:w="400"/>
        <w:gridCol w:w="978"/>
        <w:gridCol w:w="35"/>
        <w:gridCol w:w="101"/>
        <w:gridCol w:w="494"/>
        <w:gridCol w:w="35"/>
        <w:gridCol w:w="40"/>
        <w:gridCol w:w="32"/>
        <w:gridCol w:w="34"/>
        <w:gridCol w:w="100"/>
        <w:gridCol w:w="493"/>
        <w:gridCol w:w="34"/>
        <w:gridCol w:w="40"/>
        <w:gridCol w:w="31"/>
        <w:gridCol w:w="34"/>
        <w:gridCol w:w="100"/>
        <w:gridCol w:w="443"/>
        <w:gridCol w:w="34"/>
        <w:gridCol w:w="40"/>
        <w:gridCol w:w="31"/>
        <w:gridCol w:w="34"/>
        <w:gridCol w:w="62"/>
        <w:gridCol w:w="344"/>
        <w:gridCol w:w="172"/>
        <w:gridCol w:w="40"/>
        <w:gridCol w:w="31"/>
        <w:gridCol w:w="34"/>
        <w:gridCol w:w="62"/>
        <w:gridCol w:w="344"/>
        <w:gridCol w:w="172"/>
        <w:gridCol w:w="40"/>
        <w:gridCol w:w="31"/>
        <w:gridCol w:w="34"/>
        <w:gridCol w:w="100"/>
        <w:gridCol w:w="493"/>
        <w:gridCol w:w="34"/>
        <w:gridCol w:w="40"/>
        <w:gridCol w:w="31"/>
        <w:gridCol w:w="34"/>
        <w:gridCol w:w="100"/>
        <w:gridCol w:w="493"/>
        <w:gridCol w:w="34"/>
        <w:gridCol w:w="40"/>
        <w:gridCol w:w="31"/>
        <w:gridCol w:w="34"/>
        <w:gridCol w:w="100"/>
        <w:gridCol w:w="443"/>
        <w:gridCol w:w="34"/>
        <w:gridCol w:w="40"/>
        <w:gridCol w:w="31"/>
        <w:gridCol w:w="34"/>
        <w:gridCol w:w="62"/>
        <w:gridCol w:w="344"/>
        <w:gridCol w:w="172"/>
        <w:gridCol w:w="40"/>
        <w:gridCol w:w="31"/>
        <w:gridCol w:w="34"/>
        <w:gridCol w:w="61"/>
        <w:gridCol w:w="345"/>
        <w:gridCol w:w="172"/>
      </w:tblGrid>
      <w:tr w:rsidR="007B6C97" w14:paraId="642991E6" w14:textId="77777777">
        <w:tc>
          <w:tcPr>
            <w:tcW w:w="50" w:type="pct"/>
            <w:shd w:val="clear" w:color="auto" w:fill="auto"/>
            <w:vAlign w:val="bottom"/>
          </w:tcPr>
          <w:p w14:paraId="642991AA" w14:textId="77777777" w:rsidR="007B6C97" w:rsidRDefault="007B6C97">
            <w:pPr>
              <w:rPr>
                <w:rFonts w:ascii="宋体"/>
              </w:rPr>
            </w:pPr>
          </w:p>
        </w:tc>
        <w:tc>
          <w:tcPr>
            <w:tcW w:w="807" w:type="pct"/>
            <w:shd w:val="clear" w:color="auto" w:fill="auto"/>
            <w:vAlign w:val="bottom"/>
          </w:tcPr>
          <w:p w14:paraId="642991AB" w14:textId="77777777" w:rsidR="007B6C97" w:rsidRDefault="007B6C97">
            <w:pPr>
              <w:rPr>
                <w:rFonts w:ascii="宋体"/>
              </w:rPr>
            </w:pPr>
          </w:p>
        </w:tc>
        <w:tc>
          <w:tcPr>
            <w:tcW w:w="5" w:type="pct"/>
            <w:shd w:val="clear" w:color="auto" w:fill="auto"/>
            <w:vAlign w:val="bottom"/>
          </w:tcPr>
          <w:p w14:paraId="642991AC" w14:textId="77777777" w:rsidR="007B6C97" w:rsidRDefault="007B6C97">
            <w:pPr>
              <w:rPr>
                <w:rFonts w:ascii="宋体"/>
              </w:rPr>
            </w:pPr>
          </w:p>
        </w:tc>
        <w:tc>
          <w:tcPr>
            <w:tcW w:w="50" w:type="pct"/>
            <w:shd w:val="clear" w:color="auto" w:fill="auto"/>
            <w:vAlign w:val="bottom"/>
          </w:tcPr>
          <w:p w14:paraId="642991AD" w14:textId="77777777" w:rsidR="007B6C97" w:rsidRDefault="007B6C97">
            <w:pPr>
              <w:rPr>
                <w:rFonts w:ascii="宋体"/>
              </w:rPr>
            </w:pPr>
          </w:p>
        </w:tc>
        <w:tc>
          <w:tcPr>
            <w:tcW w:w="332" w:type="pct"/>
            <w:shd w:val="clear" w:color="auto" w:fill="auto"/>
            <w:vAlign w:val="bottom"/>
          </w:tcPr>
          <w:p w14:paraId="642991AE" w14:textId="77777777" w:rsidR="007B6C97" w:rsidRDefault="007B6C97">
            <w:pPr>
              <w:rPr>
                <w:rFonts w:ascii="宋体"/>
              </w:rPr>
            </w:pPr>
          </w:p>
        </w:tc>
        <w:tc>
          <w:tcPr>
            <w:tcW w:w="5" w:type="pct"/>
            <w:shd w:val="clear" w:color="auto" w:fill="auto"/>
            <w:vAlign w:val="bottom"/>
          </w:tcPr>
          <w:p w14:paraId="642991AF" w14:textId="77777777" w:rsidR="007B6C97" w:rsidRDefault="007B6C97">
            <w:pPr>
              <w:rPr>
                <w:rFonts w:ascii="宋体"/>
              </w:rPr>
            </w:pPr>
          </w:p>
        </w:tc>
        <w:tc>
          <w:tcPr>
            <w:tcW w:w="5" w:type="pct"/>
            <w:shd w:val="clear" w:color="auto" w:fill="auto"/>
            <w:vAlign w:val="bottom"/>
          </w:tcPr>
          <w:p w14:paraId="642991B0" w14:textId="77777777" w:rsidR="007B6C97" w:rsidRDefault="007B6C97">
            <w:pPr>
              <w:rPr>
                <w:rFonts w:ascii="宋体"/>
              </w:rPr>
            </w:pPr>
          </w:p>
        </w:tc>
        <w:tc>
          <w:tcPr>
            <w:tcW w:w="19" w:type="pct"/>
            <w:shd w:val="clear" w:color="auto" w:fill="auto"/>
            <w:vAlign w:val="bottom"/>
          </w:tcPr>
          <w:p w14:paraId="642991B1" w14:textId="77777777" w:rsidR="007B6C97" w:rsidRDefault="007B6C97">
            <w:pPr>
              <w:rPr>
                <w:rFonts w:ascii="宋体"/>
              </w:rPr>
            </w:pPr>
          </w:p>
        </w:tc>
        <w:tc>
          <w:tcPr>
            <w:tcW w:w="5" w:type="pct"/>
            <w:shd w:val="clear" w:color="auto" w:fill="auto"/>
            <w:vAlign w:val="bottom"/>
          </w:tcPr>
          <w:p w14:paraId="642991B2" w14:textId="77777777" w:rsidR="007B6C97" w:rsidRDefault="007B6C97">
            <w:pPr>
              <w:rPr>
                <w:rFonts w:ascii="宋体"/>
              </w:rPr>
            </w:pPr>
          </w:p>
        </w:tc>
        <w:tc>
          <w:tcPr>
            <w:tcW w:w="50" w:type="pct"/>
            <w:shd w:val="clear" w:color="auto" w:fill="auto"/>
            <w:vAlign w:val="bottom"/>
          </w:tcPr>
          <w:p w14:paraId="642991B3" w14:textId="77777777" w:rsidR="007B6C97" w:rsidRDefault="007B6C97">
            <w:pPr>
              <w:rPr>
                <w:rFonts w:ascii="宋体"/>
              </w:rPr>
            </w:pPr>
          </w:p>
        </w:tc>
        <w:tc>
          <w:tcPr>
            <w:tcW w:w="332" w:type="pct"/>
            <w:shd w:val="clear" w:color="auto" w:fill="auto"/>
            <w:vAlign w:val="bottom"/>
          </w:tcPr>
          <w:p w14:paraId="642991B4" w14:textId="77777777" w:rsidR="007B6C97" w:rsidRDefault="007B6C97">
            <w:pPr>
              <w:rPr>
                <w:rFonts w:ascii="宋体"/>
              </w:rPr>
            </w:pPr>
          </w:p>
        </w:tc>
        <w:tc>
          <w:tcPr>
            <w:tcW w:w="5" w:type="pct"/>
            <w:shd w:val="clear" w:color="auto" w:fill="auto"/>
            <w:vAlign w:val="bottom"/>
          </w:tcPr>
          <w:p w14:paraId="642991B5" w14:textId="77777777" w:rsidR="007B6C97" w:rsidRDefault="007B6C97">
            <w:pPr>
              <w:rPr>
                <w:rFonts w:ascii="宋体"/>
              </w:rPr>
            </w:pPr>
          </w:p>
        </w:tc>
        <w:tc>
          <w:tcPr>
            <w:tcW w:w="5" w:type="pct"/>
            <w:shd w:val="clear" w:color="auto" w:fill="auto"/>
            <w:vAlign w:val="bottom"/>
          </w:tcPr>
          <w:p w14:paraId="642991B6" w14:textId="77777777" w:rsidR="007B6C97" w:rsidRDefault="007B6C97">
            <w:pPr>
              <w:rPr>
                <w:rFonts w:ascii="宋体"/>
              </w:rPr>
            </w:pPr>
          </w:p>
        </w:tc>
        <w:tc>
          <w:tcPr>
            <w:tcW w:w="19" w:type="pct"/>
            <w:shd w:val="clear" w:color="auto" w:fill="auto"/>
            <w:vAlign w:val="bottom"/>
          </w:tcPr>
          <w:p w14:paraId="642991B7" w14:textId="77777777" w:rsidR="007B6C97" w:rsidRDefault="007B6C97">
            <w:pPr>
              <w:rPr>
                <w:rFonts w:ascii="宋体"/>
              </w:rPr>
            </w:pPr>
          </w:p>
        </w:tc>
        <w:tc>
          <w:tcPr>
            <w:tcW w:w="5" w:type="pct"/>
            <w:shd w:val="clear" w:color="auto" w:fill="auto"/>
            <w:vAlign w:val="bottom"/>
          </w:tcPr>
          <w:p w14:paraId="642991B8" w14:textId="77777777" w:rsidR="007B6C97" w:rsidRDefault="007B6C97">
            <w:pPr>
              <w:rPr>
                <w:rFonts w:ascii="宋体"/>
              </w:rPr>
            </w:pPr>
          </w:p>
        </w:tc>
        <w:tc>
          <w:tcPr>
            <w:tcW w:w="50" w:type="pct"/>
            <w:shd w:val="clear" w:color="auto" w:fill="auto"/>
            <w:vAlign w:val="bottom"/>
          </w:tcPr>
          <w:p w14:paraId="642991B9" w14:textId="77777777" w:rsidR="007B6C97" w:rsidRDefault="007B6C97">
            <w:pPr>
              <w:rPr>
                <w:rFonts w:ascii="宋体"/>
              </w:rPr>
            </w:pPr>
          </w:p>
        </w:tc>
        <w:tc>
          <w:tcPr>
            <w:tcW w:w="332" w:type="pct"/>
            <w:shd w:val="clear" w:color="auto" w:fill="auto"/>
            <w:vAlign w:val="bottom"/>
          </w:tcPr>
          <w:p w14:paraId="642991BA" w14:textId="77777777" w:rsidR="007B6C97" w:rsidRDefault="007B6C97">
            <w:pPr>
              <w:rPr>
                <w:rFonts w:ascii="宋体"/>
              </w:rPr>
            </w:pPr>
          </w:p>
        </w:tc>
        <w:tc>
          <w:tcPr>
            <w:tcW w:w="5" w:type="pct"/>
            <w:shd w:val="clear" w:color="auto" w:fill="auto"/>
            <w:vAlign w:val="bottom"/>
          </w:tcPr>
          <w:p w14:paraId="642991BB" w14:textId="77777777" w:rsidR="007B6C97" w:rsidRDefault="007B6C97">
            <w:pPr>
              <w:rPr>
                <w:rFonts w:ascii="宋体"/>
              </w:rPr>
            </w:pPr>
          </w:p>
        </w:tc>
        <w:tc>
          <w:tcPr>
            <w:tcW w:w="5" w:type="pct"/>
            <w:shd w:val="clear" w:color="auto" w:fill="auto"/>
            <w:vAlign w:val="bottom"/>
          </w:tcPr>
          <w:p w14:paraId="642991BC" w14:textId="77777777" w:rsidR="007B6C97" w:rsidRDefault="007B6C97">
            <w:pPr>
              <w:rPr>
                <w:rFonts w:ascii="宋体"/>
              </w:rPr>
            </w:pPr>
          </w:p>
        </w:tc>
        <w:tc>
          <w:tcPr>
            <w:tcW w:w="19" w:type="pct"/>
            <w:shd w:val="clear" w:color="auto" w:fill="auto"/>
            <w:vAlign w:val="bottom"/>
          </w:tcPr>
          <w:p w14:paraId="642991BD" w14:textId="77777777" w:rsidR="007B6C97" w:rsidRDefault="007B6C97">
            <w:pPr>
              <w:rPr>
                <w:rFonts w:ascii="宋体"/>
              </w:rPr>
            </w:pPr>
          </w:p>
        </w:tc>
        <w:tc>
          <w:tcPr>
            <w:tcW w:w="5" w:type="pct"/>
            <w:shd w:val="clear" w:color="auto" w:fill="auto"/>
            <w:vAlign w:val="bottom"/>
          </w:tcPr>
          <w:p w14:paraId="642991BE" w14:textId="77777777" w:rsidR="007B6C97" w:rsidRDefault="007B6C97">
            <w:pPr>
              <w:rPr>
                <w:rFonts w:ascii="宋体"/>
              </w:rPr>
            </w:pPr>
          </w:p>
        </w:tc>
        <w:tc>
          <w:tcPr>
            <w:tcW w:w="50" w:type="pct"/>
            <w:shd w:val="clear" w:color="auto" w:fill="auto"/>
            <w:vAlign w:val="bottom"/>
          </w:tcPr>
          <w:p w14:paraId="642991BF" w14:textId="77777777" w:rsidR="007B6C97" w:rsidRDefault="007B6C97">
            <w:pPr>
              <w:rPr>
                <w:rFonts w:ascii="宋体"/>
              </w:rPr>
            </w:pPr>
          </w:p>
        </w:tc>
        <w:tc>
          <w:tcPr>
            <w:tcW w:w="332" w:type="pct"/>
            <w:shd w:val="clear" w:color="auto" w:fill="auto"/>
            <w:vAlign w:val="bottom"/>
          </w:tcPr>
          <w:p w14:paraId="642991C0" w14:textId="77777777" w:rsidR="007B6C97" w:rsidRDefault="007B6C97">
            <w:pPr>
              <w:rPr>
                <w:rFonts w:ascii="宋体"/>
              </w:rPr>
            </w:pPr>
          </w:p>
        </w:tc>
        <w:tc>
          <w:tcPr>
            <w:tcW w:w="5" w:type="pct"/>
            <w:shd w:val="clear" w:color="auto" w:fill="auto"/>
            <w:vAlign w:val="bottom"/>
          </w:tcPr>
          <w:p w14:paraId="642991C1" w14:textId="77777777" w:rsidR="007B6C97" w:rsidRDefault="007B6C97">
            <w:pPr>
              <w:rPr>
                <w:rFonts w:ascii="宋体"/>
              </w:rPr>
            </w:pPr>
          </w:p>
        </w:tc>
        <w:tc>
          <w:tcPr>
            <w:tcW w:w="5" w:type="pct"/>
            <w:shd w:val="clear" w:color="auto" w:fill="auto"/>
            <w:vAlign w:val="bottom"/>
          </w:tcPr>
          <w:p w14:paraId="642991C2" w14:textId="77777777" w:rsidR="007B6C97" w:rsidRDefault="007B6C97">
            <w:pPr>
              <w:rPr>
                <w:rFonts w:ascii="宋体"/>
              </w:rPr>
            </w:pPr>
          </w:p>
        </w:tc>
        <w:tc>
          <w:tcPr>
            <w:tcW w:w="19" w:type="pct"/>
            <w:shd w:val="clear" w:color="auto" w:fill="auto"/>
            <w:vAlign w:val="bottom"/>
          </w:tcPr>
          <w:p w14:paraId="642991C3" w14:textId="77777777" w:rsidR="007B6C97" w:rsidRDefault="007B6C97">
            <w:pPr>
              <w:rPr>
                <w:rFonts w:ascii="宋体"/>
              </w:rPr>
            </w:pPr>
          </w:p>
        </w:tc>
        <w:tc>
          <w:tcPr>
            <w:tcW w:w="5" w:type="pct"/>
            <w:shd w:val="clear" w:color="auto" w:fill="auto"/>
            <w:vAlign w:val="bottom"/>
          </w:tcPr>
          <w:p w14:paraId="642991C4" w14:textId="77777777" w:rsidR="007B6C97" w:rsidRDefault="007B6C97">
            <w:pPr>
              <w:rPr>
                <w:rFonts w:ascii="宋体"/>
              </w:rPr>
            </w:pPr>
          </w:p>
        </w:tc>
        <w:tc>
          <w:tcPr>
            <w:tcW w:w="50" w:type="pct"/>
            <w:shd w:val="clear" w:color="auto" w:fill="auto"/>
            <w:vAlign w:val="bottom"/>
          </w:tcPr>
          <w:p w14:paraId="642991C5" w14:textId="77777777" w:rsidR="007B6C97" w:rsidRDefault="007B6C97">
            <w:pPr>
              <w:rPr>
                <w:rFonts w:ascii="宋体"/>
              </w:rPr>
            </w:pPr>
          </w:p>
        </w:tc>
        <w:tc>
          <w:tcPr>
            <w:tcW w:w="332" w:type="pct"/>
            <w:shd w:val="clear" w:color="auto" w:fill="auto"/>
            <w:vAlign w:val="bottom"/>
          </w:tcPr>
          <w:p w14:paraId="642991C6" w14:textId="77777777" w:rsidR="007B6C97" w:rsidRDefault="007B6C97">
            <w:pPr>
              <w:rPr>
                <w:rFonts w:ascii="宋体"/>
              </w:rPr>
            </w:pPr>
          </w:p>
        </w:tc>
        <w:tc>
          <w:tcPr>
            <w:tcW w:w="5" w:type="pct"/>
            <w:shd w:val="clear" w:color="auto" w:fill="auto"/>
            <w:vAlign w:val="bottom"/>
          </w:tcPr>
          <w:p w14:paraId="642991C7" w14:textId="77777777" w:rsidR="007B6C97" w:rsidRDefault="007B6C97">
            <w:pPr>
              <w:rPr>
                <w:rFonts w:ascii="宋体"/>
              </w:rPr>
            </w:pPr>
          </w:p>
        </w:tc>
        <w:tc>
          <w:tcPr>
            <w:tcW w:w="5" w:type="pct"/>
            <w:shd w:val="clear" w:color="auto" w:fill="auto"/>
            <w:vAlign w:val="bottom"/>
          </w:tcPr>
          <w:p w14:paraId="642991C8" w14:textId="77777777" w:rsidR="007B6C97" w:rsidRDefault="007B6C97">
            <w:pPr>
              <w:rPr>
                <w:rFonts w:ascii="宋体"/>
              </w:rPr>
            </w:pPr>
          </w:p>
        </w:tc>
        <w:tc>
          <w:tcPr>
            <w:tcW w:w="19" w:type="pct"/>
            <w:shd w:val="clear" w:color="auto" w:fill="auto"/>
            <w:vAlign w:val="bottom"/>
          </w:tcPr>
          <w:p w14:paraId="642991C9" w14:textId="77777777" w:rsidR="007B6C97" w:rsidRDefault="007B6C97">
            <w:pPr>
              <w:rPr>
                <w:rFonts w:ascii="宋体"/>
              </w:rPr>
            </w:pPr>
          </w:p>
        </w:tc>
        <w:tc>
          <w:tcPr>
            <w:tcW w:w="5" w:type="pct"/>
            <w:shd w:val="clear" w:color="auto" w:fill="auto"/>
            <w:vAlign w:val="bottom"/>
          </w:tcPr>
          <w:p w14:paraId="642991CA" w14:textId="77777777" w:rsidR="007B6C97" w:rsidRDefault="007B6C97">
            <w:pPr>
              <w:rPr>
                <w:rFonts w:ascii="宋体"/>
              </w:rPr>
            </w:pPr>
          </w:p>
        </w:tc>
        <w:tc>
          <w:tcPr>
            <w:tcW w:w="50" w:type="pct"/>
            <w:shd w:val="clear" w:color="auto" w:fill="auto"/>
            <w:vAlign w:val="bottom"/>
          </w:tcPr>
          <w:p w14:paraId="642991CB" w14:textId="77777777" w:rsidR="007B6C97" w:rsidRDefault="007B6C97">
            <w:pPr>
              <w:rPr>
                <w:rFonts w:ascii="宋体"/>
              </w:rPr>
            </w:pPr>
          </w:p>
        </w:tc>
        <w:tc>
          <w:tcPr>
            <w:tcW w:w="332" w:type="pct"/>
            <w:shd w:val="clear" w:color="auto" w:fill="auto"/>
            <w:vAlign w:val="bottom"/>
          </w:tcPr>
          <w:p w14:paraId="642991CC" w14:textId="77777777" w:rsidR="007B6C97" w:rsidRDefault="007B6C97">
            <w:pPr>
              <w:rPr>
                <w:rFonts w:ascii="宋体"/>
              </w:rPr>
            </w:pPr>
          </w:p>
        </w:tc>
        <w:tc>
          <w:tcPr>
            <w:tcW w:w="5" w:type="pct"/>
            <w:shd w:val="clear" w:color="auto" w:fill="auto"/>
            <w:vAlign w:val="bottom"/>
          </w:tcPr>
          <w:p w14:paraId="642991CD" w14:textId="77777777" w:rsidR="007B6C97" w:rsidRDefault="007B6C97">
            <w:pPr>
              <w:rPr>
                <w:rFonts w:ascii="宋体"/>
              </w:rPr>
            </w:pPr>
          </w:p>
        </w:tc>
        <w:tc>
          <w:tcPr>
            <w:tcW w:w="5" w:type="pct"/>
            <w:shd w:val="clear" w:color="auto" w:fill="auto"/>
            <w:vAlign w:val="bottom"/>
          </w:tcPr>
          <w:p w14:paraId="642991CE" w14:textId="77777777" w:rsidR="007B6C97" w:rsidRDefault="007B6C97">
            <w:pPr>
              <w:rPr>
                <w:rFonts w:ascii="宋体"/>
              </w:rPr>
            </w:pPr>
          </w:p>
        </w:tc>
        <w:tc>
          <w:tcPr>
            <w:tcW w:w="19" w:type="pct"/>
            <w:shd w:val="clear" w:color="auto" w:fill="auto"/>
            <w:vAlign w:val="bottom"/>
          </w:tcPr>
          <w:p w14:paraId="642991CF" w14:textId="77777777" w:rsidR="007B6C97" w:rsidRDefault="007B6C97">
            <w:pPr>
              <w:rPr>
                <w:rFonts w:ascii="宋体"/>
              </w:rPr>
            </w:pPr>
          </w:p>
        </w:tc>
        <w:tc>
          <w:tcPr>
            <w:tcW w:w="5" w:type="pct"/>
            <w:shd w:val="clear" w:color="auto" w:fill="auto"/>
            <w:vAlign w:val="bottom"/>
          </w:tcPr>
          <w:p w14:paraId="642991D0" w14:textId="77777777" w:rsidR="007B6C97" w:rsidRDefault="007B6C97">
            <w:pPr>
              <w:rPr>
                <w:rFonts w:ascii="宋体"/>
              </w:rPr>
            </w:pPr>
          </w:p>
        </w:tc>
        <w:tc>
          <w:tcPr>
            <w:tcW w:w="50" w:type="pct"/>
            <w:shd w:val="clear" w:color="auto" w:fill="auto"/>
            <w:vAlign w:val="bottom"/>
          </w:tcPr>
          <w:p w14:paraId="642991D1" w14:textId="77777777" w:rsidR="007B6C97" w:rsidRDefault="007B6C97">
            <w:pPr>
              <w:rPr>
                <w:rFonts w:ascii="宋体"/>
              </w:rPr>
            </w:pPr>
          </w:p>
        </w:tc>
        <w:tc>
          <w:tcPr>
            <w:tcW w:w="332" w:type="pct"/>
            <w:shd w:val="clear" w:color="auto" w:fill="auto"/>
            <w:vAlign w:val="bottom"/>
          </w:tcPr>
          <w:p w14:paraId="642991D2" w14:textId="77777777" w:rsidR="007B6C97" w:rsidRDefault="007B6C97">
            <w:pPr>
              <w:rPr>
                <w:rFonts w:ascii="宋体"/>
              </w:rPr>
            </w:pPr>
          </w:p>
        </w:tc>
        <w:tc>
          <w:tcPr>
            <w:tcW w:w="5" w:type="pct"/>
            <w:shd w:val="clear" w:color="auto" w:fill="auto"/>
            <w:vAlign w:val="bottom"/>
          </w:tcPr>
          <w:p w14:paraId="642991D3" w14:textId="77777777" w:rsidR="007B6C97" w:rsidRDefault="007B6C97">
            <w:pPr>
              <w:rPr>
                <w:rFonts w:ascii="宋体"/>
              </w:rPr>
            </w:pPr>
          </w:p>
        </w:tc>
        <w:tc>
          <w:tcPr>
            <w:tcW w:w="5" w:type="pct"/>
            <w:shd w:val="clear" w:color="auto" w:fill="auto"/>
            <w:vAlign w:val="bottom"/>
          </w:tcPr>
          <w:p w14:paraId="642991D4" w14:textId="77777777" w:rsidR="007B6C97" w:rsidRDefault="007B6C97">
            <w:pPr>
              <w:rPr>
                <w:rFonts w:ascii="宋体"/>
              </w:rPr>
            </w:pPr>
          </w:p>
        </w:tc>
        <w:tc>
          <w:tcPr>
            <w:tcW w:w="19" w:type="pct"/>
            <w:shd w:val="clear" w:color="auto" w:fill="auto"/>
            <w:vAlign w:val="bottom"/>
          </w:tcPr>
          <w:p w14:paraId="642991D5" w14:textId="77777777" w:rsidR="007B6C97" w:rsidRDefault="007B6C97">
            <w:pPr>
              <w:rPr>
                <w:rFonts w:ascii="宋体"/>
              </w:rPr>
            </w:pPr>
          </w:p>
        </w:tc>
        <w:tc>
          <w:tcPr>
            <w:tcW w:w="5" w:type="pct"/>
            <w:shd w:val="clear" w:color="auto" w:fill="auto"/>
            <w:vAlign w:val="bottom"/>
          </w:tcPr>
          <w:p w14:paraId="642991D6" w14:textId="77777777" w:rsidR="007B6C97" w:rsidRDefault="007B6C97">
            <w:pPr>
              <w:rPr>
                <w:rFonts w:ascii="宋体"/>
              </w:rPr>
            </w:pPr>
          </w:p>
        </w:tc>
        <w:tc>
          <w:tcPr>
            <w:tcW w:w="50" w:type="pct"/>
            <w:shd w:val="clear" w:color="auto" w:fill="auto"/>
            <w:vAlign w:val="bottom"/>
          </w:tcPr>
          <w:p w14:paraId="642991D7" w14:textId="77777777" w:rsidR="007B6C97" w:rsidRDefault="007B6C97">
            <w:pPr>
              <w:rPr>
                <w:rFonts w:ascii="宋体"/>
              </w:rPr>
            </w:pPr>
          </w:p>
        </w:tc>
        <w:tc>
          <w:tcPr>
            <w:tcW w:w="332" w:type="pct"/>
            <w:shd w:val="clear" w:color="auto" w:fill="auto"/>
            <w:vAlign w:val="bottom"/>
          </w:tcPr>
          <w:p w14:paraId="642991D8" w14:textId="77777777" w:rsidR="007B6C97" w:rsidRDefault="007B6C97">
            <w:pPr>
              <w:rPr>
                <w:rFonts w:ascii="宋体"/>
              </w:rPr>
            </w:pPr>
          </w:p>
        </w:tc>
        <w:tc>
          <w:tcPr>
            <w:tcW w:w="5" w:type="pct"/>
            <w:shd w:val="clear" w:color="auto" w:fill="auto"/>
            <w:vAlign w:val="bottom"/>
          </w:tcPr>
          <w:p w14:paraId="642991D9" w14:textId="77777777" w:rsidR="007B6C97" w:rsidRDefault="007B6C97">
            <w:pPr>
              <w:rPr>
                <w:rFonts w:ascii="宋体"/>
              </w:rPr>
            </w:pPr>
          </w:p>
        </w:tc>
        <w:tc>
          <w:tcPr>
            <w:tcW w:w="5" w:type="pct"/>
            <w:shd w:val="clear" w:color="auto" w:fill="auto"/>
            <w:vAlign w:val="bottom"/>
          </w:tcPr>
          <w:p w14:paraId="642991DA" w14:textId="77777777" w:rsidR="007B6C97" w:rsidRDefault="007B6C97">
            <w:pPr>
              <w:rPr>
                <w:rFonts w:ascii="宋体"/>
              </w:rPr>
            </w:pPr>
          </w:p>
        </w:tc>
        <w:tc>
          <w:tcPr>
            <w:tcW w:w="19" w:type="pct"/>
            <w:shd w:val="clear" w:color="auto" w:fill="auto"/>
            <w:vAlign w:val="bottom"/>
          </w:tcPr>
          <w:p w14:paraId="642991DB" w14:textId="77777777" w:rsidR="007B6C97" w:rsidRDefault="007B6C97">
            <w:pPr>
              <w:rPr>
                <w:rFonts w:ascii="宋体"/>
              </w:rPr>
            </w:pPr>
          </w:p>
        </w:tc>
        <w:tc>
          <w:tcPr>
            <w:tcW w:w="5" w:type="pct"/>
            <w:shd w:val="clear" w:color="auto" w:fill="auto"/>
            <w:vAlign w:val="bottom"/>
          </w:tcPr>
          <w:p w14:paraId="642991DC" w14:textId="77777777" w:rsidR="007B6C97" w:rsidRDefault="007B6C97">
            <w:pPr>
              <w:rPr>
                <w:rFonts w:ascii="宋体"/>
              </w:rPr>
            </w:pPr>
          </w:p>
        </w:tc>
        <w:tc>
          <w:tcPr>
            <w:tcW w:w="50" w:type="pct"/>
            <w:shd w:val="clear" w:color="auto" w:fill="auto"/>
            <w:vAlign w:val="bottom"/>
          </w:tcPr>
          <w:p w14:paraId="642991DD" w14:textId="77777777" w:rsidR="007B6C97" w:rsidRDefault="007B6C97">
            <w:pPr>
              <w:rPr>
                <w:rFonts w:ascii="宋体"/>
              </w:rPr>
            </w:pPr>
          </w:p>
        </w:tc>
        <w:tc>
          <w:tcPr>
            <w:tcW w:w="332" w:type="pct"/>
            <w:shd w:val="clear" w:color="auto" w:fill="auto"/>
            <w:vAlign w:val="bottom"/>
          </w:tcPr>
          <w:p w14:paraId="642991DE" w14:textId="77777777" w:rsidR="007B6C97" w:rsidRDefault="007B6C97">
            <w:pPr>
              <w:rPr>
                <w:rFonts w:ascii="宋体"/>
              </w:rPr>
            </w:pPr>
          </w:p>
        </w:tc>
        <w:tc>
          <w:tcPr>
            <w:tcW w:w="5" w:type="pct"/>
            <w:shd w:val="clear" w:color="auto" w:fill="auto"/>
            <w:vAlign w:val="bottom"/>
          </w:tcPr>
          <w:p w14:paraId="642991DF" w14:textId="77777777" w:rsidR="007B6C97" w:rsidRDefault="007B6C97">
            <w:pPr>
              <w:rPr>
                <w:rFonts w:ascii="宋体"/>
              </w:rPr>
            </w:pPr>
          </w:p>
        </w:tc>
        <w:tc>
          <w:tcPr>
            <w:tcW w:w="5" w:type="pct"/>
            <w:shd w:val="clear" w:color="auto" w:fill="auto"/>
            <w:vAlign w:val="bottom"/>
          </w:tcPr>
          <w:p w14:paraId="642991E0" w14:textId="77777777" w:rsidR="007B6C97" w:rsidRDefault="007B6C97">
            <w:pPr>
              <w:rPr>
                <w:rFonts w:ascii="宋体"/>
              </w:rPr>
            </w:pPr>
          </w:p>
        </w:tc>
        <w:tc>
          <w:tcPr>
            <w:tcW w:w="19" w:type="pct"/>
            <w:shd w:val="clear" w:color="auto" w:fill="auto"/>
            <w:vAlign w:val="bottom"/>
          </w:tcPr>
          <w:p w14:paraId="642991E1" w14:textId="77777777" w:rsidR="007B6C97" w:rsidRDefault="007B6C97">
            <w:pPr>
              <w:rPr>
                <w:rFonts w:ascii="宋体"/>
              </w:rPr>
            </w:pPr>
          </w:p>
        </w:tc>
        <w:tc>
          <w:tcPr>
            <w:tcW w:w="5" w:type="pct"/>
            <w:shd w:val="clear" w:color="auto" w:fill="auto"/>
            <w:vAlign w:val="bottom"/>
          </w:tcPr>
          <w:p w14:paraId="642991E2" w14:textId="77777777" w:rsidR="007B6C97" w:rsidRDefault="007B6C97">
            <w:pPr>
              <w:rPr>
                <w:rFonts w:ascii="宋体"/>
              </w:rPr>
            </w:pPr>
          </w:p>
        </w:tc>
        <w:tc>
          <w:tcPr>
            <w:tcW w:w="50" w:type="pct"/>
            <w:shd w:val="clear" w:color="auto" w:fill="auto"/>
            <w:vAlign w:val="bottom"/>
          </w:tcPr>
          <w:p w14:paraId="642991E3" w14:textId="77777777" w:rsidR="007B6C97" w:rsidRDefault="007B6C97">
            <w:pPr>
              <w:rPr>
                <w:rFonts w:ascii="宋体"/>
              </w:rPr>
            </w:pPr>
          </w:p>
        </w:tc>
        <w:tc>
          <w:tcPr>
            <w:tcW w:w="333" w:type="pct"/>
            <w:shd w:val="clear" w:color="auto" w:fill="auto"/>
            <w:vAlign w:val="bottom"/>
          </w:tcPr>
          <w:p w14:paraId="642991E4" w14:textId="77777777" w:rsidR="007B6C97" w:rsidRDefault="007B6C97">
            <w:pPr>
              <w:rPr>
                <w:rFonts w:ascii="宋体"/>
              </w:rPr>
            </w:pPr>
          </w:p>
        </w:tc>
        <w:tc>
          <w:tcPr>
            <w:tcW w:w="5" w:type="pct"/>
            <w:shd w:val="clear" w:color="auto" w:fill="auto"/>
            <w:vAlign w:val="bottom"/>
          </w:tcPr>
          <w:p w14:paraId="642991E5" w14:textId="77777777" w:rsidR="007B6C97" w:rsidRDefault="007B6C97">
            <w:pPr>
              <w:rPr>
                <w:rFonts w:ascii="宋体"/>
              </w:rPr>
            </w:pPr>
          </w:p>
        </w:tc>
      </w:tr>
      <w:tr w:rsidR="007B6C97" w14:paraId="642991EB" w14:textId="77777777">
        <w:tc>
          <w:tcPr>
            <w:tcW w:w="0" w:type="auto"/>
            <w:gridSpan w:val="3"/>
            <w:shd w:val="clear" w:color="auto" w:fill="auto"/>
            <w:tcMar>
              <w:top w:w="40" w:type="dxa"/>
              <w:left w:w="380" w:type="dxa"/>
              <w:bottom w:w="40" w:type="dxa"/>
              <w:right w:w="20" w:type="dxa"/>
            </w:tcMar>
            <w:vAlign w:val="bottom"/>
          </w:tcPr>
          <w:p w14:paraId="642991E7" w14:textId="77777777" w:rsidR="007B6C97" w:rsidRDefault="00E426D1">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42991E8"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91E9"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91EA"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9202" w14:textId="77777777">
        <w:tc>
          <w:tcPr>
            <w:tcW w:w="0" w:type="auto"/>
            <w:gridSpan w:val="3"/>
            <w:shd w:val="clear" w:color="auto" w:fill="auto"/>
            <w:tcMar>
              <w:top w:w="40" w:type="dxa"/>
              <w:left w:w="20" w:type="dxa"/>
              <w:bottom w:w="40" w:type="dxa"/>
              <w:right w:w="20" w:type="dxa"/>
            </w:tcMar>
            <w:vAlign w:val="bottom"/>
          </w:tcPr>
          <w:p w14:paraId="642991EC"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91ED"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1E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EF"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1F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1"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1F2"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1F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4"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2991F5"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91F6"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1F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8"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1F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A"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1F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1FD"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1F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1FF"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299200"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9201"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9213" w14:textId="77777777">
        <w:tc>
          <w:tcPr>
            <w:tcW w:w="0" w:type="auto"/>
            <w:gridSpan w:val="3"/>
            <w:shd w:val="clear" w:color="auto" w:fill="auto"/>
            <w:tcMar>
              <w:top w:w="0" w:type="dxa"/>
              <w:left w:w="20" w:type="dxa"/>
              <w:bottom w:w="0" w:type="dxa"/>
              <w:right w:w="20" w:type="dxa"/>
            </w:tcMar>
            <w:vAlign w:val="bottom"/>
          </w:tcPr>
          <w:p w14:paraId="64299203"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04"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05"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06"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07"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08"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09"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920A" w14:textId="77777777" w:rsidR="007B6C97" w:rsidRDefault="00E426D1">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429920B"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0C"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0D"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0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0F"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210"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211"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9212" w14:textId="77777777" w:rsidR="007B6C97" w:rsidRDefault="00E426D1">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International</w:t>
            </w:r>
            <w:r>
              <w:rPr>
                <w:rFonts w:ascii="Times New Roman" w:eastAsia="宋体" w:hAnsi="Times New Roman"/>
                <w:b/>
                <w:bCs/>
                <w:color w:val="000000"/>
                <w:sz w:val="16"/>
                <w:szCs w:val="16"/>
              </w:rPr>
              <w:br/>
              <w:t>Total Net Revenues</w:t>
            </w:r>
          </w:p>
        </w:tc>
      </w:tr>
      <w:tr w:rsidR="007B6C97" w14:paraId="64299228" w14:textId="77777777">
        <w:tc>
          <w:tcPr>
            <w:tcW w:w="0" w:type="auto"/>
            <w:gridSpan w:val="3"/>
            <w:shd w:val="clear" w:color="auto" w:fill="D7E4BC"/>
            <w:tcMar>
              <w:top w:w="40" w:type="dxa"/>
              <w:left w:w="20" w:type="dxa"/>
              <w:bottom w:w="40" w:type="dxa"/>
              <w:right w:w="20" w:type="dxa"/>
            </w:tcMar>
          </w:tcPr>
          <w:p w14:paraId="64299214" w14:textId="77777777" w:rsidR="007B6C97" w:rsidRDefault="00E426D1">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64299215"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7"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9"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A"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21B"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21C"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21D"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1F"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2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21"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2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23"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224"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22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226"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227" w14:textId="77777777" w:rsidR="007B6C97" w:rsidRDefault="007B6C97">
            <w:pPr>
              <w:rPr>
                <w:rFonts w:ascii="宋体"/>
              </w:rPr>
            </w:pPr>
          </w:p>
        </w:tc>
      </w:tr>
      <w:tr w:rsidR="00E426D1" w14:paraId="6429924D" w14:textId="77777777">
        <w:tc>
          <w:tcPr>
            <w:tcW w:w="0" w:type="auto"/>
            <w:gridSpan w:val="3"/>
            <w:shd w:val="clear" w:color="auto" w:fill="FFFFFF"/>
            <w:tcMar>
              <w:top w:w="40" w:type="dxa"/>
              <w:left w:w="155" w:type="dxa"/>
              <w:bottom w:w="40" w:type="dxa"/>
              <w:right w:w="20" w:type="dxa"/>
            </w:tcMar>
          </w:tcPr>
          <w:p w14:paraId="64299229" w14:textId="77777777" w:rsidR="007B6C97" w:rsidRDefault="00E426D1">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429922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2B" w14:textId="77777777" w:rsidR="007B6C97" w:rsidRDefault="00E426D1">
            <w:pPr>
              <w:jc w:val="right"/>
              <w:textAlignment w:val="bottom"/>
            </w:pPr>
            <w:r>
              <w:rPr>
                <w:rFonts w:ascii="Times New Roman" w:eastAsia="宋体" w:hAnsi="Times New Roman"/>
                <w:color w:val="000000"/>
                <w:sz w:val="20"/>
                <w:szCs w:val="20"/>
              </w:rPr>
              <w:t>1,162.3 </w:t>
            </w:r>
          </w:p>
        </w:tc>
        <w:tc>
          <w:tcPr>
            <w:tcW w:w="0" w:type="auto"/>
            <w:shd w:val="clear" w:color="auto" w:fill="FFFFFF"/>
            <w:tcMar>
              <w:top w:w="40" w:type="dxa"/>
              <w:left w:w="0" w:type="dxa"/>
              <w:bottom w:w="40" w:type="dxa"/>
              <w:right w:w="20" w:type="dxa"/>
            </w:tcMar>
            <w:vAlign w:val="bottom"/>
          </w:tcPr>
          <w:p w14:paraId="6429922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2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22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2F" w14:textId="77777777" w:rsidR="007B6C97" w:rsidRDefault="00E426D1">
            <w:pPr>
              <w:jc w:val="right"/>
              <w:textAlignment w:val="bottom"/>
            </w:pPr>
            <w:r>
              <w:rPr>
                <w:rFonts w:ascii="Times New Roman" w:eastAsia="宋体" w:hAnsi="Times New Roman"/>
                <w:color w:val="000000"/>
                <w:sz w:val="20"/>
                <w:szCs w:val="20"/>
              </w:rPr>
              <w:t>1,433.3 </w:t>
            </w:r>
          </w:p>
        </w:tc>
        <w:tc>
          <w:tcPr>
            <w:tcW w:w="0" w:type="auto"/>
            <w:shd w:val="clear" w:color="auto" w:fill="FFFFFF"/>
            <w:tcMar>
              <w:top w:w="40" w:type="dxa"/>
              <w:left w:w="0" w:type="dxa"/>
              <w:bottom w:w="40" w:type="dxa"/>
              <w:right w:w="20" w:type="dxa"/>
            </w:tcMar>
            <w:vAlign w:val="bottom"/>
          </w:tcPr>
          <w:p w14:paraId="6429923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3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23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33" w14:textId="77777777" w:rsidR="007B6C97" w:rsidRDefault="00E426D1">
            <w:pPr>
              <w:jc w:val="right"/>
              <w:textAlignment w:val="bottom"/>
            </w:pPr>
            <w:r>
              <w:rPr>
                <w:rFonts w:ascii="Times New Roman" w:eastAsia="宋体" w:hAnsi="Times New Roman"/>
                <w:color w:val="000000"/>
                <w:sz w:val="20"/>
                <w:szCs w:val="20"/>
              </w:rPr>
              <w:t>(271.0)</w:t>
            </w:r>
          </w:p>
        </w:tc>
        <w:tc>
          <w:tcPr>
            <w:tcW w:w="0" w:type="auto"/>
            <w:shd w:val="clear" w:color="auto" w:fill="FFFFFF"/>
            <w:tcMar>
              <w:top w:w="40" w:type="dxa"/>
              <w:left w:w="0" w:type="dxa"/>
              <w:bottom w:w="40" w:type="dxa"/>
              <w:right w:w="20" w:type="dxa"/>
            </w:tcMar>
            <w:vAlign w:val="bottom"/>
          </w:tcPr>
          <w:p w14:paraId="6429923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3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36" w14:textId="77777777" w:rsidR="007B6C97" w:rsidRDefault="00E426D1">
            <w:pPr>
              <w:jc w:val="right"/>
              <w:textAlignment w:val="bottom"/>
            </w:pPr>
            <w:r>
              <w:rPr>
                <w:rFonts w:ascii="Times New Roman" w:eastAsia="宋体" w:hAnsi="Times New Roman"/>
                <w:color w:val="000000"/>
                <w:sz w:val="20"/>
                <w:szCs w:val="20"/>
              </w:rPr>
              <w:t>73.3 </w:t>
            </w:r>
          </w:p>
        </w:tc>
        <w:tc>
          <w:tcPr>
            <w:tcW w:w="0" w:type="auto"/>
            <w:shd w:val="clear" w:color="auto" w:fill="FFFFFF"/>
            <w:tcMar>
              <w:top w:w="40" w:type="dxa"/>
              <w:left w:w="0" w:type="dxa"/>
              <w:bottom w:w="40" w:type="dxa"/>
              <w:right w:w="20" w:type="dxa"/>
            </w:tcMar>
            <w:vAlign w:val="bottom"/>
          </w:tcPr>
          <w:p w14:paraId="64299237"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23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39" w14:textId="77777777" w:rsidR="007B6C97" w:rsidRDefault="00E426D1">
            <w:pPr>
              <w:jc w:val="right"/>
              <w:textAlignment w:val="bottom"/>
            </w:pPr>
            <w:r>
              <w:rPr>
                <w:rFonts w:ascii="Times New Roman" w:eastAsia="宋体" w:hAnsi="Times New Roman"/>
                <w:color w:val="000000"/>
                <w:sz w:val="20"/>
                <w:szCs w:val="20"/>
              </w:rPr>
              <w:t>84.9 </w:t>
            </w:r>
          </w:p>
        </w:tc>
        <w:tc>
          <w:tcPr>
            <w:tcW w:w="0" w:type="auto"/>
            <w:shd w:val="clear" w:color="auto" w:fill="FFFFFF"/>
            <w:tcMar>
              <w:top w:w="40" w:type="dxa"/>
              <w:left w:w="0" w:type="dxa"/>
              <w:bottom w:w="40" w:type="dxa"/>
              <w:right w:w="20" w:type="dxa"/>
            </w:tcMar>
            <w:vAlign w:val="bottom"/>
          </w:tcPr>
          <w:p w14:paraId="6429923A"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23B"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23C"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3D" w14:textId="77777777" w:rsidR="007B6C97" w:rsidRDefault="00E426D1">
            <w:pPr>
              <w:jc w:val="right"/>
              <w:textAlignment w:val="bottom"/>
            </w:pPr>
            <w:r>
              <w:rPr>
                <w:rFonts w:ascii="Times New Roman" w:eastAsia="宋体" w:hAnsi="Times New Roman"/>
                <w:color w:val="000000"/>
                <w:sz w:val="20"/>
                <w:szCs w:val="20"/>
              </w:rPr>
              <w:t>4,011.1 </w:t>
            </w:r>
          </w:p>
        </w:tc>
        <w:tc>
          <w:tcPr>
            <w:tcW w:w="0" w:type="auto"/>
            <w:shd w:val="clear" w:color="auto" w:fill="FFFFFF"/>
            <w:tcMar>
              <w:top w:w="40" w:type="dxa"/>
              <w:left w:w="0" w:type="dxa"/>
              <w:bottom w:w="40" w:type="dxa"/>
              <w:right w:w="20" w:type="dxa"/>
            </w:tcMar>
            <w:vAlign w:val="bottom"/>
          </w:tcPr>
          <w:p w14:paraId="6429923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3F"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240"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41" w14:textId="77777777" w:rsidR="007B6C97" w:rsidRDefault="00E426D1">
            <w:pPr>
              <w:jc w:val="right"/>
              <w:textAlignment w:val="bottom"/>
            </w:pPr>
            <w:r>
              <w:rPr>
                <w:rFonts w:ascii="Times New Roman" w:eastAsia="宋体" w:hAnsi="Times New Roman"/>
                <w:color w:val="000000"/>
                <w:sz w:val="20"/>
                <w:szCs w:val="20"/>
              </w:rPr>
              <w:t>4,259.7 </w:t>
            </w:r>
          </w:p>
        </w:tc>
        <w:tc>
          <w:tcPr>
            <w:tcW w:w="0" w:type="auto"/>
            <w:shd w:val="clear" w:color="auto" w:fill="FFFFFF"/>
            <w:tcMar>
              <w:top w:w="40" w:type="dxa"/>
              <w:left w:w="0" w:type="dxa"/>
              <w:bottom w:w="40" w:type="dxa"/>
              <w:right w:w="20" w:type="dxa"/>
            </w:tcMar>
            <w:vAlign w:val="bottom"/>
          </w:tcPr>
          <w:p w14:paraId="6429924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43"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244"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245" w14:textId="77777777" w:rsidR="007B6C97" w:rsidRDefault="00E426D1">
            <w:pPr>
              <w:jc w:val="right"/>
              <w:textAlignment w:val="bottom"/>
            </w:pPr>
            <w:r>
              <w:rPr>
                <w:rFonts w:ascii="Times New Roman" w:eastAsia="宋体" w:hAnsi="Times New Roman"/>
                <w:color w:val="000000"/>
                <w:sz w:val="20"/>
                <w:szCs w:val="20"/>
              </w:rPr>
              <w:t>(248.6)</w:t>
            </w:r>
          </w:p>
        </w:tc>
        <w:tc>
          <w:tcPr>
            <w:tcW w:w="0" w:type="auto"/>
            <w:shd w:val="clear" w:color="auto" w:fill="FFFFFF"/>
            <w:tcMar>
              <w:top w:w="40" w:type="dxa"/>
              <w:left w:w="0" w:type="dxa"/>
              <w:bottom w:w="40" w:type="dxa"/>
              <w:right w:w="20" w:type="dxa"/>
            </w:tcMar>
            <w:vAlign w:val="bottom"/>
          </w:tcPr>
          <w:p w14:paraId="6429924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4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48" w14:textId="77777777" w:rsidR="007B6C97" w:rsidRDefault="00E426D1">
            <w:pPr>
              <w:jc w:val="right"/>
              <w:textAlignment w:val="bottom"/>
            </w:pPr>
            <w:r>
              <w:rPr>
                <w:rFonts w:ascii="Times New Roman" w:eastAsia="宋体" w:hAnsi="Times New Roman"/>
                <w:color w:val="000000"/>
                <w:sz w:val="20"/>
                <w:szCs w:val="20"/>
              </w:rPr>
              <w:t>77.7 </w:t>
            </w:r>
          </w:p>
        </w:tc>
        <w:tc>
          <w:tcPr>
            <w:tcW w:w="0" w:type="auto"/>
            <w:shd w:val="clear" w:color="auto" w:fill="FFFFFF"/>
            <w:tcMar>
              <w:top w:w="40" w:type="dxa"/>
              <w:left w:w="0" w:type="dxa"/>
              <w:bottom w:w="40" w:type="dxa"/>
              <w:right w:w="20" w:type="dxa"/>
            </w:tcMar>
            <w:vAlign w:val="bottom"/>
          </w:tcPr>
          <w:p w14:paraId="64299249"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24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4B" w14:textId="77777777" w:rsidR="007B6C97" w:rsidRDefault="00E426D1">
            <w:pPr>
              <w:jc w:val="right"/>
              <w:textAlignment w:val="bottom"/>
            </w:pPr>
            <w:r>
              <w:rPr>
                <w:rFonts w:ascii="Times New Roman" w:eastAsia="宋体" w:hAnsi="Times New Roman"/>
                <w:color w:val="000000"/>
                <w:sz w:val="20"/>
                <w:szCs w:val="20"/>
              </w:rPr>
              <w:t>85.1 </w:t>
            </w:r>
          </w:p>
        </w:tc>
        <w:tc>
          <w:tcPr>
            <w:tcW w:w="0" w:type="auto"/>
            <w:shd w:val="clear" w:color="auto" w:fill="FFFFFF"/>
            <w:tcMar>
              <w:top w:w="40" w:type="dxa"/>
              <w:left w:w="0" w:type="dxa"/>
              <w:bottom w:w="40" w:type="dxa"/>
              <w:right w:w="20" w:type="dxa"/>
            </w:tcMar>
            <w:vAlign w:val="bottom"/>
          </w:tcPr>
          <w:p w14:paraId="6429924C" w14:textId="77777777" w:rsidR="007B6C97" w:rsidRDefault="00E426D1">
            <w:pPr>
              <w:jc w:val="right"/>
              <w:textAlignment w:val="bottom"/>
            </w:pPr>
            <w:r>
              <w:rPr>
                <w:rFonts w:ascii="Times New Roman" w:eastAsia="宋体" w:hAnsi="Times New Roman"/>
                <w:color w:val="000000"/>
                <w:sz w:val="20"/>
                <w:szCs w:val="20"/>
              </w:rPr>
              <w:t>%</w:t>
            </w:r>
          </w:p>
        </w:tc>
      </w:tr>
      <w:tr w:rsidR="00E426D1" w14:paraId="6429926C" w14:textId="77777777">
        <w:tc>
          <w:tcPr>
            <w:tcW w:w="0" w:type="auto"/>
            <w:gridSpan w:val="3"/>
            <w:shd w:val="clear" w:color="auto" w:fill="D7E4BC"/>
            <w:tcMar>
              <w:top w:w="40" w:type="dxa"/>
              <w:left w:w="155" w:type="dxa"/>
              <w:bottom w:w="40" w:type="dxa"/>
              <w:right w:w="20" w:type="dxa"/>
            </w:tcMar>
          </w:tcPr>
          <w:p w14:paraId="6429924E" w14:textId="77777777" w:rsidR="007B6C97" w:rsidRDefault="00E426D1">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429924F" w14:textId="77777777" w:rsidR="007B6C97" w:rsidRDefault="00E426D1">
            <w:pPr>
              <w:jc w:val="right"/>
              <w:textAlignment w:val="bottom"/>
            </w:pPr>
            <w:r>
              <w:rPr>
                <w:rFonts w:ascii="Times New Roman" w:eastAsia="宋体" w:hAnsi="Times New Roman"/>
                <w:color w:val="000000"/>
                <w:sz w:val="20"/>
                <w:szCs w:val="20"/>
              </w:rPr>
              <w:t>412.6 </w:t>
            </w:r>
          </w:p>
        </w:tc>
        <w:tc>
          <w:tcPr>
            <w:tcW w:w="0" w:type="auto"/>
            <w:shd w:val="clear" w:color="auto" w:fill="D7E4BC"/>
            <w:tcMar>
              <w:top w:w="40" w:type="dxa"/>
              <w:left w:w="0" w:type="dxa"/>
              <w:bottom w:w="40" w:type="dxa"/>
              <w:right w:w="20" w:type="dxa"/>
            </w:tcMar>
            <w:vAlign w:val="bottom"/>
          </w:tcPr>
          <w:p w14:paraId="642992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5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52" w14:textId="77777777" w:rsidR="007B6C97" w:rsidRDefault="00E426D1">
            <w:pPr>
              <w:jc w:val="right"/>
              <w:textAlignment w:val="bottom"/>
            </w:pPr>
            <w:r>
              <w:rPr>
                <w:rFonts w:ascii="Times New Roman" w:eastAsia="宋体" w:hAnsi="Times New Roman"/>
                <w:color w:val="000000"/>
                <w:sz w:val="20"/>
                <w:szCs w:val="20"/>
              </w:rPr>
              <w:t>241.2 </w:t>
            </w:r>
          </w:p>
        </w:tc>
        <w:tc>
          <w:tcPr>
            <w:tcW w:w="0" w:type="auto"/>
            <w:shd w:val="clear" w:color="auto" w:fill="D7E4BC"/>
            <w:tcMar>
              <w:top w:w="40" w:type="dxa"/>
              <w:left w:w="0" w:type="dxa"/>
              <w:bottom w:w="40" w:type="dxa"/>
              <w:right w:w="20" w:type="dxa"/>
            </w:tcMar>
            <w:vAlign w:val="bottom"/>
          </w:tcPr>
          <w:p w14:paraId="6429925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5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55" w14:textId="77777777" w:rsidR="007B6C97" w:rsidRDefault="00E426D1">
            <w:pPr>
              <w:jc w:val="right"/>
              <w:textAlignment w:val="bottom"/>
            </w:pPr>
            <w:r>
              <w:rPr>
                <w:rFonts w:ascii="Times New Roman" w:eastAsia="宋体" w:hAnsi="Times New Roman"/>
                <w:color w:val="000000"/>
                <w:sz w:val="20"/>
                <w:szCs w:val="20"/>
              </w:rPr>
              <w:t>171.4 </w:t>
            </w:r>
          </w:p>
        </w:tc>
        <w:tc>
          <w:tcPr>
            <w:tcW w:w="0" w:type="auto"/>
            <w:shd w:val="clear" w:color="auto" w:fill="D7E4BC"/>
            <w:tcMar>
              <w:top w:w="40" w:type="dxa"/>
              <w:left w:w="0" w:type="dxa"/>
              <w:bottom w:w="40" w:type="dxa"/>
              <w:right w:w="20" w:type="dxa"/>
            </w:tcMar>
            <w:vAlign w:val="bottom"/>
          </w:tcPr>
          <w:p w14:paraId="6429925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5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58" w14:textId="77777777" w:rsidR="007B6C97" w:rsidRDefault="00E426D1">
            <w:pPr>
              <w:jc w:val="right"/>
              <w:textAlignment w:val="bottom"/>
            </w:pPr>
            <w:r>
              <w:rPr>
                <w:rFonts w:ascii="Times New Roman" w:eastAsia="宋体" w:hAnsi="Times New Roman"/>
                <w:color w:val="000000"/>
                <w:sz w:val="20"/>
                <w:szCs w:val="20"/>
              </w:rPr>
              <w:t>26.0 </w:t>
            </w:r>
          </w:p>
        </w:tc>
        <w:tc>
          <w:tcPr>
            <w:tcW w:w="0" w:type="auto"/>
            <w:shd w:val="clear" w:color="auto" w:fill="D7E4BC"/>
            <w:tcMar>
              <w:top w:w="40" w:type="dxa"/>
              <w:left w:w="0" w:type="dxa"/>
              <w:bottom w:w="40" w:type="dxa"/>
              <w:right w:w="20" w:type="dxa"/>
            </w:tcMar>
            <w:vAlign w:val="bottom"/>
          </w:tcPr>
          <w:p w14:paraId="6429925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5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5B" w14:textId="77777777" w:rsidR="007B6C97" w:rsidRDefault="00E426D1">
            <w:pPr>
              <w:jc w:val="right"/>
              <w:textAlignment w:val="bottom"/>
            </w:pPr>
            <w:r>
              <w:rPr>
                <w:rFonts w:ascii="Times New Roman" w:eastAsia="宋体" w:hAnsi="Times New Roman"/>
                <w:color w:val="000000"/>
                <w:sz w:val="20"/>
                <w:szCs w:val="20"/>
              </w:rPr>
              <w:t>14.3 </w:t>
            </w:r>
          </w:p>
        </w:tc>
        <w:tc>
          <w:tcPr>
            <w:tcW w:w="0" w:type="auto"/>
            <w:shd w:val="clear" w:color="auto" w:fill="D7E4BC"/>
            <w:tcMar>
              <w:top w:w="40" w:type="dxa"/>
              <w:left w:w="0" w:type="dxa"/>
              <w:bottom w:w="40" w:type="dxa"/>
              <w:right w:w="20" w:type="dxa"/>
            </w:tcMar>
            <w:vAlign w:val="bottom"/>
          </w:tcPr>
          <w:p w14:paraId="6429925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5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5E" w14:textId="77777777" w:rsidR="007B6C97" w:rsidRDefault="00E426D1">
            <w:pPr>
              <w:jc w:val="right"/>
              <w:textAlignment w:val="bottom"/>
            </w:pPr>
            <w:r>
              <w:rPr>
                <w:rFonts w:ascii="Times New Roman" w:eastAsia="宋体" w:hAnsi="Times New Roman"/>
                <w:color w:val="000000"/>
                <w:sz w:val="20"/>
                <w:szCs w:val="20"/>
              </w:rPr>
              <w:t>1,089.9 </w:t>
            </w:r>
          </w:p>
        </w:tc>
        <w:tc>
          <w:tcPr>
            <w:tcW w:w="0" w:type="auto"/>
            <w:shd w:val="clear" w:color="auto" w:fill="D7E4BC"/>
            <w:tcMar>
              <w:top w:w="40" w:type="dxa"/>
              <w:left w:w="0" w:type="dxa"/>
              <w:bottom w:w="40" w:type="dxa"/>
              <w:right w:w="20" w:type="dxa"/>
            </w:tcMar>
            <w:vAlign w:val="bottom"/>
          </w:tcPr>
          <w:p w14:paraId="6429925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6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61" w14:textId="77777777" w:rsidR="007B6C97" w:rsidRDefault="00E426D1">
            <w:pPr>
              <w:jc w:val="right"/>
              <w:textAlignment w:val="bottom"/>
            </w:pPr>
            <w:r>
              <w:rPr>
                <w:rFonts w:ascii="Times New Roman" w:eastAsia="宋体" w:hAnsi="Times New Roman"/>
                <w:color w:val="000000"/>
                <w:sz w:val="20"/>
                <w:szCs w:val="20"/>
              </w:rPr>
              <w:t>693.4 </w:t>
            </w:r>
          </w:p>
        </w:tc>
        <w:tc>
          <w:tcPr>
            <w:tcW w:w="0" w:type="auto"/>
            <w:shd w:val="clear" w:color="auto" w:fill="D7E4BC"/>
            <w:tcMar>
              <w:top w:w="40" w:type="dxa"/>
              <w:left w:w="0" w:type="dxa"/>
              <w:bottom w:w="40" w:type="dxa"/>
              <w:right w:w="20" w:type="dxa"/>
            </w:tcMar>
            <w:vAlign w:val="bottom"/>
          </w:tcPr>
          <w:p w14:paraId="6429926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6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64" w14:textId="77777777" w:rsidR="007B6C97" w:rsidRDefault="00E426D1">
            <w:pPr>
              <w:jc w:val="right"/>
              <w:textAlignment w:val="bottom"/>
            </w:pPr>
            <w:r>
              <w:rPr>
                <w:rFonts w:ascii="Times New Roman" w:eastAsia="宋体" w:hAnsi="Times New Roman"/>
                <w:color w:val="000000"/>
                <w:sz w:val="20"/>
                <w:szCs w:val="20"/>
              </w:rPr>
              <w:t>396.5 </w:t>
            </w:r>
          </w:p>
        </w:tc>
        <w:tc>
          <w:tcPr>
            <w:tcW w:w="0" w:type="auto"/>
            <w:shd w:val="clear" w:color="auto" w:fill="D7E4BC"/>
            <w:tcMar>
              <w:top w:w="40" w:type="dxa"/>
              <w:left w:w="0" w:type="dxa"/>
              <w:bottom w:w="40" w:type="dxa"/>
              <w:right w:w="20" w:type="dxa"/>
            </w:tcMar>
            <w:vAlign w:val="bottom"/>
          </w:tcPr>
          <w:p w14:paraId="6429926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6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67" w14:textId="77777777" w:rsidR="007B6C97" w:rsidRDefault="00E426D1">
            <w:pPr>
              <w:jc w:val="right"/>
              <w:textAlignment w:val="bottom"/>
            </w:pPr>
            <w:r>
              <w:rPr>
                <w:rFonts w:ascii="Times New Roman" w:eastAsia="宋体" w:hAnsi="Times New Roman"/>
                <w:color w:val="000000"/>
                <w:sz w:val="20"/>
                <w:szCs w:val="20"/>
              </w:rPr>
              <w:t>21.1 </w:t>
            </w:r>
          </w:p>
        </w:tc>
        <w:tc>
          <w:tcPr>
            <w:tcW w:w="0" w:type="auto"/>
            <w:shd w:val="clear" w:color="auto" w:fill="D7E4BC"/>
            <w:tcMar>
              <w:top w:w="40" w:type="dxa"/>
              <w:left w:w="0" w:type="dxa"/>
              <w:bottom w:w="40" w:type="dxa"/>
              <w:right w:w="20" w:type="dxa"/>
            </w:tcMar>
            <w:vAlign w:val="bottom"/>
          </w:tcPr>
          <w:p w14:paraId="642992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6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6A" w14:textId="77777777" w:rsidR="007B6C97" w:rsidRDefault="00E426D1">
            <w:pPr>
              <w:jc w:val="right"/>
              <w:textAlignment w:val="bottom"/>
            </w:pPr>
            <w:r>
              <w:rPr>
                <w:rFonts w:ascii="Times New Roman" w:eastAsia="宋体" w:hAnsi="Times New Roman"/>
                <w:color w:val="000000"/>
                <w:sz w:val="20"/>
                <w:szCs w:val="20"/>
              </w:rPr>
              <w:t>13.8 </w:t>
            </w:r>
          </w:p>
        </w:tc>
        <w:tc>
          <w:tcPr>
            <w:tcW w:w="0" w:type="auto"/>
            <w:shd w:val="clear" w:color="auto" w:fill="D7E4BC"/>
            <w:tcMar>
              <w:top w:w="40" w:type="dxa"/>
              <w:left w:w="0" w:type="dxa"/>
              <w:bottom w:w="40" w:type="dxa"/>
              <w:right w:w="20" w:type="dxa"/>
            </w:tcMar>
            <w:vAlign w:val="bottom"/>
          </w:tcPr>
          <w:p w14:paraId="6429926B" w14:textId="77777777" w:rsidR="007B6C97" w:rsidRDefault="007B6C97">
            <w:pPr>
              <w:jc w:val="right"/>
              <w:rPr>
                <w:rFonts w:ascii="宋体"/>
              </w:rPr>
            </w:pPr>
          </w:p>
        </w:tc>
      </w:tr>
      <w:tr w:rsidR="00E426D1" w14:paraId="6429928B" w14:textId="77777777">
        <w:tc>
          <w:tcPr>
            <w:tcW w:w="0" w:type="auto"/>
            <w:gridSpan w:val="3"/>
            <w:shd w:val="clear" w:color="auto" w:fill="FFFFFF"/>
            <w:tcMar>
              <w:top w:w="40" w:type="dxa"/>
              <w:left w:w="155" w:type="dxa"/>
              <w:bottom w:w="40" w:type="dxa"/>
              <w:right w:w="20" w:type="dxa"/>
            </w:tcMar>
          </w:tcPr>
          <w:p w14:paraId="6429926D" w14:textId="77777777" w:rsidR="007B6C97" w:rsidRDefault="00E426D1">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429926E" w14:textId="77777777" w:rsidR="007B6C97" w:rsidRDefault="00E426D1">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6429926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71" w14:textId="77777777" w:rsidR="007B6C97" w:rsidRDefault="00E426D1">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6429927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74" w14:textId="77777777" w:rsidR="007B6C97" w:rsidRDefault="00E426D1">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left w:w="0" w:type="dxa"/>
              <w:bottom w:w="40" w:type="dxa"/>
              <w:right w:w="20" w:type="dxa"/>
            </w:tcMar>
            <w:vAlign w:val="bottom"/>
          </w:tcPr>
          <w:p w14:paraId="6429927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77" w14:textId="77777777" w:rsidR="007B6C97" w:rsidRDefault="00E426D1">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429927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7A" w14:textId="77777777" w:rsidR="007B6C97" w:rsidRDefault="00E426D1">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429927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7D" w14:textId="77777777" w:rsidR="007B6C97" w:rsidRDefault="00E426D1">
            <w:pPr>
              <w:jc w:val="right"/>
              <w:textAlignment w:val="bottom"/>
            </w:pPr>
            <w:r>
              <w:rPr>
                <w:rFonts w:ascii="Times New Roman" w:eastAsia="宋体" w:hAnsi="Times New Roman"/>
                <w:color w:val="000000"/>
                <w:sz w:val="20"/>
                <w:szCs w:val="20"/>
              </w:rPr>
              <w:t>62.1 </w:t>
            </w:r>
          </w:p>
        </w:tc>
        <w:tc>
          <w:tcPr>
            <w:tcW w:w="0" w:type="auto"/>
            <w:shd w:val="clear" w:color="auto" w:fill="FFFFFF"/>
            <w:tcMar>
              <w:top w:w="40" w:type="dxa"/>
              <w:left w:w="0" w:type="dxa"/>
              <w:bottom w:w="40" w:type="dxa"/>
              <w:right w:w="20" w:type="dxa"/>
            </w:tcMar>
            <w:vAlign w:val="bottom"/>
          </w:tcPr>
          <w:p w14:paraId="6429927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7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80" w14:textId="77777777" w:rsidR="007B6C97" w:rsidRDefault="00E426D1">
            <w:pPr>
              <w:jc w:val="right"/>
              <w:textAlignment w:val="bottom"/>
            </w:pPr>
            <w:r>
              <w:rPr>
                <w:rFonts w:ascii="Times New Roman" w:eastAsia="宋体" w:hAnsi="Times New Roman"/>
                <w:color w:val="000000"/>
                <w:sz w:val="20"/>
                <w:szCs w:val="20"/>
              </w:rPr>
              <w:t>53.8 </w:t>
            </w:r>
          </w:p>
        </w:tc>
        <w:tc>
          <w:tcPr>
            <w:tcW w:w="0" w:type="auto"/>
            <w:shd w:val="clear" w:color="auto" w:fill="FFFFFF"/>
            <w:tcMar>
              <w:top w:w="40" w:type="dxa"/>
              <w:left w:w="0" w:type="dxa"/>
              <w:bottom w:w="40" w:type="dxa"/>
              <w:right w:w="20" w:type="dxa"/>
            </w:tcMar>
            <w:vAlign w:val="bottom"/>
          </w:tcPr>
          <w:p w14:paraId="6429928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8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83" w14:textId="77777777" w:rsidR="007B6C97" w:rsidRDefault="00E426D1">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vAlign w:val="bottom"/>
          </w:tcPr>
          <w:p w14:paraId="6429928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8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86"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429928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8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89" w14:textId="77777777" w:rsidR="007B6C97" w:rsidRDefault="00E426D1">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429928A" w14:textId="77777777" w:rsidR="007B6C97" w:rsidRDefault="007B6C97">
            <w:pPr>
              <w:jc w:val="right"/>
              <w:rPr>
                <w:rFonts w:ascii="宋体"/>
              </w:rPr>
            </w:pPr>
          </w:p>
        </w:tc>
      </w:tr>
      <w:tr w:rsidR="00E426D1" w14:paraId="642992AA" w14:textId="77777777">
        <w:tc>
          <w:tcPr>
            <w:tcW w:w="0" w:type="auto"/>
            <w:gridSpan w:val="3"/>
            <w:shd w:val="clear" w:color="auto" w:fill="D7E4BC"/>
            <w:tcMar>
              <w:top w:w="40" w:type="dxa"/>
              <w:left w:w="20" w:type="dxa"/>
              <w:bottom w:w="40" w:type="dxa"/>
              <w:right w:w="20" w:type="dxa"/>
            </w:tcMar>
          </w:tcPr>
          <w:p w14:paraId="6429928C" w14:textId="77777777" w:rsidR="007B6C97" w:rsidRDefault="00E426D1">
            <w:pPr>
              <w:textAlignment w:val="top"/>
            </w:pPr>
            <w:r>
              <w:rPr>
                <w:rFonts w:ascii="Times New Roman" w:eastAsia="宋体" w:hAnsi="Times New Roman"/>
                <w:b/>
                <w:bCs/>
                <w:color w:val="000000"/>
                <w:sz w:val="20"/>
                <w:szCs w:val="20"/>
              </w:rPr>
              <w:t>Total net revenues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28D" w14:textId="77777777" w:rsidR="007B6C97" w:rsidRDefault="00E426D1">
            <w:pPr>
              <w:jc w:val="right"/>
              <w:textAlignment w:val="bottom"/>
            </w:pPr>
            <w:r>
              <w:rPr>
                <w:rFonts w:ascii="Times New Roman" w:eastAsia="宋体" w:hAnsi="Times New Roman"/>
                <w:b/>
                <w:bCs/>
                <w:color w:val="000000"/>
                <w:sz w:val="20"/>
                <w:szCs w:val="20"/>
              </w:rPr>
              <w:t>1,584.7</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28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8F"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290" w14:textId="77777777" w:rsidR="007B6C97" w:rsidRDefault="00E426D1">
            <w:pPr>
              <w:jc w:val="right"/>
              <w:textAlignment w:val="bottom"/>
            </w:pPr>
            <w:r>
              <w:rPr>
                <w:rFonts w:ascii="Times New Roman" w:eastAsia="宋体" w:hAnsi="Times New Roman"/>
                <w:b/>
                <w:bCs/>
                <w:color w:val="000000"/>
                <w:sz w:val="20"/>
                <w:szCs w:val="20"/>
              </w:rPr>
              <w:t>1,688.0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29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92"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293" w14:textId="77777777" w:rsidR="007B6C97" w:rsidRDefault="00E426D1">
            <w:pPr>
              <w:jc w:val="right"/>
              <w:textAlignment w:val="bottom"/>
            </w:pPr>
            <w:r>
              <w:rPr>
                <w:rFonts w:ascii="Times New Roman" w:eastAsia="宋体" w:hAnsi="Times New Roman"/>
                <w:b/>
                <w:bCs/>
                <w:color w:val="000000"/>
                <w:sz w:val="20"/>
                <w:szCs w:val="20"/>
              </w:rPr>
              <w:t>(103.3)</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29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95"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296"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29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98"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299"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29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9B"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29C" w14:textId="77777777" w:rsidR="007B6C97" w:rsidRDefault="00E426D1">
            <w:pPr>
              <w:jc w:val="right"/>
              <w:textAlignment w:val="bottom"/>
            </w:pPr>
            <w:r>
              <w:rPr>
                <w:rFonts w:ascii="Times New Roman" w:eastAsia="宋体" w:hAnsi="Times New Roman"/>
                <w:b/>
                <w:bCs/>
                <w:color w:val="000000"/>
                <w:sz w:val="20"/>
                <w:szCs w:val="20"/>
              </w:rPr>
              <w:t>5,163.1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29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9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29F" w14:textId="77777777" w:rsidR="007B6C97" w:rsidRDefault="00E426D1">
            <w:pPr>
              <w:jc w:val="right"/>
              <w:textAlignment w:val="bottom"/>
            </w:pPr>
            <w:r>
              <w:rPr>
                <w:rFonts w:ascii="Times New Roman" w:eastAsia="宋体" w:hAnsi="Times New Roman"/>
                <w:b/>
                <w:bCs/>
                <w:color w:val="000000"/>
                <w:sz w:val="20"/>
                <w:szCs w:val="20"/>
              </w:rPr>
              <w:t>5,006.9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2A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A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2A2" w14:textId="77777777" w:rsidR="007B6C97" w:rsidRDefault="00E426D1">
            <w:pPr>
              <w:jc w:val="right"/>
              <w:textAlignment w:val="bottom"/>
            </w:pPr>
            <w:r>
              <w:rPr>
                <w:rFonts w:ascii="Times New Roman" w:eastAsia="宋体" w:hAnsi="Times New Roman"/>
                <w:b/>
                <w:bCs/>
                <w:color w:val="000000"/>
                <w:sz w:val="20"/>
                <w:szCs w:val="20"/>
              </w:rPr>
              <w:t>156.2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2A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A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2A5"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2A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A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2A8" w14:textId="77777777" w:rsidR="007B6C97" w:rsidRDefault="00E426D1">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2A9" w14:textId="77777777" w:rsidR="007B6C97" w:rsidRDefault="007B6C97">
            <w:pPr>
              <w:jc w:val="right"/>
              <w:rPr>
                <w:rFonts w:ascii="宋体"/>
              </w:rPr>
            </w:pPr>
          </w:p>
        </w:tc>
      </w:tr>
      <w:tr w:rsidR="00E426D1" w14:paraId="642992C9" w14:textId="77777777">
        <w:tc>
          <w:tcPr>
            <w:tcW w:w="0" w:type="auto"/>
            <w:gridSpan w:val="3"/>
            <w:shd w:val="clear" w:color="auto" w:fill="FFFFFF"/>
            <w:tcMar>
              <w:top w:w="40" w:type="dxa"/>
              <w:left w:w="20" w:type="dxa"/>
              <w:bottom w:w="40" w:type="dxa"/>
              <w:right w:w="20" w:type="dxa"/>
            </w:tcMar>
          </w:tcPr>
          <w:p w14:paraId="642992AB"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42992AC" w14:textId="77777777" w:rsidR="007B6C97" w:rsidRDefault="00E426D1">
            <w:pPr>
              <w:jc w:val="right"/>
              <w:textAlignment w:val="bottom"/>
            </w:pPr>
            <w:r>
              <w:rPr>
                <w:rFonts w:ascii="Times New Roman" w:eastAsia="宋体" w:hAnsi="Times New Roman"/>
                <w:color w:val="000000"/>
                <w:sz w:val="20"/>
                <w:szCs w:val="20"/>
              </w:rPr>
              <w:t>550.3 </w:t>
            </w:r>
          </w:p>
        </w:tc>
        <w:tc>
          <w:tcPr>
            <w:tcW w:w="0" w:type="auto"/>
            <w:shd w:val="clear" w:color="auto" w:fill="FFFFFF"/>
            <w:tcMar>
              <w:top w:w="40" w:type="dxa"/>
              <w:left w:w="0" w:type="dxa"/>
              <w:bottom w:w="40" w:type="dxa"/>
              <w:right w:w="20" w:type="dxa"/>
            </w:tcMar>
            <w:vAlign w:val="bottom"/>
          </w:tcPr>
          <w:p w14:paraId="642992A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A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AF" w14:textId="77777777" w:rsidR="007B6C97" w:rsidRDefault="00E426D1">
            <w:pPr>
              <w:jc w:val="right"/>
              <w:textAlignment w:val="bottom"/>
            </w:pPr>
            <w:r>
              <w:rPr>
                <w:rFonts w:ascii="Times New Roman" w:eastAsia="宋体" w:hAnsi="Times New Roman"/>
                <w:color w:val="000000"/>
                <w:sz w:val="20"/>
                <w:szCs w:val="20"/>
              </w:rPr>
              <w:t>518.0 </w:t>
            </w:r>
          </w:p>
        </w:tc>
        <w:tc>
          <w:tcPr>
            <w:tcW w:w="0" w:type="auto"/>
            <w:shd w:val="clear" w:color="auto" w:fill="FFFFFF"/>
            <w:tcMar>
              <w:top w:w="40" w:type="dxa"/>
              <w:left w:w="0" w:type="dxa"/>
              <w:bottom w:w="40" w:type="dxa"/>
              <w:right w:w="20" w:type="dxa"/>
            </w:tcMar>
            <w:vAlign w:val="bottom"/>
          </w:tcPr>
          <w:p w14:paraId="642992B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B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B2" w14:textId="77777777" w:rsidR="007B6C97" w:rsidRDefault="00E426D1">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642992B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B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B5" w14:textId="77777777" w:rsidR="007B6C97" w:rsidRDefault="00E426D1">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642992B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B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B8" w14:textId="77777777" w:rsidR="007B6C97" w:rsidRDefault="00E426D1">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left w:w="0" w:type="dxa"/>
              <w:bottom w:w="40" w:type="dxa"/>
              <w:right w:w="20" w:type="dxa"/>
            </w:tcMar>
            <w:vAlign w:val="bottom"/>
          </w:tcPr>
          <w:p w14:paraId="642992B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B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BB" w14:textId="77777777" w:rsidR="007B6C97" w:rsidRDefault="00E426D1">
            <w:pPr>
              <w:jc w:val="right"/>
              <w:textAlignment w:val="bottom"/>
            </w:pPr>
            <w:r>
              <w:rPr>
                <w:rFonts w:ascii="Times New Roman" w:eastAsia="宋体" w:hAnsi="Times New Roman"/>
                <w:color w:val="000000"/>
                <w:sz w:val="20"/>
                <w:szCs w:val="20"/>
              </w:rPr>
              <w:t>1,746.8 </w:t>
            </w:r>
          </w:p>
        </w:tc>
        <w:tc>
          <w:tcPr>
            <w:tcW w:w="0" w:type="auto"/>
            <w:shd w:val="clear" w:color="auto" w:fill="FFFFFF"/>
            <w:tcMar>
              <w:top w:w="40" w:type="dxa"/>
              <w:left w:w="0" w:type="dxa"/>
              <w:bottom w:w="40" w:type="dxa"/>
              <w:right w:w="20" w:type="dxa"/>
            </w:tcMar>
            <w:vAlign w:val="bottom"/>
          </w:tcPr>
          <w:p w14:paraId="642992B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B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BE" w14:textId="77777777" w:rsidR="007B6C97" w:rsidRDefault="00E426D1">
            <w:pPr>
              <w:jc w:val="right"/>
              <w:textAlignment w:val="bottom"/>
            </w:pPr>
            <w:r>
              <w:rPr>
                <w:rFonts w:ascii="Times New Roman" w:eastAsia="宋体" w:hAnsi="Times New Roman"/>
                <w:color w:val="000000"/>
                <w:sz w:val="20"/>
                <w:szCs w:val="20"/>
              </w:rPr>
              <w:t>1,582.2 </w:t>
            </w:r>
          </w:p>
        </w:tc>
        <w:tc>
          <w:tcPr>
            <w:tcW w:w="0" w:type="auto"/>
            <w:shd w:val="clear" w:color="auto" w:fill="FFFFFF"/>
            <w:tcMar>
              <w:top w:w="40" w:type="dxa"/>
              <w:left w:w="0" w:type="dxa"/>
              <w:bottom w:w="40" w:type="dxa"/>
              <w:right w:w="20" w:type="dxa"/>
            </w:tcMar>
            <w:vAlign w:val="bottom"/>
          </w:tcPr>
          <w:p w14:paraId="642992B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C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C1" w14:textId="77777777" w:rsidR="007B6C97" w:rsidRDefault="00E426D1">
            <w:pPr>
              <w:jc w:val="right"/>
              <w:textAlignment w:val="bottom"/>
            </w:pPr>
            <w:r>
              <w:rPr>
                <w:rFonts w:ascii="Times New Roman" w:eastAsia="宋体" w:hAnsi="Times New Roman"/>
                <w:color w:val="000000"/>
                <w:sz w:val="20"/>
                <w:szCs w:val="20"/>
              </w:rPr>
              <w:t>164.6 </w:t>
            </w:r>
          </w:p>
        </w:tc>
        <w:tc>
          <w:tcPr>
            <w:tcW w:w="0" w:type="auto"/>
            <w:shd w:val="clear" w:color="auto" w:fill="FFFFFF"/>
            <w:tcMar>
              <w:top w:w="40" w:type="dxa"/>
              <w:left w:w="0" w:type="dxa"/>
              <w:bottom w:w="40" w:type="dxa"/>
              <w:right w:w="20" w:type="dxa"/>
            </w:tcMar>
            <w:vAlign w:val="bottom"/>
          </w:tcPr>
          <w:p w14:paraId="642992C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C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C4" w14:textId="77777777" w:rsidR="007B6C97" w:rsidRDefault="00E426D1">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left w:w="0" w:type="dxa"/>
              <w:bottom w:w="40" w:type="dxa"/>
              <w:right w:w="20" w:type="dxa"/>
            </w:tcMar>
            <w:vAlign w:val="bottom"/>
          </w:tcPr>
          <w:p w14:paraId="642992C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C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C7" w14:textId="77777777" w:rsidR="007B6C97" w:rsidRDefault="00E426D1">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642992C8" w14:textId="77777777" w:rsidR="007B6C97" w:rsidRDefault="007B6C97">
            <w:pPr>
              <w:jc w:val="right"/>
              <w:rPr>
                <w:rFonts w:ascii="宋体"/>
              </w:rPr>
            </w:pPr>
          </w:p>
        </w:tc>
      </w:tr>
      <w:tr w:rsidR="00E426D1" w14:paraId="642992E8" w14:textId="77777777">
        <w:tc>
          <w:tcPr>
            <w:tcW w:w="0" w:type="auto"/>
            <w:gridSpan w:val="3"/>
            <w:shd w:val="clear" w:color="auto" w:fill="D7E4BC"/>
            <w:tcMar>
              <w:top w:w="40" w:type="dxa"/>
              <w:left w:w="20" w:type="dxa"/>
              <w:bottom w:w="40" w:type="dxa"/>
              <w:right w:w="20" w:type="dxa"/>
            </w:tcMar>
          </w:tcPr>
          <w:p w14:paraId="642992CA" w14:textId="77777777" w:rsidR="007B6C97" w:rsidRDefault="00E426D1">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42992CB" w14:textId="77777777" w:rsidR="007B6C97" w:rsidRDefault="00E426D1">
            <w:pPr>
              <w:jc w:val="right"/>
              <w:textAlignment w:val="bottom"/>
            </w:pPr>
            <w:r>
              <w:rPr>
                <w:rFonts w:ascii="Times New Roman" w:eastAsia="宋体" w:hAnsi="Times New Roman"/>
                <w:color w:val="000000"/>
                <w:sz w:val="20"/>
                <w:szCs w:val="20"/>
              </w:rPr>
              <w:t>632.5 </w:t>
            </w:r>
          </w:p>
        </w:tc>
        <w:tc>
          <w:tcPr>
            <w:tcW w:w="0" w:type="auto"/>
            <w:shd w:val="clear" w:color="auto" w:fill="D7E4BC"/>
            <w:tcMar>
              <w:top w:w="40" w:type="dxa"/>
              <w:left w:w="0" w:type="dxa"/>
              <w:bottom w:w="40" w:type="dxa"/>
              <w:right w:w="20" w:type="dxa"/>
            </w:tcMar>
            <w:vAlign w:val="bottom"/>
          </w:tcPr>
          <w:p w14:paraId="642992C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C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CE" w14:textId="77777777" w:rsidR="007B6C97" w:rsidRDefault="00E426D1">
            <w:pPr>
              <w:jc w:val="right"/>
              <w:textAlignment w:val="bottom"/>
            </w:pPr>
            <w:r>
              <w:rPr>
                <w:rFonts w:ascii="Times New Roman" w:eastAsia="宋体" w:hAnsi="Times New Roman"/>
                <w:color w:val="000000"/>
                <w:sz w:val="20"/>
                <w:szCs w:val="20"/>
              </w:rPr>
              <w:t>620.1 </w:t>
            </w:r>
          </w:p>
        </w:tc>
        <w:tc>
          <w:tcPr>
            <w:tcW w:w="0" w:type="auto"/>
            <w:shd w:val="clear" w:color="auto" w:fill="D7E4BC"/>
            <w:tcMar>
              <w:top w:w="40" w:type="dxa"/>
              <w:left w:w="0" w:type="dxa"/>
              <w:bottom w:w="40" w:type="dxa"/>
              <w:right w:w="20" w:type="dxa"/>
            </w:tcMar>
            <w:vAlign w:val="bottom"/>
          </w:tcPr>
          <w:p w14:paraId="642992C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D1" w14:textId="77777777" w:rsidR="007B6C97" w:rsidRDefault="00E426D1">
            <w:pPr>
              <w:jc w:val="right"/>
              <w:textAlignment w:val="bottom"/>
            </w:pPr>
            <w:r>
              <w:rPr>
                <w:rFonts w:ascii="Times New Roman" w:eastAsia="宋体" w:hAnsi="Times New Roman"/>
                <w:color w:val="000000"/>
                <w:sz w:val="20"/>
                <w:szCs w:val="20"/>
              </w:rPr>
              <w:t>12.4 </w:t>
            </w:r>
          </w:p>
        </w:tc>
        <w:tc>
          <w:tcPr>
            <w:tcW w:w="0" w:type="auto"/>
            <w:shd w:val="clear" w:color="auto" w:fill="D7E4BC"/>
            <w:tcMar>
              <w:top w:w="40" w:type="dxa"/>
              <w:left w:w="0" w:type="dxa"/>
              <w:bottom w:w="40" w:type="dxa"/>
              <w:right w:w="20" w:type="dxa"/>
            </w:tcMar>
            <w:vAlign w:val="bottom"/>
          </w:tcPr>
          <w:p w14:paraId="642992D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D4" w14:textId="77777777" w:rsidR="007B6C97" w:rsidRDefault="00E426D1">
            <w:pPr>
              <w:jc w:val="right"/>
              <w:textAlignment w:val="bottom"/>
            </w:pPr>
            <w:r>
              <w:rPr>
                <w:rFonts w:ascii="Times New Roman" w:eastAsia="宋体" w:hAnsi="Times New Roman"/>
                <w:color w:val="000000"/>
                <w:sz w:val="20"/>
                <w:szCs w:val="20"/>
              </w:rPr>
              <w:t>39.9 </w:t>
            </w:r>
          </w:p>
        </w:tc>
        <w:tc>
          <w:tcPr>
            <w:tcW w:w="0" w:type="auto"/>
            <w:shd w:val="clear" w:color="auto" w:fill="D7E4BC"/>
            <w:tcMar>
              <w:top w:w="40" w:type="dxa"/>
              <w:left w:w="0" w:type="dxa"/>
              <w:bottom w:w="40" w:type="dxa"/>
              <w:right w:w="20" w:type="dxa"/>
            </w:tcMar>
            <w:vAlign w:val="bottom"/>
          </w:tcPr>
          <w:p w14:paraId="642992D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D7" w14:textId="77777777" w:rsidR="007B6C97" w:rsidRDefault="00E426D1">
            <w:pPr>
              <w:jc w:val="right"/>
              <w:textAlignment w:val="bottom"/>
            </w:pPr>
            <w:r>
              <w:rPr>
                <w:rFonts w:ascii="Times New Roman" w:eastAsia="宋体" w:hAnsi="Times New Roman"/>
                <w:color w:val="000000"/>
                <w:sz w:val="20"/>
                <w:szCs w:val="20"/>
              </w:rPr>
              <w:t>36.7 </w:t>
            </w:r>
          </w:p>
        </w:tc>
        <w:tc>
          <w:tcPr>
            <w:tcW w:w="0" w:type="auto"/>
            <w:shd w:val="clear" w:color="auto" w:fill="D7E4BC"/>
            <w:tcMar>
              <w:top w:w="40" w:type="dxa"/>
              <w:left w:w="0" w:type="dxa"/>
              <w:bottom w:w="40" w:type="dxa"/>
              <w:right w:w="20" w:type="dxa"/>
            </w:tcMar>
            <w:vAlign w:val="bottom"/>
          </w:tcPr>
          <w:p w14:paraId="642992D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DA" w14:textId="77777777" w:rsidR="007B6C97" w:rsidRDefault="00E426D1">
            <w:pPr>
              <w:jc w:val="right"/>
              <w:textAlignment w:val="bottom"/>
            </w:pPr>
            <w:r>
              <w:rPr>
                <w:rFonts w:ascii="Times New Roman" w:eastAsia="宋体" w:hAnsi="Times New Roman"/>
                <w:color w:val="000000"/>
                <w:sz w:val="20"/>
                <w:szCs w:val="20"/>
              </w:rPr>
              <w:t>2,019.3 </w:t>
            </w:r>
          </w:p>
        </w:tc>
        <w:tc>
          <w:tcPr>
            <w:tcW w:w="0" w:type="auto"/>
            <w:shd w:val="clear" w:color="auto" w:fill="D7E4BC"/>
            <w:tcMar>
              <w:top w:w="40" w:type="dxa"/>
              <w:left w:w="0" w:type="dxa"/>
              <w:bottom w:w="40" w:type="dxa"/>
              <w:right w:w="20" w:type="dxa"/>
            </w:tcMar>
            <w:vAlign w:val="bottom"/>
          </w:tcPr>
          <w:p w14:paraId="642992D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DD" w14:textId="77777777" w:rsidR="007B6C97" w:rsidRDefault="00E426D1">
            <w:pPr>
              <w:jc w:val="right"/>
              <w:textAlignment w:val="bottom"/>
            </w:pPr>
            <w:r>
              <w:rPr>
                <w:rFonts w:ascii="Times New Roman" w:eastAsia="宋体" w:hAnsi="Times New Roman"/>
                <w:color w:val="000000"/>
                <w:sz w:val="20"/>
                <w:szCs w:val="20"/>
              </w:rPr>
              <w:t>1,868.8 </w:t>
            </w:r>
          </w:p>
        </w:tc>
        <w:tc>
          <w:tcPr>
            <w:tcW w:w="0" w:type="auto"/>
            <w:shd w:val="clear" w:color="auto" w:fill="D7E4BC"/>
            <w:tcMar>
              <w:top w:w="40" w:type="dxa"/>
              <w:left w:w="0" w:type="dxa"/>
              <w:bottom w:w="40" w:type="dxa"/>
              <w:right w:w="20" w:type="dxa"/>
            </w:tcMar>
            <w:vAlign w:val="bottom"/>
          </w:tcPr>
          <w:p w14:paraId="642992D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D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E0" w14:textId="77777777" w:rsidR="007B6C97" w:rsidRDefault="00E426D1">
            <w:pPr>
              <w:jc w:val="right"/>
              <w:textAlignment w:val="bottom"/>
            </w:pPr>
            <w:r>
              <w:rPr>
                <w:rFonts w:ascii="Times New Roman" w:eastAsia="宋体" w:hAnsi="Times New Roman"/>
                <w:color w:val="000000"/>
                <w:sz w:val="20"/>
                <w:szCs w:val="20"/>
              </w:rPr>
              <w:t>150.5 </w:t>
            </w:r>
          </w:p>
        </w:tc>
        <w:tc>
          <w:tcPr>
            <w:tcW w:w="0" w:type="auto"/>
            <w:shd w:val="clear" w:color="auto" w:fill="D7E4BC"/>
            <w:tcMar>
              <w:top w:w="40" w:type="dxa"/>
              <w:left w:w="0" w:type="dxa"/>
              <w:bottom w:w="40" w:type="dxa"/>
              <w:right w:w="20" w:type="dxa"/>
            </w:tcMar>
            <w:vAlign w:val="bottom"/>
          </w:tcPr>
          <w:p w14:paraId="642992E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E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E3" w14:textId="77777777" w:rsidR="007B6C97" w:rsidRDefault="00E426D1">
            <w:pPr>
              <w:jc w:val="right"/>
              <w:textAlignment w:val="bottom"/>
            </w:pPr>
            <w:r>
              <w:rPr>
                <w:rFonts w:ascii="Times New Roman" w:eastAsia="宋体" w:hAnsi="Times New Roman"/>
                <w:color w:val="000000"/>
                <w:sz w:val="20"/>
                <w:szCs w:val="20"/>
              </w:rPr>
              <w:t>39.1 </w:t>
            </w:r>
          </w:p>
        </w:tc>
        <w:tc>
          <w:tcPr>
            <w:tcW w:w="0" w:type="auto"/>
            <w:shd w:val="clear" w:color="auto" w:fill="D7E4BC"/>
            <w:tcMar>
              <w:top w:w="40" w:type="dxa"/>
              <w:left w:w="0" w:type="dxa"/>
              <w:bottom w:w="40" w:type="dxa"/>
              <w:right w:w="20" w:type="dxa"/>
            </w:tcMar>
            <w:vAlign w:val="bottom"/>
          </w:tcPr>
          <w:p w14:paraId="642992E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2E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2E6" w14:textId="77777777" w:rsidR="007B6C97" w:rsidRDefault="00E426D1">
            <w:pPr>
              <w:jc w:val="right"/>
              <w:textAlignment w:val="bottom"/>
            </w:pPr>
            <w:r>
              <w:rPr>
                <w:rFonts w:ascii="Times New Roman" w:eastAsia="宋体" w:hAnsi="Times New Roman"/>
                <w:color w:val="000000"/>
                <w:sz w:val="20"/>
                <w:szCs w:val="20"/>
              </w:rPr>
              <w:t>37.3 </w:t>
            </w:r>
          </w:p>
        </w:tc>
        <w:tc>
          <w:tcPr>
            <w:tcW w:w="0" w:type="auto"/>
            <w:shd w:val="clear" w:color="auto" w:fill="D7E4BC"/>
            <w:tcMar>
              <w:top w:w="40" w:type="dxa"/>
              <w:left w:w="0" w:type="dxa"/>
              <w:bottom w:w="40" w:type="dxa"/>
              <w:right w:w="20" w:type="dxa"/>
            </w:tcMar>
            <w:vAlign w:val="bottom"/>
          </w:tcPr>
          <w:p w14:paraId="642992E7" w14:textId="77777777" w:rsidR="007B6C97" w:rsidRDefault="007B6C97">
            <w:pPr>
              <w:jc w:val="right"/>
              <w:rPr>
                <w:rFonts w:ascii="宋体"/>
              </w:rPr>
            </w:pPr>
          </w:p>
        </w:tc>
      </w:tr>
      <w:tr w:rsidR="00E426D1" w14:paraId="64299307" w14:textId="77777777">
        <w:tc>
          <w:tcPr>
            <w:tcW w:w="0" w:type="auto"/>
            <w:gridSpan w:val="3"/>
            <w:shd w:val="clear" w:color="auto" w:fill="FFFFFF"/>
            <w:tcMar>
              <w:top w:w="40" w:type="dxa"/>
              <w:left w:w="20" w:type="dxa"/>
              <w:bottom w:w="40" w:type="dxa"/>
              <w:right w:w="20" w:type="dxa"/>
            </w:tcMar>
          </w:tcPr>
          <w:p w14:paraId="642992E9"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42992EA" w14:textId="77777777" w:rsidR="007B6C97" w:rsidRDefault="00E426D1">
            <w:pPr>
              <w:jc w:val="right"/>
              <w:textAlignment w:val="bottom"/>
            </w:pPr>
            <w:r>
              <w:rPr>
                <w:rFonts w:ascii="Times New Roman" w:eastAsia="宋体" w:hAnsi="Times New Roman"/>
                <w:color w:val="000000"/>
                <w:sz w:val="20"/>
                <w:szCs w:val="20"/>
              </w:rPr>
              <w:t>60.2 </w:t>
            </w:r>
          </w:p>
        </w:tc>
        <w:tc>
          <w:tcPr>
            <w:tcW w:w="0" w:type="auto"/>
            <w:shd w:val="clear" w:color="auto" w:fill="FFFFFF"/>
            <w:tcMar>
              <w:top w:w="40" w:type="dxa"/>
              <w:left w:w="0" w:type="dxa"/>
              <w:bottom w:w="40" w:type="dxa"/>
              <w:right w:w="20" w:type="dxa"/>
            </w:tcMar>
            <w:vAlign w:val="bottom"/>
          </w:tcPr>
          <w:p w14:paraId="642992E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E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ED" w14:textId="77777777" w:rsidR="007B6C97" w:rsidRDefault="00E426D1">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642992E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E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0" w14:textId="77777777" w:rsidR="007B6C97" w:rsidRDefault="00E426D1">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642992F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F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3" w14:textId="77777777" w:rsidR="007B6C97" w:rsidRDefault="00E426D1">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42992F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F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6" w14:textId="77777777" w:rsidR="007B6C97" w:rsidRDefault="00E426D1">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42992F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F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9" w14:textId="77777777" w:rsidR="007B6C97" w:rsidRDefault="00E426D1">
            <w:pPr>
              <w:jc w:val="right"/>
              <w:textAlignment w:val="bottom"/>
            </w:pPr>
            <w:r>
              <w:rPr>
                <w:rFonts w:ascii="Times New Roman" w:eastAsia="宋体" w:hAnsi="Times New Roman"/>
                <w:color w:val="000000"/>
                <w:sz w:val="20"/>
                <w:szCs w:val="20"/>
              </w:rPr>
              <w:t>138.8 </w:t>
            </w:r>
          </w:p>
        </w:tc>
        <w:tc>
          <w:tcPr>
            <w:tcW w:w="0" w:type="auto"/>
            <w:shd w:val="clear" w:color="auto" w:fill="FFFFFF"/>
            <w:tcMar>
              <w:top w:w="40" w:type="dxa"/>
              <w:left w:w="0" w:type="dxa"/>
              <w:bottom w:w="40" w:type="dxa"/>
              <w:right w:w="20" w:type="dxa"/>
            </w:tcMar>
            <w:vAlign w:val="bottom"/>
          </w:tcPr>
          <w:p w14:paraId="642992F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F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C" w14:textId="77777777" w:rsidR="007B6C97" w:rsidRDefault="00E426D1">
            <w:pPr>
              <w:jc w:val="right"/>
              <w:textAlignment w:val="bottom"/>
            </w:pPr>
            <w:r>
              <w:rPr>
                <w:rFonts w:ascii="Times New Roman" w:eastAsia="宋体" w:hAnsi="Times New Roman"/>
                <w:color w:val="000000"/>
                <w:sz w:val="20"/>
                <w:szCs w:val="20"/>
              </w:rPr>
              <w:t>107.5 </w:t>
            </w:r>
          </w:p>
        </w:tc>
        <w:tc>
          <w:tcPr>
            <w:tcW w:w="0" w:type="auto"/>
            <w:shd w:val="clear" w:color="auto" w:fill="FFFFFF"/>
            <w:tcMar>
              <w:top w:w="40" w:type="dxa"/>
              <w:left w:w="0" w:type="dxa"/>
              <w:bottom w:w="40" w:type="dxa"/>
              <w:right w:w="20" w:type="dxa"/>
            </w:tcMar>
            <w:vAlign w:val="bottom"/>
          </w:tcPr>
          <w:p w14:paraId="642992F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2F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2FF" w14:textId="77777777" w:rsidR="007B6C97" w:rsidRDefault="00E426D1">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6429930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0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02" w14:textId="77777777" w:rsidR="007B6C97" w:rsidRDefault="00E426D1">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6429930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0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05" w14:textId="77777777" w:rsidR="007B6C97" w:rsidRDefault="00E426D1">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64299306" w14:textId="77777777" w:rsidR="007B6C97" w:rsidRDefault="007B6C97">
            <w:pPr>
              <w:jc w:val="right"/>
              <w:rPr>
                <w:rFonts w:ascii="宋体"/>
              </w:rPr>
            </w:pPr>
          </w:p>
        </w:tc>
      </w:tr>
      <w:tr w:rsidR="00E426D1" w14:paraId="64299326" w14:textId="77777777">
        <w:tc>
          <w:tcPr>
            <w:tcW w:w="0" w:type="auto"/>
            <w:gridSpan w:val="3"/>
            <w:shd w:val="clear" w:color="auto" w:fill="D7E4BC"/>
            <w:tcMar>
              <w:top w:w="40" w:type="dxa"/>
              <w:left w:w="20" w:type="dxa"/>
              <w:bottom w:w="40" w:type="dxa"/>
              <w:right w:w="20" w:type="dxa"/>
            </w:tcMar>
          </w:tcPr>
          <w:p w14:paraId="64299308"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4299309" w14:textId="77777777" w:rsidR="007B6C97" w:rsidRDefault="00E426D1">
            <w:pPr>
              <w:jc w:val="right"/>
              <w:textAlignment w:val="bottom"/>
            </w:pPr>
            <w:r>
              <w:rPr>
                <w:rFonts w:ascii="Times New Roman" w:eastAsia="宋体" w:hAnsi="Times New Roman"/>
                <w:color w:val="000000"/>
                <w:sz w:val="20"/>
                <w:szCs w:val="20"/>
              </w:rPr>
              <w:t>125.0 </w:t>
            </w:r>
          </w:p>
        </w:tc>
        <w:tc>
          <w:tcPr>
            <w:tcW w:w="0" w:type="auto"/>
            <w:shd w:val="clear" w:color="auto" w:fill="D7E4BC"/>
            <w:tcMar>
              <w:top w:w="40" w:type="dxa"/>
              <w:left w:w="0" w:type="dxa"/>
              <w:bottom w:w="40" w:type="dxa"/>
              <w:right w:w="20" w:type="dxa"/>
            </w:tcMar>
            <w:vAlign w:val="bottom"/>
          </w:tcPr>
          <w:p w14:paraId="6429930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0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0C" w14:textId="77777777" w:rsidR="007B6C97" w:rsidRDefault="00E426D1">
            <w:pPr>
              <w:jc w:val="right"/>
              <w:textAlignment w:val="bottom"/>
            </w:pPr>
            <w:r>
              <w:rPr>
                <w:rFonts w:ascii="Times New Roman" w:eastAsia="宋体" w:hAnsi="Times New Roman"/>
                <w:color w:val="000000"/>
                <w:sz w:val="20"/>
                <w:szCs w:val="20"/>
              </w:rPr>
              <w:t>129.7 </w:t>
            </w:r>
          </w:p>
        </w:tc>
        <w:tc>
          <w:tcPr>
            <w:tcW w:w="0" w:type="auto"/>
            <w:shd w:val="clear" w:color="auto" w:fill="D7E4BC"/>
            <w:tcMar>
              <w:top w:w="40" w:type="dxa"/>
              <w:left w:w="0" w:type="dxa"/>
              <w:bottom w:w="40" w:type="dxa"/>
              <w:right w:w="20" w:type="dxa"/>
            </w:tcMar>
            <w:vAlign w:val="bottom"/>
          </w:tcPr>
          <w:p w14:paraId="6429930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0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0F" w14:textId="77777777" w:rsidR="007B6C97" w:rsidRDefault="00E426D1">
            <w:pPr>
              <w:jc w:val="right"/>
              <w:textAlignment w:val="bottom"/>
            </w:pPr>
            <w:r>
              <w:rPr>
                <w:rFonts w:ascii="Times New Roman" w:eastAsia="宋体" w:hAnsi="Times New Roman"/>
                <w:color w:val="000000"/>
                <w:sz w:val="20"/>
                <w:szCs w:val="20"/>
              </w:rPr>
              <w:t>(4.7)</w:t>
            </w:r>
          </w:p>
        </w:tc>
        <w:tc>
          <w:tcPr>
            <w:tcW w:w="0" w:type="auto"/>
            <w:shd w:val="clear" w:color="auto" w:fill="D7E4BC"/>
            <w:tcMar>
              <w:top w:w="40" w:type="dxa"/>
              <w:left w:w="0" w:type="dxa"/>
              <w:bottom w:w="40" w:type="dxa"/>
              <w:right w:w="20" w:type="dxa"/>
            </w:tcMar>
            <w:vAlign w:val="bottom"/>
          </w:tcPr>
          <w:p w14:paraId="6429931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1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12" w14:textId="77777777" w:rsidR="007B6C97" w:rsidRDefault="00E426D1">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6429931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1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15" w14:textId="77777777" w:rsidR="007B6C97" w:rsidRDefault="00E426D1">
            <w:pPr>
              <w:jc w:val="right"/>
              <w:textAlignment w:val="bottom"/>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bottom"/>
          </w:tcPr>
          <w:p w14:paraId="6429931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1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18" w14:textId="77777777" w:rsidR="007B6C97" w:rsidRDefault="00E426D1">
            <w:pPr>
              <w:jc w:val="right"/>
              <w:textAlignment w:val="bottom"/>
            </w:pPr>
            <w:r>
              <w:rPr>
                <w:rFonts w:ascii="Times New Roman" w:eastAsia="宋体" w:hAnsi="Times New Roman"/>
                <w:color w:val="000000"/>
                <w:sz w:val="20"/>
                <w:szCs w:val="20"/>
              </w:rPr>
              <w:t>391.4 </w:t>
            </w:r>
          </w:p>
        </w:tc>
        <w:tc>
          <w:tcPr>
            <w:tcW w:w="0" w:type="auto"/>
            <w:shd w:val="clear" w:color="auto" w:fill="D7E4BC"/>
            <w:tcMar>
              <w:top w:w="40" w:type="dxa"/>
              <w:left w:w="0" w:type="dxa"/>
              <w:bottom w:w="40" w:type="dxa"/>
              <w:right w:w="20" w:type="dxa"/>
            </w:tcMar>
            <w:vAlign w:val="bottom"/>
          </w:tcPr>
          <w:p w14:paraId="6429931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1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1B" w14:textId="77777777" w:rsidR="007B6C97" w:rsidRDefault="00E426D1">
            <w:pPr>
              <w:jc w:val="right"/>
              <w:textAlignment w:val="bottom"/>
            </w:pPr>
            <w:r>
              <w:rPr>
                <w:rFonts w:ascii="Times New Roman" w:eastAsia="宋体" w:hAnsi="Times New Roman"/>
                <w:color w:val="000000"/>
                <w:sz w:val="20"/>
                <w:szCs w:val="20"/>
              </w:rPr>
              <w:t>413.1 </w:t>
            </w:r>
          </w:p>
        </w:tc>
        <w:tc>
          <w:tcPr>
            <w:tcW w:w="0" w:type="auto"/>
            <w:shd w:val="clear" w:color="auto" w:fill="D7E4BC"/>
            <w:tcMar>
              <w:top w:w="40" w:type="dxa"/>
              <w:left w:w="0" w:type="dxa"/>
              <w:bottom w:w="40" w:type="dxa"/>
              <w:right w:w="20" w:type="dxa"/>
            </w:tcMar>
            <w:vAlign w:val="bottom"/>
          </w:tcPr>
          <w:p w14:paraId="6429931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1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1E" w14:textId="77777777" w:rsidR="007B6C97" w:rsidRDefault="00E426D1">
            <w:pPr>
              <w:jc w:val="right"/>
              <w:textAlignment w:val="bottom"/>
            </w:pPr>
            <w:r>
              <w:rPr>
                <w:rFonts w:ascii="Times New Roman" w:eastAsia="宋体" w:hAnsi="Times New Roman"/>
                <w:color w:val="000000"/>
                <w:sz w:val="20"/>
                <w:szCs w:val="20"/>
              </w:rPr>
              <w:t>(21.7)</w:t>
            </w:r>
          </w:p>
        </w:tc>
        <w:tc>
          <w:tcPr>
            <w:tcW w:w="0" w:type="auto"/>
            <w:shd w:val="clear" w:color="auto" w:fill="D7E4BC"/>
            <w:tcMar>
              <w:top w:w="40" w:type="dxa"/>
              <w:left w:w="0" w:type="dxa"/>
              <w:bottom w:w="40" w:type="dxa"/>
              <w:right w:w="20" w:type="dxa"/>
            </w:tcMar>
            <w:vAlign w:val="bottom"/>
          </w:tcPr>
          <w:p w14:paraId="6429931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2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21" w14:textId="77777777" w:rsidR="007B6C97" w:rsidRDefault="00E426D1">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6429932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2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324" w14:textId="77777777" w:rsidR="007B6C97" w:rsidRDefault="00E426D1">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64299325" w14:textId="77777777" w:rsidR="007B6C97" w:rsidRDefault="007B6C97">
            <w:pPr>
              <w:jc w:val="right"/>
              <w:rPr>
                <w:rFonts w:ascii="宋体"/>
              </w:rPr>
            </w:pPr>
          </w:p>
        </w:tc>
      </w:tr>
      <w:tr w:rsidR="00E426D1" w14:paraId="64299345" w14:textId="77777777">
        <w:tc>
          <w:tcPr>
            <w:tcW w:w="0" w:type="auto"/>
            <w:gridSpan w:val="3"/>
            <w:shd w:val="clear" w:color="auto" w:fill="FFFFFF"/>
            <w:tcMar>
              <w:top w:w="40" w:type="dxa"/>
              <w:left w:w="20" w:type="dxa"/>
              <w:bottom w:w="40" w:type="dxa"/>
              <w:right w:w="20" w:type="dxa"/>
            </w:tcMar>
          </w:tcPr>
          <w:p w14:paraId="64299327"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4299328" w14:textId="77777777" w:rsidR="007B6C97" w:rsidRDefault="00E426D1">
            <w:pPr>
              <w:jc w:val="right"/>
              <w:textAlignment w:val="bottom"/>
            </w:pPr>
            <w:r>
              <w:rPr>
                <w:rFonts w:ascii="Times New Roman" w:eastAsia="宋体" w:hAnsi="Times New Roman"/>
                <w:color w:val="000000"/>
                <w:sz w:val="20"/>
                <w:szCs w:val="20"/>
              </w:rPr>
              <w:t>81.8 </w:t>
            </w:r>
          </w:p>
        </w:tc>
        <w:tc>
          <w:tcPr>
            <w:tcW w:w="0" w:type="auto"/>
            <w:shd w:val="clear" w:color="auto" w:fill="FFFFFF"/>
            <w:tcMar>
              <w:top w:w="40" w:type="dxa"/>
              <w:left w:w="0" w:type="dxa"/>
              <w:bottom w:w="40" w:type="dxa"/>
              <w:right w:w="20" w:type="dxa"/>
            </w:tcMar>
            <w:vAlign w:val="bottom"/>
          </w:tcPr>
          <w:p w14:paraId="6429932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2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2B" w14:textId="77777777" w:rsidR="007B6C97" w:rsidRDefault="00E426D1">
            <w:pPr>
              <w:jc w:val="right"/>
              <w:textAlignment w:val="bottom"/>
            </w:pPr>
            <w:r>
              <w:rPr>
                <w:rFonts w:ascii="Times New Roman" w:eastAsia="宋体" w:hAnsi="Times New Roman"/>
                <w:color w:val="000000"/>
                <w:sz w:val="20"/>
                <w:szCs w:val="20"/>
              </w:rPr>
              <w:t>94.9 </w:t>
            </w:r>
          </w:p>
        </w:tc>
        <w:tc>
          <w:tcPr>
            <w:tcW w:w="0" w:type="auto"/>
            <w:shd w:val="clear" w:color="auto" w:fill="FFFFFF"/>
            <w:tcMar>
              <w:top w:w="40" w:type="dxa"/>
              <w:left w:w="0" w:type="dxa"/>
              <w:bottom w:w="40" w:type="dxa"/>
              <w:right w:w="20" w:type="dxa"/>
            </w:tcMar>
            <w:vAlign w:val="bottom"/>
          </w:tcPr>
          <w:p w14:paraId="6429932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2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2E" w14:textId="77777777" w:rsidR="007B6C97" w:rsidRDefault="00E426D1">
            <w:pPr>
              <w:jc w:val="right"/>
              <w:textAlignment w:val="bottom"/>
            </w:pP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6429932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31" w14:textId="77777777" w:rsidR="007B6C97" w:rsidRDefault="00E426D1">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429933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34" w14:textId="77777777" w:rsidR="007B6C97" w:rsidRDefault="00E426D1">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6429933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37" w14:textId="77777777" w:rsidR="007B6C97" w:rsidRDefault="00E426D1">
            <w:pPr>
              <w:jc w:val="right"/>
              <w:textAlignment w:val="bottom"/>
            </w:pPr>
            <w:r>
              <w:rPr>
                <w:rFonts w:ascii="Times New Roman" w:eastAsia="宋体" w:hAnsi="Times New Roman"/>
                <w:color w:val="000000"/>
                <w:sz w:val="20"/>
                <w:szCs w:val="20"/>
              </w:rPr>
              <w:t>252.7 </w:t>
            </w:r>
          </w:p>
        </w:tc>
        <w:tc>
          <w:tcPr>
            <w:tcW w:w="0" w:type="auto"/>
            <w:shd w:val="clear" w:color="auto" w:fill="FFFFFF"/>
            <w:tcMar>
              <w:top w:w="40" w:type="dxa"/>
              <w:left w:w="0" w:type="dxa"/>
              <w:bottom w:w="40" w:type="dxa"/>
              <w:right w:w="20" w:type="dxa"/>
            </w:tcMar>
            <w:vAlign w:val="bottom"/>
          </w:tcPr>
          <w:p w14:paraId="6429933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3A" w14:textId="77777777" w:rsidR="007B6C97" w:rsidRDefault="00E426D1">
            <w:pPr>
              <w:jc w:val="right"/>
              <w:textAlignment w:val="bottom"/>
            </w:pPr>
            <w:r>
              <w:rPr>
                <w:rFonts w:ascii="Times New Roman" w:eastAsia="宋体" w:hAnsi="Times New Roman"/>
                <w:color w:val="000000"/>
                <w:sz w:val="20"/>
                <w:szCs w:val="20"/>
              </w:rPr>
              <w:t>262.0 </w:t>
            </w:r>
          </w:p>
        </w:tc>
        <w:tc>
          <w:tcPr>
            <w:tcW w:w="0" w:type="auto"/>
            <w:shd w:val="clear" w:color="auto" w:fill="FFFFFF"/>
            <w:tcMar>
              <w:top w:w="40" w:type="dxa"/>
              <w:left w:w="0" w:type="dxa"/>
              <w:bottom w:w="40" w:type="dxa"/>
              <w:right w:w="20" w:type="dxa"/>
            </w:tcMar>
            <w:vAlign w:val="bottom"/>
          </w:tcPr>
          <w:p w14:paraId="6429933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3D" w14:textId="77777777" w:rsidR="007B6C97" w:rsidRDefault="00E426D1">
            <w:pPr>
              <w:jc w:val="right"/>
              <w:textAlignment w:val="bottom"/>
            </w:pPr>
            <w:r>
              <w:rPr>
                <w:rFonts w:ascii="Times New Roman" w:eastAsia="宋体" w:hAnsi="Times New Roman"/>
                <w:color w:val="000000"/>
                <w:sz w:val="20"/>
                <w:szCs w:val="20"/>
              </w:rPr>
              <w:t>(9.3)</w:t>
            </w:r>
          </w:p>
        </w:tc>
        <w:tc>
          <w:tcPr>
            <w:tcW w:w="0" w:type="auto"/>
            <w:shd w:val="clear" w:color="auto" w:fill="FFFFFF"/>
            <w:tcMar>
              <w:top w:w="40" w:type="dxa"/>
              <w:left w:w="0" w:type="dxa"/>
              <w:bottom w:w="40" w:type="dxa"/>
              <w:right w:w="20" w:type="dxa"/>
            </w:tcMar>
            <w:vAlign w:val="bottom"/>
          </w:tcPr>
          <w:p w14:paraId="6429933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3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40" w14:textId="77777777" w:rsidR="007B6C97" w:rsidRDefault="00E426D1">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6429934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4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43" w14:textId="77777777" w:rsidR="007B6C97" w:rsidRDefault="00E426D1">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4299344" w14:textId="77777777" w:rsidR="007B6C97" w:rsidRDefault="007B6C97">
            <w:pPr>
              <w:jc w:val="right"/>
              <w:rPr>
                <w:rFonts w:ascii="宋体"/>
              </w:rPr>
            </w:pPr>
          </w:p>
        </w:tc>
      </w:tr>
      <w:tr w:rsidR="007B6C97" w14:paraId="6429935A" w14:textId="77777777">
        <w:trPr>
          <w:hidden/>
        </w:trPr>
        <w:tc>
          <w:tcPr>
            <w:tcW w:w="0" w:type="auto"/>
            <w:gridSpan w:val="3"/>
            <w:shd w:val="clear" w:color="auto" w:fill="auto"/>
            <w:vAlign w:val="bottom"/>
          </w:tcPr>
          <w:p w14:paraId="64299346" w14:textId="77777777" w:rsidR="007B6C97" w:rsidRDefault="007B6C97">
            <w:pPr>
              <w:rPr>
                <w:rFonts w:ascii="宋体"/>
                <w:vanish/>
              </w:rPr>
            </w:pPr>
          </w:p>
        </w:tc>
        <w:tc>
          <w:tcPr>
            <w:tcW w:w="0" w:type="auto"/>
            <w:gridSpan w:val="3"/>
            <w:shd w:val="clear" w:color="auto" w:fill="auto"/>
            <w:vAlign w:val="bottom"/>
          </w:tcPr>
          <w:p w14:paraId="64299347" w14:textId="77777777" w:rsidR="007B6C97" w:rsidRDefault="007B6C97">
            <w:pPr>
              <w:rPr>
                <w:rFonts w:ascii="宋体"/>
                <w:vanish/>
              </w:rPr>
            </w:pPr>
          </w:p>
        </w:tc>
        <w:tc>
          <w:tcPr>
            <w:tcW w:w="0" w:type="auto"/>
            <w:gridSpan w:val="3"/>
            <w:shd w:val="clear" w:color="auto" w:fill="auto"/>
            <w:vAlign w:val="bottom"/>
          </w:tcPr>
          <w:p w14:paraId="64299348" w14:textId="77777777" w:rsidR="007B6C97" w:rsidRDefault="007B6C97">
            <w:pPr>
              <w:rPr>
                <w:rFonts w:ascii="宋体"/>
                <w:vanish/>
              </w:rPr>
            </w:pPr>
          </w:p>
        </w:tc>
        <w:tc>
          <w:tcPr>
            <w:tcW w:w="0" w:type="auto"/>
            <w:gridSpan w:val="3"/>
            <w:shd w:val="clear" w:color="auto" w:fill="auto"/>
            <w:vAlign w:val="bottom"/>
          </w:tcPr>
          <w:p w14:paraId="64299349" w14:textId="77777777" w:rsidR="007B6C97" w:rsidRDefault="007B6C97">
            <w:pPr>
              <w:rPr>
                <w:rFonts w:ascii="宋体"/>
                <w:vanish/>
              </w:rPr>
            </w:pPr>
          </w:p>
        </w:tc>
        <w:tc>
          <w:tcPr>
            <w:tcW w:w="0" w:type="auto"/>
            <w:gridSpan w:val="3"/>
            <w:shd w:val="clear" w:color="auto" w:fill="auto"/>
            <w:vAlign w:val="bottom"/>
          </w:tcPr>
          <w:p w14:paraId="6429934A" w14:textId="77777777" w:rsidR="007B6C97" w:rsidRDefault="007B6C97">
            <w:pPr>
              <w:rPr>
                <w:rFonts w:ascii="宋体"/>
                <w:vanish/>
              </w:rPr>
            </w:pPr>
          </w:p>
        </w:tc>
        <w:tc>
          <w:tcPr>
            <w:tcW w:w="0" w:type="auto"/>
            <w:gridSpan w:val="3"/>
            <w:shd w:val="clear" w:color="auto" w:fill="auto"/>
            <w:vAlign w:val="bottom"/>
          </w:tcPr>
          <w:p w14:paraId="6429934B" w14:textId="77777777" w:rsidR="007B6C97" w:rsidRDefault="007B6C97">
            <w:pPr>
              <w:rPr>
                <w:rFonts w:ascii="宋体"/>
                <w:vanish/>
              </w:rPr>
            </w:pPr>
          </w:p>
        </w:tc>
        <w:tc>
          <w:tcPr>
            <w:tcW w:w="0" w:type="auto"/>
            <w:gridSpan w:val="3"/>
            <w:shd w:val="clear" w:color="auto" w:fill="auto"/>
            <w:vAlign w:val="bottom"/>
          </w:tcPr>
          <w:p w14:paraId="6429934C" w14:textId="77777777" w:rsidR="007B6C97" w:rsidRDefault="007B6C97">
            <w:pPr>
              <w:rPr>
                <w:rFonts w:ascii="宋体"/>
                <w:vanish/>
              </w:rPr>
            </w:pPr>
          </w:p>
        </w:tc>
        <w:tc>
          <w:tcPr>
            <w:tcW w:w="0" w:type="auto"/>
            <w:gridSpan w:val="3"/>
            <w:shd w:val="clear" w:color="auto" w:fill="auto"/>
            <w:vAlign w:val="bottom"/>
          </w:tcPr>
          <w:p w14:paraId="6429934D" w14:textId="77777777" w:rsidR="007B6C97" w:rsidRDefault="007B6C97">
            <w:pPr>
              <w:rPr>
                <w:rFonts w:ascii="宋体"/>
                <w:vanish/>
              </w:rPr>
            </w:pPr>
          </w:p>
        </w:tc>
        <w:tc>
          <w:tcPr>
            <w:tcW w:w="0" w:type="auto"/>
            <w:gridSpan w:val="3"/>
            <w:shd w:val="clear" w:color="auto" w:fill="auto"/>
            <w:vAlign w:val="bottom"/>
          </w:tcPr>
          <w:p w14:paraId="6429934E" w14:textId="77777777" w:rsidR="007B6C97" w:rsidRDefault="007B6C97">
            <w:pPr>
              <w:rPr>
                <w:rFonts w:ascii="宋体"/>
                <w:vanish/>
              </w:rPr>
            </w:pPr>
          </w:p>
        </w:tc>
        <w:tc>
          <w:tcPr>
            <w:tcW w:w="0" w:type="auto"/>
            <w:gridSpan w:val="3"/>
            <w:shd w:val="clear" w:color="auto" w:fill="auto"/>
            <w:vAlign w:val="bottom"/>
          </w:tcPr>
          <w:p w14:paraId="6429934F" w14:textId="77777777" w:rsidR="007B6C97" w:rsidRDefault="007B6C97">
            <w:pPr>
              <w:rPr>
                <w:rFonts w:ascii="宋体"/>
                <w:vanish/>
              </w:rPr>
            </w:pPr>
          </w:p>
        </w:tc>
        <w:tc>
          <w:tcPr>
            <w:tcW w:w="0" w:type="auto"/>
            <w:gridSpan w:val="3"/>
            <w:shd w:val="clear" w:color="auto" w:fill="auto"/>
            <w:vAlign w:val="bottom"/>
          </w:tcPr>
          <w:p w14:paraId="64299350" w14:textId="77777777" w:rsidR="007B6C97" w:rsidRDefault="007B6C97">
            <w:pPr>
              <w:rPr>
                <w:rFonts w:ascii="宋体"/>
                <w:vanish/>
              </w:rPr>
            </w:pPr>
          </w:p>
        </w:tc>
        <w:tc>
          <w:tcPr>
            <w:tcW w:w="0" w:type="auto"/>
            <w:gridSpan w:val="3"/>
            <w:shd w:val="clear" w:color="auto" w:fill="auto"/>
            <w:vAlign w:val="bottom"/>
          </w:tcPr>
          <w:p w14:paraId="64299351" w14:textId="77777777" w:rsidR="007B6C97" w:rsidRDefault="007B6C97">
            <w:pPr>
              <w:rPr>
                <w:rFonts w:ascii="宋体"/>
                <w:vanish/>
              </w:rPr>
            </w:pPr>
          </w:p>
        </w:tc>
        <w:tc>
          <w:tcPr>
            <w:tcW w:w="0" w:type="auto"/>
            <w:gridSpan w:val="3"/>
            <w:shd w:val="clear" w:color="auto" w:fill="auto"/>
            <w:vAlign w:val="bottom"/>
          </w:tcPr>
          <w:p w14:paraId="64299352" w14:textId="77777777" w:rsidR="007B6C97" w:rsidRDefault="007B6C97">
            <w:pPr>
              <w:rPr>
                <w:rFonts w:ascii="宋体"/>
                <w:vanish/>
              </w:rPr>
            </w:pPr>
          </w:p>
        </w:tc>
        <w:tc>
          <w:tcPr>
            <w:tcW w:w="0" w:type="auto"/>
            <w:gridSpan w:val="3"/>
            <w:shd w:val="clear" w:color="auto" w:fill="auto"/>
            <w:vAlign w:val="bottom"/>
          </w:tcPr>
          <w:p w14:paraId="64299353" w14:textId="77777777" w:rsidR="007B6C97" w:rsidRDefault="007B6C97">
            <w:pPr>
              <w:rPr>
                <w:rFonts w:ascii="宋体"/>
                <w:vanish/>
              </w:rPr>
            </w:pPr>
          </w:p>
        </w:tc>
        <w:tc>
          <w:tcPr>
            <w:tcW w:w="0" w:type="auto"/>
            <w:gridSpan w:val="3"/>
            <w:shd w:val="clear" w:color="auto" w:fill="auto"/>
            <w:vAlign w:val="bottom"/>
          </w:tcPr>
          <w:p w14:paraId="64299354" w14:textId="77777777" w:rsidR="007B6C97" w:rsidRDefault="007B6C97">
            <w:pPr>
              <w:rPr>
                <w:rFonts w:ascii="宋体"/>
                <w:vanish/>
              </w:rPr>
            </w:pPr>
          </w:p>
        </w:tc>
        <w:tc>
          <w:tcPr>
            <w:tcW w:w="0" w:type="auto"/>
            <w:gridSpan w:val="3"/>
            <w:shd w:val="clear" w:color="auto" w:fill="auto"/>
            <w:vAlign w:val="bottom"/>
          </w:tcPr>
          <w:p w14:paraId="64299355" w14:textId="77777777" w:rsidR="007B6C97" w:rsidRDefault="007B6C97">
            <w:pPr>
              <w:rPr>
                <w:rFonts w:ascii="宋体"/>
                <w:vanish/>
              </w:rPr>
            </w:pPr>
          </w:p>
        </w:tc>
        <w:tc>
          <w:tcPr>
            <w:tcW w:w="0" w:type="auto"/>
            <w:gridSpan w:val="3"/>
            <w:shd w:val="clear" w:color="auto" w:fill="auto"/>
            <w:vAlign w:val="bottom"/>
          </w:tcPr>
          <w:p w14:paraId="64299356" w14:textId="77777777" w:rsidR="007B6C97" w:rsidRDefault="007B6C97">
            <w:pPr>
              <w:rPr>
                <w:rFonts w:ascii="宋体"/>
                <w:vanish/>
              </w:rPr>
            </w:pPr>
          </w:p>
        </w:tc>
        <w:tc>
          <w:tcPr>
            <w:tcW w:w="0" w:type="auto"/>
            <w:gridSpan w:val="3"/>
            <w:shd w:val="clear" w:color="auto" w:fill="auto"/>
            <w:vAlign w:val="bottom"/>
          </w:tcPr>
          <w:p w14:paraId="64299357" w14:textId="77777777" w:rsidR="007B6C97" w:rsidRDefault="007B6C97">
            <w:pPr>
              <w:rPr>
                <w:rFonts w:ascii="宋体"/>
                <w:vanish/>
              </w:rPr>
            </w:pPr>
          </w:p>
        </w:tc>
        <w:tc>
          <w:tcPr>
            <w:tcW w:w="0" w:type="auto"/>
            <w:gridSpan w:val="3"/>
            <w:shd w:val="clear" w:color="auto" w:fill="auto"/>
            <w:vAlign w:val="bottom"/>
          </w:tcPr>
          <w:p w14:paraId="64299358" w14:textId="77777777" w:rsidR="007B6C97" w:rsidRDefault="007B6C97">
            <w:pPr>
              <w:rPr>
                <w:rFonts w:ascii="宋体"/>
                <w:vanish/>
              </w:rPr>
            </w:pPr>
          </w:p>
        </w:tc>
        <w:tc>
          <w:tcPr>
            <w:tcW w:w="0" w:type="auto"/>
            <w:gridSpan w:val="3"/>
            <w:shd w:val="clear" w:color="auto" w:fill="auto"/>
            <w:vAlign w:val="bottom"/>
          </w:tcPr>
          <w:p w14:paraId="64299359" w14:textId="77777777" w:rsidR="007B6C97" w:rsidRDefault="007B6C97">
            <w:pPr>
              <w:rPr>
                <w:rFonts w:ascii="宋体"/>
                <w:vanish/>
              </w:rPr>
            </w:pPr>
          </w:p>
        </w:tc>
      </w:tr>
      <w:tr w:rsidR="00E426D1" w14:paraId="64299379" w14:textId="77777777">
        <w:tc>
          <w:tcPr>
            <w:tcW w:w="0" w:type="auto"/>
            <w:gridSpan w:val="3"/>
            <w:shd w:val="clear" w:color="auto" w:fill="D7E4BC"/>
            <w:tcMar>
              <w:top w:w="40" w:type="dxa"/>
              <w:left w:w="20" w:type="dxa"/>
              <w:bottom w:w="40" w:type="dxa"/>
              <w:right w:w="20" w:type="dxa"/>
            </w:tcMar>
          </w:tcPr>
          <w:p w14:paraId="6429935B"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35C" w14:textId="77777777" w:rsidR="007B6C97" w:rsidRDefault="00E426D1">
            <w:pPr>
              <w:jc w:val="right"/>
              <w:textAlignment w:val="bottom"/>
            </w:pPr>
            <w:r>
              <w:rPr>
                <w:rFonts w:ascii="Times New Roman" w:eastAsia="宋体" w:hAnsi="Times New Roman"/>
                <w:color w:val="000000"/>
                <w:sz w:val="20"/>
                <w:szCs w:val="20"/>
              </w:rPr>
              <w:t>1,449.8 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35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5E"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35F" w14:textId="77777777" w:rsidR="007B6C97" w:rsidRDefault="00E426D1">
            <w:pPr>
              <w:jc w:val="right"/>
              <w:textAlignment w:val="bottom"/>
            </w:pPr>
            <w:r>
              <w:rPr>
                <w:rFonts w:ascii="Times New Roman" w:eastAsia="宋体" w:hAnsi="Times New Roman"/>
                <w:color w:val="000000"/>
                <w:sz w:val="20"/>
                <w:szCs w:val="20"/>
              </w:rPr>
              <w:t>1,402.7 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36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61"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362" w14:textId="77777777" w:rsidR="007B6C97" w:rsidRDefault="00E426D1">
            <w:pPr>
              <w:jc w:val="right"/>
              <w:textAlignment w:val="bottom"/>
            </w:pPr>
            <w:r>
              <w:rPr>
                <w:rFonts w:ascii="Times New Roman" w:eastAsia="宋体" w:hAnsi="Times New Roman"/>
                <w:color w:val="000000"/>
                <w:sz w:val="20"/>
                <w:szCs w:val="20"/>
              </w:rPr>
              <w:t>47.1 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36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64"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365" w14:textId="77777777" w:rsidR="007B6C97" w:rsidRDefault="00E426D1">
            <w:pPr>
              <w:jc w:val="right"/>
              <w:textAlignment w:val="bottom"/>
            </w:pPr>
            <w:r>
              <w:rPr>
                <w:rFonts w:ascii="Times New Roman" w:eastAsia="宋体" w:hAnsi="Times New Roman"/>
                <w:color w:val="000000"/>
                <w:sz w:val="20"/>
                <w:szCs w:val="20"/>
              </w:rPr>
              <w:t>91.5 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36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67" w14:textId="77777777" w:rsidR="007B6C97" w:rsidRDefault="007B6C97">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4299368" w14:textId="77777777" w:rsidR="007B6C97" w:rsidRDefault="00E426D1">
            <w:pPr>
              <w:jc w:val="right"/>
              <w:textAlignment w:val="bottom"/>
            </w:pPr>
            <w:r>
              <w:rPr>
                <w:rFonts w:ascii="Times New Roman" w:eastAsia="宋体" w:hAnsi="Times New Roman"/>
                <w:color w:val="000000"/>
                <w:sz w:val="20"/>
                <w:szCs w:val="20"/>
              </w:rPr>
              <w:t>83.1 </w:t>
            </w:r>
          </w:p>
        </w:tc>
        <w:tc>
          <w:tcPr>
            <w:tcW w:w="0" w:type="auto"/>
            <w:tcBorders>
              <w:top w:val="single" w:sz="4" w:space="0" w:color="000000"/>
            </w:tcBorders>
            <w:shd w:val="clear" w:color="auto" w:fill="D7E4BC"/>
            <w:tcMar>
              <w:top w:w="40" w:type="dxa"/>
              <w:left w:w="0" w:type="dxa"/>
              <w:bottom w:w="40" w:type="dxa"/>
              <w:right w:w="20" w:type="dxa"/>
            </w:tcMar>
            <w:vAlign w:val="bottom"/>
          </w:tcPr>
          <w:p w14:paraId="6429936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6A"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6B" w14:textId="77777777" w:rsidR="007B6C97" w:rsidRDefault="00E426D1">
            <w:pPr>
              <w:jc w:val="right"/>
              <w:textAlignment w:val="bottom"/>
            </w:pPr>
            <w:r>
              <w:rPr>
                <w:rFonts w:ascii="Times New Roman" w:eastAsia="宋体" w:hAnsi="Times New Roman"/>
                <w:color w:val="000000"/>
                <w:sz w:val="20"/>
                <w:szCs w:val="20"/>
              </w:rPr>
              <w:t>4,549.0 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6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6D"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6E" w14:textId="77777777" w:rsidR="007B6C97" w:rsidRDefault="00E426D1">
            <w:pPr>
              <w:jc w:val="right"/>
              <w:textAlignment w:val="bottom"/>
            </w:pPr>
            <w:r>
              <w:rPr>
                <w:rFonts w:ascii="Times New Roman" w:eastAsia="宋体" w:hAnsi="Times New Roman"/>
                <w:color w:val="000000"/>
                <w:sz w:val="20"/>
                <w:szCs w:val="20"/>
              </w:rPr>
              <w:t>4,233.6 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6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70"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71" w14:textId="77777777" w:rsidR="007B6C97" w:rsidRDefault="00E426D1">
            <w:pPr>
              <w:jc w:val="right"/>
              <w:textAlignment w:val="bottom"/>
            </w:pPr>
            <w:r>
              <w:rPr>
                <w:rFonts w:ascii="Times New Roman" w:eastAsia="宋体" w:hAnsi="Times New Roman"/>
                <w:color w:val="000000"/>
                <w:sz w:val="20"/>
                <w:szCs w:val="20"/>
              </w:rPr>
              <w:t>315.4 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7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73"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74" w14:textId="77777777" w:rsidR="007B6C97" w:rsidRDefault="00E426D1">
            <w:pPr>
              <w:jc w:val="right"/>
              <w:textAlignment w:val="bottom"/>
            </w:pPr>
            <w:r>
              <w:rPr>
                <w:rFonts w:ascii="Times New Roman" w:eastAsia="宋体" w:hAnsi="Times New Roman"/>
                <w:color w:val="000000"/>
                <w:sz w:val="20"/>
                <w:szCs w:val="20"/>
              </w:rPr>
              <w:t>88.1 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7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76"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77" w14:textId="77777777" w:rsidR="007B6C97" w:rsidRDefault="00E426D1">
            <w:pPr>
              <w:jc w:val="right"/>
              <w:textAlignment w:val="bottom"/>
            </w:pPr>
            <w:r>
              <w:rPr>
                <w:rFonts w:ascii="Times New Roman" w:eastAsia="宋体" w:hAnsi="Times New Roman"/>
                <w:color w:val="000000"/>
                <w:sz w:val="20"/>
                <w:szCs w:val="20"/>
              </w:rPr>
              <w:t>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78" w14:textId="77777777" w:rsidR="007B6C97" w:rsidRDefault="007B6C97">
            <w:pPr>
              <w:jc w:val="right"/>
              <w:rPr>
                <w:rFonts w:ascii="宋体"/>
              </w:rPr>
            </w:pPr>
          </w:p>
        </w:tc>
      </w:tr>
      <w:tr w:rsidR="00E426D1" w14:paraId="64299398" w14:textId="77777777">
        <w:tc>
          <w:tcPr>
            <w:tcW w:w="0" w:type="auto"/>
            <w:gridSpan w:val="3"/>
            <w:shd w:val="clear" w:color="auto" w:fill="FFFFFF"/>
            <w:tcMar>
              <w:top w:w="40" w:type="dxa"/>
              <w:left w:w="20" w:type="dxa"/>
              <w:bottom w:w="40" w:type="dxa"/>
              <w:right w:w="20" w:type="dxa"/>
            </w:tcMar>
          </w:tcPr>
          <w:p w14:paraId="6429937A"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429937B" w14:textId="77777777" w:rsidR="007B6C97" w:rsidRDefault="00E426D1">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6429937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7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7E" w14:textId="77777777" w:rsidR="007B6C97" w:rsidRDefault="00E426D1">
            <w:pPr>
              <w:jc w:val="right"/>
              <w:textAlignment w:val="bottom"/>
            </w:pPr>
            <w:r>
              <w:rPr>
                <w:rFonts w:ascii="Times New Roman" w:eastAsia="宋体" w:hAnsi="Times New Roman"/>
                <w:color w:val="000000"/>
                <w:sz w:val="20"/>
                <w:szCs w:val="20"/>
              </w:rPr>
              <w:t>42.0 </w:t>
            </w:r>
          </w:p>
        </w:tc>
        <w:tc>
          <w:tcPr>
            <w:tcW w:w="0" w:type="auto"/>
            <w:shd w:val="clear" w:color="auto" w:fill="FFFFFF"/>
            <w:tcMar>
              <w:top w:w="40" w:type="dxa"/>
              <w:left w:w="0" w:type="dxa"/>
              <w:bottom w:w="40" w:type="dxa"/>
              <w:right w:w="20" w:type="dxa"/>
            </w:tcMar>
            <w:vAlign w:val="bottom"/>
          </w:tcPr>
          <w:p w14:paraId="6429937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81" w14:textId="77777777" w:rsidR="007B6C97" w:rsidRDefault="00E426D1">
            <w:pPr>
              <w:jc w:val="right"/>
              <w:textAlignment w:val="bottom"/>
            </w:pPr>
            <w:r>
              <w:rPr>
                <w:rFonts w:ascii="Times New Roman" w:eastAsia="宋体" w:hAnsi="Times New Roman"/>
                <w:color w:val="000000"/>
                <w:sz w:val="20"/>
                <w:szCs w:val="20"/>
              </w:rPr>
              <w:t>(41.6)</w:t>
            </w:r>
          </w:p>
        </w:tc>
        <w:tc>
          <w:tcPr>
            <w:tcW w:w="0" w:type="auto"/>
            <w:shd w:val="clear" w:color="auto" w:fill="FFFFFF"/>
            <w:tcMar>
              <w:top w:w="40" w:type="dxa"/>
              <w:left w:w="0" w:type="dxa"/>
              <w:bottom w:w="40" w:type="dxa"/>
              <w:right w:w="20" w:type="dxa"/>
            </w:tcMar>
            <w:vAlign w:val="bottom"/>
          </w:tcPr>
          <w:p w14:paraId="6429938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84"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38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87" w14:textId="77777777" w:rsidR="007B6C97" w:rsidRDefault="00E426D1">
            <w:pPr>
              <w:jc w:val="right"/>
              <w:textAlignment w:val="bottom"/>
            </w:pPr>
            <w:r>
              <w:rPr>
                <w:rFonts w:ascii="Times New Roman" w:eastAsia="宋体" w:hAnsi="Times New Roman"/>
                <w:color w:val="000000"/>
                <w:sz w:val="20"/>
                <w:szCs w:val="20"/>
              </w:rPr>
              <w:t>2</w:t>
            </w: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429938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8A" w14:textId="77777777" w:rsidR="007B6C97" w:rsidRDefault="00E426D1">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429938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8D" w14:textId="77777777" w:rsidR="007B6C97" w:rsidRDefault="00E426D1">
            <w:pPr>
              <w:jc w:val="right"/>
              <w:textAlignment w:val="bottom"/>
            </w:pPr>
            <w:r>
              <w:rPr>
                <w:rFonts w:ascii="Times New Roman" w:eastAsia="宋体" w:hAnsi="Times New Roman"/>
                <w:color w:val="000000"/>
                <w:sz w:val="20"/>
                <w:szCs w:val="20"/>
              </w:rPr>
              <w:t>95.0 </w:t>
            </w:r>
          </w:p>
        </w:tc>
        <w:tc>
          <w:tcPr>
            <w:tcW w:w="0" w:type="auto"/>
            <w:shd w:val="clear" w:color="auto" w:fill="FFFFFF"/>
            <w:tcMar>
              <w:top w:w="40" w:type="dxa"/>
              <w:left w:w="0" w:type="dxa"/>
              <w:bottom w:w="40" w:type="dxa"/>
              <w:right w:w="20" w:type="dxa"/>
            </w:tcMar>
            <w:vAlign w:val="bottom"/>
          </w:tcPr>
          <w:p w14:paraId="6429938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8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90" w14:textId="77777777" w:rsidR="007B6C97" w:rsidRDefault="00E426D1">
            <w:pPr>
              <w:jc w:val="right"/>
              <w:textAlignment w:val="bottom"/>
            </w:pPr>
            <w:r>
              <w:rPr>
                <w:rFonts w:ascii="Times New Roman" w:eastAsia="宋体" w:hAnsi="Times New Roman"/>
                <w:color w:val="000000"/>
                <w:sz w:val="20"/>
                <w:szCs w:val="20"/>
              </w:rPr>
              <w:t>(93.4)</w:t>
            </w:r>
          </w:p>
        </w:tc>
        <w:tc>
          <w:tcPr>
            <w:tcW w:w="0" w:type="auto"/>
            <w:shd w:val="clear" w:color="auto" w:fill="FFFFFF"/>
            <w:tcMar>
              <w:top w:w="40" w:type="dxa"/>
              <w:left w:w="0" w:type="dxa"/>
              <w:bottom w:w="40" w:type="dxa"/>
              <w:right w:w="20" w:type="dxa"/>
            </w:tcMar>
            <w:vAlign w:val="bottom"/>
          </w:tcPr>
          <w:p w14:paraId="6429939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9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93"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3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39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396" w14:textId="77777777" w:rsidR="007B6C97" w:rsidRDefault="00E426D1">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4299397" w14:textId="77777777" w:rsidR="007B6C97" w:rsidRDefault="007B6C97">
            <w:pPr>
              <w:jc w:val="right"/>
              <w:rPr>
                <w:rFonts w:ascii="宋体"/>
              </w:rPr>
            </w:pPr>
          </w:p>
        </w:tc>
      </w:tr>
      <w:tr w:rsidR="00E426D1" w14:paraId="642993BD" w14:textId="77777777">
        <w:tc>
          <w:tcPr>
            <w:tcW w:w="0" w:type="auto"/>
            <w:gridSpan w:val="3"/>
            <w:shd w:val="clear" w:color="auto" w:fill="D7E4BC"/>
            <w:tcMar>
              <w:top w:w="40" w:type="dxa"/>
              <w:left w:w="245" w:type="dxa"/>
              <w:bottom w:w="40" w:type="dxa"/>
              <w:right w:w="20" w:type="dxa"/>
            </w:tcMar>
          </w:tcPr>
          <w:p w14:paraId="64299399" w14:textId="77777777" w:rsidR="007B6C97" w:rsidRDefault="00E426D1">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429939A"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39B" w14:textId="77777777" w:rsidR="007B6C97" w:rsidRDefault="00E426D1">
            <w:pPr>
              <w:jc w:val="right"/>
              <w:textAlignment w:val="bottom"/>
            </w:pPr>
            <w:r>
              <w:rPr>
                <w:rFonts w:ascii="Times New Roman" w:eastAsia="宋体" w:hAnsi="Times New Roman"/>
                <w:b/>
                <w:bCs/>
                <w:color w:val="000000"/>
                <w:sz w:val="20"/>
                <w:szCs w:val="20"/>
              </w:rPr>
              <w:t>135.3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39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9D"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39E"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39F" w14:textId="77777777" w:rsidR="007B6C97" w:rsidRDefault="00E426D1">
            <w:pPr>
              <w:jc w:val="right"/>
              <w:textAlignment w:val="bottom"/>
            </w:pPr>
            <w:r>
              <w:rPr>
                <w:rFonts w:ascii="Times New Roman" w:eastAsia="宋体" w:hAnsi="Times New Roman"/>
                <w:b/>
                <w:bCs/>
                <w:color w:val="000000"/>
                <w:sz w:val="20"/>
                <w:szCs w:val="20"/>
              </w:rPr>
              <w:t>327.3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3A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A1" w14:textId="77777777" w:rsidR="007B6C97" w:rsidRDefault="007B6C97">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42993A2"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42993A3" w14:textId="77777777" w:rsidR="007B6C97" w:rsidRDefault="00E426D1">
            <w:pPr>
              <w:jc w:val="right"/>
              <w:textAlignment w:val="bottom"/>
            </w:pPr>
            <w:r>
              <w:rPr>
                <w:rFonts w:ascii="Times New Roman" w:eastAsia="宋体" w:hAnsi="Times New Roman"/>
                <w:b/>
                <w:bCs/>
                <w:color w:val="000000"/>
                <w:sz w:val="20"/>
                <w:szCs w:val="20"/>
              </w:rPr>
              <w:t>(192.0)</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3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A5"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93A6" w14:textId="77777777" w:rsidR="007B6C97" w:rsidRDefault="00E426D1">
            <w:pPr>
              <w:jc w:val="right"/>
              <w:textAlignment w:val="bottom"/>
            </w:pPr>
            <w:r>
              <w:rPr>
                <w:rFonts w:ascii="Times New Roman" w:eastAsia="宋体" w:hAnsi="Times New Roman"/>
                <w:b/>
                <w:bCs/>
                <w:color w:val="000000"/>
                <w:sz w:val="20"/>
                <w:szCs w:val="20"/>
              </w:rPr>
              <w:t>8.5</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3A7"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3A8" w14:textId="77777777" w:rsidR="007B6C97" w:rsidRDefault="007B6C97">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42993A9" w14:textId="77777777" w:rsidR="007B6C97" w:rsidRDefault="00E426D1">
            <w:pPr>
              <w:jc w:val="right"/>
              <w:textAlignment w:val="bottom"/>
            </w:pPr>
            <w:r>
              <w:rPr>
                <w:rFonts w:ascii="Times New Roman" w:eastAsia="宋体" w:hAnsi="Times New Roman"/>
                <w:b/>
                <w:bCs/>
                <w:color w:val="000000"/>
                <w:sz w:val="20"/>
                <w:szCs w:val="20"/>
              </w:rPr>
              <w:t>19.4</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42993AA"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3AB"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93AC"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93AD" w14:textId="77777777" w:rsidR="007B6C97" w:rsidRDefault="00E426D1">
            <w:pPr>
              <w:jc w:val="right"/>
              <w:textAlignment w:val="bottom"/>
            </w:pPr>
            <w:r>
              <w:rPr>
                <w:rFonts w:ascii="Times New Roman" w:eastAsia="宋体" w:hAnsi="Times New Roman"/>
                <w:b/>
                <w:bCs/>
                <w:color w:val="000000"/>
                <w:sz w:val="20"/>
                <w:szCs w:val="20"/>
              </w:rPr>
              <w:t>615.7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A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AF"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93B0"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93B1" w14:textId="77777777" w:rsidR="007B6C97" w:rsidRDefault="00E426D1">
            <w:pPr>
              <w:jc w:val="right"/>
              <w:textAlignment w:val="bottom"/>
            </w:pPr>
            <w:r>
              <w:rPr>
                <w:rFonts w:ascii="Times New Roman" w:eastAsia="宋体" w:hAnsi="Times New Roman"/>
                <w:b/>
                <w:bCs/>
                <w:color w:val="000000"/>
                <w:sz w:val="20"/>
                <w:szCs w:val="20"/>
              </w:rPr>
              <w:t>868.3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B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B3" w14:textId="77777777" w:rsidR="007B6C97" w:rsidRDefault="007B6C97">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42993B4"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42993B5" w14:textId="77777777" w:rsidR="007B6C97" w:rsidRDefault="00E426D1">
            <w:pPr>
              <w:jc w:val="right"/>
              <w:textAlignment w:val="bottom"/>
            </w:pPr>
            <w:r>
              <w:rPr>
                <w:rFonts w:ascii="Times New Roman" w:eastAsia="宋体" w:hAnsi="Times New Roman"/>
                <w:b/>
                <w:bCs/>
                <w:color w:val="000000"/>
                <w:sz w:val="20"/>
                <w:szCs w:val="20"/>
              </w:rPr>
              <w:t>(252.6)</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B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3B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B8" w14:textId="77777777" w:rsidR="007B6C97" w:rsidRDefault="00E426D1">
            <w:pPr>
              <w:jc w:val="right"/>
              <w:textAlignment w:val="bottom"/>
            </w:pPr>
            <w:r>
              <w:rPr>
                <w:rFonts w:ascii="Times New Roman" w:eastAsia="宋体" w:hAnsi="Times New Roman"/>
                <w:b/>
                <w:bCs/>
                <w:color w:val="000000"/>
                <w:sz w:val="20"/>
                <w:szCs w:val="20"/>
              </w:rPr>
              <w:t>11.9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B9"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3BA"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3BB" w14:textId="77777777" w:rsidR="007B6C97" w:rsidRDefault="00E426D1">
            <w:pPr>
              <w:jc w:val="right"/>
              <w:textAlignment w:val="bottom"/>
            </w:pPr>
            <w:r>
              <w:rPr>
                <w:rFonts w:ascii="Times New Roman" w:eastAsia="宋体" w:hAnsi="Times New Roman"/>
                <w:b/>
                <w:bCs/>
                <w:color w:val="000000"/>
                <w:sz w:val="20"/>
                <w:szCs w:val="20"/>
              </w:rPr>
              <w:t>17.3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3BC" w14:textId="77777777" w:rsidR="007B6C97" w:rsidRDefault="00E426D1">
            <w:pPr>
              <w:jc w:val="right"/>
              <w:textAlignment w:val="bottom"/>
            </w:pPr>
            <w:r>
              <w:rPr>
                <w:rFonts w:ascii="Times New Roman" w:eastAsia="宋体" w:hAnsi="Times New Roman"/>
                <w:b/>
                <w:bCs/>
                <w:color w:val="000000"/>
                <w:sz w:val="20"/>
                <w:szCs w:val="20"/>
              </w:rPr>
              <w:t>%</w:t>
            </w:r>
          </w:p>
        </w:tc>
      </w:tr>
      <w:tr w:rsidR="007B6C97" w14:paraId="642993D3" w14:textId="77777777">
        <w:tc>
          <w:tcPr>
            <w:tcW w:w="0" w:type="auto"/>
            <w:gridSpan w:val="12"/>
            <w:shd w:val="clear" w:color="auto" w:fill="FFFFFF"/>
            <w:tcMar>
              <w:top w:w="40" w:type="dxa"/>
              <w:left w:w="20" w:type="dxa"/>
              <w:bottom w:w="40" w:type="dxa"/>
              <w:right w:w="20" w:type="dxa"/>
            </w:tcMar>
          </w:tcPr>
          <w:p w14:paraId="642993BE" w14:textId="77777777" w:rsidR="007B6C97" w:rsidRDefault="00E426D1">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42993B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0"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3C2" w14:textId="77777777" w:rsidR="007B6C97" w:rsidRDefault="00E426D1">
            <w:pPr>
              <w:jc w:val="right"/>
              <w:textAlignment w:val="top"/>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tcPr>
          <w:p w14:paraId="642993C3"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3C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3C5" w14:textId="77777777" w:rsidR="007B6C97" w:rsidRDefault="00E426D1">
            <w:pPr>
              <w:jc w:val="right"/>
              <w:textAlignment w:val="top"/>
            </w:pPr>
            <w:r>
              <w:rPr>
                <w:rFonts w:ascii="Times New Roman" w:eastAsia="宋体" w:hAnsi="Times New Roman"/>
                <w:color w:val="000000"/>
                <w:sz w:val="20"/>
                <w:szCs w:val="20"/>
              </w:rPr>
              <w:t>43.3 </w:t>
            </w:r>
          </w:p>
        </w:tc>
        <w:tc>
          <w:tcPr>
            <w:tcW w:w="0" w:type="auto"/>
            <w:shd w:val="clear" w:color="auto" w:fill="FFFFFF"/>
            <w:tcMar>
              <w:top w:w="40" w:type="dxa"/>
              <w:left w:w="0" w:type="dxa"/>
              <w:bottom w:w="40" w:type="dxa"/>
              <w:right w:w="20" w:type="dxa"/>
            </w:tcMar>
          </w:tcPr>
          <w:p w14:paraId="642993C6"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3C7"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8"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9"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A"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B"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C"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3C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3CE" w14:textId="77777777" w:rsidR="007B6C97" w:rsidRDefault="00E426D1">
            <w:pPr>
              <w:jc w:val="right"/>
              <w:textAlignment w:val="top"/>
            </w:pPr>
            <w:r>
              <w:rPr>
                <w:rFonts w:ascii="Times New Roman" w:eastAsia="宋体" w:hAnsi="Times New Roman"/>
                <w:color w:val="000000"/>
                <w:sz w:val="20"/>
                <w:szCs w:val="20"/>
              </w:rPr>
              <w:t>50.3 </w:t>
            </w:r>
          </w:p>
        </w:tc>
        <w:tc>
          <w:tcPr>
            <w:tcW w:w="0" w:type="auto"/>
            <w:shd w:val="clear" w:color="auto" w:fill="FFFFFF"/>
            <w:tcMar>
              <w:top w:w="40" w:type="dxa"/>
              <w:left w:w="0" w:type="dxa"/>
              <w:bottom w:w="40" w:type="dxa"/>
              <w:right w:w="20" w:type="dxa"/>
            </w:tcMar>
          </w:tcPr>
          <w:p w14:paraId="642993CF" w14:textId="77777777" w:rsidR="007B6C97" w:rsidRDefault="00E426D1">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3D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tcPr>
          <w:p w14:paraId="642993D1" w14:textId="77777777" w:rsidR="007B6C97" w:rsidRDefault="00E426D1">
            <w:pPr>
              <w:jc w:val="right"/>
              <w:textAlignment w:val="top"/>
            </w:pPr>
            <w:r>
              <w:rPr>
                <w:rFonts w:ascii="Times New Roman" w:eastAsia="宋体" w:hAnsi="Times New Roman"/>
                <w:color w:val="000000"/>
                <w:sz w:val="20"/>
                <w:szCs w:val="20"/>
              </w:rPr>
              <w:t>43.9 </w:t>
            </w:r>
          </w:p>
        </w:tc>
        <w:tc>
          <w:tcPr>
            <w:tcW w:w="0" w:type="auto"/>
            <w:shd w:val="clear" w:color="auto" w:fill="FFFFFF"/>
            <w:tcMar>
              <w:top w:w="40" w:type="dxa"/>
              <w:left w:w="0" w:type="dxa"/>
              <w:bottom w:w="40" w:type="dxa"/>
              <w:right w:w="20" w:type="dxa"/>
            </w:tcMar>
          </w:tcPr>
          <w:p w14:paraId="642993D2" w14:textId="77777777" w:rsidR="007B6C97" w:rsidRDefault="00E426D1">
            <w:pPr>
              <w:jc w:val="right"/>
              <w:textAlignment w:val="top"/>
            </w:pPr>
            <w:r>
              <w:rPr>
                <w:rFonts w:ascii="Times New Roman" w:eastAsia="宋体" w:hAnsi="Times New Roman"/>
                <w:color w:val="000000"/>
                <w:sz w:val="20"/>
                <w:szCs w:val="20"/>
              </w:rPr>
              <w:t>%</w:t>
            </w:r>
          </w:p>
        </w:tc>
      </w:tr>
    </w:tbl>
    <w:p w14:paraId="642993D4" w14:textId="77777777" w:rsidR="007B6C97" w:rsidRDefault="00E426D1">
      <w:pPr>
        <w:pBdr>
          <w:left w:val="none" w:sz="0" w:space="0" w:color="auto"/>
        </w:pBd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International licensed stores revenue, total net revenues, product and distribution costs, other operating expenses, general and administrativ</w:t>
      </w:r>
      <w:r>
        <w:rPr>
          <w:rFonts w:ascii="Times New Roman" w:eastAsia="宋体" w:hAnsi="Times New Roman"/>
          <w:color w:val="000000"/>
          <w:sz w:val="20"/>
          <w:szCs w:val="20"/>
          <w:shd w:val="clear" w:color="auto" w:fill="FFFFFF"/>
        </w:rPr>
        <w:t xml:space="preserve">e expenses, total operating expenses and operating income for the quarter and </w:t>
      </w:r>
      <w:r>
        <w:rPr>
          <w:rFonts w:ascii="Times New Roman" w:eastAsia="宋体" w:hAnsi="Times New Roman"/>
          <w:color w:val="000000"/>
          <w:sz w:val="20"/>
          <w:szCs w:val="20"/>
        </w:rPr>
        <w:t>three quarters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shd w:val="clear" w:color="auto" w:fill="FFFFFF"/>
        </w:rPr>
        <w:t>ended June 27, 2021, have been restated to conform with current period presentation.</w:t>
      </w:r>
    </w:p>
    <w:p w14:paraId="642993D5" w14:textId="77777777" w:rsidR="007B6C97" w:rsidRDefault="00E426D1">
      <w:pPr>
        <w:spacing w:before="120"/>
      </w:pPr>
      <w:r>
        <w:rPr>
          <w:rFonts w:ascii="Times New Roman" w:eastAsia="宋体" w:hAnsi="Times New Roman"/>
          <w:i/>
          <w:iCs/>
          <w:color w:val="000000"/>
          <w:sz w:val="20"/>
          <w:szCs w:val="20"/>
        </w:rPr>
        <w:t xml:space="preserve">For the quarter ended July 3, 2022 compared with the quarter ended June 27, 2021 </w:t>
      </w:r>
    </w:p>
    <w:p w14:paraId="642993D6" w14:textId="77777777" w:rsidR="007B6C97" w:rsidRDefault="00E426D1">
      <w:pPr>
        <w:spacing w:before="120"/>
      </w:pPr>
      <w:r>
        <w:rPr>
          <w:rFonts w:ascii="Times New Roman" w:eastAsia="宋体" w:hAnsi="Times New Roman"/>
          <w:color w:val="000000"/>
          <w:sz w:val="20"/>
          <w:szCs w:val="20"/>
          <w:u w:val="single"/>
        </w:rPr>
        <w:t>Revenues</w:t>
      </w:r>
    </w:p>
    <w:p w14:paraId="642993D7" w14:textId="77777777" w:rsidR="007B6C97" w:rsidRDefault="00E426D1">
      <w:pPr>
        <w:spacing w:before="120"/>
      </w:pPr>
      <w:r>
        <w:rPr>
          <w:rFonts w:ascii="Times New Roman" w:eastAsia="宋体" w:hAnsi="Times New Roman"/>
          <w:color w:val="000000"/>
          <w:sz w:val="20"/>
          <w:szCs w:val="20"/>
        </w:rPr>
        <w:t xml:space="preserve">International total net revenues for the third quarter of fiscal 2022 decreased $103 million, or 6%, primarily due to an 18% decline in comparable store sales ($238 </w:t>
      </w:r>
      <w:r>
        <w:rPr>
          <w:rFonts w:ascii="Times New Roman" w:eastAsia="宋体" w:hAnsi="Times New Roman"/>
          <w:color w:val="000000"/>
          <w:sz w:val="20"/>
          <w:szCs w:val="20"/>
        </w:rPr>
        <w:t>million), driven by a 15% decrease in customer transactions and a 4% decrease in average ticket, primarily attributable to COVID-19 related restrictions in China as well as unfavorable foreign currency translation ($148 million). These decreases were parti</w:t>
      </w:r>
      <w:r>
        <w:rPr>
          <w:rFonts w:ascii="Times New Roman" w:eastAsia="宋体" w:hAnsi="Times New Roman"/>
          <w:color w:val="000000"/>
          <w:sz w:val="20"/>
          <w:szCs w:val="20"/>
        </w:rPr>
        <w:t>ally offset by higher product sales to and royalty revenues from our licensees ($134 million), 704 net new company operated store openings, or 10% increase, over the past 12 months ($90 million) as well as the conversion of our Korea market from a joint ve</w:t>
      </w:r>
      <w:r>
        <w:rPr>
          <w:rFonts w:ascii="Times New Roman" w:eastAsia="宋体" w:hAnsi="Times New Roman"/>
          <w:color w:val="000000"/>
          <w:sz w:val="20"/>
          <w:szCs w:val="20"/>
        </w:rPr>
        <w:t xml:space="preserve">nture to a fully licensed market in the fourth quarter of fiscal 2021 ($64 million). </w:t>
      </w:r>
    </w:p>
    <w:p w14:paraId="642993D8" w14:textId="77777777" w:rsidR="007B6C97" w:rsidRDefault="00E426D1">
      <w:pPr>
        <w:spacing w:before="120"/>
      </w:pPr>
      <w:r>
        <w:rPr>
          <w:rFonts w:ascii="Times New Roman" w:eastAsia="宋体" w:hAnsi="Times New Roman"/>
          <w:color w:val="000000"/>
          <w:sz w:val="20"/>
          <w:szCs w:val="20"/>
          <w:u w:val="single"/>
        </w:rPr>
        <w:t>Operating Margin</w:t>
      </w:r>
    </w:p>
    <w:p w14:paraId="642993D9" w14:textId="77777777" w:rsidR="007B6C97" w:rsidRDefault="00E426D1">
      <w:pPr>
        <w:spacing w:before="120"/>
      </w:pPr>
      <w:r>
        <w:rPr>
          <w:rFonts w:ascii="Times New Roman" w:eastAsia="宋体" w:hAnsi="Times New Roman"/>
          <w:color w:val="000000"/>
          <w:sz w:val="20"/>
          <w:szCs w:val="20"/>
        </w:rPr>
        <w:t>International operating income for the third quarter of fiscal 2022 decreased 59% to $135 million, compared to $327 million in the third quarter of fisca</w:t>
      </w:r>
      <w:r>
        <w:rPr>
          <w:rFonts w:ascii="Times New Roman" w:eastAsia="宋体" w:hAnsi="Times New Roman"/>
          <w:color w:val="000000"/>
          <w:sz w:val="20"/>
          <w:szCs w:val="20"/>
        </w:rPr>
        <w:t xml:space="preserve">l 2021. Operating margin decreased 1,090 basis points to 8.5%, primarily due to sales deleverage related to COVID-19 pandemic related impacts in our China market (approximately 910 basis points), higher commodity and supply chain costs due to inflationary </w:t>
      </w:r>
      <w:r>
        <w:rPr>
          <w:rFonts w:ascii="Times New Roman" w:eastAsia="宋体" w:hAnsi="Times New Roman"/>
          <w:color w:val="000000"/>
          <w:sz w:val="20"/>
          <w:szCs w:val="20"/>
        </w:rPr>
        <w:t xml:space="preserve">pressures (approximately 220 basis points), lower temporary government subsidies (approximately 170 basis points) and investments and growth in retail store partner wages and benefits (approximately 130 basis points). These decreases were partially offset </w:t>
      </w:r>
      <w:r>
        <w:rPr>
          <w:rFonts w:ascii="Times New Roman" w:eastAsia="宋体" w:hAnsi="Times New Roman"/>
          <w:color w:val="000000"/>
          <w:sz w:val="20"/>
          <w:szCs w:val="20"/>
        </w:rPr>
        <w:t>by sales leverage across markets outside of China.</w:t>
      </w:r>
    </w:p>
    <w:p w14:paraId="642993DA" w14:textId="77777777" w:rsidR="007B6C97" w:rsidRDefault="007B6C97">
      <w:pPr>
        <w:spacing w:before="120"/>
        <w:jc w:val="both"/>
      </w:pPr>
    </w:p>
    <w:p w14:paraId="642993DB" w14:textId="77777777" w:rsidR="007B6C97" w:rsidRDefault="00E426D1">
      <w:pPr>
        <w:jc w:val="center"/>
      </w:pPr>
      <w:r>
        <w:rPr>
          <w:rFonts w:ascii="Times New Roman" w:eastAsia="宋体" w:hAnsi="Times New Roman"/>
          <w:color w:val="000000"/>
          <w:sz w:val="20"/>
          <w:szCs w:val="20"/>
        </w:rPr>
        <w:t>37</w:t>
      </w:r>
    </w:p>
    <w:p w14:paraId="642993DC" w14:textId="77777777" w:rsidR="007B6C97" w:rsidRDefault="00E426D1">
      <w:r>
        <w:pict w14:anchorId="642999FF">
          <v:rect id="_x0000_i1061" style="width:415.3pt;height:1.5pt" o:hralign="center" o:hrstd="t" o:hr="t" fillcolor="#a0a0a0" stroked="f"/>
        </w:pict>
      </w:r>
    </w:p>
    <w:p w14:paraId="642993DD" w14:textId="77777777" w:rsidR="007B6C97" w:rsidRDefault="00E426D1">
      <w:hyperlink r:id="rId155" w:anchor="ie38a2b375c9840e583a36769999bbee6_7" w:history="1">
        <w:r>
          <w:rPr>
            <w:rStyle w:val="a5"/>
            <w:rFonts w:ascii="Times New Roman" w:eastAsia="宋体" w:hAnsi="Times New Roman"/>
            <w:sz w:val="20"/>
            <w:szCs w:val="20"/>
          </w:rPr>
          <w:t>Table</w:t>
        </w:r>
      </w:hyperlink>
      <w:hyperlink r:id="rId156" w:anchor="ie38a2b375c9840e583a36769999bbee6_7" w:history="1">
        <w:r>
          <w:rPr>
            <w:rStyle w:val="a5"/>
            <w:rFonts w:ascii="Times New Roman" w:eastAsia="宋体" w:hAnsi="Times New Roman"/>
            <w:sz w:val="20"/>
            <w:szCs w:val="20"/>
          </w:rPr>
          <w:t xml:space="preserve"> of Contents</w:t>
        </w:r>
      </w:hyperlink>
    </w:p>
    <w:p w14:paraId="642993DE" w14:textId="77777777" w:rsidR="007B6C97" w:rsidRDefault="00E426D1">
      <w:pPr>
        <w:spacing w:before="120"/>
        <w:jc w:val="both"/>
      </w:pPr>
      <w:r>
        <w:rPr>
          <w:rFonts w:ascii="Times New Roman" w:eastAsia="宋体" w:hAnsi="Times New Roman"/>
          <w:i/>
          <w:iCs/>
          <w:color w:val="000000"/>
          <w:sz w:val="20"/>
          <w:szCs w:val="20"/>
        </w:rPr>
        <w:t xml:space="preserve">For the three quarters ended July 3, 2022 compared with the three quarters ended June 27, 2021 </w:t>
      </w:r>
    </w:p>
    <w:p w14:paraId="642993DF" w14:textId="77777777" w:rsidR="007B6C97" w:rsidRDefault="00E426D1">
      <w:pPr>
        <w:spacing w:before="120"/>
        <w:jc w:val="both"/>
      </w:pPr>
      <w:r>
        <w:rPr>
          <w:rFonts w:ascii="Times New Roman" w:eastAsia="宋体" w:hAnsi="Times New Roman"/>
          <w:color w:val="000000"/>
          <w:sz w:val="20"/>
          <w:szCs w:val="20"/>
          <w:u w:val="single"/>
        </w:rPr>
        <w:t>Revenues</w:t>
      </w:r>
    </w:p>
    <w:p w14:paraId="642993E0" w14:textId="77777777" w:rsidR="007B6C97" w:rsidRDefault="00E426D1">
      <w:pPr>
        <w:spacing w:before="120"/>
      </w:pPr>
      <w:r>
        <w:rPr>
          <w:rFonts w:ascii="Times New Roman" w:eastAsia="宋体" w:hAnsi="Times New Roman"/>
          <w:color w:val="000000"/>
          <w:sz w:val="20"/>
          <w:szCs w:val="20"/>
        </w:rPr>
        <w:t>International total net re</w:t>
      </w:r>
      <w:r>
        <w:rPr>
          <w:rFonts w:ascii="Times New Roman" w:eastAsia="宋体" w:hAnsi="Times New Roman"/>
          <w:color w:val="000000"/>
          <w:sz w:val="20"/>
          <w:szCs w:val="20"/>
        </w:rPr>
        <w:t>venues for the first three quarters of fiscal 2022 increased $156 million, or 3%, primarily due to 704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 10% increase over the past 12 months ($307 million). Additionally, there were higher product sales to </w:t>
      </w:r>
      <w:r>
        <w:rPr>
          <w:rFonts w:ascii="Times New Roman" w:eastAsia="宋体" w:hAnsi="Times New Roman"/>
          <w:color w:val="000000"/>
          <w:sz w:val="20"/>
          <w:szCs w:val="20"/>
        </w:rPr>
        <w:t>and royalty revenues from our licensees ($274 million), primarily due to continuing improvement of our licensees from the COVID-19 pandemic. Also contributing to the increase was the conversion of our Korea market from a joint venture to a fully licensed m</w:t>
      </w:r>
      <w:r>
        <w:rPr>
          <w:rFonts w:ascii="Times New Roman" w:eastAsia="宋体" w:hAnsi="Times New Roman"/>
          <w:color w:val="000000"/>
          <w:sz w:val="20"/>
          <w:szCs w:val="20"/>
        </w:rPr>
        <w:t>arket in the fourth quarter of fiscal 2021 ($143 million). These increases were partially offset by a 10% decline in comparable store sales ($389 million), driven by a 6% decrease in customer transactions and a 4% decrease in average ticket, primarily attr</w:t>
      </w:r>
      <w:r>
        <w:rPr>
          <w:rFonts w:ascii="Times New Roman" w:eastAsia="宋体" w:hAnsi="Times New Roman"/>
          <w:color w:val="000000"/>
          <w:sz w:val="20"/>
          <w:szCs w:val="20"/>
        </w:rPr>
        <w:t>ibutable to COVID-19 related restrictions in China and lapping the prior-year value-added-tax benefit in China as well as unfavorable foreign currency translation ($218 million).</w:t>
      </w:r>
    </w:p>
    <w:p w14:paraId="642993E1" w14:textId="77777777" w:rsidR="007B6C97" w:rsidRDefault="00E426D1">
      <w:pPr>
        <w:spacing w:before="120"/>
      </w:pPr>
      <w:r>
        <w:rPr>
          <w:rFonts w:ascii="Times New Roman" w:eastAsia="宋体" w:hAnsi="Times New Roman"/>
          <w:color w:val="000000"/>
          <w:sz w:val="20"/>
          <w:szCs w:val="20"/>
          <w:u w:val="single"/>
        </w:rPr>
        <w:t>Operating Margin</w:t>
      </w:r>
    </w:p>
    <w:p w14:paraId="642993E2" w14:textId="77777777" w:rsidR="007B6C97" w:rsidRDefault="00E426D1">
      <w:pPr>
        <w:spacing w:before="120"/>
      </w:pPr>
      <w:r>
        <w:rPr>
          <w:rFonts w:ascii="Times New Roman" w:eastAsia="宋体" w:hAnsi="Times New Roman"/>
          <w:color w:val="000000"/>
          <w:sz w:val="20"/>
          <w:szCs w:val="20"/>
        </w:rPr>
        <w:t xml:space="preserve">International operating income for the first three quarters </w:t>
      </w:r>
      <w:r>
        <w:rPr>
          <w:rFonts w:ascii="Times New Roman" w:eastAsia="宋体" w:hAnsi="Times New Roman"/>
          <w:color w:val="000000"/>
          <w:sz w:val="20"/>
          <w:szCs w:val="20"/>
        </w:rPr>
        <w:t>of fiscal 2022 decreased 29% to $616 million, compared to $868 million for the same period in fiscal 2021. Operating margin decreased 540 basis points to 11.9%, primarily due to sales deleverage related to COVID-19 pandemic impacts in our China market (app</w:t>
      </w:r>
      <w:r>
        <w:rPr>
          <w:rFonts w:ascii="Times New Roman" w:eastAsia="宋体" w:hAnsi="Times New Roman"/>
          <w:color w:val="000000"/>
          <w:sz w:val="20"/>
          <w:szCs w:val="20"/>
        </w:rPr>
        <w:t xml:space="preserve">roximately 450 basis points), investments and growth in retail store partner wages and benefits (approximately 130 basis points), higher commodity and supply chain costs due to inflationary pressures (approximately 110 basis points), strategic initiatives </w:t>
      </w:r>
      <w:r>
        <w:rPr>
          <w:rFonts w:ascii="Times New Roman" w:eastAsia="宋体" w:hAnsi="Times New Roman"/>
          <w:color w:val="000000"/>
          <w:sz w:val="20"/>
          <w:szCs w:val="20"/>
        </w:rPr>
        <w:t>(approximately 100 basis points) and portfolio shift impacts (approximately 90 basis points). These decreases were partially offset by sales leverage across markets outside of China.</w:t>
      </w:r>
    </w:p>
    <w:p w14:paraId="642993E3" w14:textId="77777777" w:rsidR="007B6C97" w:rsidRDefault="00E426D1">
      <w:pPr>
        <w:spacing w:before="180"/>
      </w:pPr>
      <w:r>
        <w:rPr>
          <w:rFonts w:ascii="Times New Roman" w:eastAsia="宋体" w:hAnsi="Times New Roman"/>
          <w:b/>
          <w:bCs/>
          <w:i/>
          <w:iCs/>
          <w:color w:val="000000"/>
          <w:sz w:val="20"/>
          <w:szCs w:val="20"/>
        </w:rPr>
        <w:t>Channel Development </w:t>
      </w:r>
    </w:p>
    <w:tbl>
      <w:tblPr>
        <w:tblW w:w="4985" w:type="pct"/>
        <w:tblCellMar>
          <w:top w:w="15" w:type="dxa"/>
          <w:left w:w="15" w:type="dxa"/>
          <w:bottom w:w="15" w:type="dxa"/>
          <w:right w:w="15" w:type="dxa"/>
        </w:tblCellMar>
        <w:tblLook w:val="04A0" w:firstRow="1" w:lastRow="0" w:firstColumn="1" w:lastColumn="0" w:noHBand="0" w:noVBand="1"/>
      </w:tblPr>
      <w:tblGrid>
        <w:gridCol w:w="400"/>
        <w:gridCol w:w="783"/>
        <w:gridCol w:w="40"/>
        <w:gridCol w:w="112"/>
        <w:gridCol w:w="450"/>
        <w:gridCol w:w="36"/>
        <w:gridCol w:w="40"/>
        <w:gridCol w:w="33"/>
        <w:gridCol w:w="36"/>
        <w:gridCol w:w="112"/>
        <w:gridCol w:w="450"/>
        <w:gridCol w:w="36"/>
        <w:gridCol w:w="40"/>
        <w:gridCol w:w="32"/>
        <w:gridCol w:w="35"/>
        <w:gridCol w:w="111"/>
        <w:gridCol w:w="434"/>
        <w:gridCol w:w="35"/>
        <w:gridCol w:w="40"/>
        <w:gridCol w:w="31"/>
        <w:gridCol w:w="35"/>
        <w:gridCol w:w="58"/>
        <w:gridCol w:w="325"/>
        <w:gridCol w:w="199"/>
        <w:gridCol w:w="40"/>
        <w:gridCol w:w="31"/>
        <w:gridCol w:w="35"/>
        <w:gridCol w:w="58"/>
        <w:gridCol w:w="325"/>
        <w:gridCol w:w="199"/>
        <w:gridCol w:w="40"/>
        <w:gridCol w:w="31"/>
        <w:gridCol w:w="35"/>
        <w:gridCol w:w="111"/>
        <w:gridCol w:w="582"/>
        <w:gridCol w:w="35"/>
        <w:gridCol w:w="40"/>
        <w:gridCol w:w="31"/>
        <w:gridCol w:w="35"/>
        <w:gridCol w:w="111"/>
        <w:gridCol w:w="582"/>
        <w:gridCol w:w="35"/>
        <w:gridCol w:w="40"/>
        <w:gridCol w:w="31"/>
        <w:gridCol w:w="35"/>
        <w:gridCol w:w="111"/>
        <w:gridCol w:w="449"/>
        <w:gridCol w:w="35"/>
        <w:gridCol w:w="40"/>
        <w:gridCol w:w="31"/>
        <w:gridCol w:w="35"/>
        <w:gridCol w:w="58"/>
        <w:gridCol w:w="325"/>
        <w:gridCol w:w="199"/>
        <w:gridCol w:w="40"/>
        <w:gridCol w:w="31"/>
        <w:gridCol w:w="35"/>
        <w:gridCol w:w="58"/>
        <w:gridCol w:w="325"/>
        <w:gridCol w:w="199"/>
      </w:tblGrid>
      <w:tr w:rsidR="007B6C97" w14:paraId="64299420" w14:textId="77777777">
        <w:tc>
          <w:tcPr>
            <w:tcW w:w="50" w:type="pct"/>
            <w:shd w:val="clear" w:color="auto" w:fill="auto"/>
            <w:vAlign w:val="bottom"/>
          </w:tcPr>
          <w:p w14:paraId="642993E4" w14:textId="77777777" w:rsidR="007B6C97" w:rsidRDefault="007B6C97">
            <w:pPr>
              <w:rPr>
                <w:rFonts w:ascii="宋体"/>
              </w:rPr>
            </w:pPr>
          </w:p>
        </w:tc>
        <w:tc>
          <w:tcPr>
            <w:tcW w:w="1000" w:type="pct"/>
            <w:shd w:val="clear" w:color="auto" w:fill="auto"/>
            <w:vAlign w:val="bottom"/>
          </w:tcPr>
          <w:p w14:paraId="642993E5" w14:textId="77777777" w:rsidR="007B6C97" w:rsidRDefault="007B6C97">
            <w:pPr>
              <w:rPr>
                <w:rFonts w:ascii="宋体"/>
              </w:rPr>
            </w:pPr>
          </w:p>
        </w:tc>
        <w:tc>
          <w:tcPr>
            <w:tcW w:w="5" w:type="pct"/>
            <w:shd w:val="clear" w:color="auto" w:fill="auto"/>
            <w:vAlign w:val="bottom"/>
          </w:tcPr>
          <w:p w14:paraId="642993E6" w14:textId="77777777" w:rsidR="007B6C97" w:rsidRDefault="007B6C97">
            <w:pPr>
              <w:rPr>
                <w:rFonts w:ascii="宋体"/>
              </w:rPr>
            </w:pPr>
          </w:p>
        </w:tc>
        <w:tc>
          <w:tcPr>
            <w:tcW w:w="50" w:type="pct"/>
            <w:shd w:val="clear" w:color="auto" w:fill="auto"/>
            <w:vAlign w:val="bottom"/>
          </w:tcPr>
          <w:p w14:paraId="642993E7" w14:textId="77777777" w:rsidR="007B6C97" w:rsidRDefault="007B6C97">
            <w:pPr>
              <w:rPr>
                <w:rFonts w:ascii="宋体"/>
              </w:rPr>
            </w:pPr>
          </w:p>
        </w:tc>
        <w:tc>
          <w:tcPr>
            <w:tcW w:w="333" w:type="pct"/>
            <w:shd w:val="clear" w:color="auto" w:fill="auto"/>
            <w:vAlign w:val="bottom"/>
          </w:tcPr>
          <w:p w14:paraId="642993E8" w14:textId="77777777" w:rsidR="007B6C97" w:rsidRDefault="007B6C97">
            <w:pPr>
              <w:rPr>
                <w:rFonts w:ascii="宋体"/>
              </w:rPr>
            </w:pPr>
          </w:p>
        </w:tc>
        <w:tc>
          <w:tcPr>
            <w:tcW w:w="5" w:type="pct"/>
            <w:shd w:val="clear" w:color="auto" w:fill="auto"/>
            <w:vAlign w:val="bottom"/>
          </w:tcPr>
          <w:p w14:paraId="642993E9" w14:textId="77777777" w:rsidR="007B6C97" w:rsidRDefault="007B6C97">
            <w:pPr>
              <w:rPr>
                <w:rFonts w:ascii="宋体"/>
              </w:rPr>
            </w:pPr>
          </w:p>
        </w:tc>
        <w:tc>
          <w:tcPr>
            <w:tcW w:w="5" w:type="pct"/>
            <w:shd w:val="clear" w:color="auto" w:fill="auto"/>
            <w:vAlign w:val="bottom"/>
          </w:tcPr>
          <w:p w14:paraId="642993EA" w14:textId="77777777" w:rsidR="007B6C97" w:rsidRDefault="007B6C97">
            <w:pPr>
              <w:rPr>
                <w:rFonts w:ascii="宋体"/>
              </w:rPr>
            </w:pPr>
          </w:p>
        </w:tc>
        <w:tc>
          <w:tcPr>
            <w:tcW w:w="19" w:type="pct"/>
            <w:shd w:val="clear" w:color="auto" w:fill="auto"/>
            <w:vAlign w:val="bottom"/>
          </w:tcPr>
          <w:p w14:paraId="642993EB" w14:textId="77777777" w:rsidR="007B6C97" w:rsidRDefault="007B6C97">
            <w:pPr>
              <w:rPr>
                <w:rFonts w:ascii="宋体"/>
              </w:rPr>
            </w:pPr>
          </w:p>
        </w:tc>
        <w:tc>
          <w:tcPr>
            <w:tcW w:w="5" w:type="pct"/>
            <w:shd w:val="clear" w:color="auto" w:fill="auto"/>
            <w:vAlign w:val="bottom"/>
          </w:tcPr>
          <w:p w14:paraId="642993EC" w14:textId="77777777" w:rsidR="007B6C97" w:rsidRDefault="007B6C97">
            <w:pPr>
              <w:rPr>
                <w:rFonts w:ascii="宋体"/>
              </w:rPr>
            </w:pPr>
          </w:p>
        </w:tc>
        <w:tc>
          <w:tcPr>
            <w:tcW w:w="50" w:type="pct"/>
            <w:shd w:val="clear" w:color="auto" w:fill="auto"/>
            <w:vAlign w:val="bottom"/>
          </w:tcPr>
          <w:p w14:paraId="642993ED" w14:textId="77777777" w:rsidR="007B6C97" w:rsidRDefault="007B6C97">
            <w:pPr>
              <w:rPr>
                <w:rFonts w:ascii="宋体"/>
              </w:rPr>
            </w:pPr>
          </w:p>
        </w:tc>
        <w:tc>
          <w:tcPr>
            <w:tcW w:w="304" w:type="pct"/>
            <w:shd w:val="clear" w:color="auto" w:fill="auto"/>
            <w:vAlign w:val="bottom"/>
          </w:tcPr>
          <w:p w14:paraId="642993EE" w14:textId="77777777" w:rsidR="007B6C97" w:rsidRDefault="007B6C97">
            <w:pPr>
              <w:rPr>
                <w:rFonts w:ascii="宋体"/>
              </w:rPr>
            </w:pPr>
          </w:p>
        </w:tc>
        <w:tc>
          <w:tcPr>
            <w:tcW w:w="5" w:type="pct"/>
            <w:shd w:val="clear" w:color="auto" w:fill="auto"/>
            <w:vAlign w:val="bottom"/>
          </w:tcPr>
          <w:p w14:paraId="642993EF" w14:textId="77777777" w:rsidR="007B6C97" w:rsidRDefault="007B6C97">
            <w:pPr>
              <w:rPr>
                <w:rFonts w:ascii="宋体"/>
              </w:rPr>
            </w:pPr>
          </w:p>
        </w:tc>
        <w:tc>
          <w:tcPr>
            <w:tcW w:w="5" w:type="pct"/>
            <w:shd w:val="clear" w:color="auto" w:fill="auto"/>
            <w:vAlign w:val="bottom"/>
          </w:tcPr>
          <w:p w14:paraId="642993F0" w14:textId="77777777" w:rsidR="007B6C97" w:rsidRDefault="007B6C97">
            <w:pPr>
              <w:rPr>
                <w:rFonts w:ascii="宋体"/>
              </w:rPr>
            </w:pPr>
          </w:p>
        </w:tc>
        <w:tc>
          <w:tcPr>
            <w:tcW w:w="19" w:type="pct"/>
            <w:shd w:val="clear" w:color="auto" w:fill="auto"/>
            <w:vAlign w:val="bottom"/>
          </w:tcPr>
          <w:p w14:paraId="642993F1" w14:textId="77777777" w:rsidR="007B6C97" w:rsidRDefault="007B6C97">
            <w:pPr>
              <w:rPr>
                <w:rFonts w:ascii="宋体"/>
              </w:rPr>
            </w:pPr>
          </w:p>
        </w:tc>
        <w:tc>
          <w:tcPr>
            <w:tcW w:w="5" w:type="pct"/>
            <w:shd w:val="clear" w:color="auto" w:fill="auto"/>
            <w:vAlign w:val="bottom"/>
          </w:tcPr>
          <w:p w14:paraId="642993F2" w14:textId="77777777" w:rsidR="007B6C97" w:rsidRDefault="007B6C97">
            <w:pPr>
              <w:rPr>
                <w:rFonts w:ascii="宋体"/>
              </w:rPr>
            </w:pPr>
          </w:p>
        </w:tc>
        <w:tc>
          <w:tcPr>
            <w:tcW w:w="50" w:type="pct"/>
            <w:shd w:val="clear" w:color="auto" w:fill="auto"/>
            <w:vAlign w:val="bottom"/>
          </w:tcPr>
          <w:p w14:paraId="642993F3" w14:textId="77777777" w:rsidR="007B6C97" w:rsidRDefault="007B6C97">
            <w:pPr>
              <w:rPr>
                <w:rFonts w:ascii="宋体"/>
              </w:rPr>
            </w:pPr>
          </w:p>
        </w:tc>
        <w:tc>
          <w:tcPr>
            <w:tcW w:w="304" w:type="pct"/>
            <w:shd w:val="clear" w:color="auto" w:fill="auto"/>
            <w:vAlign w:val="bottom"/>
          </w:tcPr>
          <w:p w14:paraId="642993F4" w14:textId="77777777" w:rsidR="007B6C97" w:rsidRDefault="007B6C97">
            <w:pPr>
              <w:rPr>
                <w:rFonts w:ascii="宋体"/>
              </w:rPr>
            </w:pPr>
          </w:p>
        </w:tc>
        <w:tc>
          <w:tcPr>
            <w:tcW w:w="5" w:type="pct"/>
            <w:shd w:val="clear" w:color="auto" w:fill="auto"/>
            <w:vAlign w:val="bottom"/>
          </w:tcPr>
          <w:p w14:paraId="642993F5" w14:textId="77777777" w:rsidR="007B6C97" w:rsidRDefault="007B6C97">
            <w:pPr>
              <w:rPr>
                <w:rFonts w:ascii="宋体"/>
              </w:rPr>
            </w:pPr>
          </w:p>
        </w:tc>
        <w:tc>
          <w:tcPr>
            <w:tcW w:w="5" w:type="pct"/>
            <w:shd w:val="clear" w:color="auto" w:fill="auto"/>
            <w:vAlign w:val="bottom"/>
          </w:tcPr>
          <w:p w14:paraId="642993F6" w14:textId="77777777" w:rsidR="007B6C97" w:rsidRDefault="007B6C97">
            <w:pPr>
              <w:rPr>
                <w:rFonts w:ascii="宋体"/>
              </w:rPr>
            </w:pPr>
          </w:p>
        </w:tc>
        <w:tc>
          <w:tcPr>
            <w:tcW w:w="19" w:type="pct"/>
            <w:shd w:val="clear" w:color="auto" w:fill="auto"/>
            <w:vAlign w:val="bottom"/>
          </w:tcPr>
          <w:p w14:paraId="642993F7" w14:textId="77777777" w:rsidR="007B6C97" w:rsidRDefault="007B6C97">
            <w:pPr>
              <w:rPr>
                <w:rFonts w:ascii="宋体"/>
              </w:rPr>
            </w:pPr>
          </w:p>
        </w:tc>
        <w:tc>
          <w:tcPr>
            <w:tcW w:w="5" w:type="pct"/>
            <w:shd w:val="clear" w:color="auto" w:fill="auto"/>
            <w:vAlign w:val="bottom"/>
          </w:tcPr>
          <w:p w14:paraId="642993F8" w14:textId="77777777" w:rsidR="007B6C97" w:rsidRDefault="007B6C97">
            <w:pPr>
              <w:rPr>
                <w:rFonts w:ascii="宋体"/>
              </w:rPr>
            </w:pPr>
          </w:p>
        </w:tc>
        <w:tc>
          <w:tcPr>
            <w:tcW w:w="50" w:type="pct"/>
            <w:shd w:val="clear" w:color="auto" w:fill="auto"/>
            <w:vAlign w:val="bottom"/>
          </w:tcPr>
          <w:p w14:paraId="642993F9" w14:textId="77777777" w:rsidR="007B6C97" w:rsidRDefault="007B6C97">
            <w:pPr>
              <w:rPr>
                <w:rFonts w:ascii="宋体"/>
              </w:rPr>
            </w:pPr>
          </w:p>
        </w:tc>
        <w:tc>
          <w:tcPr>
            <w:tcW w:w="304" w:type="pct"/>
            <w:shd w:val="clear" w:color="auto" w:fill="auto"/>
            <w:vAlign w:val="bottom"/>
          </w:tcPr>
          <w:p w14:paraId="642993FA" w14:textId="77777777" w:rsidR="007B6C97" w:rsidRDefault="007B6C97">
            <w:pPr>
              <w:rPr>
                <w:rFonts w:ascii="宋体"/>
              </w:rPr>
            </w:pPr>
          </w:p>
        </w:tc>
        <w:tc>
          <w:tcPr>
            <w:tcW w:w="5" w:type="pct"/>
            <w:shd w:val="clear" w:color="auto" w:fill="auto"/>
            <w:vAlign w:val="bottom"/>
          </w:tcPr>
          <w:p w14:paraId="642993FB" w14:textId="77777777" w:rsidR="007B6C97" w:rsidRDefault="007B6C97">
            <w:pPr>
              <w:rPr>
                <w:rFonts w:ascii="宋体"/>
              </w:rPr>
            </w:pPr>
          </w:p>
        </w:tc>
        <w:tc>
          <w:tcPr>
            <w:tcW w:w="5" w:type="pct"/>
            <w:shd w:val="clear" w:color="auto" w:fill="auto"/>
            <w:vAlign w:val="bottom"/>
          </w:tcPr>
          <w:p w14:paraId="642993FC" w14:textId="77777777" w:rsidR="007B6C97" w:rsidRDefault="007B6C97">
            <w:pPr>
              <w:rPr>
                <w:rFonts w:ascii="宋体"/>
              </w:rPr>
            </w:pPr>
          </w:p>
        </w:tc>
        <w:tc>
          <w:tcPr>
            <w:tcW w:w="19" w:type="pct"/>
            <w:shd w:val="clear" w:color="auto" w:fill="auto"/>
            <w:vAlign w:val="bottom"/>
          </w:tcPr>
          <w:p w14:paraId="642993FD" w14:textId="77777777" w:rsidR="007B6C97" w:rsidRDefault="007B6C97">
            <w:pPr>
              <w:rPr>
                <w:rFonts w:ascii="宋体"/>
              </w:rPr>
            </w:pPr>
          </w:p>
        </w:tc>
        <w:tc>
          <w:tcPr>
            <w:tcW w:w="5" w:type="pct"/>
            <w:shd w:val="clear" w:color="auto" w:fill="auto"/>
            <w:vAlign w:val="bottom"/>
          </w:tcPr>
          <w:p w14:paraId="642993FE" w14:textId="77777777" w:rsidR="007B6C97" w:rsidRDefault="007B6C97">
            <w:pPr>
              <w:rPr>
                <w:rFonts w:ascii="宋体"/>
              </w:rPr>
            </w:pPr>
          </w:p>
        </w:tc>
        <w:tc>
          <w:tcPr>
            <w:tcW w:w="50" w:type="pct"/>
            <w:shd w:val="clear" w:color="auto" w:fill="auto"/>
            <w:vAlign w:val="bottom"/>
          </w:tcPr>
          <w:p w14:paraId="642993FF" w14:textId="77777777" w:rsidR="007B6C97" w:rsidRDefault="007B6C97">
            <w:pPr>
              <w:rPr>
                <w:rFonts w:ascii="宋体"/>
              </w:rPr>
            </w:pPr>
          </w:p>
        </w:tc>
        <w:tc>
          <w:tcPr>
            <w:tcW w:w="304" w:type="pct"/>
            <w:shd w:val="clear" w:color="auto" w:fill="auto"/>
            <w:vAlign w:val="bottom"/>
          </w:tcPr>
          <w:p w14:paraId="64299400" w14:textId="77777777" w:rsidR="007B6C97" w:rsidRDefault="007B6C97">
            <w:pPr>
              <w:rPr>
                <w:rFonts w:ascii="宋体"/>
              </w:rPr>
            </w:pPr>
          </w:p>
        </w:tc>
        <w:tc>
          <w:tcPr>
            <w:tcW w:w="5" w:type="pct"/>
            <w:shd w:val="clear" w:color="auto" w:fill="auto"/>
            <w:vAlign w:val="bottom"/>
          </w:tcPr>
          <w:p w14:paraId="64299401" w14:textId="77777777" w:rsidR="007B6C97" w:rsidRDefault="007B6C97">
            <w:pPr>
              <w:rPr>
                <w:rFonts w:ascii="宋体"/>
              </w:rPr>
            </w:pPr>
          </w:p>
        </w:tc>
        <w:tc>
          <w:tcPr>
            <w:tcW w:w="5" w:type="pct"/>
            <w:shd w:val="clear" w:color="auto" w:fill="auto"/>
            <w:vAlign w:val="bottom"/>
          </w:tcPr>
          <w:p w14:paraId="64299402" w14:textId="77777777" w:rsidR="007B6C97" w:rsidRDefault="007B6C97">
            <w:pPr>
              <w:rPr>
                <w:rFonts w:ascii="宋体"/>
              </w:rPr>
            </w:pPr>
          </w:p>
        </w:tc>
        <w:tc>
          <w:tcPr>
            <w:tcW w:w="19" w:type="pct"/>
            <w:shd w:val="clear" w:color="auto" w:fill="auto"/>
            <w:vAlign w:val="bottom"/>
          </w:tcPr>
          <w:p w14:paraId="64299403" w14:textId="77777777" w:rsidR="007B6C97" w:rsidRDefault="007B6C97">
            <w:pPr>
              <w:rPr>
                <w:rFonts w:ascii="宋体"/>
              </w:rPr>
            </w:pPr>
          </w:p>
        </w:tc>
        <w:tc>
          <w:tcPr>
            <w:tcW w:w="5" w:type="pct"/>
            <w:shd w:val="clear" w:color="auto" w:fill="auto"/>
            <w:vAlign w:val="bottom"/>
          </w:tcPr>
          <w:p w14:paraId="64299404" w14:textId="77777777" w:rsidR="007B6C97" w:rsidRDefault="007B6C97">
            <w:pPr>
              <w:rPr>
                <w:rFonts w:ascii="宋体"/>
              </w:rPr>
            </w:pPr>
          </w:p>
        </w:tc>
        <w:tc>
          <w:tcPr>
            <w:tcW w:w="50" w:type="pct"/>
            <w:shd w:val="clear" w:color="auto" w:fill="auto"/>
            <w:vAlign w:val="bottom"/>
          </w:tcPr>
          <w:p w14:paraId="64299405" w14:textId="77777777" w:rsidR="007B6C97" w:rsidRDefault="007B6C97">
            <w:pPr>
              <w:rPr>
                <w:rFonts w:ascii="宋体"/>
              </w:rPr>
            </w:pPr>
          </w:p>
        </w:tc>
        <w:tc>
          <w:tcPr>
            <w:tcW w:w="333" w:type="pct"/>
            <w:shd w:val="clear" w:color="auto" w:fill="auto"/>
            <w:vAlign w:val="bottom"/>
          </w:tcPr>
          <w:p w14:paraId="64299406" w14:textId="77777777" w:rsidR="007B6C97" w:rsidRDefault="007B6C97">
            <w:pPr>
              <w:rPr>
                <w:rFonts w:ascii="宋体"/>
              </w:rPr>
            </w:pPr>
          </w:p>
        </w:tc>
        <w:tc>
          <w:tcPr>
            <w:tcW w:w="5" w:type="pct"/>
            <w:shd w:val="clear" w:color="auto" w:fill="auto"/>
            <w:vAlign w:val="bottom"/>
          </w:tcPr>
          <w:p w14:paraId="64299407" w14:textId="77777777" w:rsidR="007B6C97" w:rsidRDefault="007B6C97">
            <w:pPr>
              <w:rPr>
                <w:rFonts w:ascii="宋体"/>
              </w:rPr>
            </w:pPr>
          </w:p>
        </w:tc>
        <w:tc>
          <w:tcPr>
            <w:tcW w:w="5" w:type="pct"/>
            <w:shd w:val="clear" w:color="auto" w:fill="auto"/>
            <w:vAlign w:val="bottom"/>
          </w:tcPr>
          <w:p w14:paraId="64299408" w14:textId="77777777" w:rsidR="007B6C97" w:rsidRDefault="007B6C97">
            <w:pPr>
              <w:rPr>
                <w:rFonts w:ascii="宋体"/>
              </w:rPr>
            </w:pPr>
          </w:p>
        </w:tc>
        <w:tc>
          <w:tcPr>
            <w:tcW w:w="19" w:type="pct"/>
            <w:shd w:val="clear" w:color="auto" w:fill="auto"/>
            <w:vAlign w:val="bottom"/>
          </w:tcPr>
          <w:p w14:paraId="64299409" w14:textId="77777777" w:rsidR="007B6C97" w:rsidRDefault="007B6C97">
            <w:pPr>
              <w:rPr>
                <w:rFonts w:ascii="宋体"/>
              </w:rPr>
            </w:pPr>
          </w:p>
        </w:tc>
        <w:tc>
          <w:tcPr>
            <w:tcW w:w="5" w:type="pct"/>
            <w:shd w:val="clear" w:color="auto" w:fill="auto"/>
            <w:vAlign w:val="bottom"/>
          </w:tcPr>
          <w:p w14:paraId="6429940A" w14:textId="77777777" w:rsidR="007B6C97" w:rsidRDefault="007B6C97">
            <w:pPr>
              <w:rPr>
                <w:rFonts w:ascii="宋体"/>
              </w:rPr>
            </w:pPr>
          </w:p>
        </w:tc>
        <w:tc>
          <w:tcPr>
            <w:tcW w:w="50" w:type="pct"/>
            <w:shd w:val="clear" w:color="auto" w:fill="auto"/>
            <w:vAlign w:val="bottom"/>
          </w:tcPr>
          <w:p w14:paraId="6429940B" w14:textId="77777777" w:rsidR="007B6C97" w:rsidRDefault="007B6C97">
            <w:pPr>
              <w:rPr>
                <w:rFonts w:ascii="宋体"/>
              </w:rPr>
            </w:pPr>
          </w:p>
        </w:tc>
        <w:tc>
          <w:tcPr>
            <w:tcW w:w="333" w:type="pct"/>
            <w:shd w:val="clear" w:color="auto" w:fill="auto"/>
            <w:vAlign w:val="bottom"/>
          </w:tcPr>
          <w:p w14:paraId="6429940C" w14:textId="77777777" w:rsidR="007B6C97" w:rsidRDefault="007B6C97">
            <w:pPr>
              <w:rPr>
                <w:rFonts w:ascii="宋体"/>
              </w:rPr>
            </w:pPr>
          </w:p>
        </w:tc>
        <w:tc>
          <w:tcPr>
            <w:tcW w:w="5" w:type="pct"/>
            <w:shd w:val="clear" w:color="auto" w:fill="auto"/>
            <w:vAlign w:val="bottom"/>
          </w:tcPr>
          <w:p w14:paraId="6429940D" w14:textId="77777777" w:rsidR="007B6C97" w:rsidRDefault="007B6C97">
            <w:pPr>
              <w:rPr>
                <w:rFonts w:ascii="宋体"/>
              </w:rPr>
            </w:pPr>
          </w:p>
        </w:tc>
        <w:tc>
          <w:tcPr>
            <w:tcW w:w="5" w:type="pct"/>
            <w:shd w:val="clear" w:color="auto" w:fill="auto"/>
            <w:vAlign w:val="bottom"/>
          </w:tcPr>
          <w:p w14:paraId="6429940E" w14:textId="77777777" w:rsidR="007B6C97" w:rsidRDefault="007B6C97">
            <w:pPr>
              <w:rPr>
                <w:rFonts w:ascii="宋体"/>
              </w:rPr>
            </w:pPr>
          </w:p>
        </w:tc>
        <w:tc>
          <w:tcPr>
            <w:tcW w:w="19" w:type="pct"/>
            <w:shd w:val="clear" w:color="auto" w:fill="auto"/>
            <w:vAlign w:val="bottom"/>
          </w:tcPr>
          <w:p w14:paraId="6429940F" w14:textId="77777777" w:rsidR="007B6C97" w:rsidRDefault="007B6C97">
            <w:pPr>
              <w:rPr>
                <w:rFonts w:ascii="宋体"/>
              </w:rPr>
            </w:pPr>
          </w:p>
        </w:tc>
        <w:tc>
          <w:tcPr>
            <w:tcW w:w="5" w:type="pct"/>
            <w:shd w:val="clear" w:color="auto" w:fill="auto"/>
            <w:vAlign w:val="bottom"/>
          </w:tcPr>
          <w:p w14:paraId="64299410" w14:textId="77777777" w:rsidR="007B6C97" w:rsidRDefault="007B6C97">
            <w:pPr>
              <w:rPr>
                <w:rFonts w:ascii="宋体"/>
              </w:rPr>
            </w:pPr>
          </w:p>
        </w:tc>
        <w:tc>
          <w:tcPr>
            <w:tcW w:w="50" w:type="pct"/>
            <w:shd w:val="clear" w:color="auto" w:fill="auto"/>
            <w:vAlign w:val="bottom"/>
          </w:tcPr>
          <w:p w14:paraId="64299411" w14:textId="77777777" w:rsidR="007B6C97" w:rsidRDefault="007B6C97">
            <w:pPr>
              <w:rPr>
                <w:rFonts w:ascii="宋体"/>
              </w:rPr>
            </w:pPr>
          </w:p>
        </w:tc>
        <w:tc>
          <w:tcPr>
            <w:tcW w:w="304" w:type="pct"/>
            <w:shd w:val="clear" w:color="auto" w:fill="auto"/>
            <w:vAlign w:val="bottom"/>
          </w:tcPr>
          <w:p w14:paraId="64299412" w14:textId="77777777" w:rsidR="007B6C97" w:rsidRDefault="007B6C97">
            <w:pPr>
              <w:rPr>
                <w:rFonts w:ascii="宋体"/>
              </w:rPr>
            </w:pPr>
          </w:p>
        </w:tc>
        <w:tc>
          <w:tcPr>
            <w:tcW w:w="5" w:type="pct"/>
            <w:shd w:val="clear" w:color="auto" w:fill="auto"/>
            <w:vAlign w:val="bottom"/>
          </w:tcPr>
          <w:p w14:paraId="64299413" w14:textId="77777777" w:rsidR="007B6C97" w:rsidRDefault="007B6C97">
            <w:pPr>
              <w:rPr>
                <w:rFonts w:ascii="宋体"/>
              </w:rPr>
            </w:pPr>
          </w:p>
        </w:tc>
        <w:tc>
          <w:tcPr>
            <w:tcW w:w="5" w:type="pct"/>
            <w:shd w:val="clear" w:color="auto" w:fill="auto"/>
            <w:vAlign w:val="bottom"/>
          </w:tcPr>
          <w:p w14:paraId="64299414" w14:textId="77777777" w:rsidR="007B6C97" w:rsidRDefault="007B6C97">
            <w:pPr>
              <w:rPr>
                <w:rFonts w:ascii="宋体"/>
              </w:rPr>
            </w:pPr>
          </w:p>
        </w:tc>
        <w:tc>
          <w:tcPr>
            <w:tcW w:w="19" w:type="pct"/>
            <w:shd w:val="clear" w:color="auto" w:fill="auto"/>
            <w:vAlign w:val="bottom"/>
          </w:tcPr>
          <w:p w14:paraId="64299415" w14:textId="77777777" w:rsidR="007B6C97" w:rsidRDefault="007B6C97">
            <w:pPr>
              <w:rPr>
                <w:rFonts w:ascii="宋体"/>
              </w:rPr>
            </w:pPr>
          </w:p>
        </w:tc>
        <w:tc>
          <w:tcPr>
            <w:tcW w:w="5" w:type="pct"/>
            <w:shd w:val="clear" w:color="auto" w:fill="auto"/>
            <w:vAlign w:val="bottom"/>
          </w:tcPr>
          <w:p w14:paraId="64299416" w14:textId="77777777" w:rsidR="007B6C97" w:rsidRDefault="007B6C97">
            <w:pPr>
              <w:rPr>
                <w:rFonts w:ascii="宋体"/>
              </w:rPr>
            </w:pPr>
          </w:p>
        </w:tc>
        <w:tc>
          <w:tcPr>
            <w:tcW w:w="50" w:type="pct"/>
            <w:shd w:val="clear" w:color="auto" w:fill="auto"/>
            <w:vAlign w:val="bottom"/>
          </w:tcPr>
          <w:p w14:paraId="64299417" w14:textId="77777777" w:rsidR="007B6C97" w:rsidRDefault="007B6C97">
            <w:pPr>
              <w:rPr>
                <w:rFonts w:ascii="宋体"/>
              </w:rPr>
            </w:pPr>
          </w:p>
        </w:tc>
        <w:tc>
          <w:tcPr>
            <w:tcW w:w="304" w:type="pct"/>
            <w:shd w:val="clear" w:color="auto" w:fill="auto"/>
            <w:vAlign w:val="bottom"/>
          </w:tcPr>
          <w:p w14:paraId="64299418" w14:textId="77777777" w:rsidR="007B6C97" w:rsidRDefault="007B6C97">
            <w:pPr>
              <w:rPr>
                <w:rFonts w:ascii="宋体"/>
              </w:rPr>
            </w:pPr>
          </w:p>
        </w:tc>
        <w:tc>
          <w:tcPr>
            <w:tcW w:w="5" w:type="pct"/>
            <w:shd w:val="clear" w:color="auto" w:fill="auto"/>
            <w:vAlign w:val="bottom"/>
          </w:tcPr>
          <w:p w14:paraId="64299419" w14:textId="77777777" w:rsidR="007B6C97" w:rsidRDefault="007B6C97">
            <w:pPr>
              <w:rPr>
                <w:rFonts w:ascii="宋体"/>
              </w:rPr>
            </w:pPr>
          </w:p>
        </w:tc>
        <w:tc>
          <w:tcPr>
            <w:tcW w:w="5" w:type="pct"/>
            <w:shd w:val="clear" w:color="auto" w:fill="auto"/>
            <w:vAlign w:val="bottom"/>
          </w:tcPr>
          <w:p w14:paraId="6429941A" w14:textId="77777777" w:rsidR="007B6C97" w:rsidRDefault="007B6C97">
            <w:pPr>
              <w:rPr>
                <w:rFonts w:ascii="宋体"/>
              </w:rPr>
            </w:pPr>
          </w:p>
        </w:tc>
        <w:tc>
          <w:tcPr>
            <w:tcW w:w="19" w:type="pct"/>
            <w:shd w:val="clear" w:color="auto" w:fill="auto"/>
            <w:vAlign w:val="bottom"/>
          </w:tcPr>
          <w:p w14:paraId="6429941B" w14:textId="77777777" w:rsidR="007B6C97" w:rsidRDefault="007B6C97">
            <w:pPr>
              <w:rPr>
                <w:rFonts w:ascii="宋体"/>
              </w:rPr>
            </w:pPr>
          </w:p>
        </w:tc>
        <w:tc>
          <w:tcPr>
            <w:tcW w:w="5" w:type="pct"/>
            <w:shd w:val="clear" w:color="auto" w:fill="auto"/>
            <w:vAlign w:val="bottom"/>
          </w:tcPr>
          <w:p w14:paraId="6429941C" w14:textId="77777777" w:rsidR="007B6C97" w:rsidRDefault="007B6C97">
            <w:pPr>
              <w:rPr>
                <w:rFonts w:ascii="宋体"/>
              </w:rPr>
            </w:pPr>
          </w:p>
        </w:tc>
        <w:tc>
          <w:tcPr>
            <w:tcW w:w="50" w:type="pct"/>
            <w:shd w:val="clear" w:color="auto" w:fill="auto"/>
            <w:vAlign w:val="bottom"/>
          </w:tcPr>
          <w:p w14:paraId="6429941D" w14:textId="77777777" w:rsidR="007B6C97" w:rsidRDefault="007B6C97">
            <w:pPr>
              <w:rPr>
                <w:rFonts w:ascii="宋体"/>
              </w:rPr>
            </w:pPr>
          </w:p>
        </w:tc>
        <w:tc>
          <w:tcPr>
            <w:tcW w:w="304" w:type="pct"/>
            <w:shd w:val="clear" w:color="auto" w:fill="auto"/>
            <w:vAlign w:val="bottom"/>
          </w:tcPr>
          <w:p w14:paraId="6429941E" w14:textId="77777777" w:rsidR="007B6C97" w:rsidRDefault="007B6C97">
            <w:pPr>
              <w:rPr>
                <w:rFonts w:ascii="宋体"/>
              </w:rPr>
            </w:pPr>
          </w:p>
        </w:tc>
        <w:tc>
          <w:tcPr>
            <w:tcW w:w="5" w:type="pct"/>
            <w:shd w:val="clear" w:color="auto" w:fill="auto"/>
            <w:vAlign w:val="bottom"/>
          </w:tcPr>
          <w:p w14:paraId="6429941F" w14:textId="77777777" w:rsidR="007B6C97" w:rsidRDefault="007B6C97">
            <w:pPr>
              <w:rPr>
                <w:rFonts w:ascii="宋体"/>
              </w:rPr>
            </w:pPr>
          </w:p>
        </w:tc>
      </w:tr>
      <w:tr w:rsidR="007B6C97" w14:paraId="64299425" w14:textId="77777777">
        <w:tc>
          <w:tcPr>
            <w:tcW w:w="0" w:type="auto"/>
            <w:gridSpan w:val="3"/>
            <w:shd w:val="clear" w:color="auto" w:fill="auto"/>
            <w:tcMar>
              <w:top w:w="0" w:type="dxa"/>
              <w:left w:w="20" w:type="dxa"/>
              <w:bottom w:w="0" w:type="dxa"/>
              <w:right w:w="20" w:type="dxa"/>
            </w:tcMar>
            <w:vAlign w:val="bottom"/>
          </w:tcPr>
          <w:p w14:paraId="64299421"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9422"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9423" w14:textId="77777777" w:rsidR="007B6C97" w:rsidRDefault="007B6C97">
            <w:pPr>
              <w:rPr>
                <w:rFonts w:ascii="宋体"/>
              </w:rPr>
            </w:pPr>
          </w:p>
        </w:tc>
        <w:tc>
          <w:tcPr>
            <w:tcW w:w="0" w:type="auto"/>
            <w:gridSpan w:val="27"/>
            <w:shd w:val="clear" w:color="auto" w:fill="00704A"/>
            <w:tcMar>
              <w:top w:w="40" w:type="dxa"/>
              <w:left w:w="20" w:type="dxa"/>
              <w:bottom w:w="40" w:type="dxa"/>
              <w:right w:w="20" w:type="dxa"/>
            </w:tcMar>
            <w:vAlign w:val="bottom"/>
          </w:tcPr>
          <w:p w14:paraId="64299424"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943B" w14:textId="77777777">
        <w:tc>
          <w:tcPr>
            <w:tcW w:w="0" w:type="auto"/>
            <w:gridSpan w:val="3"/>
            <w:shd w:val="clear" w:color="auto" w:fill="auto"/>
            <w:tcMar>
              <w:top w:w="40" w:type="dxa"/>
              <w:left w:w="20" w:type="dxa"/>
              <w:bottom w:w="40" w:type="dxa"/>
              <w:right w:w="20" w:type="dxa"/>
            </w:tcMar>
            <w:vAlign w:val="bottom"/>
          </w:tcPr>
          <w:p w14:paraId="64299426"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9427"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42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29"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42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2B"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42C"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42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2E"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42F"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9430"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431"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32"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43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34"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435"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36" w14:textId="77777777" w:rsidR="007B6C97" w:rsidRDefault="00E426D1">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429943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438"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439" w14:textId="77777777" w:rsidR="007B6C97" w:rsidRDefault="007B6C97">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429943A"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944C" w14:textId="77777777">
        <w:tc>
          <w:tcPr>
            <w:tcW w:w="0" w:type="auto"/>
            <w:gridSpan w:val="3"/>
            <w:shd w:val="clear" w:color="auto" w:fill="auto"/>
            <w:tcMar>
              <w:top w:w="0" w:type="dxa"/>
              <w:left w:w="20" w:type="dxa"/>
              <w:bottom w:w="0" w:type="dxa"/>
              <w:right w:w="20" w:type="dxa"/>
            </w:tcMar>
            <w:vAlign w:val="bottom"/>
          </w:tcPr>
          <w:p w14:paraId="6429943C"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3D"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3E"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3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40"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41"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42"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9443" w14:textId="77777777" w:rsidR="007B6C97" w:rsidRDefault="00E426D1">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4299444"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45"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46"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47"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48" w14:textId="77777777" w:rsidR="007B6C97" w:rsidRDefault="007B6C9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29944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44A" w14:textId="77777777" w:rsidR="007B6C97" w:rsidRDefault="007B6C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29944B" w14:textId="77777777" w:rsidR="007B6C97" w:rsidRDefault="00E426D1">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r>
      <w:tr w:rsidR="00E426D1" w14:paraId="6429946D" w14:textId="77777777">
        <w:tc>
          <w:tcPr>
            <w:tcW w:w="0" w:type="auto"/>
            <w:gridSpan w:val="3"/>
            <w:shd w:val="clear" w:color="auto" w:fill="D7E4BC"/>
            <w:tcMar>
              <w:top w:w="40" w:type="dxa"/>
              <w:left w:w="20" w:type="dxa"/>
              <w:bottom w:w="40" w:type="dxa"/>
              <w:right w:w="20" w:type="dxa"/>
            </w:tcMar>
          </w:tcPr>
          <w:p w14:paraId="6429944D" w14:textId="77777777" w:rsidR="007B6C97" w:rsidRDefault="00E426D1">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6429944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4F" w14:textId="77777777" w:rsidR="007B6C97" w:rsidRDefault="00E426D1">
            <w:pPr>
              <w:jc w:val="right"/>
              <w:textAlignment w:val="bottom"/>
            </w:pPr>
            <w:r>
              <w:rPr>
                <w:rFonts w:ascii="Times New Roman" w:eastAsia="宋体" w:hAnsi="Times New Roman"/>
                <w:color w:val="000000"/>
                <w:sz w:val="20"/>
                <w:szCs w:val="20"/>
              </w:rPr>
              <w:t>479.7 </w:t>
            </w:r>
          </w:p>
        </w:tc>
        <w:tc>
          <w:tcPr>
            <w:tcW w:w="0" w:type="auto"/>
            <w:shd w:val="clear" w:color="auto" w:fill="D7E4BC"/>
            <w:tcMar>
              <w:top w:w="40" w:type="dxa"/>
              <w:left w:w="0" w:type="dxa"/>
              <w:bottom w:w="40" w:type="dxa"/>
              <w:right w:w="20" w:type="dxa"/>
            </w:tcMar>
            <w:vAlign w:val="bottom"/>
          </w:tcPr>
          <w:p w14:paraId="642994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51"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945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53" w14:textId="77777777" w:rsidR="007B6C97" w:rsidRDefault="00E426D1">
            <w:pPr>
              <w:jc w:val="right"/>
              <w:textAlignment w:val="bottom"/>
            </w:pPr>
            <w:r>
              <w:rPr>
                <w:rFonts w:ascii="Times New Roman" w:eastAsia="宋体" w:hAnsi="Times New Roman"/>
                <w:color w:val="000000"/>
                <w:sz w:val="20"/>
                <w:szCs w:val="20"/>
              </w:rPr>
              <w:t>414.0 </w:t>
            </w:r>
          </w:p>
        </w:tc>
        <w:tc>
          <w:tcPr>
            <w:tcW w:w="0" w:type="auto"/>
            <w:shd w:val="clear" w:color="auto" w:fill="D7E4BC"/>
            <w:tcMar>
              <w:top w:w="40" w:type="dxa"/>
              <w:left w:w="0" w:type="dxa"/>
              <w:bottom w:w="40" w:type="dxa"/>
              <w:right w:w="20" w:type="dxa"/>
            </w:tcMar>
            <w:vAlign w:val="bottom"/>
          </w:tcPr>
          <w:p w14:paraId="6429945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55"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945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57" w14:textId="77777777" w:rsidR="007B6C97" w:rsidRDefault="00E426D1">
            <w:pPr>
              <w:jc w:val="right"/>
              <w:textAlignment w:val="bottom"/>
            </w:pPr>
            <w:r>
              <w:rPr>
                <w:rFonts w:ascii="Times New Roman" w:eastAsia="宋体" w:hAnsi="Times New Roman"/>
                <w:color w:val="000000"/>
                <w:sz w:val="20"/>
                <w:szCs w:val="20"/>
              </w:rPr>
              <w:t>65.7 </w:t>
            </w:r>
          </w:p>
        </w:tc>
        <w:tc>
          <w:tcPr>
            <w:tcW w:w="0" w:type="auto"/>
            <w:shd w:val="clear" w:color="auto" w:fill="D7E4BC"/>
            <w:tcMar>
              <w:top w:w="40" w:type="dxa"/>
              <w:left w:w="0" w:type="dxa"/>
              <w:bottom w:w="40" w:type="dxa"/>
              <w:right w:w="20" w:type="dxa"/>
            </w:tcMar>
            <w:vAlign w:val="bottom"/>
          </w:tcPr>
          <w:p w14:paraId="6429945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59"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45A"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45B" w14:textId="77777777" w:rsidR="007B6C97" w:rsidRDefault="007B6C97">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429945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45D"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945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5F" w14:textId="77777777" w:rsidR="007B6C97" w:rsidRDefault="00E426D1">
            <w:pPr>
              <w:jc w:val="right"/>
              <w:textAlignment w:val="bottom"/>
            </w:pPr>
            <w:r>
              <w:rPr>
                <w:rFonts w:ascii="Times New Roman" w:eastAsia="宋体" w:hAnsi="Times New Roman"/>
                <w:color w:val="000000"/>
                <w:sz w:val="20"/>
                <w:szCs w:val="20"/>
              </w:rPr>
              <w:t>1,359.9 </w:t>
            </w:r>
          </w:p>
        </w:tc>
        <w:tc>
          <w:tcPr>
            <w:tcW w:w="0" w:type="auto"/>
            <w:shd w:val="clear" w:color="auto" w:fill="D7E4BC"/>
            <w:tcMar>
              <w:top w:w="40" w:type="dxa"/>
              <w:left w:w="0" w:type="dxa"/>
              <w:bottom w:w="40" w:type="dxa"/>
              <w:right w:w="20" w:type="dxa"/>
            </w:tcMar>
            <w:vAlign w:val="bottom"/>
          </w:tcPr>
          <w:p w14:paraId="6429946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61"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946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63" w14:textId="77777777" w:rsidR="007B6C97" w:rsidRDefault="00E426D1">
            <w:pPr>
              <w:jc w:val="right"/>
              <w:textAlignment w:val="bottom"/>
            </w:pPr>
            <w:r>
              <w:rPr>
                <w:rFonts w:ascii="Times New Roman" w:eastAsia="宋体" w:hAnsi="Times New Roman"/>
                <w:color w:val="000000"/>
                <w:sz w:val="20"/>
                <w:szCs w:val="20"/>
              </w:rPr>
              <w:t>1,155.3 </w:t>
            </w:r>
          </w:p>
        </w:tc>
        <w:tc>
          <w:tcPr>
            <w:tcW w:w="0" w:type="auto"/>
            <w:shd w:val="clear" w:color="auto" w:fill="D7E4BC"/>
            <w:tcMar>
              <w:top w:w="40" w:type="dxa"/>
              <w:left w:w="0" w:type="dxa"/>
              <w:bottom w:w="40" w:type="dxa"/>
              <w:right w:w="20" w:type="dxa"/>
            </w:tcMar>
            <w:vAlign w:val="bottom"/>
          </w:tcPr>
          <w:p w14:paraId="6429946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65" w14:textId="77777777" w:rsidR="007B6C97" w:rsidRDefault="007B6C97">
            <w:pPr>
              <w:rPr>
                <w:rFonts w:ascii="宋体"/>
              </w:rPr>
            </w:pPr>
          </w:p>
        </w:tc>
        <w:tc>
          <w:tcPr>
            <w:tcW w:w="0" w:type="auto"/>
            <w:shd w:val="clear" w:color="auto" w:fill="D7E4BC"/>
            <w:tcMar>
              <w:top w:w="40" w:type="dxa"/>
              <w:left w:w="20" w:type="dxa"/>
              <w:bottom w:w="40" w:type="dxa"/>
              <w:right w:w="0" w:type="dxa"/>
            </w:tcMar>
            <w:vAlign w:val="bottom"/>
          </w:tcPr>
          <w:p w14:paraId="64299466"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4299467" w14:textId="77777777" w:rsidR="007B6C97" w:rsidRDefault="00E426D1">
            <w:pPr>
              <w:jc w:val="right"/>
              <w:textAlignment w:val="bottom"/>
            </w:pPr>
            <w:r>
              <w:rPr>
                <w:rFonts w:ascii="Times New Roman" w:eastAsia="宋体" w:hAnsi="Times New Roman"/>
                <w:color w:val="000000"/>
                <w:sz w:val="20"/>
                <w:szCs w:val="20"/>
              </w:rPr>
              <w:t>204.6 </w:t>
            </w:r>
          </w:p>
        </w:tc>
        <w:tc>
          <w:tcPr>
            <w:tcW w:w="0" w:type="auto"/>
            <w:shd w:val="clear" w:color="auto" w:fill="D7E4BC"/>
            <w:tcMar>
              <w:top w:w="40" w:type="dxa"/>
              <w:left w:w="0" w:type="dxa"/>
              <w:bottom w:w="40" w:type="dxa"/>
              <w:right w:w="20" w:type="dxa"/>
            </w:tcMar>
            <w:vAlign w:val="bottom"/>
          </w:tcPr>
          <w:p w14:paraId="6429946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6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46A"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46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46C" w14:textId="77777777" w:rsidR="007B6C97" w:rsidRDefault="007B6C97">
            <w:pPr>
              <w:rPr>
                <w:rFonts w:ascii="宋体"/>
              </w:rPr>
            </w:pPr>
          </w:p>
        </w:tc>
      </w:tr>
      <w:tr w:rsidR="00E426D1" w14:paraId="6429948C" w14:textId="77777777">
        <w:tc>
          <w:tcPr>
            <w:tcW w:w="0" w:type="auto"/>
            <w:gridSpan w:val="3"/>
            <w:shd w:val="clear" w:color="auto" w:fill="FFFFFF"/>
            <w:tcMar>
              <w:top w:w="40" w:type="dxa"/>
              <w:left w:w="20" w:type="dxa"/>
              <w:bottom w:w="40" w:type="dxa"/>
              <w:right w:w="20" w:type="dxa"/>
            </w:tcMar>
          </w:tcPr>
          <w:p w14:paraId="6429946E"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429946F" w14:textId="77777777" w:rsidR="007B6C97" w:rsidRDefault="00E426D1">
            <w:pPr>
              <w:jc w:val="right"/>
              <w:textAlignment w:val="bottom"/>
            </w:pPr>
            <w:r>
              <w:rPr>
                <w:rFonts w:ascii="Times New Roman" w:eastAsia="宋体" w:hAnsi="Times New Roman"/>
                <w:color w:val="000000"/>
                <w:sz w:val="20"/>
                <w:szCs w:val="20"/>
              </w:rPr>
              <w:t>325.8 </w:t>
            </w:r>
          </w:p>
        </w:tc>
        <w:tc>
          <w:tcPr>
            <w:tcW w:w="0" w:type="auto"/>
            <w:shd w:val="clear" w:color="auto" w:fill="FFFFFF"/>
            <w:tcMar>
              <w:top w:w="40" w:type="dxa"/>
              <w:left w:w="0" w:type="dxa"/>
              <w:bottom w:w="40" w:type="dxa"/>
              <w:right w:w="20" w:type="dxa"/>
            </w:tcMar>
            <w:vAlign w:val="bottom"/>
          </w:tcPr>
          <w:p w14:paraId="6429947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7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72" w14:textId="77777777" w:rsidR="007B6C97" w:rsidRDefault="00E426D1">
            <w:pPr>
              <w:jc w:val="right"/>
              <w:textAlignment w:val="bottom"/>
            </w:pPr>
            <w:r>
              <w:rPr>
                <w:rFonts w:ascii="Times New Roman" w:eastAsia="宋体" w:hAnsi="Times New Roman"/>
                <w:color w:val="000000"/>
                <w:sz w:val="20"/>
                <w:szCs w:val="20"/>
              </w:rPr>
              <w:t>268.3 </w:t>
            </w:r>
          </w:p>
        </w:tc>
        <w:tc>
          <w:tcPr>
            <w:tcW w:w="0" w:type="auto"/>
            <w:shd w:val="clear" w:color="auto" w:fill="FFFFFF"/>
            <w:tcMar>
              <w:top w:w="40" w:type="dxa"/>
              <w:left w:w="0" w:type="dxa"/>
              <w:bottom w:w="40" w:type="dxa"/>
              <w:right w:w="20" w:type="dxa"/>
            </w:tcMar>
            <w:vAlign w:val="bottom"/>
          </w:tcPr>
          <w:p w14:paraId="6429947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7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75" w14:textId="77777777" w:rsidR="007B6C97" w:rsidRDefault="00E426D1">
            <w:pPr>
              <w:jc w:val="right"/>
              <w:textAlignment w:val="bottom"/>
            </w:pPr>
            <w:r>
              <w:rPr>
                <w:rFonts w:ascii="Times New Roman" w:eastAsia="宋体" w:hAnsi="Times New Roman"/>
                <w:color w:val="000000"/>
                <w:sz w:val="20"/>
                <w:szCs w:val="20"/>
              </w:rPr>
              <w:t>57.5 </w:t>
            </w:r>
          </w:p>
        </w:tc>
        <w:tc>
          <w:tcPr>
            <w:tcW w:w="0" w:type="auto"/>
            <w:shd w:val="clear" w:color="auto" w:fill="FFFFFF"/>
            <w:tcMar>
              <w:top w:w="40" w:type="dxa"/>
              <w:left w:w="0" w:type="dxa"/>
              <w:bottom w:w="40" w:type="dxa"/>
              <w:right w:w="20" w:type="dxa"/>
            </w:tcMar>
            <w:vAlign w:val="bottom"/>
          </w:tcPr>
          <w:p w14:paraId="6429947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7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78" w14:textId="77777777" w:rsidR="007B6C97" w:rsidRDefault="00E426D1">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bottom"/>
          </w:tcPr>
          <w:p w14:paraId="64299479"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47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7B" w14:textId="77777777" w:rsidR="007B6C97" w:rsidRDefault="00E426D1">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6429947C"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47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7E" w14:textId="77777777" w:rsidR="007B6C97" w:rsidRDefault="00E426D1">
            <w:pPr>
              <w:jc w:val="right"/>
              <w:textAlignment w:val="bottom"/>
            </w:pPr>
            <w:r>
              <w:rPr>
                <w:rFonts w:ascii="Times New Roman" w:eastAsia="宋体" w:hAnsi="Times New Roman"/>
                <w:color w:val="000000"/>
                <w:sz w:val="20"/>
                <w:szCs w:val="20"/>
              </w:rPr>
              <w:t>885.2 </w:t>
            </w:r>
          </w:p>
        </w:tc>
        <w:tc>
          <w:tcPr>
            <w:tcW w:w="0" w:type="auto"/>
            <w:shd w:val="clear" w:color="auto" w:fill="FFFFFF"/>
            <w:tcMar>
              <w:top w:w="40" w:type="dxa"/>
              <w:left w:w="0" w:type="dxa"/>
              <w:bottom w:w="40" w:type="dxa"/>
              <w:right w:w="20" w:type="dxa"/>
            </w:tcMar>
            <w:vAlign w:val="bottom"/>
          </w:tcPr>
          <w:p w14:paraId="6429947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80"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81" w14:textId="77777777" w:rsidR="007B6C97" w:rsidRDefault="00E426D1">
            <w:pPr>
              <w:jc w:val="right"/>
              <w:textAlignment w:val="bottom"/>
            </w:pPr>
            <w:r>
              <w:rPr>
                <w:rFonts w:ascii="Times New Roman" w:eastAsia="宋体" w:hAnsi="Times New Roman"/>
                <w:color w:val="000000"/>
                <w:sz w:val="20"/>
                <w:szCs w:val="20"/>
              </w:rPr>
              <w:t>733.8 </w:t>
            </w:r>
          </w:p>
        </w:tc>
        <w:tc>
          <w:tcPr>
            <w:tcW w:w="0" w:type="auto"/>
            <w:shd w:val="clear" w:color="auto" w:fill="FFFFFF"/>
            <w:tcMar>
              <w:top w:w="40" w:type="dxa"/>
              <w:left w:w="0" w:type="dxa"/>
              <w:bottom w:w="40" w:type="dxa"/>
              <w:right w:w="20" w:type="dxa"/>
            </w:tcMar>
            <w:vAlign w:val="bottom"/>
          </w:tcPr>
          <w:p w14:paraId="6429948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8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84" w14:textId="77777777" w:rsidR="007B6C97" w:rsidRDefault="00E426D1">
            <w:pPr>
              <w:jc w:val="right"/>
              <w:textAlignment w:val="bottom"/>
            </w:pPr>
            <w:r>
              <w:rPr>
                <w:rFonts w:ascii="Times New Roman" w:eastAsia="宋体" w:hAnsi="Times New Roman"/>
                <w:color w:val="000000"/>
                <w:sz w:val="20"/>
                <w:szCs w:val="20"/>
              </w:rPr>
              <w:t>151.4 </w:t>
            </w:r>
          </w:p>
        </w:tc>
        <w:tc>
          <w:tcPr>
            <w:tcW w:w="0" w:type="auto"/>
            <w:shd w:val="clear" w:color="auto" w:fill="FFFFFF"/>
            <w:tcMar>
              <w:top w:w="40" w:type="dxa"/>
              <w:left w:w="0" w:type="dxa"/>
              <w:bottom w:w="40" w:type="dxa"/>
              <w:right w:w="20" w:type="dxa"/>
            </w:tcMar>
            <w:vAlign w:val="bottom"/>
          </w:tcPr>
          <w:p w14:paraId="6429948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8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87" w14:textId="77777777" w:rsidR="007B6C97" w:rsidRDefault="00E426D1">
            <w:pPr>
              <w:jc w:val="right"/>
              <w:textAlignment w:val="bottom"/>
            </w:pPr>
            <w:r>
              <w:rPr>
                <w:rFonts w:ascii="Times New Roman" w:eastAsia="宋体" w:hAnsi="Times New Roman"/>
                <w:color w:val="000000"/>
                <w:sz w:val="20"/>
                <w:szCs w:val="20"/>
              </w:rPr>
              <w:t>65.1 </w:t>
            </w:r>
          </w:p>
        </w:tc>
        <w:tc>
          <w:tcPr>
            <w:tcW w:w="0" w:type="auto"/>
            <w:shd w:val="clear" w:color="auto" w:fill="FFFFFF"/>
            <w:tcMar>
              <w:top w:w="40" w:type="dxa"/>
              <w:left w:w="0" w:type="dxa"/>
              <w:bottom w:w="40" w:type="dxa"/>
              <w:right w:w="20" w:type="dxa"/>
            </w:tcMar>
            <w:vAlign w:val="bottom"/>
          </w:tcPr>
          <w:p w14:paraId="6429948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48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8A" w14:textId="77777777" w:rsidR="007B6C97" w:rsidRDefault="00E426D1">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6429948B" w14:textId="77777777" w:rsidR="007B6C97" w:rsidRDefault="00E426D1">
            <w:pPr>
              <w:jc w:val="right"/>
              <w:textAlignment w:val="bottom"/>
            </w:pPr>
            <w:r>
              <w:rPr>
                <w:rFonts w:ascii="Times New Roman" w:eastAsia="宋体" w:hAnsi="Times New Roman"/>
                <w:color w:val="000000"/>
                <w:sz w:val="20"/>
                <w:szCs w:val="20"/>
              </w:rPr>
              <w:t>%</w:t>
            </w:r>
          </w:p>
        </w:tc>
      </w:tr>
      <w:tr w:rsidR="00E426D1" w14:paraId="642994AB" w14:textId="77777777">
        <w:tc>
          <w:tcPr>
            <w:tcW w:w="0" w:type="auto"/>
            <w:gridSpan w:val="3"/>
            <w:shd w:val="clear" w:color="auto" w:fill="D7E4BC"/>
            <w:tcMar>
              <w:top w:w="40" w:type="dxa"/>
              <w:left w:w="20" w:type="dxa"/>
              <w:bottom w:w="40" w:type="dxa"/>
              <w:right w:w="20" w:type="dxa"/>
            </w:tcMar>
          </w:tcPr>
          <w:p w14:paraId="6429948D"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429948E" w14:textId="77777777" w:rsidR="007B6C97" w:rsidRDefault="00E426D1">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6429948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91" w14:textId="77777777" w:rsidR="007B6C97" w:rsidRDefault="00E426D1">
            <w:pPr>
              <w:jc w:val="right"/>
              <w:textAlignment w:val="bottom"/>
            </w:pPr>
            <w:r>
              <w:rPr>
                <w:rFonts w:ascii="Times New Roman" w:eastAsia="宋体" w:hAnsi="Times New Roman"/>
                <w:color w:val="000000"/>
                <w:sz w:val="20"/>
                <w:szCs w:val="20"/>
              </w:rPr>
              <w:t>(9.9)</w:t>
            </w:r>
          </w:p>
        </w:tc>
        <w:tc>
          <w:tcPr>
            <w:tcW w:w="0" w:type="auto"/>
            <w:shd w:val="clear" w:color="auto" w:fill="D7E4BC"/>
            <w:tcMar>
              <w:top w:w="40" w:type="dxa"/>
              <w:left w:w="0" w:type="dxa"/>
              <w:bottom w:w="40" w:type="dxa"/>
              <w:right w:w="20" w:type="dxa"/>
            </w:tcMar>
            <w:vAlign w:val="bottom"/>
          </w:tcPr>
          <w:p w14:paraId="6429949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94" w14:textId="77777777" w:rsidR="007B6C97" w:rsidRDefault="00E426D1">
            <w:pPr>
              <w:jc w:val="right"/>
              <w:textAlignment w:val="bottom"/>
            </w:pPr>
            <w:r>
              <w:rPr>
                <w:rFonts w:ascii="Times New Roman" w:eastAsia="宋体" w:hAnsi="Times New Roman"/>
                <w:color w:val="000000"/>
                <w:sz w:val="20"/>
                <w:szCs w:val="20"/>
              </w:rPr>
              <w:t>23.5 </w:t>
            </w:r>
          </w:p>
        </w:tc>
        <w:tc>
          <w:tcPr>
            <w:tcW w:w="0" w:type="auto"/>
            <w:shd w:val="clear" w:color="auto" w:fill="D7E4BC"/>
            <w:tcMar>
              <w:top w:w="40" w:type="dxa"/>
              <w:left w:w="0" w:type="dxa"/>
              <w:bottom w:w="40" w:type="dxa"/>
              <w:right w:w="20" w:type="dxa"/>
            </w:tcMar>
            <w:vAlign w:val="bottom"/>
          </w:tcPr>
          <w:p w14:paraId="6429949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97"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6429949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9A" w14:textId="77777777" w:rsidR="007B6C97" w:rsidRDefault="00E426D1">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6429949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9D" w14:textId="77777777" w:rsidR="007B6C97" w:rsidRDefault="00E426D1">
            <w:pPr>
              <w:jc w:val="right"/>
              <w:textAlignment w:val="bottom"/>
            </w:pPr>
            <w:r>
              <w:rPr>
                <w:rFonts w:ascii="Times New Roman" w:eastAsia="宋体" w:hAnsi="Times New Roman"/>
                <w:color w:val="000000"/>
                <w:sz w:val="20"/>
                <w:szCs w:val="20"/>
              </w:rPr>
              <w:t>35.7 </w:t>
            </w:r>
          </w:p>
        </w:tc>
        <w:tc>
          <w:tcPr>
            <w:tcW w:w="0" w:type="auto"/>
            <w:shd w:val="clear" w:color="auto" w:fill="D7E4BC"/>
            <w:tcMar>
              <w:top w:w="40" w:type="dxa"/>
              <w:left w:w="0" w:type="dxa"/>
              <w:bottom w:w="40" w:type="dxa"/>
              <w:right w:w="20" w:type="dxa"/>
            </w:tcMar>
            <w:vAlign w:val="bottom"/>
          </w:tcPr>
          <w:p w14:paraId="6429949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9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A0" w14:textId="77777777" w:rsidR="007B6C97" w:rsidRDefault="00E426D1">
            <w:pPr>
              <w:jc w:val="right"/>
              <w:textAlignment w:val="bottom"/>
            </w:pPr>
            <w:r>
              <w:rPr>
                <w:rFonts w:ascii="Times New Roman" w:eastAsia="宋体" w:hAnsi="Times New Roman"/>
                <w:color w:val="000000"/>
                <w:sz w:val="20"/>
                <w:szCs w:val="20"/>
              </w:rPr>
              <w:t>14.2 </w:t>
            </w:r>
          </w:p>
        </w:tc>
        <w:tc>
          <w:tcPr>
            <w:tcW w:w="0" w:type="auto"/>
            <w:shd w:val="clear" w:color="auto" w:fill="D7E4BC"/>
            <w:tcMar>
              <w:top w:w="40" w:type="dxa"/>
              <w:left w:w="0" w:type="dxa"/>
              <w:bottom w:w="40" w:type="dxa"/>
              <w:right w:w="20" w:type="dxa"/>
            </w:tcMar>
            <w:vAlign w:val="bottom"/>
          </w:tcPr>
          <w:p w14:paraId="642994A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A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A3" w14:textId="77777777" w:rsidR="007B6C97" w:rsidRDefault="00E426D1">
            <w:pPr>
              <w:jc w:val="right"/>
              <w:textAlignment w:val="bottom"/>
            </w:pPr>
            <w:r>
              <w:rPr>
                <w:rFonts w:ascii="Times New Roman" w:eastAsia="宋体" w:hAnsi="Times New Roman"/>
                <w:color w:val="000000"/>
                <w:sz w:val="20"/>
                <w:szCs w:val="20"/>
              </w:rPr>
              <w:t>21.5 </w:t>
            </w:r>
          </w:p>
        </w:tc>
        <w:tc>
          <w:tcPr>
            <w:tcW w:w="0" w:type="auto"/>
            <w:shd w:val="clear" w:color="auto" w:fill="D7E4BC"/>
            <w:tcMar>
              <w:top w:w="40" w:type="dxa"/>
              <w:left w:w="0" w:type="dxa"/>
              <w:bottom w:w="40" w:type="dxa"/>
              <w:right w:w="20" w:type="dxa"/>
            </w:tcMar>
            <w:vAlign w:val="bottom"/>
          </w:tcPr>
          <w:p w14:paraId="642994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A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A6" w14:textId="77777777" w:rsidR="007B6C97" w:rsidRDefault="00E426D1">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642994A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A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A9" w14:textId="77777777" w:rsidR="007B6C97" w:rsidRDefault="00E426D1">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642994AA" w14:textId="77777777" w:rsidR="007B6C97" w:rsidRDefault="007B6C97">
            <w:pPr>
              <w:jc w:val="right"/>
              <w:rPr>
                <w:rFonts w:ascii="宋体"/>
              </w:rPr>
            </w:pPr>
          </w:p>
        </w:tc>
      </w:tr>
      <w:tr w:rsidR="00E426D1" w14:paraId="642994CA" w14:textId="77777777">
        <w:tc>
          <w:tcPr>
            <w:tcW w:w="0" w:type="auto"/>
            <w:gridSpan w:val="3"/>
            <w:shd w:val="clear" w:color="auto" w:fill="FFFFFF"/>
            <w:tcMar>
              <w:top w:w="40" w:type="dxa"/>
              <w:left w:w="20" w:type="dxa"/>
              <w:bottom w:w="40" w:type="dxa"/>
              <w:right w:w="20" w:type="dxa"/>
            </w:tcMar>
          </w:tcPr>
          <w:p w14:paraId="642994AC"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42994AD"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4A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A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0" w14:textId="77777777" w:rsidR="007B6C97" w:rsidRDefault="00E426D1">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642994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B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3" w14:textId="77777777" w:rsidR="007B6C97" w:rsidRDefault="00E426D1">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642994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B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4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B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9"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4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B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C"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42994B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B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BF" w14:textId="77777777" w:rsidR="007B6C97" w:rsidRDefault="00E426D1">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42994C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C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C2" w14:textId="77777777" w:rsidR="007B6C97" w:rsidRDefault="00E426D1">
            <w:pPr>
              <w:jc w:val="right"/>
              <w:textAlignment w:val="bottom"/>
            </w:pPr>
            <w:r>
              <w:rPr>
                <w:rFonts w:ascii="Times New Roman" w:eastAsia="宋体" w:hAnsi="Times New Roman"/>
                <w:color w:val="000000"/>
                <w:sz w:val="20"/>
                <w:szCs w:val="20"/>
              </w:rPr>
              <w:t>(0.8)</w:t>
            </w:r>
          </w:p>
        </w:tc>
        <w:tc>
          <w:tcPr>
            <w:tcW w:w="0" w:type="auto"/>
            <w:shd w:val="clear" w:color="auto" w:fill="FFFFFF"/>
            <w:tcMar>
              <w:top w:w="40" w:type="dxa"/>
              <w:left w:w="0" w:type="dxa"/>
              <w:bottom w:w="40" w:type="dxa"/>
              <w:right w:w="20" w:type="dxa"/>
            </w:tcMar>
            <w:vAlign w:val="bottom"/>
          </w:tcPr>
          <w:p w14:paraId="642994C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C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C5"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4C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C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4C8" w14:textId="77777777" w:rsidR="007B6C97" w:rsidRDefault="00E426D1">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42994C9" w14:textId="77777777" w:rsidR="007B6C97" w:rsidRDefault="007B6C97">
            <w:pPr>
              <w:jc w:val="right"/>
              <w:rPr>
                <w:rFonts w:ascii="宋体"/>
              </w:rPr>
            </w:pPr>
          </w:p>
        </w:tc>
      </w:tr>
      <w:tr w:rsidR="00E426D1" w14:paraId="642994E9" w14:textId="77777777">
        <w:tc>
          <w:tcPr>
            <w:tcW w:w="0" w:type="auto"/>
            <w:gridSpan w:val="3"/>
            <w:shd w:val="clear" w:color="auto" w:fill="D7E4BC"/>
            <w:tcMar>
              <w:top w:w="40" w:type="dxa"/>
              <w:left w:w="20" w:type="dxa"/>
              <w:bottom w:w="40" w:type="dxa"/>
              <w:right w:w="20" w:type="dxa"/>
            </w:tcMar>
          </w:tcPr>
          <w:p w14:paraId="642994CB"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42994CC" w14:textId="77777777" w:rsidR="007B6C97" w:rsidRDefault="00E426D1">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642994C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C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CF" w14:textId="77777777" w:rsidR="007B6C97" w:rsidRDefault="00E426D1">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642994D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D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D2" w14:textId="77777777" w:rsidR="007B6C97" w:rsidRDefault="00E426D1">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42994D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D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D5" w14:textId="77777777" w:rsidR="007B6C97" w:rsidRDefault="00E426D1">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642994D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D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D8" w14:textId="77777777" w:rsidR="007B6C97" w:rsidRDefault="00E426D1">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42994D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D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DB" w14:textId="77777777" w:rsidR="007B6C97" w:rsidRDefault="00E426D1">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642994D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D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DE" w14:textId="77777777" w:rsidR="007B6C97" w:rsidRDefault="00E426D1">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42994D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E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E1" w14:textId="77777777" w:rsidR="007B6C97" w:rsidRDefault="00E426D1">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42994E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E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E4" w14:textId="77777777" w:rsidR="007B6C97" w:rsidRDefault="00E426D1">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42994E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4E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4E7" w14:textId="77777777" w:rsidR="007B6C97" w:rsidRDefault="00E426D1">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42994E8" w14:textId="77777777" w:rsidR="007B6C97" w:rsidRDefault="007B6C97">
            <w:pPr>
              <w:jc w:val="right"/>
              <w:rPr>
                <w:rFonts w:ascii="宋体"/>
              </w:rPr>
            </w:pPr>
          </w:p>
        </w:tc>
      </w:tr>
      <w:tr w:rsidR="00E426D1" w14:paraId="64299508" w14:textId="77777777">
        <w:tc>
          <w:tcPr>
            <w:tcW w:w="0" w:type="auto"/>
            <w:gridSpan w:val="3"/>
            <w:shd w:val="clear" w:color="auto" w:fill="FFFFFF"/>
            <w:tcMar>
              <w:top w:w="40" w:type="dxa"/>
              <w:left w:w="20" w:type="dxa"/>
              <w:bottom w:w="40" w:type="dxa"/>
              <w:right w:w="20" w:type="dxa"/>
            </w:tcMar>
          </w:tcPr>
          <w:p w14:paraId="642994EA"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EB" w14:textId="77777777" w:rsidR="007B6C97" w:rsidRDefault="00E426D1">
            <w:pPr>
              <w:jc w:val="right"/>
              <w:textAlignment w:val="bottom"/>
            </w:pPr>
            <w:r>
              <w:rPr>
                <w:rFonts w:ascii="Times New Roman" w:eastAsia="宋体" w:hAnsi="Times New Roman"/>
                <w:color w:val="000000"/>
                <w:sz w:val="20"/>
                <w:szCs w:val="20"/>
              </w:rPr>
              <w:t>341.7 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E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ED"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EE" w14:textId="77777777" w:rsidR="007B6C97" w:rsidRDefault="00E426D1">
            <w:pPr>
              <w:jc w:val="right"/>
              <w:textAlignment w:val="bottom"/>
            </w:pPr>
            <w:r>
              <w:rPr>
                <w:rFonts w:ascii="Times New Roman" w:eastAsia="宋体" w:hAnsi="Times New Roman"/>
                <w:color w:val="000000"/>
                <w:sz w:val="20"/>
                <w:szCs w:val="20"/>
              </w:rPr>
              <w:t>261.5 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E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0"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F1" w14:textId="77777777" w:rsidR="007B6C97" w:rsidRDefault="00E426D1">
            <w:pPr>
              <w:jc w:val="right"/>
              <w:textAlignment w:val="bottom"/>
            </w:pPr>
            <w:r>
              <w:rPr>
                <w:rFonts w:ascii="Times New Roman" w:eastAsia="宋体" w:hAnsi="Times New Roman"/>
                <w:color w:val="000000"/>
                <w:sz w:val="20"/>
                <w:szCs w:val="20"/>
              </w:rPr>
              <w:t>80.2 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F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3"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F4" w14:textId="77777777" w:rsidR="007B6C97" w:rsidRDefault="00E426D1">
            <w:pPr>
              <w:jc w:val="right"/>
              <w:textAlignment w:val="bottom"/>
            </w:pPr>
            <w:r>
              <w:rPr>
                <w:rFonts w:ascii="Times New Roman" w:eastAsia="宋体" w:hAnsi="Times New Roman"/>
                <w:color w:val="000000"/>
                <w:sz w:val="20"/>
                <w:szCs w:val="20"/>
              </w:rPr>
              <w:t>71.2 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F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6"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F7" w14:textId="77777777" w:rsidR="007B6C97" w:rsidRDefault="00E426D1">
            <w:pPr>
              <w:jc w:val="right"/>
              <w:textAlignment w:val="bottom"/>
            </w:pPr>
            <w:r>
              <w:rPr>
                <w:rFonts w:ascii="Times New Roman" w:eastAsia="宋体" w:hAnsi="Times New Roman"/>
                <w:color w:val="000000"/>
                <w:sz w:val="20"/>
                <w:szCs w:val="20"/>
              </w:rPr>
              <w:t>63.2 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F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9"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FA" w14:textId="77777777" w:rsidR="007B6C97" w:rsidRDefault="00E426D1">
            <w:pPr>
              <w:jc w:val="right"/>
              <w:textAlignment w:val="bottom"/>
            </w:pPr>
            <w:r>
              <w:rPr>
                <w:rFonts w:ascii="Times New Roman" w:eastAsia="宋体" w:hAnsi="Times New Roman"/>
                <w:color w:val="000000"/>
                <w:sz w:val="20"/>
                <w:szCs w:val="20"/>
              </w:rPr>
              <w:t>929.1 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F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4FD" w14:textId="77777777" w:rsidR="007B6C97" w:rsidRDefault="00E426D1">
            <w:pPr>
              <w:jc w:val="right"/>
              <w:textAlignment w:val="bottom"/>
            </w:pPr>
            <w:r>
              <w:rPr>
                <w:rFonts w:ascii="Times New Roman" w:eastAsia="宋体" w:hAnsi="Times New Roman"/>
                <w:color w:val="000000"/>
                <w:sz w:val="20"/>
                <w:szCs w:val="20"/>
              </w:rPr>
              <w:t>756.3 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4F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4F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500" w14:textId="77777777" w:rsidR="007B6C97" w:rsidRDefault="00E426D1">
            <w:pPr>
              <w:jc w:val="right"/>
              <w:textAlignment w:val="bottom"/>
            </w:pPr>
            <w:r>
              <w:rPr>
                <w:rFonts w:ascii="Times New Roman" w:eastAsia="宋体" w:hAnsi="Times New Roman"/>
                <w:color w:val="000000"/>
                <w:sz w:val="20"/>
                <w:szCs w:val="20"/>
              </w:rPr>
              <w:t>172.8 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50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0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503" w14:textId="77777777" w:rsidR="007B6C97" w:rsidRDefault="00E426D1">
            <w:pPr>
              <w:jc w:val="right"/>
              <w:textAlignment w:val="bottom"/>
            </w:pPr>
            <w:r>
              <w:rPr>
                <w:rFonts w:ascii="Times New Roman" w:eastAsia="宋体" w:hAnsi="Times New Roman"/>
                <w:color w:val="000000"/>
                <w:sz w:val="20"/>
                <w:szCs w:val="20"/>
              </w:rPr>
              <w:t>68.3 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50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05"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506" w14:textId="77777777" w:rsidR="007B6C97" w:rsidRDefault="00E426D1">
            <w:pPr>
              <w:jc w:val="right"/>
              <w:textAlignment w:val="bottom"/>
            </w:pPr>
            <w:r>
              <w:rPr>
                <w:rFonts w:ascii="Times New Roman" w:eastAsia="宋体" w:hAnsi="Times New Roman"/>
                <w:color w:val="000000"/>
                <w:sz w:val="20"/>
                <w:szCs w:val="20"/>
              </w:rPr>
              <w:t>65.5 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507" w14:textId="77777777" w:rsidR="007B6C97" w:rsidRDefault="007B6C97">
            <w:pPr>
              <w:jc w:val="right"/>
              <w:rPr>
                <w:rFonts w:ascii="宋体"/>
              </w:rPr>
            </w:pPr>
          </w:p>
        </w:tc>
      </w:tr>
      <w:tr w:rsidR="00E426D1" w14:paraId="64299527" w14:textId="77777777">
        <w:tc>
          <w:tcPr>
            <w:tcW w:w="0" w:type="auto"/>
            <w:gridSpan w:val="3"/>
            <w:shd w:val="clear" w:color="auto" w:fill="D7E4BC"/>
            <w:tcMar>
              <w:top w:w="40" w:type="dxa"/>
              <w:left w:w="20" w:type="dxa"/>
              <w:bottom w:w="40" w:type="dxa"/>
              <w:right w:w="20" w:type="dxa"/>
            </w:tcMar>
          </w:tcPr>
          <w:p w14:paraId="64299509" w14:textId="77777777" w:rsidR="007B6C97" w:rsidRDefault="00E426D1">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6429950A" w14:textId="77777777" w:rsidR="007B6C97" w:rsidRDefault="00E426D1">
            <w:pPr>
              <w:jc w:val="right"/>
              <w:textAlignment w:val="bottom"/>
            </w:pPr>
            <w:r>
              <w:rPr>
                <w:rFonts w:ascii="Times New Roman" w:eastAsia="宋体" w:hAnsi="Times New Roman"/>
                <w:color w:val="000000"/>
                <w:sz w:val="20"/>
                <w:szCs w:val="20"/>
              </w:rPr>
              <w:t>53.7 </w:t>
            </w:r>
          </w:p>
        </w:tc>
        <w:tc>
          <w:tcPr>
            <w:tcW w:w="0" w:type="auto"/>
            <w:shd w:val="clear" w:color="auto" w:fill="D7E4BC"/>
            <w:tcMar>
              <w:top w:w="40" w:type="dxa"/>
              <w:left w:w="0" w:type="dxa"/>
              <w:bottom w:w="40" w:type="dxa"/>
              <w:right w:w="20" w:type="dxa"/>
            </w:tcMar>
            <w:vAlign w:val="bottom"/>
          </w:tcPr>
          <w:p w14:paraId="6429950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0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0D" w14:textId="77777777" w:rsidR="007B6C97" w:rsidRDefault="00E426D1">
            <w:pPr>
              <w:jc w:val="right"/>
              <w:textAlignment w:val="bottom"/>
            </w:pPr>
            <w:r>
              <w:rPr>
                <w:rFonts w:ascii="Times New Roman" w:eastAsia="宋体" w:hAnsi="Times New Roman"/>
                <w:color w:val="000000"/>
                <w:sz w:val="20"/>
                <w:szCs w:val="20"/>
              </w:rPr>
              <w:t>63.5 </w:t>
            </w:r>
          </w:p>
        </w:tc>
        <w:tc>
          <w:tcPr>
            <w:tcW w:w="0" w:type="auto"/>
            <w:shd w:val="clear" w:color="auto" w:fill="D7E4BC"/>
            <w:tcMar>
              <w:top w:w="40" w:type="dxa"/>
              <w:left w:w="0" w:type="dxa"/>
              <w:bottom w:w="40" w:type="dxa"/>
              <w:right w:w="20" w:type="dxa"/>
            </w:tcMar>
            <w:vAlign w:val="bottom"/>
          </w:tcPr>
          <w:p w14:paraId="6429950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0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0" w14:textId="77777777" w:rsidR="007B6C97" w:rsidRDefault="00E426D1">
            <w:pPr>
              <w:jc w:val="right"/>
              <w:textAlignment w:val="bottom"/>
            </w:pPr>
            <w:r>
              <w:rPr>
                <w:rFonts w:ascii="Times New Roman" w:eastAsia="宋体" w:hAnsi="Times New Roman"/>
                <w:color w:val="000000"/>
                <w:sz w:val="20"/>
                <w:szCs w:val="20"/>
              </w:rPr>
              <w:t>(9.8)</w:t>
            </w:r>
          </w:p>
        </w:tc>
        <w:tc>
          <w:tcPr>
            <w:tcW w:w="0" w:type="auto"/>
            <w:shd w:val="clear" w:color="auto" w:fill="D7E4BC"/>
            <w:tcMar>
              <w:top w:w="40" w:type="dxa"/>
              <w:left w:w="0" w:type="dxa"/>
              <w:bottom w:w="40" w:type="dxa"/>
              <w:right w:w="20" w:type="dxa"/>
            </w:tcMar>
            <w:vAlign w:val="bottom"/>
          </w:tcPr>
          <w:p w14:paraId="6429951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1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3" w14:textId="77777777" w:rsidR="007B6C97" w:rsidRDefault="00E426D1">
            <w:pPr>
              <w:jc w:val="right"/>
              <w:textAlignment w:val="bottom"/>
            </w:pPr>
            <w:r>
              <w:rPr>
                <w:rFonts w:ascii="Times New Roman" w:eastAsia="宋体" w:hAnsi="Times New Roman"/>
                <w:color w:val="000000"/>
                <w:sz w:val="20"/>
                <w:szCs w:val="20"/>
              </w:rPr>
              <w:t>11.2 </w:t>
            </w:r>
          </w:p>
        </w:tc>
        <w:tc>
          <w:tcPr>
            <w:tcW w:w="0" w:type="auto"/>
            <w:shd w:val="clear" w:color="auto" w:fill="D7E4BC"/>
            <w:tcMar>
              <w:top w:w="40" w:type="dxa"/>
              <w:left w:w="0" w:type="dxa"/>
              <w:bottom w:w="40" w:type="dxa"/>
              <w:right w:w="20" w:type="dxa"/>
            </w:tcMar>
            <w:vAlign w:val="bottom"/>
          </w:tcPr>
          <w:p w14:paraId="6429951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1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6" w14:textId="77777777" w:rsidR="007B6C97" w:rsidRDefault="00E426D1">
            <w:pPr>
              <w:jc w:val="right"/>
              <w:textAlignment w:val="bottom"/>
            </w:pPr>
            <w:r>
              <w:rPr>
                <w:rFonts w:ascii="Times New Roman" w:eastAsia="宋体" w:hAnsi="Times New Roman"/>
                <w:color w:val="000000"/>
                <w:sz w:val="20"/>
                <w:szCs w:val="20"/>
              </w:rPr>
              <w:t>15.3 </w:t>
            </w:r>
          </w:p>
        </w:tc>
        <w:tc>
          <w:tcPr>
            <w:tcW w:w="0" w:type="auto"/>
            <w:shd w:val="clear" w:color="auto" w:fill="D7E4BC"/>
            <w:tcMar>
              <w:top w:w="40" w:type="dxa"/>
              <w:left w:w="0" w:type="dxa"/>
              <w:bottom w:w="40" w:type="dxa"/>
              <w:right w:w="20" w:type="dxa"/>
            </w:tcMar>
            <w:vAlign w:val="bottom"/>
          </w:tcPr>
          <w:p w14:paraId="6429951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1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9" w14:textId="77777777" w:rsidR="007B6C97" w:rsidRDefault="00E426D1">
            <w:pPr>
              <w:jc w:val="right"/>
              <w:textAlignment w:val="bottom"/>
            </w:pPr>
            <w:r>
              <w:rPr>
                <w:rFonts w:ascii="Times New Roman" w:eastAsia="宋体" w:hAnsi="Times New Roman"/>
                <w:color w:val="000000"/>
                <w:sz w:val="20"/>
                <w:szCs w:val="20"/>
              </w:rPr>
              <w:t>141.9 </w:t>
            </w:r>
          </w:p>
        </w:tc>
        <w:tc>
          <w:tcPr>
            <w:tcW w:w="0" w:type="auto"/>
            <w:shd w:val="clear" w:color="auto" w:fill="D7E4BC"/>
            <w:tcMar>
              <w:top w:w="40" w:type="dxa"/>
              <w:left w:w="0" w:type="dxa"/>
              <w:bottom w:w="40" w:type="dxa"/>
              <w:right w:w="20" w:type="dxa"/>
            </w:tcMar>
            <w:vAlign w:val="bottom"/>
          </w:tcPr>
          <w:p w14:paraId="6429951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1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C" w14:textId="77777777" w:rsidR="007B6C97" w:rsidRDefault="00E426D1">
            <w:pPr>
              <w:jc w:val="right"/>
              <w:textAlignment w:val="bottom"/>
            </w:pPr>
            <w:r>
              <w:rPr>
                <w:rFonts w:ascii="Times New Roman" w:eastAsia="宋体" w:hAnsi="Times New Roman"/>
                <w:color w:val="000000"/>
                <w:sz w:val="20"/>
                <w:szCs w:val="20"/>
              </w:rPr>
              <w:t>170.3 </w:t>
            </w:r>
          </w:p>
        </w:tc>
        <w:tc>
          <w:tcPr>
            <w:tcW w:w="0" w:type="auto"/>
            <w:shd w:val="clear" w:color="auto" w:fill="D7E4BC"/>
            <w:tcMar>
              <w:top w:w="40" w:type="dxa"/>
              <w:left w:w="0" w:type="dxa"/>
              <w:bottom w:w="40" w:type="dxa"/>
              <w:right w:w="20" w:type="dxa"/>
            </w:tcMar>
            <w:vAlign w:val="bottom"/>
          </w:tcPr>
          <w:p w14:paraId="6429951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1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1F" w14:textId="77777777" w:rsidR="007B6C97" w:rsidRDefault="00E426D1">
            <w:pPr>
              <w:jc w:val="right"/>
              <w:textAlignment w:val="bottom"/>
            </w:pPr>
            <w:r>
              <w:rPr>
                <w:rFonts w:ascii="Times New Roman" w:eastAsia="宋体" w:hAnsi="Times New Roman"/>
                <w:color w:val="000000"/>
                <w:sz w:val="20"/>
                <w:szCs w:val="20"/>
              </w:rPr>
              <w:t>(28.4)</w:t>
            </w:r>
          </w:p>
        </w:tc>
        <w:tc>
          <w:tcPr>
            <w:tcW w:w="0" w:type="auto"/>
            <w:shd w:val="clear" w:color="auto" w:fill="D7E4BC"/>
            <w:tcMar>
              <w:top w:w="40" w:type="dxa"/>
              <w:left w:w="0" w:type="dxa"/>
              <w:bottom w:w="40" w:type="dxa"/>
              <w:right w:w="20" w:type="dxa"/>
            </w:tcMar>
            <w:vAlign w:val="bottom"/>
          </w:tcPr>
          <w:p w14:paraId="6429952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2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22" w14:textId="77777777" w:rsidR="007B6C97" w:rsidRDefault="00E426D1">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6429952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2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525" w14:textId="77777777" w:rsidR="007B6C97" w:rsidRDefault="00E426D1">
            <w:pPr>
              <w:jc w:val="right"/>
              <w:textAlignment w:val="bottom"/>
            </w:pPr>
            <w:r>
              <w:rPr>
                <w:rFonts w:ascii="Times New Roman" w:eastAsia="宋体" w:hAnsi="Times New Roman"/>
                <w:color w:val="000000"/>
                <w:sz w:val="20"/>
                <w:szCs w:val="20"/>
              </w:rPr>
              <w:t>14.7 </w:t>
            </w:r>
          </w:p>
        </w:tc>
        <w:tc>
          <w:tcPr>
            <w:tcW w:w="0" w:type="auto"/>
            <w:shd w:val="clear" w:color="auto" w:fill="D7E4BC"/>
            <w:tcMar>
              <w:top w:w="40" w:type="dxa"/>
              <w:left w:w="0" w:type="dxa"/>
              <w:bottom w:w="40" w:type="dxa"/>
              <w:right w:w="20" w:type="dxa"/>
            </w:tcMar>
            <w:vAlign w:val="bottom"/>
          </w:tcPr>
          <w:p w14:paraId="64299526" w14:textId="77777777" w:rsidR="007B6C97" w:rsidRDefault="007B6C97">
            <w:pPr>
              <w:jc w:val="right"/>
              <w:rPr>
                <w:rFonts w:ascii="宋体"/>
              </w:rPr>
            </w:pPr>
          </w:p>
        </w:tc>
      </w:tr>
      <w:tr w:rsidR="00E426D1" w14:paraId="6429954C" w14:textId="77777777">
        <w:tc>
          <w:tcPr>
            <w:tcW w:w="0" w:type="auto"/>
            <w:gridSpan w:val="3"/>
            <w:shd w:val="clear" w:color="auto" w:fill="FFFFFF"/>
            <w:tcMar>
              <w:top w:w="40" w:type="dxa"/>
              <w:left w:w="380" w:type="dxa"/>
              <w:bottom w:w="40" w:type="dxa"/>
              <w:right w:w="20" w:type="dxa"/>
            </w:tcMar>
          </w:tcPr>
          <w:p w14:paraId="64299528" w14:textId="77777777" w:rsidR="007B6C97" w:rsidRDefault="00E426D1">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FFFFFF"/>
            <w:tcMar>
              <w:top w:w="40" w:type="dxa"/>
              <w:left w:w="20" w:type="dxa"/>
              <w:bottom w:w="40" w:type="dxa"/>
              <w:right w:w="0" w:type="dxa"/>
            </w:tcMar>
            <w:vAlign w:val="bottom"/>
          </w:tcPr>
          <w:p w14:paraId="64299529"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2A" w14:textId="77777777" w:rsidR="007B6C97" w:rsidRDefault="00E426D1">
            <w:pPr>
              <w:jc w:val="right"/>
              <w:textAlignment w:val="bottom"/>
            </w:pPr>
            <w:r>
              <w:rPr>
                <w:rFonts w:ascii="Times New Roman" w:eastAsia="宋体" w:hAnsi="Times New Roman"/>
                <w:b/>
                <w:bCs/>
                <w:color w:val="000000"/>
                <w:sz w:val="20"/>
                <w:szCs w:val="20"/>
              </w:rPr>
              <w:t>191.7</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2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2C"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952D"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2E" w14:textId="77777777" w:rsidR="007B6C97" w:rsidRDefault="00E426D1">
            <w:pPr>
              <w:jc w:val="right"/>
              <w:textAlignment w:val="bottom"/>
            </w:pPr>
            <w:r>
              <w:rPr>
                <w:rFonts w:ascii="Times New Roman" w:eastAsia="宋体" w:hAnsi="Times New Roman"/>
                <w:b/>
                <w:bCs/>
                <w:color w:val="000000"/>
                <w:sz w:val="20"/>
                <w:szCs w:val="20"/>
              </w:rPr>
              <w:t>216.0</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2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30"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9531"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32" w14:textId="77777777" w:rsidR="007B6C97" w:rsidRDefault="00E426D1">
            <w:pPr>
              <w:jc w:val="right"/>
              <w:textAlignment w:val="bottom"/>
            </w:pPr>
            <w:r>
              <w:rPr>
                <w:rFonts w:ascii="Times New Roman" w:eastAsia="宋体" w:hAnsi="Times New Roman"/>
                <w:b/>
                <w:bCs/>
                <w:color w:val="000000"/>
                <w:sz w:val="20"/>
                <w:szCs w:val="20"/>
              </w:rPr>
              <w:t>(24.3)</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3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34"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535" w14:textId="77777777" w:rsidR="007B6C97" w:rsidRDefault="00E426D1">
            <w:pPr>
              <w:jc w:val="right"/>
              <w:textAlignment w:val="bottom"/>
            </w:pPr>
            <w:r>
              <w:rPr>
                <w:rFonts w:ascii="Times New Roman" w:eastAsia="宋体" w:hAnsi="Times New Roman"/>
                <w:b/>
                <w:bCs/>
                <w:color w:val="000000"/>
                <w:sz w:val="20"/>
                <w:szCs w:val="20"/>
              </w:rPr>
              <w:t>40.0</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36"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537"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538" w14:textId="77777777" w:rsidR="007B6C97" w:rsidRDefault="00E426D1">
            <w:pPr>
              <w:jc w:val="right"/>
              <w:textAlignment w:val="bottom"/>
            </w:pPr>
            <w:r>
              <w:rPr>
                <w:rFonts w:ascii="Times New Roman" w:eastAsia="宋体" w:hAnsi="Times New Roman"/>
                <w:b/>
                <w:bCs/>
                <w:color w:val="000000"/>
                <w:sz w:val="20"/>
                <w:szCs w:val="20"/>
              </w:rPr>
              <w:t>52.2</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39"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53A"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953B"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3C" w14:textId="77777777" w:rsidR="007B6C97" w:rsidRDefault="00E426D1">
            <w:pPr>
              <w:jc w:val="right"/>
              <w:textAlignment w:val="bottom"/>
            </w:pPr>
            <w:r>
              <w:rPr>
                <w:rFonts w:ascii="Times New Roman" w:eastAsia="宋体" w:hAnsi="Times New Roman"/>
                <w:b/>
                <w:bCs/>
                <w:color w:val="000000"/>
                <w:sz w:val="20"/>
                <w:szCs w:val="20"/>
              </w:rPr>
              <w:t>572.7</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3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3E"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953F"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40" w14:textId="77777777" w:rsidR="007B6C97" w:rsidRDefault="00E426D1">
            <w:pPr>
              <w:jc w:val="right"/>
              <w:textAlignment w:val="bottom"/>
            </w:pPr>
            <w:r>
              <w:rPr>
                <w:rFonts w:ascii="Times New Roman" w:eastAsia="宋体" w:hAnsi="Times New Roman"/>
                <w:b/>
                <w:bCs/>
                <w:color w:val="000000"/>
                <w:sz w:val="20"/>
                <w:szCs w:val="20"/>
              </w:rPr>
              <w:t>569.3</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4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42" w14:textId="77777777" w:rsidR="007B6C97" w:rsidRDefault="007B6C97">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4299543"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4299544" w14:textId="77777777" w:rsidR="007B6C97" w:rsidRDefault="00E426D1">
            <w:pPr>
              <w:jc w:val="right"/>
              <w:textAlignment w:val="bottom"/>
            </w:pPr>
            <w:r>
              <w:rPr>
                <w:rFonts w:ascii="Times New Roman" w:eastAsia="宋体" w:hAnsi="Times New Roman"/>
                <w:b/>
                <w:bCs/>
                <w:color w:val="000000"/>
                <w:sz w:val="20"/>
                <w:szCs w:val="20"/>
              </w:rPr>
              <w:t>3.4</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4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46"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547" w14:textId="77777777" w:rsidR="007B6C97" w:rsidRDefault="00E426D1">
            <w:pPr>
              <w:jc w:val="right"/>
              <w:textAlignment w:val="bottom"/>
            </w:pPr>
            <w:r>
              <w:rPr>
                <w:rFonts w:ascii="Times New Roman" w:eastAsia="宋体" w:hAnsi="Times New Roman"/>
                <w:b/>
                <w:bCs/>
                <w:color w:val="000000"/>
                <w:sz w:val="20"/>
                <w:szCs w:val="20"/>
              </w:rPr>
              <w:t>42.1</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48"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549" w14:textId="77777777" w:rsidR="007B6C97" w:rsidRDefault="007B6C97">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429954A" w14:textId="77777777" w:rsidR="007B6C97" w:rsidRDefault="00E426D1">
            <w:pPr>
              <w:jc w:val="right"/>
              <w:textAlignment w:val="bottom"/>
            </w:pPr>
            <w:r>
              <w:rPr>
                <w:rFonts w:ascii="Times New Roman" w:eastAsia="宋体" w:hAnsi="Times New Roman"/>
                <w:b/>
                <w:bCs/>
                <w:color w:val="000000"/>
                <w:sz w:val="20"/>
                <w:szCs w:val="20"/>
              </w:rPr>
              <w:t>49.3</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429954B" w14:textId="77777777" w:rsidR="007B6C97" w:rsidRDefault="00E426D1">
            <w:pPr>
              <w:jc w:val="right"/>
              <w:textAlignment w:val="bottom"/>
            </w:pPr>
            <w:r>
              <w:rPr>
                <w:rFonts w:ascii="Times New Roman" w:eastAsia="宋体" w:hAnsi="Times New Roman"/>
                <w:b/>
                <w:bCs/>
                <w:color w:val="000000"/>
                <w:sz w:val="20"/>
                <w:szCs w:val="20"/>
              </w:rPr>
              <w:t>%</w:t>
            </w:r>
          </w:p>
        </w:tc>
      </w:tr>
    </w:tbl>
    <w:p w14:paraId="6429954D" w14:textId="77777777" w:rsidR="007B6C97" w:rsidRDefault="00E426D1">
      <w:pPr>
        <w:spacing w:before="120"/>
      </w:pPr>
      <w:r>
        <w:rPr>
          <w:rFonts w:ascii="Times New Roman" w:eastAsia="宋体" w:hAnsi="Times New Roman"/>
          <w:i/>
          <w:iCs/>
          <w:color w:val="000000"/>
          <w:sz w:val="20"/>
          <w:szCs w:val="20"/>
        </w:rPr>
        <w:t>For the quarter ended July 3, 2022 compared with the quarter ended June 27, 2021</w:t>
      </w:r>
    </w:p>
    <w:p w14:paraId="6429954E" w14:textId="77777777" w:rsidR="007B6C97" w:rsidRDefault="00E426D1">
      <w:pPr>
        <w:spacing w:before="120"/>
      </w:pPr>
      <w:r>
        <w:rPr>
          <w:rFonts w:ascii="Times New Roman" w:eastAsia="宋体" w:hAnsi="Times New Roman"/>
          <w:color w:val="000000"/>
          <w:sz w:val="20"/>
          <w:szCs w:val="20"/>
          <w:u w:val="single"/>
        </w:rPr>
        <w:t>Revenues</w:t>
      </w:r>
    </w:p>
    <w:p w14:paraId="6429954F" w14:textId="77777777" w:rsidR="007B6C97" w:rsidRDefault="00E426D1">
      <w:pPr>
        <w:spacing w:before="120"/>
      </w:pPr>
      <w:r>
        <w:rPr>
          <w:rFonts w:ascii="Times New Roman" w:eastAsia="宋体" w:hAnsi="Times New Roman"/>
          <w:color w:val="000000"/>
          <w:sz w:val="20"/>
          <w:szCs w:val="20"/>
        </w:rPr>
        <w:t>Channel Development total net revenues for the third quarter of fiscal 2022 increased $66 million, or 16%, primarily du</w:t>
      </w:r>
      <w:r>
        <w:rPr>
          <w:rFonts w:ascii="Times New Roman" w:eastAsia="宋体" w:hAnsi="Times New Roman"/>
          <w:color w:val="000000"/>
          <w:sz w:val="20"/>
          <w:szCs w:val="20"/>
        </w:rPr>
        <w:t>e to higher Global Coffee Alliance product sales and royalty revenue ($54 million) and growth in our ready-to-drink business ($18 million).</w:t>
      </w:r>
    </w:p>
    <w:p w14:paraId="64299550" w14:textId="77777777" w:rsidR="007B6C97" w:rsidRDefault="00E426D1">
      <w:pPr>
        <w:spacing w:before="120"/>
      </w:pPr>
      <w:r>
        <w:rPr>
          <w:rFonts w:ascii="Times New Roman" w:eastAsia="宋体" w:hAnsi="Times New Roman"/>
          <w:color w:val="000000"/>
          <w:sz w:val="20"/>
          <w:szCs w:val="20"/>
          <w:u w:val="single"/>
        </w:rPr>
        <w:t>Operating Margin</w:t>
      </w:r>
    </w:p>
    <w:p w14:paraId="64299551" w14:textId="77777777" w:rsidR="007B6C97" w:rsidRDefault="00E426D1">
      <w:pPr>
        <w:spacing w:before="120"/>
      </w:pPr>
      <w:r>
        <w:rPr>
          <w:rFonts w:ascii="Times New Roman" w:eastAsia="宋体" w:hAnsi="Times New Roman"/>
          <w:color w:val="000000"/>
          <w:sz w:val="20"/>
          <w:szCs w:val="20"/>
        </w:rPr>
        <w:t xml:space="preserve">Channel Development operating income for the third quarter of fiscal 2022 decreased 11% to $192 </w:t>
      </w:r>
      <w:r>
        <w:rPr>
          <w:rFonts w:ascii="Times New Roman" w:eastAsia="宋体" w:hAnsi="Times New Roman"/>
          <w:color w:val="000000"/>
          <w:sz w:val="20"/>
          <w:szCs w:val="20"/>
        </w:rPr>
        <w:t xml:space="preserve">million, compared to $216 million in the third quarter of fiscal 2021. Operating margin decreased 1,220 basis points to 40.0%, primarily due to lapping a change in estimate relating to a transaction cost accrual (approximately 550 basis points), a decline </w:t>
      </w:r>
      <w:r>
        <w:rPr>
          <w:rFonts w:ascii="Times New Roman" w:eastAsia="宋体" w:hAnsi="Times New Roman"/>
          <w:color w:val="000000"/>
          <w:sz w:val="20"/>
          <w:szCs w:val="20"/>
        </w:rPr>
        <w:t>in our North American Coffee Partnership joint venture income due to inflationary pressures and supply chain constraints (approximately 430 basis points) and business mix shift (approximately 230 basis points).</w:t>
      </w:r>
    </w:p>
    <w:p w14:paraId="64299552" w14:textId="77777777" w:rsidR="007B6C97" w:rsidRDefault="007B6C97">
      <w:pPr>
        <w:spacing w:before="120"/>
        <w:jc w:val="both"/>
      </w:pPr>
    </w:p>
    <w:p w14:paraId="64299553" w14:textId="77777777" w:rsidR="007B6C97" w:rsidRDefault="00E426D1">
      <w:pPr>
        <w:jc w:val="center"/>
      </w:pPr>
      <w:r>
        <w:rPr>
          <w:rFonts w:ascii="Times New Roman" w:eastAsia="宋体" w:hAnsi="Times New Roman"/>
          <w:color w:val="000000"/>
          <w:sz w:val="20"/>
          <w:szCs w:val="20"/>
        </w:rPr>
        <w:t>38</w:t>
      </w:r>
    </w:p>
    <w:p w14:paraId="64299554" w14:textId="77777777" w:rsidR="007B6C97" w:rsidRDefault="00E426D1">
      <w:r>
        <w:pict w14:anchorId="64299A00">
          <v:rect id="_x0000_i1062" style="width:415.3pt;height:1.5pt" o:hralign="center" o:hrstd="t" o:hr="t" fillcolor="#a0a0a0" stroked="f"/>
        </w:pict>
      </w:r>
    </w:p>
    <w:p w14:paraId="64299555" w14:textId="77777777" w:rsidR="007B6C97" w:rsidRDefault="00E426D1">
      <w:hyperlink r:id="rId157" w:anchor="ie38a2b375c9840e583a36769999bbee6_7" w:history="1">
        <w:r>
          <w:rPr>
            <w:rStyle w:val="a5"/>
            <w:rFonts w:ascii="Times New Roman" w:eastAsia="宋体" w:hAnsi="Times New Roman"/>
            <w:sz w:val="20"/>
            <w:szCs w:val="20"/>
          </w:rPr>
          <w:t>Table</w:t>
        </w:r>
      </w:hyperlink>
      <w:hyperlink r:id="rId158" w:anchor="ie38a2b375c9840e583a36769999bbee6_7" w:history="1">
        <w:r>
          <w:rPr>
            <w:rStyle w:val="a5"/>
            <w:rFonts w:ascii="Times New Roman" w:eastAsia="宋体" w:hAnsi="Times New Roman"/>
            <w:sz w:val="20"/>
            <w:szCs w:val="20"/>
          </w:rPr>
          <w:t xml:space="preserve"> of Contents</w:t>
        </w:r>
      </w:hyperlink>
    </w:p>
    <w:p w14:paraId="64299556" w14:textId="77777777" w:rsidR="007B6C97" w:rsidRDefault="00E426D1">
      <w:pPr>
        <w:spacing w:before="120"/>
        <w:jc w:val="both"/>
      </w:pPr>
      <w:r>
        <w:rPr>
          <w:rFonts w:ascii="Times New Roman" w:eastAsia="宋体" w:hAnsi="Times New Roman"/>
          <w:i/>
          <w:iCs/>
          <w:color w:val="000000"/>
          <w:sz w:val="20"/>
          <w:szCs w:val="20"/>
        </w:rPr>
        <w:t xml:space="preserve">For the three quarters ended July 3, 2022 compared with the three quarters ended June 27, 2021 </w:t>
      </w:r>
    </w:p>
    <w:p w14:paraId="64299557" w14:textId="77777777" w:rsidR="007B6C97" w:rsidRDefault="00E426D1">
      <w:pPr>
        <w:spacing w:before="120"/>
        <w:jc w:val="both"/>
      </w:pPr>
      <w:r>
        <w:rPr>
          <w:rFonts w:ascii="Times New Roman" w:eastAsia="宋体" w:hAnsi="Times New Roman"/>
          <w:color w:val="000000"/>
          <w:sz w:val="20"/>
          <w:szCs w:val="20"/>
          <w:u w:val="single"/>
        </w:rPr>
        <w:t>Revenues</w:t>
      </w:r>
    </w:p>
    <w:p w14:paraId="64299558" w14:textId="77777777" w:rsidR="007B6C97" w:rsidRDefault="00E426D1">
      <w:pPr>
        <w:spacing w:before="120"/>
      </w:pPr>
      <w:r>
        <w:rPr>
          <w:rFonts w:ascii="Times New Roman" w:eastAsia="宋体" w:hAnsi="Times New Roman"/>
          <w:color w:val="000000"/>
          <w:sz w:val="20"/>
          <w:szCs w:val="20"/>
        </w:rPr>
        <w:t>Channel Development total net revenues for the first three quarters of fiscal 2022 increased $205 million, or 18%, primari</w:t>
      </w:r>
      <w:r>
        <w:rPr>
          <w:rFonts w:ascii="Times New Roman" w:eastAsia="宋体" w:hAnsi="Times New Roman"/>
          <w:color w:val="000000"/>
          <w:sz w:val="20"/>
          <w:szCs w:val="20"/>
        </w:rPr>
        <w:t>ly due to higher Global Coffee Alliance product sales and royalty revenue ($161 million) and growth in our ready-to-drink business ($52 million).</w:t>
      </w:r>
    </w:p>
    <w:p w14:paraId="64299559" w14:textId="77777777" w:rsidR="007B6C97" w:rsidRDefault="00E426D1">
      <w:pPr>
        <w:spacing w:before="120"/>
      </w:pPr>
      <w:r>
        <w:rPr>
          <w:rFonts w:ascii="Times New Roman" w:eastAsia="宋体" w:hAnsi="Times New Roman"/>
          <w:color w:val="000000"/>
          <w:sz w:val="20"/>
          <w:szCs w:val="20"/>
          <w:u w:val="single"/>
        </w:rPr>
        <w:t>Operating Margin</w:t>
      </w:r>
    </w:p>
    <w:p w14:paraId="6429955A" w14:textId="77777777" w:rsidR="007B6C97" w:rsidRDefault="00E426D1">
      <w:pPr>
        <w:spacing w:before="120"/>
      </w:pPr>
      <w:r>
        <w:rPr>
          <w:rFonts w:ascii="Times New Roman" w:eastAsia="宋体" w:hAnsi="Times New Roman"/>
          <w:color w:val="000000"/>
          <w:sz w:val="20"/>
          <w:szCs w:val="20"/>
        </w:rPr>
        <w:t>Channel Development operating income for the first three quarters of fiscal 2022 increased 1%</w:t>
      </w:r>
      <w:r>
        <w:rPr>
          <w:rFonts w:ascii="Times New Roman" w:eastAsia="宋体" w:hAnsi="Times New Roman"/>
          <w:color w:val="000000"/>
          <w:sz w:val="20"/>
          <w:szCs w:val="20"/>
        </w:rPr>
        <w:t xml:space="preserve"> to $573 million, compared to $569 million for the same period in fiscal 2021. Operating margin decreased 720 basis points to 42.1%, primarily due to a decline in our North American Coffee Partnership joint venture income due to inflationary pressures and </w:t>
      </w:r>
      <w:r>
        <w:rPr>
          <w:rFonts w:ascii="Times New Roman" w:eastAsia="宋体" w:hAnsi="Times New Roman"/>
          <w:color w:val="000000"/>
          <w:sz w:val="20"/>
          <w:szCs w:val="20"/>
        </w:rPr>
        <w:t>supply chain constraints (approximately 440 basis points), lapping a change in estimate relating to a transaction cost accrual (approximately 200 basis points), and business mix shift (approximately 160 basis points).</w:t>
      </w:r>
    </w:p>
    <w:p w14:paraId="6429955B" w14:textId="77777777" w:rsidR="007B6C97" w:rsidRDefault="00E426D1">
      <w:pPr>
        <w:spacing w:before="180"/>
      </w:pPr>
      <w:r>
        <w:rPr>
          <w:rFonts w:ascii="Times New Roman" w:eastAsia="宋体" w:hAnsi="Times New Roman"/>
          <w:b/>
          <w:bCs/>
          <w:i/>
          <w:iCs/>
          <w:color w:val="000000"/>
          <w:sz w:val="20"/>
          <w:szCs w:val="20"/>
        </w:rPr>
        <w:t xml:space="preserve">Corporate and Other </w:t>
      </w:r>
      <w:r>
        <w:rPr>
          <w:rFonts w:ascii="Times New Roman" w:eastAsia="宋体" w:hAnsi="Times New Roman"/>
          <w:b/>
          <w:bCs/>
          <w:i/>
          <w:iCs/>
          <w:color w:val="000000"/>
          <w:sz w:val="13"/>
          <w:szCs w:val="13"/>
        </w:rPr>
        <w:t>(1)</w:t>
      </w:r>
      <w:r>
        <w:rPr>
          <w:rFonts w:ascii="Times New Roman" w:eastAsia="宋体" w:hAnsi="Times New Roman"/>
          <w:color w:val="000000"/>
          <w:sz w:val="20"/>
          <w:szCs w:val="20"/>
        </w:rPr>
        <w:t>    </w:t>
      </w:r>
    </w:p>
    <w:tbl>
      <w:tblPr>
        <w:tblW w:w="4868" w:type="pct"/>
        <w:tblCellMar>
          <w:top w:w="15" w:type="dxa"/>
          <w:left w:w="15" w:type="dxa"/>
          <w:bottom w:w="15" w:type="dxa"/>
          <w:right w:w="15" w:type="dxa"/>
        </w:tblCellMar>
        <w:tblLook w:val="04A0" w:firstRow="1" w:lastRow="0" w:firstColumn="1" w:lastColumn="0" w:noHBand="0" w:noVBand="1"/>
      </w:tblPr>
      <w:tblGrid>
        <w:gridCol w:w="58"/>
        <w:gridCol w:w="1215"/>
        <w:gridCol w:w="40"/>
        <w:gridCol w:w="120"/>
        <w:gridCol w:w="584"/>
        <w:gridCol w:w="36"/>
        <w:gridCol w:w="36"/>
        <w:gridCol w:w="36"/>
        <w:gridCol w:w="36"/>
        <w:gridCol w:w="120"/>
        <w:gridCol w:w="584"/>
        <w:gridCol w:w="36"/>
        <w:gridCol w:w="36"/>
        <w:gridCol w:w="36"/>
        <w:gridCol w:w="36"/>
        <w:gridCol w:w="121"/>
        <w:gridCol w:w="497"/>
        <w:gridCol w:w="36"/>
        <w:gridCol w:w="36"/>
        <w:gridCol w:w="36"/>
        <w:gridCol w:w="36"/>
        <w:gridCol w:w="62"/>
        <w:gridCol w:w="497"/>
        <w:gridCol w:w="220"/>
        <w:gridCol w:w="36"/>
        <w:gridCol w:w="36"/>
        <w:gridCol w:w="36"/>
        <w:gridCol w:w="120"/>
        <w:gridCol w:w="734"/>
        <w:gridCol w:w="36"/>
        <w:gridCol w:w="36"/>
        <w:gridCol w:w="36"/>
        <w:gridCol w:w="36"/>
        <w:gridCol w:w="120"/>
        <w:gridCol w:w="734"/>
        <w:gridCol w:w="36"/>
        <w:gridCol w:w="36"/>
        <w:gridCol w:w="36"/>
        <w:gridCol w:w="36"/>
        <w:gridCol w:w="120"/>
        <w:gridCol w:w="484"/>
        <w:gridCol w:w="36"/>
        <w:gridCol w:w="36"/>
        <w:gridCol w:w="36"/>
        <w:gridCol w:w="36"/>
        <w:gridCol w:w="62"/>
        <w:gridCol w:w="497"/>
        <w:gridCol w:w="220"/>
      </w:tblGrid>
      <w:tr w:rsidR="007B6C97" w14:paraId="6429958C" w14:textId="77777777">
        <w:tc>
          <w:tcPr>
            <w:tcW w:w="50" w:type="pct"/>
            <w:shd w:val="clear" w:color="auto" w:fill="auto"/>
            <w:vAlign w:val="bottom"/>
          </w:tcPr>
          <w:p w14:paraId="6429955C" w14:textId="77777777" w:rsidR="007B6C97" w:rsidRDefault="007B6C97">
            <w:pPr>
              <w:rPr>
                <w:rFonts w:ascii="宋体"/>
              </w:rPr>
            </w:pPr>
          </w:p>
        </w:tc>
        <w:tc>
          <w:tcPr>
            <w:tcW w:w="1048" w:type="pct"/>
            <w:shd w:val="clear" w:color="auto" w:fill="auto"/>
            <w:vAlign w:val="bottom"/>
          </w:tcPr>
          <w:p w14:paraId="6429955D" w14:textId="77777777" w:rsidR="007B6C97" w:rsidRDefault="007B6C97">
            <w:pPr>
              <w:rPr>
                <w:rFonts w:ascii="宋体"/>
              </w:rPr>
            </w:pPr>
          </w:p>
        </w:tc>
        <w:tc>
          <w:tcPr>
            <w:tcW w:w="5" w:type="pct"/>
            <w:shd w:val="clear" w:color="auto" w:fill="auto"/>
            <w:vAlign w:val="bottom"/>
          </w:tcPr>
          <w:p w14:paraId="6429955E" w14:textId="77777777" w:rsidR="007B6C97" w:rsidRDefault="007B6C97">
            <w:pPr>
              <w:rPr>
                <w:rFonts w:ascii="宋体"/>
              </w:rPr>
            </w:pPr>
          </w:p>
        </w:tc>
        <w:tc>
          <w:tcPr>
            <w:tcW w:w="50" w:type="pct"/>
            <w:shd w:val="clear" w:color="auto" w:fill="auto"/>
            <w:vAlign w:val="bottom"/>
          </w:tcPr>
          <w:p w14:paraId="6429955F" w14:textId="77777777" w:rsidR="007B6C97" w:rsidRDefault="007B6C97">
            <w:pPr>
              <w:rPr>
                <w:rFonts w:ascii="宋体"/>
              </w:rPr>
            </w:pPr>
          </w:p>
        </w:tc>
        <w:tc>
          <w:tcPr>
            <w:tcW w:w="402" w:type="pct"/>
            <w:shd w:val="clear" w:color="auto" w:fill="auto"/>
            <w:vAlign w:val="bottom"/>
          </w:tcPr>
          <w:p w14:paraId="64299560" w14:textId="77777777" w:rsidR="007B6C97" w:rsidRDefault="007B6C97">
            <w:pPr>
              <w:rPr>
                <w:rFonts w:ascii="宋体"/>
              </w:rPr>
            </w:pPr>
          </w:p>
        </w:tc>
        <w:tc>
          <w:tcPr>
            <w:tcW w:w="5" w:type="pct"/>
            <w:shd w:val="clear" w:color="auto" w:fill="auto"/>
            <w:vAlign w:val="bottom"/>
          </w:tcPr>
          <w:p w14:paraId="64299561" w14:textId="77777777" w:rsidR="007B6C97" w:rsidRDefault="007B6C97">
            <w:pPr>
              <w:rPr>
                <w:rFonts w:ascii="宋体"/>
              </w:rPr>
            </w:pPr>
          </w:p>
        </w:tc>
        <w:tc>
          <w:tcPr>
            <w:tcW w:w="5" w:type="pct"/>
            <w:shd w:val="clear" w:color="auto" w:fill="auto"/>
            <w:vAlign w:val="bottom"/>
          </w:tcPr>
          <w:p w14:paraId="64299562" w14:textId="77777777" w:rsidR="007B6C97" w:rsidRDefault="007B6C97">
            <w:pPr>
              <w:rPr>
                <w:rFonts w:ascii="宋体"/>
              </w:rPr>
            </w:pPr>
          </w:p>
        </w:tc>
        <w:tc>
          <w:tcPr>
            <w:tcW w:w="27" w:type="pct"/>
            <w:shd w:val="clear" w:color="auto" w:fill="auto"/>
            <w:vAlign w:val="bottom"/>
          </w:tcPr>
          <w:p w14:paraId="64299563" w14:textId="77777777" w:rsidR="007B6C97" w:rsidRDefault="007B6C97">
            <w:pPr>
              <w:rPr>
                <w:rFonts w:ascii="宋体"/>
              </w:rPr>
            </w:pPr>
          </w:p>
        </w:tc>
        <w:tc>
          <w:tcPr>
            <w:tcW w:w="5" w:type="pct"/>
            <w:shd w:val="clear" w:color="auto" w:fill="auto"/>
            <w:vAlign w:val="bottom"/>
          </w:tcPr>
          <w:p w14:paraId="64299564" w14:textId="77777777" w:rsidR="007B6C97" w:rsidRDefault="007B6C97">
            <w:pPr>
              <w:rPr>
                <w:rFonts w:ascii="宋体"/>
              </w:rPr>
            </w:pPr>
          </w:p>
        </w:tc>
        <w:tc>
          <w:tcPr>
            <w:tcW w:w="50" w:type="pct"/>
            <w:shd w:val="clear" w:color="auto" w:fill="auto"/>
            <w:vAlign w:val="bottom"/>
          </w:tcPr>
          <w:p w14:paraId="64299565" w14:textId="77777777" w:rsidR="007B6C97" w:rsidRDefault="007B6C97">
            <w:pPr>
              <w:rPr>
                <w:rFonts w:ascii="宋体"/>
              </w:rPr>
            </w:pPr>
          </w:p>
        </w:tc>
        <w:tc>
          <w:tcPr>
            <w:tcW w:w="402" w:type="pct"/>
            <w:shd w:val="clear" w:color="auto" w:fill="auto"/>
            <w:vAlign w:val="bottom"/>
          </w:tcPr>
          <w:p w14:paraId="64299566" w14:textId="77777777" w:rsidR="007B6C97" w:rsidRDefault="007B6C97">
            <w:pPr>
              <w:rPr>
                <w:rFonts w:ascii="宋体"/>
              </w:rPr>
            </w:pPr>
          </w:p>
        </w:tc>
        <w:tc>
          <w:tcPr>
            <w:tcW w:w="5" w:type="pct"/>
            <w:shd w:val="clear" w:color="auto" w:fill="auto"/>
            <w:vAlign w:val="bottom"/>
          </w:tcPr>
          <w:p w14:paraId="64299567" w14:textId="77777777" w:rsidR="007B6C97" w:rsidRDefault="007B6C97">
            <w:pPr>
              <w:rPr>
                <w:rFonts w:ascii="宋体"/>
              </w:rPr>
            </w:pPr>
          </w:p>
        </w:tc>
        <w:tc>
          <w:tcPr>
            <w:tcW w:w="5" w:type="pct"/>
            <w:shd w:val="clear" w:color="auto" w:fill="auto"/>
            <w:vAlign w:val="bottom"/>
          </w:tcPr>
          <w:p w14:paraId="64299568" w14:textId="77777777" w:rsidR="007B6C97" w:rsidRDefault="007B6C97">
            <w:pPr>
              <w:rPr>
                <w:rFonts w:ascii="宋体"/>
              </w:rPr>
            </w:pPr>
          </w:p>
        </w:tc>
        <w:tc>
          <w:tcPr>
            <w:tcW w:w="27" w:type="pct"/>
            <w:shd w:val="clear" w:color="auto" w:fill="auto"/>
            <w:vAlign w:val="bottom"/>
          </w:tcPr>
          <w:p w14:paraId="64299569" w14:textId="77777777" w:rsidR="007B6C97" w:rsidRDefault="007B6C97">
            <w:pPr>
              <w:rPr>
                <w:rFonts w:ascii="宋体"/>
              </w:rPr>
            </w:pPr>
          </w:p>
        </w:tc>
        <w:tc>
          <w:tcPr>
            <w:tcW w:w="5" w:type="pct"/>
            <w:shd w:val="clear" w:color="auto" w:fill="auto"/>
            <w:vAlign w:val="bottom"/>
          </w:tcPr>
          <w:p w14:paraId="6429956A" w14:textId="77777777" w:rsidR="007B6C97" w:rsidRDefault="007B6C97">
            <w:pPr>
              <w:rPr>
                <w:rFonts w:ascii="宋体"/>
              </w:rPr>
            </w:pPr>
          </w:p>
        </w:tc>
        <w:tc>
          <w:tcPr>
            <w:tcW w:w="50" w:type="pct"/>
            <w:shd w:val="clear" w:color="auto" w:fill="auto"/>
            <w:vAlign w:val="bottom"/>
          </w:tcPr>
          <w:p w14:paraId="6429956B" w14:textId="77777777" w:rsidR="007B6C97" w:rsidRDefault="007B6C97">
            <w:pPr>
              <w:rPr>
                <w:rFonts w:ascii="宋体"/>
              </w:rPr>
            </w:pPr>
          </w:p>
        </w:tc>
        <w:tc>
          <w:tcPr>
            <w:tcW w:w="402" w:type="pct"/>
            <w:shd w:val="clear" w:color="auto" w:fill="auto"/>
            <w:vAlign w:val="bottom"/>
          </w:tcPr>
          <w:p w14:paraId="6429956C" w14:textId="77777777" w:rsidR="007B6C97" w:rsidRDefault="007B6C97">
            <w:pPr>
              <w:rPr>
                <w:rFonts w:ascii="宋体"/>
              </w:rPr>
            </w:pPr>
          </w:p>
        </w:tc>
        <w:tc>
          <w:tcPr>
            <w:tcW w:w="5" w:type="pct"/>
            <w:shd w:val="clear" w:color="auto" w:fill="auto"/>
            <w:vAlign w:val="bottom"/>
          </w:tcPr>
          <w:p w14:paraId="6429956D" w14:textId="77777777" w:rsidR="007B6C97" w:rsidRDefault="007B6C97">
            <w:pPr>
              <w:rPr>
                <w:rFonts w:ascii="宋体"/>
              </w:rPr>
            </w:pPr>
          </w:p>
        </w:tc>
        <w:tc>
          <w:tcPr>
            <w:tcW w:w="5" w:type="pct"/>
            <w:shd w:val="clear" w:color="auto" w:fill="auto"/>
            <w:vAlign w:val="bottom"/>
          </w:tcPr>
          <w:p w14:paraId="6429956E" w14:textId="77777777" w:rsidR="007B6C97" w:rsidRDefault="007B6C97">
            <w:pPr>
              <w:rPr>
                <w:rFonts w:ascii="宋体"/>
              </w:rPr>
            </w:pPr>
          </w:p>
        </w:tc>
        <w:tc>
          <w:tcPr>
            <w:tcW w:w="27" w:type="pct"/>
            <w:shd w:val="clear" w:color="auto" w:fill="auto"/>
            <w:vAlign w:val="bottom"/>
          </w:tcPr>
          <w:p w14:paraId="6429956F" w14:textId="77777777" w:rsidR="007B6C97" w:rsidRDefault="007B6C97">
            <w:pPr>
              <w:rPr>
                <w:rFonts w:ascii="宋体"/>
              </w:rPr>
            </w:pPr>
          </w:p>
        </w:tc>
        <w:tc>
          <w:tcPr>
            <w:tcW w:w="5" w:type="pct"/>
            <w:shd w:val="clear" w:color="auto" w:fill="auto"/>
            <w:vAlign w:val="bottom"/>
          </w:tcPr>
          <w:p w14:paraId="64299570" w14:textId="77777777" w:rsidR="007B6C97" w:rsidRDefault="007B6C97">
            <w:pPr>
              <w:rPr>
                <w:rFonts w:ascii="宋体"/>
              </w:rPr>
            </w:pPr>
          </w:p>
        </w:tc>
        <w:tc>
          <w:tcPr>
            <w:tcW w:w="50" w:type="pct"/>
            <w:shd w:val="clear" w:color="auto" w:fill="auto"/>
            <w:vAlign w:val="bottom"/>
          </w:tcPr>
          <w:p w14:paraId="64299571" w14:textId="77777777" w:rsidR="007B6C97" w:rsidRDefault="007B6C97">
            <w:pPr>
              <w:rPr>
                <w:rFonts w:ascii="宋体"/>
              </w:rPr>
            </w:pPr>
          </w:p>
        </w:tc>
        <w:tc>
          <w:tcPr>
            <w:tcW w:w="402" w:type="pct"/>
            <w:shd w:val="clear" w:color="auto" w:fill="auto"/>
            <w:vAlign w:val="bottom"/>
          </w:tcPr>
          <w:p w14:paraId="64299572" w14:textId="77777777" w:rsidR="007B6C97" w:rsidRDefault="007B6C97">
            <w:pPr>
              <w:rPr>
                <w:rFonts w:ascii="宋体"/>
              </w:rPr>
            </w:pPr>
          </w:p>
        </w:tc>
        <w:tc>
          <w:tcPr>
            <w:tcW w:w="5" w:type="pct"/>
            <w:shd w:val="clear" w:color="auto" w:fill="auto"/>
            <w:vAlign w:val="bottom"/>
          </w:tcPr>
          <w:p w14:paraId="64299573" w14:textId="77777777" w:rsidR="007B6C97" w:rsidRDefault="007B6C97">
            <w:pPr>
              <w:rPr>
                <w:rFonts w:ascii="宋体"/>
              </w:rPr>
            </w:pPr>
          </w:p>
        </w:tc>
        <w:tc>
          <w:tcPr>
            <w:tcW w:w="5" w:type="pct"/>
            <w:shd w:val="clear" w:color="auto" w:fill="auto"/>
            <w:vAlign w:val="bottom"/>
          </w:tcPr>
          <w:p w14:paraId="64299574" w14:textId="77777777" w:rsidR="007B6C97" w:rsidRDefault="007B6C97">
            <w:pPr>
              <w:rPr>
                <w:rFonts w:ascii="宋体"/>
              </w:rPr>
            </w:pPr>
          </w:p>
        </w:tc>
        <w:tc>
          <w:tcPr>
            <w:tcW w:w="20" w:type="pct"/>
            <w:shd w:val="clear" w:color="auto" w:fill="auto"/>
            <w:vAlign w:val="bottom"/>
          </w:tcPr>
          <w:p w14:paraId="64299575" w14:textId="77777777" w:rsidR="007B6C97" w:rsidRDefault="007B6C97">
            <w:pPr>
              <w:rPr>
                <w:rFonts w:ascii="宋体"/>
              </w:rPr>
            </w:pPr>
          </w:p>
        </w:tc>
        <w:tc>
          <w:tcPr>
            <w:tcW w:w="5" w:type="pct"/>
            <w:shd w:val="clear" w:color="auto" w:fill="auto"/>
            <w:vAlign w:val="bottom"/>
          </w:tcPr>
          <w:p w14:paraId="64299576" w14:textId="77777777" w:rsidR="007B6C97" w:rsidRDefault="007B6C97">
            <w:pPr>
              <w:rPr>
                <w:rFonts w:ascii="宋体"/>
              </w:rPr>
            </w:pPr>
          </w:p>
        </w:tc>
        <w:tc>
          <w:tcPr>
            <w:tcW w:w="50" w:type="pct"/>
            <w:shd w:val="clear" w:color="auto" w:fill="auto"/>
            <w:vAlign w:val="bottom"/>
          </w:tcPr>
          <w:p w14:paraId="64299577" w14:textId="77777777" w:rsidR="007B6C97" w:rsidRDefault="007B6C97">
            <w:pPr>
              <w:rPr>
                <w:rFonts w:ascii="宋体"/>
              </w:rPr>
            </w:pPr>
          </w:p>
        </w:tc>
        <w:tc>
          <w:tcPr>
            <w:tcW w:w="402" w:type="pct"/>
            <w:shd w:val="clear" w:color="auto" w:fill="auto"/>
            <w:vAlign w:val="bottom"/>
          </w:tcPr>
          <w:p w14:paraId="64299578" w14:textId="77777777" w:rsidR="007B6C97" w:rsidRDefault="007B6C97">
            <w:pPr>
              <w:rPr>
                <w:rFonts w:ascii="宋体"/>
              </w:rPr>
            </w:pPr>
          </w:p>
        </w:tc>
        <w:tc>
          <w:tcPr>
            <w:tcW w:w="5" w:type="pct"/>
            <w:shd w:val="clear" w:color="auto" w:fill="auto"/>
            <w:vAlign w:val="bottom"/>
          </w:tcPr>
          <w:p w14:paraId="64299579" w14:textId="77777777" w:rsidR="007B6C97" w:rsidRDefault="007B6C97">
            <w:pPr>
              <w:rPr>
                <w:rFonts w:ascii="宋体"/>
              </w:rPr>
            </w:pPr>
          </w:p>
        </w:tc>
        <w:tc>
          <w:tcPr>
            <w:tcW w:w="5" w:type="pct"/>
            <w:shd w:val="clear" w:color="auto" w:fill="auto"/>
            <w:vAlign w:val="bottom"/>
          </w:tcPr>
          <w:p w14:paraId="6429957A" w14:textId="77777777" w:rsidR="007B6C97" w:rsidRDefault="007B6C97">
            <w:pPr>
              <w:rPr>
                <w:rFonts w:ascii="宋体"/>
              </w:rPr>
            </w:pPr>
          </w:p>
        </w:tc>
        <w:tc>
          <w:tcPr>
            <w:tcW w:w="20" w:type="pct"/>
            <w:shd w:val="clear" w:color="auto" w:fill="auto"/>
            <w:vAlign w:val="bottom"/>
          </w:tcPr>
          <w:p w14:paraId="6429957B" w14:textId="77777777" w:rsidR="007B6C97" w:rsidRDefault="007B6C97">
            <w:pPr>
              <w:rPr>
                <w:rFonts w:ascii="宋体"/>
              </w:rPr>
            </w:pPr>
          </w:p>
        </w:tc>
        <w:tc>
          <w:tcPr>
            <w:tcW w:w="5" w:type="pct"/>
            <w:shd w:val="clear" w:color="auto" w:fill="auto"/>
            <w:vAlign w:val="bottom"/>
          </w:tcPr>
          <w:p w14:paraId="6429957C" w14:textId="77777777" w:rsidR="007B6C97" w:rsidRDefault="007B6C97">
            <w:pPr>
              <w:rPr>
                <w:rFonts w:ascii="宋体"/>
              </w:rPr>
            </w:pPr>
          </w:p>
        </w:tc>
        <w:tc>
          <w:tcPr>
            <w:tcW w:w="50" w:type="pct"/>
            <w:shd w:val="clear" w:color="auto" w:fill="auto"/>
            <w:vAlign w:val="bottom"/>
          </w:tcPr>
          <w:p w14:paraId="6429957D" w14:textId="77777777" w:rsidR="007B6C97" w:rsidRDefault="007B6C97">
            <w:pPr>
              <w:rPr>
                <w:rFonts w:ascii="宋体"/>
              </w:rPr>
            </w:pPr>
          </w:p>
        </w:tc>
        <w:tc>
          <w:tcPr>
            <w:tcW w:w="402" w:type="pct"/>
            <w:shd w:val="clear" w:color="auto" w:fill="auto"/>
            <w:vAlign w:val="bottom"/>
          </w:tcPr>
          <w:p w14:paraId="6429957E" w14:textId="77777777" w:rsidR="007B6C97" w:rsidRDefault="007B6C97">
            <w:pPr>
              <w:rPr>
                <w:rFonts w:ascii="宋体"/>
              </w:rPr>
            </w:pPr>
          </w:p>
        </w:tc>
        <w:tc>
          <w:tcPr>
            <w:tcW w:w="5" w:type="pct"/>
            <w:shd w:val="clear" w:color="auto" w:fill="auto"/>
            <w:vAlign w:val="bottom"/>
          </w:tcPr>
          <w:p w14:paraId="6429957F" w14:textId="77777777" w:rsidR="007B6C97" w:rsidRDefault="007B6C97">
            <w:pPr>
              <w:rPr>
                <w:rFonts w:ascii="宋体"/>
              </w:rPr>
            </w:pPr>
          </w:p>
        </w:tc>
        <w:tc>
          <w:tcPr>
            <w:tcW w:w="5" w:type="pct"/>
            <w:shd w:val="clear" w:color="auto" w:fill="auto"/>
            <w:vAlign w:val="bottom"/>
          </w:tcPr>
          <w:p w14:paraId="64299580" w14:textId="77777777" w:rsidR="007B6C97" w:rsidRDefault="007B6C97">
            <w:pPr>
              <w:rPr>
                <w:rFonts w:ascii="宋体"/>
              </w:rPr>
            </w:pPr>
          </w:p>
        </w:tc>
        <w:tc>
          <w:tcPr>
            <w:tcW w:w="20" w:type="pct"/>
            <w:shd w:val="clear" w:color="auto" w:fill="auto"/>
            <w:vAlign w:val="bottom"/>
          </w:tcPr>
          <w:p w14:paraId="64299581" w14:textId="77777777" w:rsidR="007B6C97" w:rsidRDefault="007B6C97">
            <w:pPr>
              <w:rPr>
                <w:rFonts w:ascii="宋体"/>
              </w:rPr>
            </w:pPr>
          </w:p>
        </w:tc>
        <w:tc>
          <w:tcPr>
            <w:tcW w:w="5" w:type="pct"/>
            <w:shd w:val="clear" w:color="auto" w:fill="auto"/>
            <w:vAlign w:val="bottom"/>
          </w:tcPr>
          <w:p w14:paraId="64299582" w14:textId="77777777" w:rsidR="007B6C97" w:rsidRDefault="007B6C97">
            <w:pPr>
              <w:rPr>
                <w:rFonts w:ascii="宋体"/>
              </w:rPr>
            </w:pPr>
          </w:p>
        </w:tc>
        <w:tc>
          <w:tcPr>
            <w:tcW w:w="50" w:type="pct"/>
            <w:shd w:val="clear" w:color="auto" w:fill="auto"/>
            <w:vAlign w:val="bottom"/>
          </w:tcPr>
          <w:p w14:paraId="64299583" w14:textId="77777777" w:rsidR="007B6C97" w:rsidRDefault="007B6C97">
            <w:pPr>
              <w:rPr>
                <w:rFonts w:ascii="宋体"/>
              </w:rPr>
            </w:pPr>
          </w:p>
        </w:tc>
        <w:tc>
          <w:tcPr>
            <w:tcW w:w="402" w:type="pct"/>
            <w:shd w:val="clear" w:color="auto" w:fill="auto"/>
            <w:vAlign w:val="bottom"/>
          </w:tcPr>
          <w:p w14:paraId="64299584" w14:textId="77777777" w:rsidR="007B6C97" w:rsidRDefault="007B6C97">
            <w:pPr>
              <w:rPr>
                <w:rFonts w:ascii="宋体"/>
              </w:rPr>
            </w:pPr>
          </w:p>
        </w:tc>
        <w:tc>
          <w:tcPr>
            <w:tcW w:w="5" w:type="pct"/>
            <w:shd w:val="clear" w:color="auto" w:fill="auto"/>
            <w:vAlign w:val="bottom"/>
          </w:tcPr>
          <w:p w14:paraId="64299585" w14:textId="77777777" w:rsidR="007B6C97" w:rsidRDefault="007B6C97">
            <w:pPr>
              <w:rPr>
                <w:rFonts w:ascii="宋体"/>
              </w:rPr>
            </w:pPr>
          </w:p>
        </w:tc>
        <w:tc>
          <w:tcPr>
            <w:tcW w:w="5" w:type="pct"/>
            <w:shd w:val="clear" w:color="auto" w:fill="auto"/>
            <w:vAlign w:val="bottom"/>
          </w:tcPr>
          <w:p w14:paraId="64299586" w14:textId="77777777" w:rsidR="007B6C97" w:rsidRDefault="007B6C97">
            <w:pPr>
              <w:rPr>
                <w:rFonts w:ascii="宋体"/>
              </w:rPr>
            </w:pPr>
          </w:p>
        </w:tc>
        <w:tc>
          <w:tcPr>
            <w:tcW w:w="20" w:type="pct"/>
            <w:shd w:val="clear" w:color="auto" w:fill="auto"/>
            <w:vAlign w:val="bottom"/>
          </w:tcPr>
          <w:p w14:paraId="64299587" w14:textId="77777777" w:rsidR="007B6C97" w:rsidRDefault="007B6C97">
            <w:pPr>
              <w:rPr>
                <w:rFonts w:ascii="宋体"/>
              </w:rPr>
            </w:pPr>
          </w:p>
        </w:tc>
        <w:tc>
          <w:tcPr>
            <w:tcW w:w="5" w:type="pct"/>
            <w:shd w:val="clear" w:color="auto" w:fill="auto"/>
            <w:vAlign w:val="bottom"/>
          </w:tcPr>
          <w:p w14:paraId="64299588" w14:textId="77777777" w:rsidR="007B6C97" w:rsidRDefault="007B6C97">
            <w:pPr>
              <w:rPr>
                <w:rFonts w:ascii="宋体"/>
              </w:rPr>
            </w:pPr>
          </w:p>
        </w:tc>
        <w:tc>
          <w:tcPr>
            <w:tcW w:w="50" w:type="pct"/>
            <w:shd w:val="clear" w:color="auto" w:fill="auto"/>
            <w:vAlign w:val="bottom"/>
          </w:tcPr>
          <w:p w14:paraId="64299589" w14:textId="77777777" w:rsidR="007B6C97" w:rsidRDefault="007B6C97">
            <w:pPr>
              <w:rPr>
                <w:rFonts w:ascii="宋体"/>
              </w:rPr>
            </w:pPr>
          </w:p>
        </w:tc>
        <w:tc>
          <w:tcPr>
            <w:tcW w:w="403" w:type="pct"/>
            <w:shd w:val="clear" w:color="auto" w:fill="auto"/>
            <w:vAlign w:val="bottom"/>
          </w:tcPr>
          <w:p w14:paraId="6429958A" w14:textId="77777777" w:rsidR="007B6C97" w:rsidRDefault="007B6C97">
            <w:pPr>
              <w:rPr>
                <w:rFonts w:ascii="宋体"/>
              </w:rPr>
            </w:pPr>
          </w:p>
        </w:tc>
        <w:tc>
          <w:tcPr>
            <w:tcW w:w="5" w:type="pct"/>
            <w:shd w:val="clear" w:color="auto" w:fill="auto"/>
            <w:vAlign w:val="bottom"/>
          </w:tcPr>
          <w:p w14:paraId="6429958B" w14:textId="77777777" w:rsidR="007B6C97" w:rsidRDefault="007B6C97">
            <w:pPr>
              <w:rPr>
                <w:rFonts w:ascii="宋体"/>
              </w:rPr>
            </w:pPr>
          </w:p>
        </w:tc>
      </w:tr>
      <w:tr w:rsidR="007B6C97" w14:paraId="64299591" w14:textId="77777777">
        <w:tc>
          <w:tcPr>
            <w:tcW w:w="0" w:type="auto"/>
            <w:gridSpan w:val="3"/>
            <w:shd w:val="clear" w:color="auto" w:fill="auto"/>
            <w:tcMar>
              <w:top w:w="40" w:type="dxa"/>
              <w:left w:w="20" w:type="dxa"/>
              <w:bottom w:w="40" w:type="dxa"/>
              <w:right w:w="20" w:type="dxa"/>
            </w:tcMar>
            <w:vAlign w:val="bottom"/>
          </w:tcPr>
          <w:p w14:paraId="6429958D" w14:textId="77777777" w:rsidR="007B6C97" w:rsidRDefault="00E426D1">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6429958E"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958F"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9590" w14:textId="77777777" w:rsidR="007B6C97" w:rsidRDefault="00E426D1">
            <w:pPr>
              <w:jc w:val="center"/>
              <w:textAlignment w:val="bottom"/>
            </w:pPr>
            <w:r>
              <w:rPr>
                <w:rFonts w:ascii="Times New Roman" w:eastAsia="宋体" w:hAnsi="Times New Roman"/>
                <w:b/>
                <w:bCs/>
                <w:color w:val="FFFFFF"/>
                <w:sz w:val="16"/>
                <w:szCs w:val="16"/>
              </w:rPr>
              <w:t>Three Quarters Ended</w:t>
            </w:r>
          </w:p>
        </w:tc>
      </w:tr>
      <w:tr w:rsidR="007B6C97" w14:paraId="642995A6" w14:textId="77777777">
        <w:tc>
          <w:tcPr>
            <w:tcW w:w="0" w:type="auto"/>
            <w:gridSpan w:val="3"/>
            <w:shd w:val="clear" w:color="auto" w:fill="auto"/>
            <w:tcMar>
              <w:top w:w="40" w:type="dxa"/>
              <w:left w:w="20" w:type="dxa"/>
              <w:bottom w:w="40" w:type="dxa"/>
              <w:right w:w="20" w:type="dxa"/>
            </w:tcMar>
            <w:vAlign w:val="bottom"/>
          </w:tcPr>
          <w:p w14:paraId="64299592"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4299593"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594"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95"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59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97"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598"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59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9A"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59B"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59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9D"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59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9F"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5A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A1"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5A2"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42995A3"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5A4"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w:t>
            </w:r>
          </w:p>
          <w:p w14:paraId="642995A5"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Change</w:t>
            </w:r>
          </w:p>
        </w:tc>
      </w:tr>
      <w:tr w:rsidR="007B6C97" w14:paraId="642995B7" w14:textId="77777777">
        <w:tc>
          <w:tcPr>
            <w:tcW w:w="0" w:type="auto"/>
            <w:gridSpan w:val="3"/>
            <w:shd w:val="clear" w:color="auto" w:fill="D7E4BC"/>
            <w:tcMar>
              <w:top w:w="40" w:type="dxa"/>
              <w:left w:w="20" w:type="dxa"/>
              <w:bottom w:w="40" w:type="dxa"/>
              <w:right w:w="20" w:type="dxa"/>
            </w:tcMar>
          </w:tcPr>
          <w:p w14:paraId="642995A7" w14:textId="77777777" w:rsidR="007B6C97" w:rsidRDefault="00E426D1">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A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A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A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A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A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A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A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AF"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B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B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B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B3"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B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5B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5B6" w14:textId="77777777" w:rsidR="007B6C97" w:rsidRDefault="007B6C97">
            <w:pPr>
              <w:rPr>
                <w:rFonts w:ascii="宋体"/>
              </w:rPr>
            </w:pPr>
          </w:p>
        </w:tc>
      </w:tr>
      <w:tr w:rsidR="007B6C97" w14:paraId="642995C8" w14:textId="77777777">
        <w:trPr>
          <w:hidden/>
        </w:trPr>
        <w:tc>
          <w:tcPr>
            <w:tcW w:w="0" w:type="auto"/>
            <w:gridSpan w:val="3"/>
            <w:shd w:val="clear" w:color="auto" w:fill="auto"/>
            <w:vAlign w:val="bottom"/>
          </w:tcPr>
          <w:p w14:paraId="642995B8" w14:textId="77777777" w:rsidR="007B6C97" w:rsidRDefault="007B6C97">
            <w:pPr>
              <w:rPr>
                <w:rFonts w:ascii="宋体"/>
                <w:vanish/>
              </w:rPr>
            </w:pPr>
          </w:p>
        </w:tc>
        <w:tc>
          <w:tcPr>
            <w:tcW w:w="0" w:type="auto"/>
            <w:gridSpan w:val="3"/>
            <w:shd w:val="clear" w:color="auto" w:fill="auto"/>
            <w:vAlign w:val="bottom"/>
          </w:tcPr>
          <w:p w14:paraId="642995B9" w14:textId="77777777" w:rsidR="007B6C97" w:rsidRDefault="007B6C97">
            <w:pPr>
              <w:rPr>
                <w:rFonts w:ascii="宋体"/>
                <w:vanish/>
              </w:rPr>
            </w:pPr>
          </w:p>
        </w:tc>
        <w:tc>
          <w:tcPr>
            <w:tcW w:w="0" w:type="auto"/>
            <w:gridSpan w:val="3"/>
            <w:shd w:val="clear" w:color="auto" w:fill="auto"/>
            <w:vAlign w:val="bottom"/>
          </w:tcPr>
          <w:p w14:paraId="642995BA" w14:textId="77777777" w:rsidR="007B6C97" w:rsidRDefault="007B6C97">
            <w:pPr>
              <w:rPr>
                <w:rFonts w:ascii="宋体"/>
                <w:vanish/>
              </w:rPr>
            </w:pPr>
          </w:p>
        </w:tc>
        <w:tc>
          <w:tcPr>
            <w:tcW w:w="0" w:type="auto"/>
            <w:gridSpan w:val="3"/>
            <w:shd w:val="clear" w:color="auto" w:fill="auto"/>
            <w:vAlign w:val="bottom"/>
          </w:tcPr>
          <w:p w14:paraId="642995BB" w14:textId="77777777" w:rsidR="007B6C97" w:rsidRDefault="007B6C97">
            <w:pPr>
              <w:rPr>
                <w:rFonts w:ascii="宋体"/>
                <w:vanish/>
              </w:rPr>
            </w:pPr>
          </w:p>
        </w:tc>
        <w:tc>
          <w:tcPr>
            <w:tcW w:w="0" w:type="auto"/>
            <w:gridSpan w:val="3"/>
            <w:shd w:val="clear" w:color="auto" w:fill="auto"/>
            <w:vAlign w:val="bottom"/>
          </w:tcPr>
          <w:p w14:paraId="642995BC" w14:textId="77777777" w:rsidR="007B6C97" w:rsidRDefault="007B6C97">
            <w:pPr>
              <w:rPr>
                <w:rFonts w:ascii="宋体"/>
                <w:vanish/>
              </w:rPr>
            </w:pPr>
          </w:p>
        </w:tc>
        <w:tc>
          <w:tcPr>
            <w:tcW w:w="0" w:type="auto"/>
            <w:gridSpan w:val="3"/>
            <w:shd w:val="clear" w:color="auto" w:fill="auto"/>
            <w:vAlign w:val="bottom"/>
          </w:tcPr>
          <w:p w14:paraId="642995BD" w14:textId="77777777" w:rsidR="007B6C97" w:rsidRDefault="007B6C97">
            <w:pPr>
              <w:rPr>
                <w:rFonts w:ascii="宋体"/>
                <w:vanish/>
              </w:rPr>
            </w:pPr>
          </w:p>
        </w:tc>
        <w:tc>
          <w:tcPr>
            <w:tcW w:w="0" w:type="auto"/>
            <w:gridSpan w:val="3"/>
            <w:shd w:val="clear" w:color="auto" w:fill="auto"/>
            <w:vAlign w:val="bottom"/>
          </w:tcPr>
          <w:p w14:paraId="642995BE" w14:textId="77777777" w:rsidR="007B6C97" w:rsidRDefault="007B6C97">
            <w:pPr>
              <w:rPr>
                <w:rFonts w:ascii="宋体"/>
                <w:vanish/>
              </w:rPr>
            </w:pPr>
          </w:p>
        </w:tc>
        <w:tc>
          <w:tcPr>
            <w:tcW w:w="0" w:type="auto"/>
            <w:gridSpan w:val="3"/>
            <w:shd w:val="clear" w:color="auto" w:fill="auto"/>
            <w:vAlign w:val="bottom"/>
          </w:tcPr>
          <w:p w14:paraId="642995BF" w14:textId="77777777" w:rsidR="007B6C97" w:rsidRDefault="007B6C97">
            <w:pPr>
              <w:rPr>
                <w:rFonts w:ascii="宋体"/>
                <w:vanish/>
              </w:rPr>
            </w:pPr>
          </w:p>
        </w:tc>
        <w:tc>
          <w:tcPr>
            <w:tcW w:w="0" w:type="auto"/>
            <w:gridSpan w:val="3"/>
            <w:shd w:val="clear" w:color="auto" w:fill="auto"/>
            <w:vAlign w:val="bottom"/>
          </w:tcPr>
          <w:p w14:paraId="642995C0" w14:textId="77777777" w:rsidR="007B6C97" w:rsidRDefault="007B6C97">
            <w:pPr>
              <w:rPr>
                <w:rFonts w:ascii="宋体"/>
                <w:vanish/>
              </w:rPr>
            </w:pPr>
          </w:p>
        </w:tc>
        <w:tc>
          <w:tcPr>
            <w:tcW w:w="0" w:type="auto"/>
            <w:gridSpan w:val="3"/>
            <w:shd w:val="clear" w:color="auto" w:fill="auto"/>
            <w:vAlign w:val="bottom"/>
          </w:tcPr>
          <w:p w14:paraId="642995C1" w14:textId="77777777" w:rsidR="007B6C97" w:rsidRDefault="007B6C97">
            <w:pPr>
              <w:rPr>
                <w:rFonts w:ascii="宋体"/>
                <w:vanish/>
              </w:rPr>
            </w:pPr>
          </w:p>
        </w:tc>
        <w:tc>
          <w:tcPr>
            <w:tcW w:w="0" w:type="auto"/>
            <w:gridSpan w:val="3"/>
            <w:shd w:val="clear" w:color="auto" w:fill="auto"/>
            <w:vAlign w:val="bottom"/>
          </w:tcPr>
          <w:p w14:paraId="642995C2" w14:textId="77777777" w:rsidR="007B6C97" w:rsidRDefault="007B6C97">
            <w:pPr>
              <w:rPr>
                <w:rFonts w:ascii="宋体"/>
                <w:vanish/>
              </w:rPr>
            </w:pPr>
          </w:p>
        </w:tc>
        <w:tc>
          <w:tcPr>
            <w:tcW w:w="0" w:type="auto"/>
            <w:gridSpan w:val="3"/>
            <w:shd w:val="clear" w:color="auto" w:fill="auto"/>
            <w:vAlign w:val="bottom"/>
          </w:tcPr>
          <w:p w14:paraId="642995C3" w14:textId="77777777" w:rsidR="007B6C97" w:rsidRDefault="007B6C97">
            <w:pPr>
              <w:rPr>
                <w:rFonts w:ascii="宋体"/>
                <w:vanish/>
              </w:rPr>
            </w:pPr>
          </w:p>
        </w:tc>
        <w:tc>
          <w:tcPr>
            <w:tcW w:w="0" w:type="auto"/>
            <w:gridSpan w:val="3"/>
            <w:shd w:val="clear" w:color="auto" w:fill="auto"/>
            <w:vAlign w:val="bottom"/>
          </w:tcPr>
          <w:p w14:paraId="642995C4" w14:textId="77777777" w:rsidR="007B6C97" w:rsidRDefault="007B6C97">
            <w:pPr>
              <w:rPr>
                <w:rFonts w:ascii="宋体"/>
                <w:vanish/>
              </w:rPr>
            </w:pPr>
          </w:p>
        </w:tc>
        <w:tc>
          <w:tcPr>
            <w:tcW w:w="0" w:type="auto"/>
            <w:gridSpan w:val="3"/>
            <w:shd w:val="clear" w:color="auto" w:fill="auto"/>
            <w:vAlign w:val="bottom"/>
          </w:tcPr>
          <w:p w14:paraId="642995C5" w14:textId="77777777" w:rsidR="007B6C97" w:rsidRDefault="007B6C97">
            <w:pPr>
              <w:rPr>
                <w:rFonts w:ascii="宋体"/>
                <w:vanish/>
              </w:rPr>
            </w:pPr>
          </w:p>
        </w:tc>
        <w:tc>
          <w:tcPr>
            <w:tcW w:w="0" w:type="auto"/>
            <w:gridSpan w:val="3"/>
            <w:shd w:val="clear" w:color="auto" w:fill="auto"/>
            <w:vAlign w:val="bottom"/>
          </w:tcPr>
          <w:p w14:paraId="642995C6" w14:textId="77777777" w:rsidR="007B6C97" w:rsidRDefault="007B6C97">
            <w:pPr>
              <w:rPr>
                <w:rFonts w:ascii="宋体"/>
                <w:vanish/>
              </w:rPr>
            </w:pPr>
          </w:p>
        </w:tc>
        <w:tc>
          <w:tcPr>
            <w:tcW w:w="0" w:type="auto"/>
            <w:gridSpan w:val="3"/>
            <w:shd w:val="clear" w:color="auto" w:fill="auto"/>
            <w:vAlign w:val="bottom"/>
          </w:tcPr>
          <w:p w14:paraId="642995C7" w14:textId="77777777" w:rsidR="007B6C97" w:rsidRDefault="007B6C97">
            <w:pPr>
              <w:rPr>
                <w:rFonts w:ascii="宋体"/>
                <w:vanish/>
              </w:rPr>
            </w:pPr>
          </w:p>
        </w:tc>
      </w:tr>
      <w:tr w:rsidR="007B6C97" w14:paraId="642995D9" w14:textId="77777777">
        <w:trPr>
          <w:hidden/>
        </w:trPr>
        <w:tc>
          <w:tcPr>
            <w:tcW w:w="0" w:type="auto"/>
            <w:gridSpan w:val="3"/>
            <w:shd w:val="clear" w:color="auto" w:fill="auto"/>
            <w:vAlign w:val="bottom"/>
          </w:tcPr>
          <w:p w14:paraId="642995C9" w14:textId="77777777" w:rsidR="007B6C97" w:rsidRDefault="007B6C97">
            <w:pPr>
              <w:rPr>
                <w:rFonts w:ascii="宋体"/>
                <w:vanish/>
              </w:rPr>
            </w:pPr>
          </w:p>
        </w:tc>
        <w:tc>
          <w:tcPr>
            <w:tcW w:w="0" w:type="auto"/>
            <w:gridSpan w:val="3"/>
            <w:shd w:val="clear" w:color="auto" w:fill="auto"/>
            <w:vAlign w:val="bottom"/>
          </w:tcPr>
          <w:p w14:paraId="642995CA" w14:textId="77777777" w:rsidR="007B6C97" w:rsidRDefault="007B6C97">
            <w:pPr>
              <w:rPr>
                <w:rFonts w:ascii="宋体"/>
                <w:vanish/>
              </w:rPr>
            </w:pPr>
          </w:p>
        </w:tc>
        <w:tc>
          <w:tcPr>
            <w:tcW w:w="0" w:type="auto"/>
            <w:gridSpan w:val="3"/>
            <w:shd w:val="clear" w:color="auto" w:fill="auto"/>
            <w:vAlign w:val="bottom"/>
          </w:tcPr>
          <w:p w14:paraId="642995CB" w14:textId="77777777" w:rsidR="007B6C97" w:rsidRDefault="007B6C97">
            <w:pPr>
              <w:rPr>
                <w:rFonts w:ascii="宋体"/>
                <w:vanish/>
              </w:rPr>
            </w:pPr>
          </w:p>
        </w:tc>
        <w:tc>
          <w:tcPr>
            <w:tcW w:w="0" w:type="auto"/>
            <w:gridSpan w:val="3"/>
            <w:shd w:val="clear" w:color="auto" w:fill="auto"/>
            <w:vAlign w:val="bottom"/>
          </w:tcPr>
          <w:p w14:paraId="642995CC" w14:textId="77777777" w:rsidR="007B6C97" w:rsidRDefault="007B6C97">
            <w:pPr>
              <w:rPr>
                <w:rFonts w:ascii="宋体"/>
                <w:vanish/>
              </w:rPr>
            </w:pPr>
          </w:p>
        </w:tc>
        <w:tc>
          <w:tcPr>
            <w:tcW w:w="0" w:type="auto"/>
            <w:gridSpan w:val="3"/>
            <w:shd w:val="clear" w:color="auto" w:fill="auto"/>
            <w:vAlign w:val="bottom"/>
          </w:tcPr>
          <w:p w14:paraId="642995CD" w14:textId="77777777" w:rsidR="007B6C97" w:rsidRDefault="007B6C97">
            <w:pPr>
              <w:rPr>
                <w:rFonts w:ascii="宋体"/>
                <w:vanish/>
              </w:rPr>
            </w:pPr>
          </w:p>
        </w:tc>
        <w:tc>
          <w:tcPr>
            <w:tcW w:w="0" w:type="auto"/>
            <w:gridSpan w:val="3"/>
            <w:shd w:val="clear" w:color="auto" w:fill="auto"/>
            <w:vAlign w:val="bottom"/>
          </w:tcPr>
          <w:p w14:paraId="642995CE" w14:textId="77777777" w:rsidR="007B6C97" w:rsidRDefault="007B6C97">
            <w:pPr>
              <w:rPr>
                <w:rFonts w:ascii="宋体"/>
                <w:vanish/>
              </w:rPr>
            </w:pPr>
          </w:p>
        </w:tc>
        <w:tc>
          <w:tcPr>
            <w:tcW w:w="0" w:type="auto"/>
            <w:gridSpan w:val="3"/>
            <w:shd w:val="clear" w:color="auto" w:fill="auto"/>
            <w:vAlign w:val="bottom"/>
          </w:tcPr>
          <w:p w14:paraId="642995CF" w14:textId="77777777" w:rsidR="007B6C97" w:rsidRDefault="007B6C97">
            <w:pPr>
              <w:rPr>
                <w:rFonts w:ascii="宋体"/>
                <w:vanish/>
              </w:rPr>
            </w:pPr>
          </w:p>
        </w:tc>
        <w:tc>
          <w:tcPr>
            <w:tcW w:w="0" w:type="auto"/>
            <w:gridSpan w:val="3"/>
            <w:shd w:val="clear" w:color="auto" w:fill="auto"/>
            <w:vAlign w:val="bottom"/>
          </w:tcPr>
          <w:p w14:paraId="642995D0" w14:textId="77777777" w:rsidR="007B6C97" w:rsidRDefault="007B6C97">
            <w:pPr>
              <w:rPr>
                <w:rFonts w:ascii="宋体"/>
                <w:vanish/>
              </w:rPr>
            </w:pPr>
          </w:p>
        </w:tc>
        <w:tc>
          <w:tcPr>
            <w:tcW w:w="0" w:type="auto"/>
            <w:gridSpan w:val="3"/>
            <w:shd w:val="clear" w:color="auto" w:fill="auto"/>
            <w:vAlign w:val="bottom"/>
          </w:tcPr>
          <w:p w14:paraId="642995D1" w14:textId="77777777" w:rsidR="007B6C97" w:rsidRDefault="007B6C97">
            <w:pPr>
              <w:rPr>
                <w:rFonts w:ascii="宋体"/>
                <w:vanish/>
              </w:rPr>
            </w:pPr>
          </w:p>
        </w:tc>
        <w:tc>
          <w:tcPr>
            <w:tcW w:w="0" w:type="auto"/>
            <w:gridSpan w:val="3"/>
            <w:shd w:val="clear" w:color="auto" w:fill="auto"/>
            <w:vAlign w:val="bottom"/>
          </w:tcPr>
          <w:p w14:paraId="642995D2" w14:textId="77777777" w:rsidR="007B6C97" w:rsidRDefault="007B6C97">
            <w:pPr>
              <w:rPr>
                <w:rFonts w:ascii="宋体"/>
                <w:vanish/>
              </w:rPr>
            </w:pPr>
          </w:p>
        </w:tc>
        <w:tc>
          <w:tcPr>
            <w:tcW w:w="0" w:type="auto"/>
            <w:gridSpan w:val="3"/>
            <w:shd w:val="clear" w:color="auto" w:fill="auto"/>
            <w:vAlign w:val="bottom"/>
          </w:tcPr>
          <w:p w14:paraId="642995D3" w14:textId="77777777" w:rsidR="007B6C97" w:rsidRDefault="007B6C97">
            <w:pPr>
              <w:rPr>
                <w:rFonts w:ascii="宋体"/>
                <w:vanish/>
              </w:rPr>
            </w:pPr>
          </w:p>
        </w:tc>
        <w:tc>
          <w:tcPr>
            <w:tcW w:w="0" w:type="auto"/>
            <w:gridSpan w:val="3"/>
            <w:shd w:val="clear" w:color="auto" w:fill="auto"/>
            <w:vAlign w:val="bottom"/>
          </w:tcPr>
          <w:p w14:paraId="642995D4" w14:textId="77777777" w:rsidR="007B6C97" w:rsidRDefault="007B6C97">
            <w:pPr>
              <w:rPr>
                <w:rFonts w:ascii="宋体"/>
                <w:vanish/>
              </w:rPr>
            </w:pPr>
          </w:p>
        </w:tc>
        <w:tc>
          <w:tcPr>
            <w:tcW w:w="0" w:type="auto"/>
            <w:gridSpan w:val="3"/>
            <w:shd w:val="clear" w:color="auto" w:fill="auto"/>
            <w:vAlign w:val="bottom"/>
          </w:tcPr>
          <w:p w14:paraId="642995D5" w14:textId="77777777" w:rsidR="007B6C97" w:rsidRDefault="007B6C97">
            <w:pPr>
              <w:rPr>
                <w:rFonts w:ascii="宋体"/>
                <w:vanish/>
              </w:rPr>
            </w:pPr>
          </w:p>
        </w:tc>
        <w:tc>
          <w:tcPr>
            <w:tcW w:w="0" w:type="auto"/>
            <w:gridSpan w:val="3"/>
            <w:shd w:val="clear" w:color="auto" w:fill="auto"/>
            <w:vAlign w:val="bottom"/>
          </w:tcPr>
          <w:p w14:paraId="642995D6" w14:textId="77777777" w:rsidR="007B6C97" w:rsidRDefault="007B6C97">
            <w:pPr>
              <w:rPr>
                <w:rFonts w:ascii="宋体"/>
                <w:vanish/>
              </w:rPr>
            </w:pPr>
          </w:p>
        </w:tc>
        <w:tc>
          <w:tcPr>
            <w:tcW w:w="0" w:type="auto"/>
            <w:gridSpan w:val="3"/>
            <w:shd w:val="clear" w:color="auto" w:fill="auto"/>
            <w:vAlign w:val="bottom"/>
          </w:tcPr>
          <w:p w14:paraId="642995D7" w14:textId="77777777" w:rsidR="007B6C97" w:rsidRDefault="007B6C97">
            <w:pPr>
              <w:rPr>
                <w:rFonts w:ascii="宋体"/>
                <w:vanish/>
              </w:rPr>
            </w:pPr>
          </w:p>
        </w:tc>
        <w:tc>
          <w:tcPr>
            <w:tcW w:w="0" w:type="auto"/>
            <w:gridSpan w:val="3"/>
            <w:shd w:val="clear" w:color="auto" w:fill="auto"/>
            <w:vAlign w:val="bottom"/>
          </w:tcPr>
          <w:p w14:paraId="642995D8" w14:textId="77777777" w:rsidR="007B6C97" w:rsidRDefault="007B6C97">
            <w:pPr>
              <w:rPr>
                <w:rFonts w:ascii="宋体"/>
                <w:vanish/>
              </w:rPr>
            </w:pPr>
          </w:p>
        </w:tc>
      </w:tr>
      <w:tr w:rsidR="007B6C97" w14:paraId="642995F8" w14:textId="77777777">
        <w:tc>
          <w:tcPr>
            <w:tcW w:w="0" w:type="auto"/>
            <w:gridSpan w:val="3"/>
            <w:shd w:val="clear" w:color="auto" w:fill="FFFFFF"/>
            <w:tcMar>
              <w:top w:w="40" w:type="dxa"/>
              <w:left w:w="155" w:type="dxa"/>
              <w:bottom w:w="40" w:type="dxa"/>
              <w:right w:w="20" w:type="dxa"/>
            </w:tcMar>
          </w:tcPr>
          <w:p w14:paraId="642995DA" w14:textId="77777777" w:rsidR="007B6C97" w:rsidRDefault="00E426D1">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right w:w="0" w:type="dxa"/>
            </w:tcMar>
            <w:vAlign w:val="bottom"/>
          </w:tcPr>
          <w:p w14:paraId="642995DB"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DC" w14:textId="77777777" w:rsidR="007B6C97" w:rsidRDefault="00E426D1">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642995D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DE"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5DF"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E0" w14:textId="77777777" w:rsidR="007B6C97" w:rsidRDefault="00E426D1">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642995E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E2"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5E3"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E4"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42995E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E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5E7" w14:textId="77777777" w:rsidR="007B6C97" w:rsidRDefault="00E426D1">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642995E8" w14:textId="77777777" w:rsidR="007B6C97" w:rsidRDefault="00E426D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5E9"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5EA"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EB" w14:textId="77777777" w:rsidR="007B6C97" w:rsidRDefault="00E426D1">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642995E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ED"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5EE"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EF" w14:textId="77777777" w:rsidR="007B6C97" w:rsidRDefault="00E426D1">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642995F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F1" w14:textId="77777777" w:rsidR="007B6C97" w:rsidRDefault="007B6C97">
            <w:pPr>
              <w:rPr>
                <w:rFonts w:ascii="宋体"/>
              </w:rPr>
            </w:pPr>
          </w:p>
        </w:tc>
        <w:tc>
          <w:tcPr>
            <w:tcW w:w="0" w:type="auto"/>
            <w:shd w:val="clear" w:color="auto" w:fill="FFFFFF"/>
            <w:tcMar>
              <w:top w:w="40" w:type="dxa"/>
              <w:left w:w="20" w:type="dxa"/>
              <w:bottom w:w="40" w:type="dxa"/>
              <w:right w:w="0" w:type="dxa"/>
            </w:tcMar>
            <w:vAlign w:val="bottom"/>
          </w:tcPr>
          <w:p w14:paraId="642995F2" w14:textId="77777777" w:rsidR="007B6C97" w:rsidRDefault="00E426D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42995F3" w14:textId="77777777" w:rsidR="007B6C97" w:rsidRDefault="00E426D1">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vAlign w:val="bottom"/>
          </w:tcPr>
          <w:p w14:paraId="642995F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5F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5F6" w14:textId="77777777" w:rsidR="007B6C97" w:rsidRDefault="00E426D1">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642995F7" w14:textId="77777777" w:rsidR="007B6C97" w:rsidRDefault="00E426D1">
            <w:pPr>
              <w:jc w:val="right"/>
              <w:textAlignment w:val="bottom"/>
            </w:pPr>
            <w:r>
              <w:rPr>
                <w:rFonts w:ascii="Times New Roman" w:eastAsia="宋体" w:hAnsi="Times New Roman"/>
                <w:color w:val="000000"/>
                <w:sz w:val="20"/>
                <w:szCs w:val="20"/>
              </w:rPr>
              <w:t>%</w:t>
            </w:r>
          </w:p>
        </w:tc>
      </w:tr>
      <w:tr w:rsidR="007B6C97" w14:paraId="64299611" w14:textId="77777777">
        <w:tc>
          <w:tcPr>
            <w:tcW w:w="0" w:type="auto"/>
            <w:gridSpan w:val="3"/>
            <w:shd w:val="clear" w:color="auto" w:fill="D7E4BC"/>
            <w:tcMar>
              <w:top w:w="40" w:type="dxa"/>
              <w:left w:w="20" w:type="dxa"/>
              <w:bottom w:w="40" w:type="dxa"/>
              <w:right w:w="20" w:type="dxa"/>
            </w:tcMar>
          </w:tcPr>
          <w:p w14:paraId="642995F9" w14:textId="77777777" w:rsidR="007B6C97" w:rsidRDefault="00E426D1">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5FA" w14:textId="77777777" w:rsidR="007B6C97" w:rsidRDefault="00E426D1">
            <w:pPr>
              <w:jc w:val="right"/>
              <w:textAlignment w:val="bottom"/>
            </w:pPr>
            <w:r>
              <w:rPr>
                <w:rFonts w:ascii="Times New Roman" w:eastAsia="宋体" w:hAnsi="Times New Roman"/>
                <w:b/>
                <w:bCs/>
                <w:color w:val="000000"/>
                <w:sz w:val="20"/>
                <w:szCs w:val="20"/>
              </w:rPr>
              <w:t>27.3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5F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FC"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5FD" w14:textId="77777777" w:rsidR="007B6C97" w:rsidRDefault="00E426D1">
            <w:pPr>
              <w:jc w:val="right"/>
              <w:textAlignment w:val="bottom"/>
            </w:pPr>
            <w:r>
              <w:rPr>
                <w:rFonts w:ascii="Times New Roman" w:eastAsia="宋体" w:hAnsi="Times New Roman"/>
                <w:b/>
                <w:bCs/>
                <w:color w:val="000000"/>
                <w:sz w:val="20"/>
                <w:szCs w:val="20"/>
              </w:rPr>
              <w:t>23.8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5F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5FF"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0" w14:textId="77777777" w:rsidR="007B6C97" w:rsidRDefault="00E426D1">
            <w:pPr>
              <w:jc w:val="right"/>
              <w:textAlignment w:val="bottom"/>
            </w:pPr>
            <w:r>
              <w:rPr>
                <w:rFonts w:ascii="Times New Roman" w:eastAsia="宋体" w:hAnsi="Times New Roman"/>
                <w:b/>
                <w:bCs/>
                <w:color w:val="000000"/>
                <w:sz w:val="20"/>
                <w:szCs w:val="20"/>
              </w:rPr>
              <w:t>3.5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0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02"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3" w14:textId="77777777" w:rsidR="007B6C97" w:rsidRDefault="00E426D1">
            <w:pPr>
              <w:jc w:val="right"/>
              <w:textAlignment w:val="bottom"/>
            </w:pPr>
            <w:r>
              <w:rPr>
                <w:rFonts w:ascii="Times New Roman" w:eastAsia="宋体" w:hAnsi="Times New Roman"/>
                <w:b/>
                <w:bCs/>
                <w:color w:val="000000"/>
                <w:sz w:val="20"/>
                <w:szCs w:val="20"/>
              </w:rPr>
              <w:t>14.7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0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05"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6" w14:textId="77777777" w:rsidR="007B6C97" w:rsidRDefault="00E426D1">
            <w:pPr>
              <w:jc w:val="right"/>
              <w:textAlignment w:val="bottom"/>
            </w:pPr>
            <w:r>
              <w:rPr>
                <w:rFonts w:ascii="Times New Roman" w:eastAsia="宋体" w:hAnsi="Times New Roman"/>
                <w:b/>
                <w:bCs/>
                <w:color w:val="000000"/>
                <w:sz w:val="20"/>
                <w:szCs w:val="20"/>
              </w:rPr>
              <w:t>76.7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0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08"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9" w14:textId="77777777" w:rsidR="007B6C97" w:rsidRDefault="00E426D1">
            <w:pPr>
              <w:jc w:val="right"/>
              <w:textAlignment w:val="bottom"/>
            </w:pPr>
            <w:r>
              <w:rPr>
                <w:rFonts w:ascii="Times New Roman" w:eastAsia="宋体" w:hAnsi="Times New Roman"/>
                <w:b/>
                <w:bCs/>
                <w:color w:val="000000"/>
                <w:sz w:val="20"/>
                <w:szCs w:val="20"/>
              </w:rPr>
              <w:t>66.8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0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0B"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C" w14:textId="77777777" w:rsidR="007B6C97" w:rsidRDefault="00E426D1">
            <w:pPr>
              <w:jc w:val="right"/>
              <w:textAlignment w:val="bottom"/>
            </w:pPr>
            <w:r>
              <w:rPr>
                <w:rFonts w:ascii="Times New Roman" w:eastAsia="宋体" w:hAnsi="Times New Roman"/>
                <w:b/>
                <w:bCs/>
                <w:color w:val="000000"/>
                <w:sz w:val="20"/>
                <w:szCs w:val="20"/>
              </w:rPr>
              <w:t>9.9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0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0E"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0F" w14:textId="77777777" w:rsidR="007B6C97" w:rsidRDefault="00E426D1">
            <w:pPr>
              <w:jc w:val="right"/>
              <w:textAlignment w:val="bottom"/>
            </w:pPr>
            <w:r>
              <w:rPr>
                <w:rFonts w:ascii="Times New Roman" w:eastAsia="宋体" w:hAnsi="Times New Roman"/>
                <w:b/>
                <w:bCs/>
                <w:color w:val="000000"/>
                <w:sz w:val="20"/>
                <w:szCs w:val="20"/>
              </w:rPr>
              <w:t>14.8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10" w14:textId="77777777" w:rsidR="007B6C97" w:rsidRDefault="007B6C97">
            <w:pPr>
              <w:jc w:val="right"/>
              <w:rPr>
                <w:rFonts w:ascii="宋体"/>
              </w:rPr>
            </w:pPr>
          </w:p>
        </w:tc>
      </w:tr>
      <w:tr w:rsidR="007B6C97" w14:paraId="6429962A" w14:textId="77777777">
        <w:tc>
          <w:tcPr>
            <w:tcW w:w="0" w:type="auto"/>
            <w:gridSpan w:val="3"/>
            <w:shd w:val="clear" w:color="auto" w:fill="FFFFFF"/>
            <w:tcMar>
              <w:top w:w="40" w:type="dxa"/>
              <w:left w:w="20" w:type="dxa"/>
              <w:bottom w:w="40" w:type="dxa"/>
              <w:right w:w="20" w:type="dxa"/>
            </w:tcMar>
          </w:tcPr>
          <w:p w14:paraId="64299612" w14:textId="77777777" w:rsidR="007B6C97" w:rsidRDefault="00E426D1">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4299613" w14:textId="77777777" w:rsidR="007B6C97" w:rsidRDefault="00E426D1">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6429961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1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16" w14:textId="77777777" w:rsidR="007B6C97" w:rsidRDefault="00E426D1">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6429961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1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19" w14:textId="77777777" w:rsidR="007B6C97" w:rsidRDefault="00E426D1">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6429961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1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1C" w14:textId="77777777" w:rsidR="007B6C97" w:rsidRDefault="00E426D1">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6429961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1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1F" w14:textId="77777777" w:rsidR="007B6C97" w:rsidRDefault="00E426D1">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bottom"/>
          </w:tcPr>
          <w:p w14:paraId="6429962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2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22" w14:textId="77777777" w:rsidR="007B6C97" w:rsidRDefault="00E426D1">
            <w:pPr>
              <w:jc w:val="right"/>
              <w:textAlignment w:val="bottom"/>
            </w:pPr>
            <w:r>
              <w:rPr>
                <w:rFonts w:ascii="Times New Roman" w:eastAsia="宋体" w:hAnsi="Times New Roman"/>
                <w:color w:val="000000"/>
                <w:sz w:val="20"/>
                <w:szCs w:val="20"/>
              </w:rPr>
              <w:t>58.1 </w:t>
            </w:r>
          </w:p>
        </w:tc>
        <w:tc>
          <w:tcPr>
            <w:tcW w:w="0" w:type="auto"/>
            <w:shd w:val="clear" w:color="auto" w:fill="FFFFFF"/>
            <w:tcMar>
              <w:top w:w="40" w:type="dxa"/>
              <w:left w:w="0" w:type="dxa"/>
              <w:bottom w:w="40" w:type="dxa"/>
              <w:right w:w="20" w:type="dxa"/>
            </w:tcMar>
            <w:vAlign w:val="bottom"/>
          </w:tcPr>
          <w:p w14:paraId="6429962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2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25" w14:textId="77777777" w:rsidR="007B6C97" w:rsidRDefault="00E426D1">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6429962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2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28" w14:textId="77777777" w:rsidR="007B6C97" w:rsidRDefault="00E426D1">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64299629" w14:textId="77777777" w:rsidR="007B6C97" w:rsidRDefault="007B6C97">
            <w:pPr>
              <w:jc w:val="right"/>
              <w:rPr>
                <w:rFonts w:ascii="宋体"/>
              </w:rPr>
            </w:pPr>
          </w:p>
        </w:tc>
      </w:tr>
      <w:tr w:rsidR="007B6C97" w14:paraId="6429963B" w14:textId="77777777">
        <w:trPr>
          <w:hidden/>
        </w:trPr>
        <w:tc>
          <w:tcPr>
            <w:tcW w:w="0" w:type="auto"/>
            <w:gridSpan w:val="3"/>
            <w:shd w:val="clear" w:color="auto" w:fill="auto"/>
            <w:vAlign w:val="bottom"/>
          </w:tcPr>
          <w:p w14:paraId="6429962B" w14:textId="77777777" w:rsidR="007B6C97" w:rsidRDefault="007B6C97">
            <w:pPr>
              <w:rPr>
                <w:rFonts w:ascii="宋体"/>
                <w:vanish/>
              </w:rPr>
            </w:pPr>
          </w:p>
        </w:tc>
        <w:tc>
          <w:tcPr>
            <w:tcW w:w="0" w:type="auto"/>
            <w:gridSpan w:val="3"/>
            <w:shd w:val="clear" w:color="auto" w:fill="auto"/>
            <w:vAlign w:val="bottom"/>
          </w:tcPr>
          <w:p w14:paraId="6429962C" w14:textId="77777777" w:rsidR="007B6C97" w:rsidRDefault="007B6C97">
            <w:pPr>
              <w:rPr>
                <w:rFonts w:ascii="宋体"/>
                <w:vanish/>
              </w:rPr>
            </w:pPr>
          </w:p>
        </w:tc>
        <w:tc>
          <w:tcPr>
            <w:tcW w:w="0" w:type="auto"/>
            <w:gridSpan w:val="3"/>
            <w:shd w:val="clear" w:color="auto" w:fill="auto"/>
            <w:vAlign w:val="bottom"/>
          </w:tcPr>
          <w:p w14:paraId="6429962D" w14:textId="77777777" w:rsidR="007B6C97" w:rsidRDefault="007B6C97">
            <w:pPr>
              <w:rPr>
                <w:rFonts w:ascii="宋体"/>
                <w:vanish/>
              </w:rPr>
            </w:pPr>
          </w:p>
        </w:tc>
        <w:tc>
          <w:tcPr>
            <w:tcW w:w="0" w:type="auto"/>
            <w:gridSpan w:val="3"/>
            <w:shd w:val="clear" w:color="auto" w:fill="auto"/>
            <w:vAlign w:val="bottom"/>
          </w:tcPr>
          <w:p w14:paraId="6429962E" w14:textId="77777777" w:rsidR="007B6C97" w:rsidRDefault="007B6C97">
            <w:pPr>
              <w:rPr>
                <w:rFonts w:ascii="宋体"/>
                <w:vanish/>
              </w:rPr>
            </w:pPr>
          </w:p>
        </w:tc>
        <w:tc>
          <w:tcPr>
            <w:tcW w:w="0" w:type="auto"/>
            <w:gridSpan w:val="3"/>
            <w:shd w:val="clear" w:color="auto" w:fill="auto"/>
            <w:vAlign w:val="bottom"/>
          </w:tcPr>
          <w:p w14:paraId="6429962F" w14:textId="77777777" w:rsidR="007B6C97" w:rsidRDefault="007B6C97">
            <w:pPr>
              <w:rPr>
                <w:rFonts w:ascii="宋体"/>
                <w:vanish/>
              </w:rPr>
            </w:pPr>
          </w:p>
        </w:tc>
        <w:tc>
          <w:tcPr>
            <w:tcW w:w="0" w:type="auto"/>
            <w:gridSpan w:val="3"/>
            <w:shd w:val="clear" w:color="auto" w:fill="auto"/>
            <w:vAlign w:val="bottom"/>
          </w:tcPr>
          <w:p w14:paraId="64299630" w14:textId="77777777" w:rsidR="007B6C97" w:rsidRDefault="007B6C97">
            <w:pPr>
              <w:rPr>
                <w:rFonts w:ascii="宋体"/>
                <w:vanish/>
              </w:rPr>
            </w:pPr>
          </w:p>
        </w:tc>
        <w:tc>
          <w:tcPr>
            <w:tcW w:w="0" w:type="auto"/>
            <w:gridSpan w:val="3"/>
            <w:shd w:val="clear" w:color="auto" w:fill="auto"/>
            <w:vAlign w:val="bottom"/>
          </w:tcPr>
          <w:p w14:paraId="64299631" w14:textId="77777777" w:rsidR="007B6C97" w:rsidRDefault="007B6C97">
            <w:pPr>
              <w:rPr>
                <w:rFonts w:ascii="宋体"/>
                <w:vanish/>
              </w:rPr>
            </w:pPr>
          </w:p>
        </w:tc>
        <w:tc>
          <w:tcPr>
            <w:tcW w:w="0" w:type="auto"/>
            <w:gridSpan w:val="3"/>
            <w:shd w:val="clear" w:color="auto" w:fill="auto"/>
            <w:vAlign w:val="bottom"/>
          </w:tcPr>
          <w:p w14:paraId="64299632" w14:textId="77777777" w:rsidR="007B6C97" w:rsidRDefault="007B6C97">
            <w:pPr>
              <w:rPr>
                <w:rFonts w:ascii="宋体"/>
                <w:vanish/>
              </w:rPr>
            </w:pPr>
          </w:p>
        </w:tc>
        <w:tc>
          <w:tcPr>
            <w:tcW w:w="0" w:type="auto"/>
            <w:gridSpan w:val="3"/>
            <w:shd w:val="clear" w:color="auto" w:fill="auto"/>
            <w:vAlign w:val="bottom"/>
          </w:tcPr>
          <w:p w14:paraId="64299633" w14:textId="77777777" w:rsidR="007B6C97" w:rsidRDefault="007B6C97">
            <w:pPr>
              <w:rPr>
                <w:rFonts w:ascii="宋体"/>
                <w:vanish/>
              </w:rPr>
            </w:pPr>
          </w:p>
        </w:tc>
        <w:tc>
          <w:tcPr>
            <w:tcW w:w="0" w:type="auto"/>
            <w:gridSpan w:val="3"/>
            <w:shd w:val="clear" w:color="auto" w:fill="auto"/>
            <w:vAlign w:val="bottom"/>
          </w:tcPr>
          <w:p w14:paraId="64299634" w14:textId="77777777" w:rsidR="007B6C97" w:rsidRDefault="007B6C97">
            <w:pPr>
              <w:rPr>
                <w:rFonts w:ascii="宋体"/>
                <w:vanish/>
              </w:rPr>
            </w:pPr>
          </w:p>
        </w:tc>
        <w:tc>
          <w:tcPr>
            <w:tcW w:w="0" w:type="auto"/>
            <w:gridSpan w:val="3"/>
            <w:shd w:val="clear" w:color="auto" w:fill="auto"/>
            <w:vAlign w:val="bottom"/>
          </w:tcPr>
          <w:p w14:paraId="64299635" w14:textId="77777777" w:rsidR="007B6C97" w:rsidRDefault="007B6C97">
            <w:pPr>
              <w:rPr>
                <w:rFonts w:ascii="宋体"/>
                <w:vanish/>
              </w:rPr>
            </w:pPr>
          </w:p>
        </w:tc>
        <w:tc>
          <w:tcPr>
            <w:tcW w:w="0" w:type="auto"/>
            <w:gridSpan w:val="3"/>
            <w:shd w:val="clear" w:color="auto" w:fill="auto"/>
            <w:vAlign w:val="bottom"/>
          </w:tcPr>
          <w:p w14:paraId="64299636" w14:textId="77777777" w:rsidR="007B6C97" w:rsidRDefault="007B6C97">
            <w:pPr>
              <w:rPr>
                <w:rFonts w:ascii="宋体"/>
                <w:vanish/>
              </w:rPr>
            </w:pPr>
          </w:p>
        </w:tc>
        <w:tc>
          <w:tcPr>
            <w:tcW w:w="0" w:type="auto"/>
            <w:gridSpan w:val="3"/>
            <w:shd w:val="clear" w:color="auto" w:fill="auto"/>
            <w:vAlign w:val="bottom"/>
          </w:tcPr>
          <w:p w14:paraId="64299637" w14:textId="77777777" w:rsidR="007B6C97" w:rsidRDefault="007B6C97">
            <w:pPr>
              <w:rPr>
                <w:rFonts w:ascii="宋体"/>
                <w:vanish/>
              </w:rPr>
            </w:pPr>
          </w:p>
        </w:tc>
        <w:tc>
          <w:tcPr>
            <w:tcW w:w="0" w:type="auto"/>
            <w:gridSpan w:val="3"/>
            <w:shd w:val="clear" w:color="auto" w:fill="auto"/>
            <w:vAlign w:val="bottom"/>
          </w:tcPr>
          <w:p w14:paraId="64299638" w14:textId="77777777" w:rsidR="007B6C97" w:rsidRDefault="007B6C97">
            <w:pPr>
              <w:rPr>
                <w:rFonts w:ascii="宋体"/>
                <w:vanish/>
              </w:rPr>
            </w:pPr>
          </w:p>
        </w:tc>
        <w:tc>
          <w:tcPr>
            <w:tcW w:w="0" w:type="auto"/>
            <w:gridSpan w:val="3"/>
            <w:shd w:val="clear" w:color="auto" w:fill="auto"/>
            <w:vAlign w:val="bottom"/>
          </w:tcPr>
          <w:p w14:paraId="64299639" w14:textId="77777777" w:rsidR="007B6C97" w:rsidRDefault="007B6C97">
            <w:pPr>
              <w:rPr>
                <w:rFonts w:ascii="宋体"/>
                <w:vanish/>
              </w:rPr>
            </w:pPr>
          </w:p>
        </w:tc>
        <w:tc>
          <w:tcPr>
            <w:tcW w:w="0" w:type="auto"/>
            <w:gridSpan w:val="3"/>
            <w:shd w:val="clear" w:color="auto" w:fill="auto"/>
            <w:vAlign w:val="bottom"/>
          </w:tcPr>
          <w:p w14:paraId="6429963A" w14:textId="77777777" w:rsidR="007B6C97" w:rsidRDefault="007B6C97">
            <w:pPr>
              <w:rPr>
                <w:rFonts w:ascii="宋体"/>
                <w:vanish/>
              </w:rPr>
            </w:pPr>
          </w:p>
        </w:tc>
      </w:tr>
      <w:tr w:rsidR="007B6C97" w14:paraId="64299654" w14:textId="77777777">
        <w:tc>
          <w:tcPr>
            <w:tcW w:w="0" w:type="auto"/>
            <w:gridSpan w:val="3"/>
            <w:shd w:val="clear" w:color="auto" w:fill="D7E4BC"/>
            <w:tcMar>
              <w:top w:w="40" w:type="dxa"/>
              <w:left w:w="20" w:type="dxa"/>
              <w:bottom w:w="40" w:type="dxa"/>
              <w:right w:w="20" w:type="dxa"/>
            </w:tcMar>
          </w:tcPr>
          <w:p w14:paraId="6429963C" w14:textId="77777777" w:rsidR="007B6C97" w:rsidRDefault="00E426D1">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429963D" w14:textId="77777777" w:rsidR="007B6C97" w:rsidRDefault="00E426D1">
            <w:pPr>
              <w:jc w:val="right"/>
              <w:textAlignment w:val="bottom"/>
            </w:pPr>
            <w:r>
              <w:rPr>
                <w:rFonts w:ascii="Times New Roman" w:eastAsia="宋体" w:hAnsi="Times New Roman"/>
                <w:color w:val="000000"/>
                <w:sz w:val="20"/>
                <w:szCs w:val="20"/>
              </w:rPr>
              <w:t>5.9 </w:t>
            </w:r>
          </w:p>
        </w:tc>
        <w:tc>
          <w:tcPr>
            <w:tcW w:w="0" w:type="auto"/>
            <w:shd w:val="clear" w:color="auto" w:fill="D7E4BC"/>
            <w:tcMar>
              <w:top w:w="40" w:type="dxa"/>
              <w:left w:w="0" w:type="dxa"/>
              <w:bottom w:w="40" w:type="dxa"/>
              <w:right w:w="20" w:type="dxa"/>
            </w:tcMar>
            <w:vAlign w:val="bottom"/>
          </w:tcPr>
          <w:p w14:paraId="6429963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3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0" w14:textId="77777777" w:rsidR="007B6C97" w:rsidRDefault="00E426D1">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6429964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4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3" w14:textId="77777777" w:rsidR="007B6C97" w:rsidRDefault="00E426D1">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6429964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4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6" w14:textId="77777777" w:rsidR="007B6C97" w:rsidRDefault="00E426D1">
            <w:pPr>
              <w:jc w:val="right"/>
              <w:textAlignment w:val="bottom"/>
            </w:pPr>
            <w:r>
              <w:rPr>
                <w:rFonts w:ascii="Times New Roman" w:eastAsia="宋体" w:hAnsi="Times New Roman"/>
                <w:color w:val="000000"/>
                <w:sz w:val="20"/>
                <w:szCs w:val="20"/>
              </w:rPr>
              <w:t>78.8 </w:t>
            </w:r>
          </w:p>
        </w:tc>
        <w:tc>
          <w:tcPr>
            <w:tcW w:w="0" w:type="auto"/>
            <w:shd w:val="clear" w:color="auto" w:fill="D7E4BC"/>
            <w:tcMar>
              <w:top w:w="40" w:type="dxa"/>
              <w:left w:w="0" w:type="dxa"/>
              <w:bottom w:w="40" w:type="dxa"/>
              <w:right w:w="20" w:type="dxa"/>
            </w:tcMar>
            <w:vAlign w:val="bottom"/>
          </w:tcPr>
          <w:p w14:paraId="6429964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4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9" w14:textId="77777777" w:rsidR="007B6C97" w:rsidRDefault="00E426D1">
            <w:pPr>
              <w:jc w:val="right"/>
              <w:textAlignment w:val="bottom"/>
            </w:pPr>
            <w:r>
              <w:rPr>
                <w:rFonts w:ascii="Times New Roman" w:eastAsia="宋体" w:hAnsi="Times New Roman"/>
                <w:color w:val="000000"/>
                <w:sz w:val="20"/>
                <w:szCs w:val="20"/>
              </w:rPr>
              <w:t>13.2 </w:t>
            </w:r>
          </w:p>
        </w:tc>
        <w:tc>
          <w:tcPr>
            <w:tcW w:w="0" w:type="auto"/>
            <w:shd w:val="clear" w:color="auto" w:fill="D7E4BC"/>
            <w:tcMar>
              <w:top w:w="40" w:type="dxa"/>
              <w:left w:w="0" w:type="dxa"/>
              <w:bottom w:w="40" w:type="dxa"/>
              <w:right w:w="20" w:type="dxa"/>
            </w:tcMar>
            <w:vAlign w:val="bottom"/>
          </w:tcPr>
          <w:p w14:paraId="6429964A"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4B"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C" w14:textId="77777777" w:rsidR="007B6C97" w:rsidRDefault="00E426D1">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6429964D"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4E"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4F"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6429965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5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52" w14:textId="77777777" w:rsidR="007B6C97" w:rsidRDefault="00E426D1">
            <w:pPr>
              <w:jc w:val="right"/>
              <w:textAlignment w:val="bottom"/>
            </w:pPr>
            <w:r>
              <w:rPr>
                <w:rFonts w:ascii="Times New Roman" w:eastAsia="宋体" w:hAnsi="Times New Roman"/>
                <w:color w:val="000000"/>
                <w:sz w:val="20"/>
                <w:szCs w:val="20"/>
              </w:rPr>
              <w:t>26.9 </w:t>
            </w:r>
          </w:p>
        </w:tc>
        <w:tc>
          <w:tcPr>
            <w:tcW w:w="0" w:type="auto"/>
            <w:shd w:val="clear" w:color="auto" w:fill="D7E4BC"/>
            <w:tcMar>
              <w:top w:w="40" w:type="dxa"/>
              <w:left w:w="0" w:type="dxa"/>
              <w:bottom w:w="40" w:type="dxa"/>
              <w:right w:w="20" w:type="dxa"/>
            </w:tcMar>
            <w:vAlign w:val="bottom"/>
          </w:tcPr>
          <w:p w14:paraId="64299653" w14:textId="77777777" w:rsidR="007B6C97" w:rsidRDefault="007B6C97">
            <w:pPr>
              <w:jc w:val="right"/>
              <w:rPr>
                <w:rFonts w:ascii="宋体"/>
              </w:rPr>
            </w:pPr>
          </w:p>
        </w:tc>
      </w:tr>
      <w:tr w:rsidR="007B6C97" w14:paraId="6429966D" w14:textId="77777777">
        <w:tc>
          <w:tcPr>
            <w:tcW w:w="0" w:type="auto"/>
            <w:gridSpan w:val="3"/>
            <w:shd w:val="clear" w:color="auto" w:fill="FFFFFF"/>
            <w:tcMar>
              <w:top w:w="40" w:type="dxa"/>
              <w:left w:w="20" w:type="dxa"/>
              <w:bottom w:w="40" w:type="dxa"/>
              <w:right w:w="20" w:type="dxa"/>
            </w:tcMar>
          </w:tcPr>
          <w:p w14:paraId="64299655" w14:textId="77777777" w:rsidR="007B6C97" w:rsidRDefault="00E426D1">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4299656" w14:textId="77777777" w:rsidR="007B6C97" w:rsidRDefault="00E426D1">
            <w:pPr>
              <w:jc w:val="right"/>
              <w:textAlignment w:val="bottom"/>
            </w:pPr>
            <w:r>
              <w:rPr>
                <w:rFonts w:ascii="Times New Roman" w:eastAsia="宋体" w:hAnsi="Times New Roman"/>
                <w:color w:val="000000"/>
                <w:sz w:val="20"/>
                <w:szCs w:val="20"/>
              </w:rPr>
              <w:t>30.6 </w:t>
            </w:r>
          </w:p>
        </w:tc>
        <w:tc>
          <w:tcPr>
            <w:tcW w:w="0" w:type="auto"/>
            <w:shd w:val="clear" w:color="auto" w:fill="FFFFFF"/>
            <w:tcMar>
              <w:top w:w="40" w:type="dxa"/>
              <w:left w:w="0" w:type="dxa"/>
              <w:bottom w:w="40" w:type="dxa"/>
              <w:right w:w="20" w:type="dxa"/>
            </w:tcMar>
            <w:vAlign w:val="bottom"/>
          </w:tcPr>
          <w:p w14:paraId="6429965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5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59" w14:textId="77777777" w:rsidR="007B6C97" w:rsidRDefault="00E426D1">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6429965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5B"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5C" w14:textId="77777777" w:rsidR="007B6C97" w:rsidRDefault="00E426D1">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6429965D"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5E"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5F" w14:textId="77777777" w:rsidR="007B6C97" w:rsidRDefault="00E426D1">
            <w:pPr>
              <w:jc w:val="right"/>
              <w:textAlignment w:val="bottom"/>
            </w:pPr>
            <w:r>
              <w:rPr>
                <w:rFonts w:ascii="Times New Roman" w:eastAsia="宋体" w:hAnsi="Times New Roman"/>
                <w:color w:val="000000"/>
                <w:sz w:val="20"/>
                <w:szCs w:val="20"/>
              </w:rPr>
              <w:t>(13.8)</w:t>
            </w:r>
          </w:p>
        </w:tc>
        <w:tc>
          <w:tcPr>
            <w:tcW w:w="0" w:type="auto"/>
            <w:shd w:val="clear" w:color="auto" w:fill="FFFFFF"/>
            <w:tcMar>
              <w:top w:w="40" w:type="dxa"/>
              <w:left w:w="0" w:type="dxa"/>
              <w:bottom w:w="40" w:type="dxa"/>
              <w:right w:w="20" w:type="dxa"/>
            </w:tcMar>
            <w:vAlign w:val="bottom"/>
          </w:tcPr>
          <w:p w14:paraId="64299660"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61"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62" w14:textId="77777777" w:rsidR="007B6C97" w:rsidRDefault="00E426D1">
            <w:pPr>
              <w:jc w:val="right"/>
              <w:textAlignment w:val="bottom"/>
            </w:pPr>
            <w:r>
              <w:rPr>
                <w:rFonts w:ascii="Times New Roman" w:eastAsia="宋体" w:hAnsi="Times New Roman"/>
                <w:color w:val="000000"/>
                <w:sz w:val="20"/>
                <w:szCs w:val="20"/>
              </w:rPr>
              <w:t>95.8 </w:t>
            </w:r>
          </w:p>
        </w:tc>
        <w:tc>
          <w:tcPr>
            <w:tcW w:w="0" w:type="auto"/>
            <w:shd w:val="clear" w:color="auto" w:fill="FFFFFF"/>
            <w:tcMar>
              <w:top w:w="40" w:type="dxa"/>
              <w:left w:w="0" w:type="dxa"/>
              <w:bottom w:w="40" w:type="dxa"/>
              <w:right w:w="20" w:type="dxa"/>
            </w:tcMar>
            <w:vAlign w:val="bottom"/>
          </w:tcPr>
          <w:p w14:paraId="6429966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64"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65" w14:textId="77777777" w:rsidR="007B6C97" w:rsidRDefault="00E426D1">
            <w:pPr>
              <w:jc w:val="right"/>
              <w:textAlignment w:val="bottom"/>
            </w:pPr>
            <w:r>
              <w:rPr>
                <w:rFonts w:ascii="Times New Roman" w:eastAsia="宋体" w:hAnsi="Times New Roman"/>
                <w:color w:val="000000"/>
                <w:sz w:val="20"/>
                <w:szCs w:val="20"/>
              </w:rPr>
              <w:t>109.1 </w:t>
            </w:r>
          </w:p>
        </w:tc>
        <w:tc>
          <w:tcPr>
            <w:tcW w:w="0" w:type="auto"/>
            <w:shd w:val="clear" w:color="auto" w:fill="FFFFFF"/>
            <w:tcMar>
              <w:top w:w="40" w:type="dxa"/>
              <w:left w:w="0" w:type="dxa"/>
              <w:bottom w:w="40" w:type="dxa"/>
              <w:right w:w="20" w:type="dxa"/>
            </w:tcMar>
            <w:vAlign w:val="bottom"/>
          </w:tcPr>
          <w:p w14:paraId="64299666"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67"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68" w14:textId="77777777" w:rsidR="007B6C97" w:rsidRDefault="00E426D1">
            <w:pPr>
              <w:jc w:val="right"/>
              <w:textAlignment w:val="bottom"/>
            </w:pPr>
            <w:r>
              <w:rPr>
                <w:rFonts w:ascii="Times New Roman" w:eastAsia="宋体" w:hAnsi="Times New Roman"/>
                <w:color w:val="000000"/>
                <w:sz w:val="20"/>
                <w:szCs w:val="20"/>
              </w:rPr>
              <w:t>(13.3)</w:t>
            </w:r>
          </w:p>
        </w:tc>
        <w:tc>
          <w:tcPr>
            <w:tcW w:w="0" w:type="auto"/>
            <w:shd w:val="clear" w:color="auto" w:fill="FFFFFF"/>
            <w:tcMar>
              <w:top w:w="40" w:type="dxa"/>
              <w:left w:w="0" w:type="dxa"/>
              <w:bottom w:w="40" w:type="dxa"/>
              <w:right w:w="20" w:type="dxa"/>
            </w:tcMar>
            <w:vAlign w:val="bottom"/>
          </w:tcPr>
          <w:p w14:paraId="6429966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6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6B" w14:textId="77777777" w:rsidR="007B6C97" w:rsidRDefault="00E426D1">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6429966C" w14:textId="77777777" w:rsidR="007B6C97" w:rsidRDefault="007B6C97">
            <w:pPr>
              <w:jc w:val="right"/>
              <w:rPr>
                <w:rFonts w:ascii="宋体"/>
              </w:rPr>
            </w:pPr>
          </w:p>
        </w:tc>
      </w:tr>
      <w:tr w:rsidR="007B6C97" w14:paraId="64299686" w14:textId="77777777">
        <w:tc>
          <w:tcPr>
            <w:tcW w:w="0" w:type="auto"/>
            <w:gridSpan w:val="3"/>
            <w:shd w:val="clear" w:color="auto" w:fill="D7E4BC"/>
            <w:tcMar>
              <w:top w:w="40" w:type="dxa"/>
              <w:left w:w="20" w:type="dxa"/>
              <w:bottom w:w="40" w:type="dxa"/>
              <w:right w:w="20" w:type="dxa"/>
            </w:tcMar>
          </w:tcPr>
          <w:p w14:paraId="6429966E" w14:textId="77777777" w:rsidR="007B6C97" w:rsidRDefault="00E426D1">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429966F" w14:textId="77777777" w:rsidR="007B6C97" w:rsidRDefault="00E426D1">
            <w:pPr>
              <w:jc w:val="right"/>
              <w:textAlignment w:val="bottom"/>
            </w:pPr>
            <w:r>
              <w:rPr>
                <w:rFonts w:ascii="Times New Roman" w:eastAsia="宋体" w:hAnsi="Times New Roman"/>
                <w:color w:val="000000"/>
                <w:sz w:val="20"/>
                <w:szCs w:val="20"/>
              </w:rPr>
              <w:t>326.1 </w:t>
            </w:r>
          </w:p>
        </w:tc>
        <w:tc>
          <w:tcPr>
            <w:tcW w:w="0" w:type="auto"/>
            <w:shd w:val="clear" w:color="auto" w:fill="D7E4BC"/>
            <w:tcMar>
              <w:top w:w="40" w:type="dxa"/>
              <w:left w:w="0" w:type="dxa"/>
              <w:bottom w:w="40" w:type="dxa"/>
              <w:right w:w="20" w:type="dxa"/>
            </w:tcMar>
            <w:vAlign w:val="bottom"/>
          </w:tcPr>
          <w:p w14:paraId="6429967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71"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72" w14:textId="77777777" w:rsidR="007B6C97" w:rsidRDefault="00E426D1">
            <w:pPr>
              <w:jc w:val="right"/>
              <w:textAlignment w:val="bottom"/>
            </w:pPr>
            <w:r>
              <w:rPr>
                <w:rFonts w:ascii="Times New Roman" w:eastAsia="宋体" w:hAnsi="Times New Roman"/>
                <w:color w:val="000000"/>
                <w:sz w:val="20"/>
                <w:szCs w:val="20"/>
              </w:rPr>
              <w:t>324.1 </w:t>
            </w:r>
          </w:p>
        </w:tc>
        <w:tc>
          <w:tcPr>
            <w:tcW w:w="0" w:type="auto"/>
            <w:shd w:val="clear" w:color="auto" w:fill="D7E4BC"/>
            <w:tcMar>
              <w:top w:w="40" w:type="dxa"/>
              <w:left w:w="0" w:type="dxa"/>
              <w:bottom w:w="40" w:type="dxa"/>
              <w:right w:w="20" w:type="dxa"/>
            </w:tcMar>
            <w:vAlign w:val="bottom"/>
          </w:tcPr>
          <w:p w14:paraId="6429967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74"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75"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429967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77"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78" w14:textId="77777777" w:rsidR="007B6C97" w:rsidRDefault="00E426D1">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429967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7A"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7B" w14:textId="77777777" w:rsidR="007B6C97" w:rsidRDefault="00E426D1">
            <w:pPr>
              <w:jc w:val="right"/>
              <w:textAlignment w:val="bottom"/>
            </w:pPr>
            <w:r>
              <w:rPr>
                <w:rFonts w:ascii="Times New Roman" w:eastAsia="宋体" w:hAnsi="Times New Roman"/>
                <w:color w:val="000000"/>
                <w:sz w:val="20"/>
                <w:szCs w:val="20"/>
              </w:rPr>
              <w:t>1,008.7 </w:t>
            </w:r>
          </w:p>
        </w:tc>
        <w:tc>
          <w:tcPr>
            <w:tcW w:w="0" w:type="auto"/>
            <w:shd w:val="clear" w:color="auto" w:fill="D7E4BC"/>
            <w:tcMar>
              <w:top w:w="40" w:type="dxa"/>
              <w:left w:w="0" w:type="dxa"/>
              <w:bottom w:w="40" w:type="dxa"/>
              <w:right w:w="20" w:type="dxa"/>
            </w:tcMar>
            <w:vAlign w:val="bottom"/>
          </w:tcPr>
          <w:p w14:paraId="6429967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7D"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7E" w14:textId="77777777" w:rsidR="007B6C97" w:rsidRDefault="00E426D1">
            <w:pPr>
              <w:jc w:val="right"/>
              <w:textAlignment w:val="bottom"/>
            </w:pPr>
            <w:r>
              <w:rPr>
                <w:rFonts w:ascii="Times New Roman" w:eastAsia="宋体" w:hAnsi="Times New Roman"/>
                <w:color w:val="000000"/>
                <w:sz w:val="20"/>
                <w:szCs w:val="20"/>
              </w:rPr>
              <w:t>940.4 </w:t>
            </w:r>
          </w:p>
        </w:tc>
        <w:tc>
          <w:tcPr>
            <w:tcW w:w="0" w:type="auto"/>
            <w:shd w:val="clear" w:color="auto" w:fill="D7E4BC"/>
            <w:tcMar>
              <w:top w:w="40" w:type="dxa"/>
              <w:left w:w="0" w:type="dxa"/>
              <w:bottom w:w="40" w:type="dxa"/>
              <w:right w:w="20" w:type="dxa"/>
            </w:tcMar>
            <w:vAlign w:val="bottom"/>
          </w:tcPr>
          <w:p w14:paraId="6429967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80"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81" w14:textId="77777777" w:rsidR="007B6C97" w:rsidRDefault="00E426D1">
            <w:pPr>
              <w:jc w:val="right"/>
              <w:textAlignment w:val="bottom"/>
            </w:pPr>
            <w:r>
              <w:rPr>
                <w:rFonts w:ascii="Times New Roman" w:eastAsia="宋体" w:hAnsi="Times New Roman"/>
                <w:color w:val="000000"/>
                <w:sz w:val="20"/>
                <w:szCs w:val="20"/>
              </w:rPr>
              <w:t>68.3 </w:t>
            </w:r>
          </w:p>
        </w:tc>
        <w:tc>
          <w:tcPr>
            <w:tcW w:w="0" w:type="auto"/>
            <w:shd w:val="clear" w:color="auto" w:fill="D7E4BC"/>
            <w:tcMar>
              <w:top w:w="40" w:type="dxa"/>
              <w:left w:w="0" w:type="dxa"/>
              <w:bottom w:w="40" w:type="dxa"/>
              <w:right w:w="20" w:type="dxa"/>
            </w:tcMar>
            <w:vAlign w:val="bottom"/>
          </w:tcPr>
          <w:p w14:paraId="6429968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83"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684" w14:textId="77777777" w:rsidR="007B6C97" w:rsidRDefault="00E426D1">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64299685" w14:textId="77777777" w:rsidR="007B6C97" w:rsidRDefault="007B6C97">
            <w:pPr>
              <w:jc w:val="right"/>
              <w:rPr>
                <w:rFonts w:ascii="宋体"/>
              </w:rPr>
            </w:pPr>
          </w:p>
        </w:tc>
      </w:tr>
      <w:tr w:rsidR="007B6C97" w14:paraId="6429969D" w14:textId="77777777">
        <w:tc>
          <w:tcPr>
            <w:tcW w:w="0" w:type="auto"/>
            <w:gridSpan w:val="3"/>
            <w:shd w:val="clear" w:color="auto" w:fill="FFFFFF"/>
            <w:tcMar>
              <w:top w:w="40" w:type="dxa"/>
              <w:left w:w="20" w:type="dxa"/>
              <w:bottom w:w="40" w:type="dxa"/>
              <w:right w:w="20" w:type="dxa"/>
            </w:tcMar>
          </w:tcPr>
          <w:p w14:paraId="64299687" w14:textId="77777777" w:rsidR="007B6C97" w:rsidRDefault="00E426D1">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64299688"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9689"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8A"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8B"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68C"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8D"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8E"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968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90"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9691" w14:textId="77777777" w:rsidR="007B6C97" w:rsidRDefault="00E426D1">
            <w:pPr>
              <w:jc w:val="right"/>
              <w:textAlignment w:val="bottom"/>
            </w:pPr>
            <w:r>
              <w:rPr>
                <w:rFonts w:ascii="Times New Roman" w:eastAsia="宋体" w:hAnsi="Times New Roman"/>
                <w:color w:val="000000"/>
                <w:sz w:val="20"/>
                <w:szCs w:val="20"/>
              </w:rPr>
              <w:t>nm</w:t>
            </w:r>
          </w:p>
        </w:tc>
        <w:tc>
          <w:tcPr>
            <w:tcW w:w="0" w:type="auto"/>
            <w:gridSpan w:val="3"/>
            <w:shd w:val="clear" w:color="auto" w:fill="FFFFFF"/>
            <w:tcMar>
              <w:top w:w="0" w:type="dxa"/>
              <w:left w:w="20" w:type="dxa"/>
              <w:bottom w:w="0" w:type="dxa"/>
              <w:right w:w="20" w:type="dxa"/>
            </w:tcMar>
            <w:vAlign w:val="bottom"/>
          </w:tcPr>
          <w:p w14:paraId="6429969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93"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96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9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96" w14:textId="77777777" w:rsidR="007B6C97" w:rsidRDefault="00E426D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429969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98"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699" w14:textId="77777777" w:rsidR="007B6C97" w:rsidRDefault="00E426D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429969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9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bottom"/>
          </w:tcPr>
          <w:p w14:paraId="6429969C" w14:textId="77777777" w:rsidR="007B6C97" w:rsidRDefault="00E426D1">
            <w:pPr>
              <w:jc w:val="right"/>
              <w:textAlignment w:val="bottom"/>
            </w:pPr>
            <w:r>
              <w:rPr>
                <w:rFonts w:ascii="Times New Roman" w:eastAsia="宋体" w:hAnsi="Times New Roman"/>
                <w:color w:val="000000"/>
                <w:sz w:val="20"/>
                <w:szCs w:val="20"/>
              </w:rPr>
              <w:t>nm</w:t>
            </w:r>
          </w:p>
        </w:tc>
      </w:tr>
      <w:tr w:rsidR="007B6C97" w14:paraId="642996B6" w14:textId="77777777">
        <w:tc>
          <w:tcPr>
            <w:tcW w:w="0" w:type="auto"/>
            <w:gridSpan w:val="3"/>
            <w:shd w:val="clear" w:color="auto" w:fill="D7E4BC"/>
            <w:tcMar>
              <w:top w:w="40" w:type="dxa"/>
              <w:left w:w="20" w:type="dxa"/>
              <w:bottom w:w="40" w:type="dxa"/>
              <w:right w:w="20" w:type="dxa"/>
            </w:tcMar>
          </w:tcPr>
          <w:p w14:paraId="6429969E" w14:textId="77777777" w:rsidR="007B6C97" w:rsidRDefault="00E426D1">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9F" w14:textId="77777777" w:rsidR="007B6C97" w:rsidRDefault="00E426D1">
            <w:pPr>
              <w:jc w:val="right"/>
              <w:textAlignment w:val="bottom"/>
            </w:pPr>
            <w:r>
              <w:rPr>
                <w:rFonts w:ascii="Times New Roman" w:eastAsia="宋体" w:hAnsi="Times New Roman"/>
                <w:color w:val="000000"/>
                <w:sz w:val="20"/>
                <w:szCs w:val="20"/>
              </w:rPr>
              <w:t>388.9 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0"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A1"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A2" w14:textId="77777777" w:rsidR="007B6C97" w:rsidRDefault="00E426D1">
            <w:pPr>
              <w:jc w:val="right"/>
              <w:textAlignment w:val="bottom"/>
            </w:pPr>
            <w:r>
              <w:rPr>
                <w:rFonts w:ascii="Times New Roman" w:eastAsia="宋体" w:hAnsi="Times New Roman"/>
                <w:color w:val="000000"/>
                <w:sz w:val="20"/>
                <w:szCs w:val="20"/>
              </w:rPr>
              <w:t>382.7 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3"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A4"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A5" w14:textId="77777777" w:rsidR="007B6C97" w:rsidRDefault="00E426D1">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6"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A7"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A8" w14:textId="77777777" w:rsidR="007B6C97" w:rsidRDefault="00E426D1">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9"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AA"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AB" w14:textId="77777777" w:rsidR="007B6C97" w:rsidRDefault="00E426D1">
            <w:pPr>
              <w:jc w:val="right"/>
              <w:textAlignment w:val="bottom"/>
            </w:pPr>
            <w:r>
              <w:rPr>
                <w:rFonts w:ascii="Times New Roman" w:eastAsia="宋体" w:hAnsi="Times New Roman"/>
                <w:color w:val="000000"/>
                <w:sz w:val="20"/>
                <w:szCs w:val="20"/>
              </w:rPr>
              <w:t>1,187.6 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C"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AD"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AE" w14:textId="77777777" w:rsidR="007B6C97" w:rsidRDefault="00E426D1">
            <w:pPr>
              <w:jc w:val="right"/>
              <w:textAlignment w:val="bottom"/>
            </w:pPr>
            <w:r>
              <w:rPr>
                <w:rFonts w:ascii="Times New Roman" w:eastAsia="宋体" w:hAnsi="Times New Roman"/>
                <w:color w:val="000000"/>
                <w:sz w:val="20"/>
                <w:szCs w:val="20"/>
              </w:rPr>
              <w:t>1,118.0 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AF"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B0"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B1" w14:textId="77777777" w:rsidR="007B6C97" w:rsidRDefault="00E426D1">
            <w:pPr>
              <w:jc w:val="right"/>
              <w:textAlignment w:val="bottom"/>
            </w:pPr>
            <w:r>
              <w:rPr>
                <w:rFonts w:ascii="Times New Roman" w:eastAsia="宋体" w:hAnsi="Times New Roman"/>
                <w:color w:val="000000"/>
                <w:sz w:val="20"/>
                <w:szCs w:val="20"/>
              </w:rPr>
              <w:t>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B2"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6B3" w14:textId="77777777" w:rsidR="007B6C97" w:rsidRDefault="007B6C97">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42996B4" w14:textId="77777777" w:rsidR="007B6C97" w:rsidRDefault="00E426D1">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42996B5" w14:textId="77777777" w:rsidR="007B6C97" w:rsidRDefault="007B6C97">
            <w:pPr>
              <w:jc w:val="right"/>
              <w:rPr>
                <w:rFonts w:ascii="宋体"/>
              </w:rPr>
            </w:pPr>
          </w:p>
        </w:tc>
      </w:tr>
      <w:tr w:rsidR="007B6C97" w14:paraId="642996C7" w14:textId="77777777">
        <w:trPr>
          <w:hidden/>
        </w:trPr>
        <w:tc>
          <w:tcPr>
            <w:tcW w:w="0" w:type="auto"/>
            <w:gridSpan w:val="3"/>
            <w:shd w:val="clear" w:color="auto" w:fill="auto"/>
            <w:vAlign w:val="bottom"/>
          </w:tcPr>
          <w:p w14:paraId="642996B7" w14:textId="77777777" w:rsidR="007B6C97" w:rsidRDefault="007B6C97">
            <w:pPr>
              <w:rPr>
                <w:rFonts w:ascii="宋体"/>
                <w:vanish/>
              </w:rPr>
            </w:pPr>
          </w:p>
        </w:tc>
        <w:tc>
          <w:tcPr>
            <w:tcW w:w="0" w:type="auto"/>
            <w:gridSpan w:val="3"/>
            <w:shd w:val="clear" w:color="auto" w:fill="auto"/>
            <w:vAlign w:val="bottom"/>
          </w:tcPr>
          <w:p w14:paraId="642996B8" w14:textId="77777777" w:rsidR="007B6C97" w:rsidRDefault="007B6C97">
            <w:pPr>
              <w:rPr>
                <w:rFonts w:ascii="宋体"/>
                <w:vanish/>
              </w:rPr>
            </w:pPr>
          </w:p>
        </w:tc>
        <w:tc>
          <w:tcPr>
            <w:tcW w:w="0" w:type="auto"/>
            <w:gridSpan w:val="3"/>
            <w:shd w:val="clear" w:color="auto" w:fill="auto"/>
            <w:vAlign w:val="bottom"/>
          </w:tcPr>
          <w:p w14:paraId="642996B9" w14:textId="77777777" w:rsidR="007B6C97" w:rsidRDefault="007B6C97">
            <w:pPr>
              <w:rPr>
                <w:rFonts w:ascii="宋体"/>
                <w:vanish/>
              </w:rPr>
            </w:pPr>
          </w:p>
        </w:tc>
        <w:tc>
          <w:tcPr>
            <w:tcW w:w="0" w:type="auto"/>
            <w:gridSpan w:val="3"/>
            <w:shd w:val="clear" w:color="auto" w:fill="auto"/>
            <w:vAlign w:val="bottom"/>
          </w:tcPr>
          <w:p w14:paraId="642996BA" w14:textId="77777777" w:rsidR="007B6C97" w:rsidRDefault="007B6C97">
            <w:pPr>
              <w:rPr>
                <w:rFonts w:ascii="宋体"/>
                <w:vanish/>
              </w:rPr>
            </w:pPr>
          </w:p>
        </w:tc>
        <w:tc>
          <w:tcPr>
            <w:tcW w:w="0" w:type="auto"/>
            <w:gridSpan w:val="3"/>
            <w:shd w:val="clear" w:color="auto" w:fill="auto"/>
            <w:vAlign w:val="bottom"/>
          </w:tcPr>
          <w:p w14:paraId="642996BB" w14:textId="77777777" w:rsidR="007B6C97" w:rsidRDefault="007B6C97">
            <w:pPr>
              <w:rPr>
                <w:rFonts w:ascii="宋体"/>
                <w:vanish/>
              </w:rPr>
            </w:pPr>
          </w:p>
        </w:tc>
        <w:tc>
          <w:tcPr>
            <w:tcW w:w="0" w:type="auto"/>
            <w:gridSpan w:val="3"/>
            <w:shd w:val="clear" w:color="auto" w:fill="auto"/>
            <w:vAlign w:val="bottom"/>
          </w:tcPr>
          <w:p w14:paraId="642996BC" w14:textId="77777777" w:rsidR="007B6C97" w:rsidRDefault="007B6C97">
            <w:pPr>
              <w:rPr>
                <w:rFonts w:ascii="宋体"/>
                <w:vanish/>
              </w:rPr>
            </w:pPr>
          </w:p>
        </w:tc>
        <w:tc>
          <w:tcPr>
            <w:tcW w:w="0" w:type="auto"/>
            <w:gridSpan w:val="3"/>
            <w:shd w:val="clear" w:color="auto" w:fill="auto"/>
            <w:vAlign w:val="bottom"/>
          </w:tcPr>
          <w:p w14:paraId="642996BD" w14:textId="77777777" w:rsidR="007B6C97" w:rsidRDefault="007B6C97">
            <w:pPr>
              <w:rPr>
                <w:rFonts w:ascii="宋体"/>
                <w:vanish/>
              </w:rPr>
            </w:pPr>
          </w:p>
        </w:tc>
        <w:tc>
          <w:tcPr>
            <w:tcW w:w="0" w:type="auto"/>
            <w:gridSpan w:val="3"/>
            <w:shd w:val="clear" w:color="auto" w:fill="auto"/>
            <w:vAlign w:val="bottom"/>
          </w:tcPr>
          <w:p w14:paraId="642996BE" w14:textId="77777777" w:rsidR="007B6C97" w:rsidRDefault="007B6C97">
            <w:pPr>
              <w:rPr>
                <w:rFonts w:ascii="宋体"/>
                <w:vanish/>
              </w:rPr>
            </w:pPr>
          </w:p>
        </w:tc>
        <w:tc>
          <w:tcPr>
            <w:tcW w:w="0" w:type="auto"/>
            <w:gridSpan w:val="3"/>
            <w:shd w:val="clear" w:color="auto" w:fill="auto"/>
            <w:vAlign w:val="bottom"/>
          </w:tcPr>
          <w:p w14:paraId="642996BF" w14:textId="77777777" w:rsidR="007B6C97" w:rsidRDefault="007B6C97">
            <w:pPr>
              <w:rPr>
                <w:rFonts w:ascii="宋体"/>
                <w:vanish/>
              </w:rPr>
            </w:pPr>
          </w:p>
        </w:tc>
        <w:tc>
          <w:tcPr>
            <w:tcW w:w="0" w:type="auto"/>
            <w:gridSpan w:val="3"/>
            <w:shd w:val="clear" w:color="auto" w:fill="auto"/>
            <w:vAlign w:val="bottom"/>
          </w:tcPr>
          <w:p w14:paraId="642996C0" w14:textId="77777777" w:rsidR="007B6C97" w:rsidRDefault="007B6C97">
            <w:pPr>
              <w:rPr>
                <w:rFonts w:ascii="宋体"/>
                <w:vanish/>
              </w:rPr>
            </w:pPr>
          </w:p>
        </w:tc>
        <w:tc>
          <w:tcPr>
            <w:tcW w:w="0" w:type="auto"/>
            <w:gridSpan w:val="3"/>
            <w:shd w:val="clear" w:color="auto" w:fill="auto"/>
            <w:vAlign w:val="bottom"/>
          </w:tcPr>
          <w:p w14:paraId="642996C1" w14:textId="77777777" w:rsidR="007B6C97" w:rsidRDefault="007B6C97">
            <w:pPr>
              <w:rPr>
                <w:rFonts w:ascii="宋体"/>
                <w:vanish/>
              </w:rPr>
            </w:pPr>
          </w:p>
        </w:tc>
        <w:tc>
          <w:tcPr>
            <w:tcW w:w="0" w:type="auto"/>
            <w:gridSpan w:val="3"/>
            <w:shd w:val="clear" w:color="auto" w:fill="auto"/>
            <w:vAlign w:val="bottom"/>
          </w:tcPr>
          <w:p w14:paraId="642996C2" w14:textId="77777777" w:rsidR="007B6C97" w:rsidRDefault="007B6C97">
            <w:pPr>
              <w:rPr>
                <w:rFonts w:ascii="宋体"/>
                <w:vanish/>
              </w:rPr>
            </w:pPr>
          </w:p>
        </w:tc>
        <w:tc>
          <w:tcPr>
            <w:tcW w:w="0" w:type="auto"/>
            <w:gridSpan w:val="3"/>
            <w:shd w:val="clear" w:color="auto" w:fill="auto"/>
            <w:vAlign w:val="bottom"/>
          </w:tcPr>
          <w:p w14:paraId="642996C3" w14:textId="77777777" w:rsidR="007B6C97" w:rsidRDefault="007B6C97">
            <w:pPr>
              <w:rPr>
                <w:rFonts w:ascii="宋体"/>
                <w:vanish/>
              </w:rPr>
            </w:pPr>
          </w:p>
        </w:tc>
        <w:tc>
          <w:tcPr>
            <w:tcW w:w="0" w:type="auto"/>
            <w:gridSpan w:val="3"/>
            <w:shd w:val="clear" w:color="auto" w:fill="auto"/>
            <w:vAlign w:val="bottom"/>
          </w:tcPr>
          <w:p w14:paraId="642996C4" w14:textId="77777777" w:rsidR="007B6C97" w:rsidRDefault="007B6C97">
            <w:pPr>
              <w:rPr>
                <w:rFonts w:ascii="宋体"/>
                <w:vanish/>
              </w:rPr>
            </w:pPr>
          </w:p>
        </w:tc>
        <w:tc>
          <w:tcPr>
            <w:tcW w:w="0" w:type="auto"/>
            <w:gridSpan w:val="3"/>
            <w:shd w:val="clear" w:color="auto" w:fill="auto"/>
            <w:vAlign w:val="bottom"/>
          </w:tcPr>
          <w:p w14:paraId="642996C5" w14:textId="77777777" w:rsidR="007B6C97" w:rsidRDefault="007B6C97">
            <w:pPr>
              <w:rPr>
                <w:rFonts w:ascii="宋体"/>
                <w:vanish/>
              </w:rPr>
            </w:pPr>
          </w:p>
        </w:tc>
        <w:tc>
          <w:tcPr>
            <w:tcW w:w="0" w:type="auto"/>
            <w:gridSpan w:val="3"/>
            <w:shd w:val="clear" w:color="auto" w:fill="auto"/>
            <w:vAlign w:val="bottom"/>
          </w:tcPr>
          <w:p w14:paraId="642996C6" w14:textId="77777777" w:rsidR="007B6C97" w:rsidRDefault="007B6C97">
            <w:pPr>
              <w:rPr>
                <w:rFonts w:ascii="宋体"/>
                <w:vanish/>
              </w:rPr>
            </w:pPr>
          </w:p>
        </w:tc>
      </w:tr>
      <w:tr w:rsidR="007B6C97" w14:paraId="642996E6" w14:textId="77777777">
        <w:tc>
          <w:tcPr>
            <w:tcW w:w="0" w:type="auto"/>
            <w:gridSpan w:val="3"/>
            <w:shd w:val="clear" w:color="auto" w:fill="FFFFFF"/>
            <w:tcMar>
              <w:top w:w="40" w:type="dxa"/>
              <w:left w:w="380" w:type="dxa"/>
              <w:bottom w:w="40" w:type="dxa"/>
              <w:right w:w="20" w:type="dxa"/>
            </w:tcMar>
          </w:tcPr>
          <w:p w14:paraId="642996C8" w14:textId="77777777" w:rsidR="007B6C97" w:rsidRDefault="00E426D1">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642996C9"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CA" w14:textId="77777777" w:rsidR="007B6C97" w:rsidRDefault="00E426D1">
            <w:pPr>
              <w:jc w:val="right"/>
              <w:textAlignment w:val="bottom"/>
            </w:pPr>
            <w:r>
              <w:rPr>
                <w:rFonts w:ascii="Times New Roman" w:eastAsia="宋体" w:hAnsi="Times New Roman"/>
                <w:b/>
                <w:bCs/>
                <w:color w:val="000000"/>
                <w:sz w:val="20"/>
                <w:szCs w:val="20"/>
              </w:rPr>
              <w:t>(361.6)</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C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CC"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96CD"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CE" w14:textId="77777777" w:rsidR="007B6C97" w:rsidRDefault="00E426D1">
            <w:pPr>
              <w:jc w:val="right"/>
              <w:textAlignment w:val="bottom"/>
            </w:pPr>
            <w:r>
              <w:rPr>
                <w:rFonts w:ascii="Times New Roman" w:eastAsia="宋体" w:hAnsi="Times New Roman"/>
                <w:b/>
                <w:bCs/>
                <w:color w:val="000000"/>
                <w:sz w:val="20"/>
                <w:szCs w:val="20"/>
              </w:rPr>
              <w:t>(358.9)</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CF"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D0"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96D1"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D2" w14:textId="77777777" w:rsidR="007B6C97" w:rsidRDefault="00E426D1">
            <w:pPr>
              <w:jc w:val="right"/>
              <w:textAlignment w:val="bottom"/>
            </w:pPr>
            <w:r>
              <w:rPr>
                <w:rFonts w:ascii="Times New Roman" w:eastAsia="宋体" w:hAnsi="Times New Roman"/>
                <w:b/>
                <w:bCs/>
                <w:color w:val="000000"/>
                <w:sz w:val="20"/>
                <w:szCs w:val="20"/>
              </w:rPr>
              <w:t>(2.7)</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D3"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D4"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6D5" w14:textId="77777777" w:rsidR="007B6C97" w:rsidRDefault="00E426D1">
            <w:pPr>
              <w:jc w:val="right"/>
              <w:textAlignment w:val="bottom"/>
            </w:pPr>
            <w:r>
              <w:rPr>
                <w:rFonts w:ascii="Times New Roman" w:eastAsia="宋体" w:hAnsi="Times New Roman"/>
                <w:b/>
                <w:bCs/>
                <w:color w:val="000000"/>
                <w:sz w:val="20"/>
                <w:szCs w:val="20"/>
              </w:rPr>
              <w:t>0.8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D6" w14:textId="77777777" w:rsidR="007B6C97" w:rsidRDefault="00E426D1">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6D7"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96D8"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D9" w14:textId="77777777" w:rsidR="007B6C97" w:rsidRDefault="00E426D1">
            <w:pPr>
              <w:jc w:val="right"/>
              <w:textAlignment w:val="bottom"/>
            </w:pPr>
            <w:r>
              <w:rPr>
                <w:rFonts w:ascii="Times New Roman" w:eastAsia="宋体" w:hAnsi="Times New Roman"/>
                <w:b/>
                <w:bCs/>
                <w:color w:val="000000"/>
                <w:sz w:val="20"/>
                <w:szCs w:val="20"/>
              </w:rPr>
              <w:t>(1,110.9)</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D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DB"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96DC"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DD" w14:textId="77777777" w:rsidR="007B6C97" w:rsidRDefault="00E426D1">
            <w:pPr>
              <w:jc w:val="right"/>
              <w:textAlignment w:val="bottom"/>
            </w:pPr>
            <w:r>
              <w:rPr>
                <w:rFonts w:ascii="Times New Roman" w:eastAsia="宋体" w:hAnsi="Times New Roman"/>
                <w:b/>
                <w:bCs/>
                <w:color w:val="000000"/>
                <w:sz w:val="20"/>
                <w:szCs w:val="20"/>
              </w:rPr>
              <w:t>(1,051.2)</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D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DF" w14:textId="77777777" w:rsidR="007B6C97" w:rsidRDefault="007B6C9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2996E0" w14:textId="77777777" w:rsidR="007B6C97" w:rsidRDefault="00E426D1">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2996E1" w14:textId="77777777" w:rsidR="007B6C97" w:rsidRDefault="00E426D1">
            <w:pPr>
              <w:jc w:val="right"/>
              <w:textAlignment w:val="bottom"/>
            </w:pPr>
            <w:r>
              <w:rPr>
                <w:rFonts w:ascii="Times New Roman" w:eastAsia="宋体" w:hAnsi="Times New Roman"/>
                <w:b/>
                <w:bCs/>
                <w:color w:val="000000"/>
                <w:sz w:val="20"/>
                <w:szCs w:val="20"/>
              </w:rPr>
              <w:t>(59.7)</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E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6E3"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6E4" w14:textId="77777777" w:rsidR="007B6C97" w:rsidRDefault="00E426D1">
            <w:pPr>
              <w:jc w:val="right"/>
              <w:textAlignment w:val="bottom"/>
            </w:pPr>
            <w:r>
              <w:rPr>
                <w:rFonts w:ascii="Times New Roman" w:eastAsia="宋体" w:hAnsi="Times New Roman"/>
                <w:b/>
                <w:bCs/>
                <w:color w:val="000000"/>
                <w:sz w:val="20"/>
                <w:szCs w:val="20"/>
              </w:rPr>
              <w:t>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6E5" w14:textId="77777777" w:rsidR="007B6C97" w:rsidRDefault="00E426D1">
            <w:pPr>
              <w:jc w:val="right"/>
              <w:textAlignment w:val="bottom"/>
            </w:pPr>
            <w:r>
              <w:rPr>
                <w:rFonts w:ascii="Times New Roman" w:eastAsia="宋体" w:hAnsi="Times New Roman"/>
                <w:b/>
                <w:bCs/>
                <w:color w:val="000000"/>
                <w:sz w:val="20"/>
                <w:szCs w:val="20"/>
              </w:rPr>
              <w:t>%</w:t>
            </w:r>
          </w:p>
        </w:tc>
      </w:tr>
    </w:tbl>
    <w:p w14:paraId="642996E7" w14:textId="77777777" w:rsidR="007B6C97" w:rsidRDefault="00E426D1">
      <w:pPr>
        <w:pBdr>
          <w:left w:val="none" w:sz="0" w:space="0" w:color="auto"/>
        </w:pBd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Corporate and other general and administrative expenses, total operating expenses an</w:t>
      </w:r>
      <w:r>
        <w:rPr>
          <w:rFonts w:ascii="Times New Roman" w:eastAsia="宋体" w:hAnsi="Times New Roman"/>
          <w:color w:val="000000"/>
          <w:sz w:val="20"/>
          <w:szCs w:val="20"/>
          <w:shd w:val="clear" w:color="auto" w:fill="FFFFFF"/>
        </w:rPr>
        <w:t xml:space="preserve">d operating loss for the quarter and </w:t>
      </w:r>
      <w:r>
        <w:rPr>
          <w:rFonts w:ascii="Times New Roman" w:eastAsia="宋体" w:hAnsi="Times New Roman"/>
          <w:color w:val="000000"/>
          <w:sz w:val="20"/>
          <w:szCs w:val="20"/>
        </w:rPr>
        <w:t>three quarters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shd w:val="clear" w:color="auto" w:fill="FFFFFF"/>
        </w:rPr>
        <w:t>ended June 27, 2021, have been restated to conform with current period presentation.</w:t>
      </w:r>
    </w:p>
    <w:p w14:paraId="642996E8" w14:textId="77777777" w:rsidR="007B6C97" w:rsidRDefault="00E426D1">
      <w:pPr>
        <w:spacing w:before="120"/>
      </w:pPr>
      <w:r>
        <w:rPr>
          <w:rFonts w:ascii="Times New Roman" w:eastAsia="宋体" w:hAnsi="Times New Roman"/>
          <w:color w:val="000000"/>
          <w:sz w:val="20"/>
          <w:szCs w:val="20"/>
        </w:rPr>
        <w:t>Corporate and Other primarily consists of our unallocated corporate expenses, as well as Evolution Fresh. Unallocated c</w:t>
      </w:r>
      <w:r>
        <w:rPr>
          <w:rFonts w:ascii="Times New Roman" w:eastAsia="宋体" w:hAnsi="Times New Roman"/>
          <w:color w:val="000000"/>
          <w:sz w:val="20"/>
          <w:szCs w:val="20"/>
        </w:rPr>
        <w:t>orporate expenses include corporate administrative functions that support the operating segments but are not specifically attributable to or managed by any segment and are not included in the reported financial results of the operating segments.</w:t>
      </w:r>
    </w:p>
    <w:p w14:paraId="642996E9" w14:textId="77777777" w:rsidR="007B6C97" w:rsidRDefault="00E426D1">
      <w:pPr>
        <w:spacing w:before="120"/>
      </w:pPr>
      <w:r>
        <w:rPr>
          <w:rFonts w:ascii="Times New Roman" w:eastAsia="宋体" w:hAnsi="Times New Roman"/>
          <w:color w:val="000000"/>
          <w:sz w:val="20"/>
          <w:szCs w:val="20"/>
        </w:rPr>
        <w:t>In May 202</w:t>
      </w:r>
      <w:r>
        <w:rPr>
          <w:rFonts w:ascii="Times New Roman" w:eastAsia="宋体" w:hAnsi="Times New Roman"/>
          <w:color w:val="000000"/>
          <w:sz w:val="20"/>
          <w:szCs w:val="20"/>
        </w:rPr>
        <w:t>2, the company announced entry into a definitive agreement to sell our Evolution Fresh brand and business. The transaction closed on August 1st. We do not expect a material impact to our future financial results.</w:t>
      </w:r>
    </w:p>
    <w:p w14:paraId="642996EA" w14:textId="77777777" w:rsidR="007B6C97" w:rsidRDefault="00E426D1">
      <w:pPr>
        <w:spacing w:before="120"/>
      </w:pPr>
      <w:r>
        <w:rPr>
          <w:rFonts w:ascii="Times New Roman" w:eastAsia="宋体" w:hAnsi="Times New Roman"/>
          <w:i/>
          <w:iCs/>
          <w:color w:val="000000"/>
          <w:sz w:val="20"/>
          <w:szCs w:val="20"/>
        </w:rPr>
        <w:t xml:space="preserve">For the quarter ended July 3, 2022 </w:t>
      </w:r>
      <w:r>
        <w:rPr>
          <w:rFonts w:ascii="Times New Roman" w:eastAsia="宋体" w:hAnsi="Times New Roman"/>
          <w:i/>
          <w:iCs/>
          <w:color w:val="000000"/>
          <w:sz w:val="20"/>
          <w:szCs w:val="20"/>
        </w:rPr>
        <w:t>compared with the quarter ended June 27, 2021</w:t>
      </w:r>
    </w:p>
    <w:p w14:paraId="642996EB" w14:textId="77777777" w:rsidR="007B6C97" w:rsidRDefault="00E426D1">
      <w:pPr>
        <w:spacing w:before="120"/>
      </w:pPr>
      <w:r>
        <w:rPr>
          <w:rFonts w:ascii="Times New Roman" w:eastAsia="宋体" w:hAnsi="Times New Roman"/>
          <w:color w:val="000000"/>
          <w:sz w:val="20"/>
          <w:szCs w:val="20"/>
        </w:rPr>
        <w:t>Corporate and Other operating loss increased to $362 million for the third quarter of fiscal 2022, or 1%, compared to $359 million for the third quarter of fiscal 2021. This increase was primarily driven by inc</w:t>
      </w:r>
      <w:r>
        <w:rPr>
          <w:rFonts w:ascii="Times New Roman" w:eastAsia="宋体" w:hAnsi="Times New Roman"/>
          <w:color w:val="000000"/>
          <w:sz w:val="20"/>
          <w:szCs w:val="20"/>
        </w:rPr>
        <w:t>remental investments in technology ($17 million), increased partner wages and benefits ($11 million) and increased support costs to address labor market conditions ($11 million). These increases were partially offset by lower performance-based compensation</w:t>
      </w:r>
      <w:r>
        <w:rPr>
          <w:rFonts w:ascii="Times New Roman" w:eastAsia="宋体" w:hAnsi="Times New Roman"/>
          <w:color w:val="000000"/>
          <w:sz w:val="20"/>
          <w:szCs w:val="20"/>
        </w:rPr>
        <w:t xml:space="preserve"> ($31 million).</w:t>
      </w:r>
    </w:p>
    <w:p w14:paraId="642996EC" w14:textId="77777777" w:rsidR="007B6C97" w:rsidRDefault="00E426D1">
      <w:pPr>
        <w:spacing w:before="120"/>
        <w:jc w:val="both"/>
      </w:pPr>
      <w:r>
        <w:rPr>
          <w:rFonts w:ascii="Times New Roman" w:eastAsia="宋体" w:hAnsi="Times New Roman"/>
          <w:i/>
          <w:iCs/>
          <w:color w:val="000000"/>
          <w:sz w:val="20"/>
          <w:szCs w:val="20"/>
        </w:rPr>
        <w:t xml:space="preserve">For the three quarters ended July 3, 2022 compared with the three quarters ended June 27, 2021 </w:t>
      </w:r>
    </w:p>
    <w:p w14:paraId="642996ED" w14:textId="77777777" w:rsidR="007B6C97" w:rsidRDefault="00E426D1">
      <w:pPr>
        <w:spacing w:before="120"/>
      </w:pPr>
      <w:r>
        <w:rPr>
          <w:rFonts w:ascii="Times New Roman" w:eastAsia="宋体" w:hAnsi="Times New Roman"/>
          <w:color w:val="000000"/>
          <w:sz w:val="20"/>
          <w:szCs w:val="20"/>
        </w:rPr>
        <w:t>Corporate and Other operating loss increased to $1,111 million for the first three quarters of fiscal 2022, or 6%, compared to $1,051 million fo</w:t>
      </w:r>
      <w:r>
        <w:rPr>
          <w:rFonts w:ascii="Times New Roman" w:eastAsia="宋体" w:hAnsi="Times New Roman"/>
          <w:color w:val="000000"/>
          <w:sz w:val="20"/>
          <w:szCs w:val="20"/>
        </w:rPr>
        <w:t>r the same period in fiscal 2021. This increase was primarily driven by incremental investments in technology ($62 million), increased partner wages and benefits ($32 million) and increased support costs to address labor market conditions ($23 million). Th</w:t>
      </w:r>
      <w:r>
        <w:rPr>
          <w:rFonts w:ascii="Times New Roman" w:eastAsia="宋体" w:hAnsi="Times New Roman"/>
          <w:color w:val="000000"/>
          <w:sz w:val="20"/>
          <w:szCs w:val="20"/>
        </w:rPr>
        <w:t>ese increases were partially offset by lower performance-based compensation ($55 million).</w:t>
      </w:r>
    </w:p>
    <w:p w14:paraId="642996EE" w14:textId="77777777" w:rsidR="007B6C97" w:rsidRDefault="00E426D1">
      <w:pPr>
        <w:jc w:val="center"/>
      </w:pPr>
      <w:r>
        <w:rPr>
          <w:rFonts w:ascii="Times New Roman" w:eastAsia="宋体" w:hAnsi="Times New Roman"/>
          <w:color w:val="000000"/>
          <w:sz w:val="20"/>
          <w:szCs w:val="20"/>
        </w:rPr>
        <w:t>39</w:t>
      </w:r>
    </w:p>
    <w:p w14:paraId="642996EF" w14:textId="77777777" w:rsidR="007B6C97" w:rsidRDefault="00E426D1">
      <w:r>
        <w:pict w14:anchorId="64299A01">
          <v:rect id="_x0000_i1063" style="width:415.3pt;height:1.5pt" o:hralign="center" o:hrstd="t" o:hr="t" fillcolor="#a0a0a0" stroked="f"/>
        </w:pict>
      </w:r>
    </w:p>
    <w:p w14:paraId="642996F0" w14:textId="77777777" w:rsidR="007B6C97" w:rsidRDefault="00E426D1">
      <w:hyperlink r:id="rId159" w:anchor="ie38a2b375c9840e583a36769999bbee6_7" w:history="1">
        <w:r>
          <w:rPr>
            <w:rStyle w:val="a5"/>
            <w:rFonts w:ascii="Times New Roman" w:eastAsia="宋体" w:hAnsi="Times New Roman"/>
            <w:sz w:val="20"/>
            <w:szCs w:val="20"/>
          </w:rPr>
          <w:t>Table</w:t>
        </w:r>
      </w:hyperlink>
      <w:hyperlink r:id="rId160" w:anchor="ie38a2b375c9840e583a36769999bbee6_7" w:history="1">
        <w:r>
          <w:rPr>
            <w:rStyle w:val="a5"/>
            <w:rFonts w:ascii="Times New Roman" w:eastAsia="宋体" w:hAnsi="Times New Roman"/>
            <w:sz w:val="20"/>
            <w:szCs w:val="20"/>
          </w:rPr>
          <w:t xml:space="preserve"> of Contents</w:t>
        </w:r>
      </w:hyperlink>
    </w:p>
    <w:p w14:paraId="642996F1" w14:textId="77777777" w:rsidR="007B6C97" w:rsidRDefault="00E426D1">
      <w:pPr>
        <w:spacing w:before="180"/>
      </w:pPr>
      <w:r>
        <w:rPr>
          <w:rFonts w:ascii="Times New Roman" w:eastAsia="宋体" w:hAnsi="Times New Roman"/>
          <w:b/>
          <w:bCs/>
          <w:color w:val="000000"/>
          <w:sz w:val="20"/>
          <w:szCs w:val="20"/>
        </w:rPr>
        <w:t>Quarterly Store Data</w:t>
      </w:r>
    </w:p>
    <w:p w14:paraId="642996F2" w14:textId="77777777" w:rsidR="007B6C97" w:rsidRDefault="00E426D1">
      <w:pPr>
        <w:spacing w:before="60"/>
      </w:pPr>
      <w:r>
        <w:rPr>
          <w:rFonts w:ascii="Times New Roman" w:eastAsia="宋体" w:hAnsi="Times New Roman"/>
          <w:color w:val="000000"/>
          <w:sz w:val="20"/>
          <w:szCs w:val="20"/>
        </w:rPr>
        <w:t>Our store data for the periods presented is as follows:</w:t>
      </w:r>
    </w:p>
    <w:tbl>
      <w:tblPr>
        <w:tblW w:w="5000" w:type="pct"/>
        <w:tblCellMar>
          <w:top w:w="15" w:type="dxa"/>
          <w:left w:w="15" w:type="dxa"/>
          <w:bottom w:w="15" w:type="dxa"/>
          <w:right w:w="15" w:type="dxa"/>
        </w:tblCellMar>
        <w:tblLook w:val="04A0" w:firstRow="1" w:lastRow="0" w:firstColumn="1" w:lastColumn="0" w:noHBand="0" w:noVBand="1"/>
      </w:tblPr>
      <w:tblGrid>
        <w:gridCol w:w="75"/>
        <w:gridCol w:w="2013"/>
        <w:gridCol w:w="36"/>
        <w:gridCol w:w="47"/>
        <w:gridCol w:w="859"/>
        <w:gridCol w:w="37"/>
        <w:gridCol w:w="37"/>
        <w:gridCol w:w="37"/>
        <w:gridCol w:w="37"/>
        <w:gridCol w:w="48"/>
        <w:gridCol w:w="860"/>
        <w:gridCol w:w="36"/>
        <w:gridCol w:w="36"/>
        <w:gridCol w:w="36"/>
        <w:gridCol w:w="36"/>
        <w:gridCol w:w="48"/>
        <w:gridCol w:w="860"/>
        <w:gridCol w:w="36"/>
        <w:gridCol w:w="36"/>
        <w:gridCol w:w="36"/>
        <w:gridCol w:w="36"/>
        <w:gridCol w:w="48"/>
        <w:gridCol w:w="860"/>
        <w:gridCol w:w="36"/>
        <w:gridCol w:w="36"/>
        <w:gridCol w:w="36"/>
        <w:gridCol w:w="36"/>
        <w:gridCol w:w="53"/>
        <w:gridCol w:w="855"/>
        <w:gridCol w:w="38"/>
        <w:gridCol w:w="37"/>
        <w:gridCol w:w="37"/>
        <w:gridCol w:w="37"/>
        <w:gridCol w:w="53"/>
        <w:gridCol w:w="855"/>
        <w:gridCol w:w="37"/>
      </w:tblGrid>
      <w:tr w:rsidR="007B6C97" w14:paraId="64299717" w14:textId="77777777">
        <w:tc>
          <w:tcPr>
            <w:tcW w:w="50" w:type="pct"/>
            <w:shd w:val="clear" w:color="auto" w:fill="auto"/>
            <w:vAlign w:val="bottom"/>
          </w:tcPr>
          <w:p w14:paraId="642996F3" w14:textId="77777777" w:rsidR="007B6C97" w:rsidRDefault="007B6C97">
            <w:pPr>
              <w:rPr>
                <w:rFonts w:ascii="宋体"/>
              </w:rPr>
            </w:pPr>
          </w:p>
        </w:tc>
        <w:tc>
          <w:tcPr>
            <w:tcW w:w="1246" w:type="pct"/>
            <w:shd w:val="clear" w:color="auto" w:fill="auto"/>
            <w:vAlign w:val="bottom"/>
          </w:tcPr>
          <w:p w14:paraId="642996F4" w14:textId="77777777" w:rsidR="007B6C97" w:rsidRDefault="007B6C97">
            <w:pPr>
              <w:rPr>
                <w:rFonts w:ascii="宋体"/>
              </w:rPr>
            </w:pPr>
          </w:p>
        </w:tc>
        <w:tc>
          <w:tcPr>
            <w:tcW w:w="5" w:type="pct"/>
            <w:shd w:val="clear" w:color="auto" w:fill="auto"/>
            <w:vAlign w:val="bottom"/>
          </w:tcPr>
          <w:p w14:paraId="642996F5" w14:textId="77777777" w:rsidR="007B6C97" w:rsidRDefault="007B6C97">
            <w:pPr>
              <w:rPr>
                <w:rFonts w:ascii="宋体"/>
              </w:rPr>
            </w:pPr>
          </w:p>
        </w:tc>
        <w:tc>
          <w:tcPr>
            <w:tcW w:w="50" w:type="pct"/>
            <w:shd w:val="clear" w:color="auto" w:fill="auto"/>
            <w:vAlign w:val="bottom"/>
          </w:tcPr>
          <w:p w14:paraId="642996F6" w14:textId="77777777" w:rsidR="007B6C97" w:rsidRDefault="007B6C97">
            <w:pPr>
              <w:rPr>
                <w:rFonts w:ascii="宋体"/>
              </w:rPr>
            </w:pPr>
          </w:p>
        </w:tc>
        <w:tc>
          <w:tcPr>
            <w:tcW w:w="537" w:type="pct"/>
            <w:shd w:val="clear" w:color="auto" w:fill="auto"/>
            <w:vAlign w:val="bottom"/>
          </w:tcPr>
          <w:p w14:paraId="642996F7" w14:textId="77777777" w:rsidR="007B6C97" w:rsidRDefault="007B6C97">
            <w:pPr>
              <w:rPr>
                <w:rFonts w:ascii="宋体"/>
              </w:rPr>
            </w:pPr>
          </w:p>
        </w:tc>
        <w:tc>
          <w:tcPr>
            <w:tcW w:w="5" w:type="pct"/>
            <w:shd w:val="clear" w:color="auto" w:fill="auto"/>
            <w:vAlign w:val="bottom"/>
          </w:tcPr>
          <w:p w14:paraId="642996F8" w14:textId="77777777" w:rsidR="007B6C97" w:rsidRDefault="007B6C97">
            <w:pPr>
              <w:rPr>
                <w:rFonts w:ascii="宋体"/>
              </w:rPr>
            </w:pPr>
          </w:p>
        </w:tc>
        <w:tc>
          <w:tcPr>
            <w:tcW w:w="5" w:type="pct"/>
            <w:shd w:val="clear" w:color="auto" w:fill="auto"/>
            <w:vAlign w:val="bottom"/>
          </w:tcPr>
          <w:p w14:paraId="642996F9" w14:textId="77777777" w:rsidR="007B6C97" w:rsidRDefault="007B6C97">
            <w:pPr>
              <w:rPr>
                <w:rFonts w:ascii="宋体"/>
              </w:rPr>
            </w:pPr>
          </w:p>
        </w:tc>
        <w:tc>
          <w:tcPr>
            <w:tcW w:w="19" w:type="pct"/>
            <w:shd w:val="clear" w:color="auto" w:fill="auto"/>
            <w:vAlign w:val="bottom"/>
          </w:tcPr>
          <w:p w14:paraId="642996FA" w14:textId="77777777" w:rsidR="007B6C97" w:rsidRDefault="007B6C97">
            <w:pPr>
              <w:rPr>
                <w:rFonts w:ascii="宋体"/>
              </w:rPr>
            </w:pPr>
          </w:p>
        </w:tc>
        <w:tc>
          <w:tcPr>
            <w:tcW w:w="5" w:type="pct"/>
            <w:shd w:val="clear" w:color="auto" w:fill="auto"/>
            <w:vAlign w:val="bottom"/>
          </w:tcPr>
          <w:p w14:paraId="642996FB" w14:textId="77777777" w:rsidR="007B6C97" w:rsidRDefault="007B6C97">
            <w:pPr>
              <w:rPr>
                <w:rFonts w:ascii="宋体"/>
              </w:rPr>
            </w:pPr>
          </w:p>
        </w:tc>
        <w:tc>
          <w:tcPr>
            <w:tcW w:w="50" w:type="pct"/>
            <w:shd w:val="clear" w:color="auto" w:fill="auto"/>
            <w:vAlign w:val="bottom"/>
          </w:tcPr>
          <w:p w14:paraId="642996FC" w14:textId="77777777" w:rsidR="007B6C97" w:rsidRDefault="007B6C97">
            <w:pPr>
              <w:rPr>
                <w:rFonts w:ascii="宋体"/>
              </w:rPr>
            </w:pPr>
          </w:p>
        </w:tc>
        <w:tc>
          <w:tcPr>
            <w:tcW w:w="537" w:type="pct"/>
            <w:shd w:val="clear" w:color="auto" w:fill="auto"/>
            <w:vAlign w:val="bottom"/>
          </w:tcPr>
          <w:p w14:paraId="642996FD" w14:textId="77777777" w:rsidR="007B6C97" w:rsidRDefault="007B6C97">
            <w:pPr>
              <w:rPr>
                <w:rFonts w:ascii="宋体"/>
              </w:rPr>
            </w:pPr>
          </w:p>
        </w:tc>
        <w:tc>
          <w:tcPr>
            <w:tcW w:w="5" w:type="pct"/>
            <w:shd w:val="clear" w:color="auto" w:fill="auto"/>
            <w:vAlign w:val="bottom"/>
          </w:tcPr>
          <w:p w14:paraId="642996FE" w14:textId="77777777" w:rsidR="007B6C97" w:rsidRDefault="007B6C97">
            <w:pPr>
              <w:rPr>
                <w:rFonts w:ascii="宋体"/>
              </w:rPr>
            </w:pPr>
          </w:p>
        </w:tc>
        <w:tc>
          <w:tcPr>
            <w:tcW w:w="5" w:type="pct"/>
            <w:shd w:val="clear" w:color="auto" w:fill="auto"/>
            <w:vAlign w:val="bottom"/>
          </w:tcPr>
          <w:p w14:paraId="642996FF" w14:textId="77777777" w:rsidR="007B6C97" w:rsidRDefault="007B6C97">
            <w:pPr>
              <w:rPr>
                <w:rFonts w:ascii="宋体"/>
              </w:rPr>
            </w:pPr>
          </w:p>
        </w:tc>
        <w:tc>
          <w:tcPr>
            <w:tcW w:w="19" w:type="pct"/>
            <w:shd w:val="clear" w:color="auto" w:fill="auto"/>
            <w:vAlign w:val="bottom"/>
          </w:tcPr>
          <w:p w14:paraId="64299700" w14:textId="77777777" w:rsidR="007B6C97" w:rsidRDefault="007B6C97">
            <w:pPr>
              <w:rPr>
                <w:rFonts w:ascii="宋体"/>
              </w:rPr>
            </w:pPr>
          </w:p>
        </w:tc>
        <w:tc>
          <w:tcPr>
            <w:tcW w:w="5" w:type="pct"/>
            <w:shd w:val="clear" w:color="auto" w:fill="auto"/>
            <w:vAlign w:val="bottom"/>
          </w:tcPr>
          <w:p w14:paraId="64299701" w14:textId="77777777" w:rsidR="007B6C97" w:rsidRDefault="007B6C97">
            <w:pPr>
              <w:rPr>
                <w:rFonts w:ascii="宋体"/>
              </w:rPr>
            </w:pPr>
          </w:p>
        </w:tc>
        <w:tc>
          <w:tcPr>
            <w:tcW w:w="50" w:type="pct"/>
            <w:shd w:val="clear" w:color="auto" w:fill="auto"/>
            <w:vAlign w:val="bottom"/>
          </w:tcPr>
          <w:p w14:paraId="64299702" w14:textId="77777777" w:rsidR="007B6C97" w:rsidRDefault="007B6C97">
            <w:pPr>
              <w:rPr>
                <w:rFonts w:ascii="宋体"/>
              </w:rPr>
            </w:pPr>
          </w:p>
        </w:tc>
        <w:tc>
          <w:tcPr>
            <w:tcW w:w="537" w:type="pct"/>
            <w:shd w:val="clear" w:color="auto" w:fill="auto"/>
            <w:vAlign w:val="bottom"/>
          </w:tcPr>
          <w:p w14:paraId="64299703" w14:textId="77777777" w:rsidR="007B6C97" w:rsidRDefault="007B6C97">
            <w:pPr>
              <w:rPr>
                <w:rFonts w:ascii="宋体"/>
              </w:rPr>
            </w:pPr>
          </w:p>
        </w:tc>
        <w:tc>
          <w:tcPr>
            <w:tcW w:w="5" w:type="pct"/>
            <w:shd w:val="clear" w:color="auto" w:fill="auto"/>
            <w:vAlign w:val="bottom"/>
          </w:tcPr>
          <w:p w14:paraId="64299704" w14:textId="77777777" w:rsidR="007B6C97" w:rsidRDefault="007B6C97">
            <w:pPr>
              <w:rPr>
                <w:rFonts w:ascii="宋体"/>
              </w:rPr>
            </w:pPr>
          </w:p>
        </w:tc>
        <w:tc>
          <w:tcPr>
            <w:tcW w:w="5" w:type="pct"/>
            <w:shd w:val="clear" w:color="auto" w:fill="auto"/>
            <w:vAlign w:val="bottom"/>
          </w:tcPr>
          <w:p w14:paraId="64299705" w14:textId="77777777" w:rsidR="007B6C97" w:rsidRDefault="007B6C97">
            <w:pPr>
              <w:rPr>
                <w:rFonts w:ascii="宋体"/>
              </w:rPr>
            </w:pPr>
          </w:p>
        </w:tc>
        <w:tc>
          <w:tcPr>
            <w:tcW w:w="19" w:type="pct"/>
            <w:shd w:val="clear" w:color="auto" w:fill="auto"/>
            <w:vAlign w:val="bottom"/>
          </w:tcPr>
          <w:p w14:paraId="64299706" w14:textId="77777777" w:rsidR="007B6C97" w:rsidRDefault="007B6C97">
            <w:pPr>
              <w:rPr>
                <w:rFonts w:ascii="宋体"/>
              </w:rPr>
            </w:pPr>
          </w:p>
        </w:tc>
        <w:tc>
          <w:tcPr>
            <w:tcW w:w="5" w:type="pct"/>
            <w:shd w:val="clear" w:color="auto" w:fill="auto"/>
            <w:vAlign w:val="bottom"/>
          </w:tcPr>
          <w:p w14:paraId="64299707" w14:textId="77777777" w:rsidR="007B6C97" w:rsidRDefault="007B6C97">
            <w:pPr>
              <w:rPr>
                <w:rFonts w:ascii="宋体"/>
              </w:rPr>
            </w:pPr>
          </w:p>
        </w:tc>
        <w:tc>
          <w:tcPr>
            <w:tcW w:w="50" w:type="pct"/>
            <w:shd w:val="clear" w:color="auto" w:fill="auto"/>
            <w:vAlign w:val="bottom"/>
          </w:tcPr>
          <w:p w14:paraId="64299708" w14:textId="77777777" w:rsidR="007B6C97" w:rsidRDefault="007B6C97">
            <w:pPr>
              <w:rPr>
                <w:rFonts w:ascii="宋体"/>
              </w:rPr>
            </w:pPr>
          </w:p>
        </w:tc>
        <w:tc>
          <w:tcPr>
            <w:tcW w:w="537" w:type="pct"/>
            <w:shd w:val="clear" w:color="auto" w:fill="auto"/>
            <w:vAlign w:val="bottom"/>
          </w:tcPr>
          <w:p w14:paraId="64299709" w14:textId="77777777" w:rsidR="007B6C97" w:rsidRDefault="007B6C97">
            <w:pPr>
              <w:rPr>
                <w:rFonts w:ascii="宋体"/>
              </w:rPr>
            </w:pPr>
          </w:p>
        </w:tc>
        <w:tc>
          <w:tcPr>
            <w:tcW w:w="5" w:type="pct"/>
            <w:shd w:val="clear" w:color="auto" w:fill="auto"/>
            <w:vAlign w:val="bottom"/>
          </w:tcPr>
          <w:p w14:paraId="6429970A" w14:textId="77777777" w:rsidR="007B6C97" w:rsidRDefault="007B6C97">
            <w:pPr>
              <w:rPr>
                <w:rFonts w:ascii="宋体"/>
              </w:rPr>
            </w:pPr>
          </w:p>
        </w:tc>
        <w:tc>
          <w:tcPr>
            <w:tcW w:w="5" w:type="pct"/>
            <w:shd w:val="clear" w:color="auto" w:fill="auto"/>
            <w:vAlign w:val="bottom"/>
          </w:tcPr>
          <w:p w14:paraId="6429970B" w14:textId="77777777" w:rsidR="007B6C97" w:rsidRDefault="007B6C97">
            <w:pPr>
              <w:rPr>
                <w:rFonts w:ascii="宋体"/>
              </w:rPr>
            </w:pPr>
          </w:p>
        </w:tc>
        <w:tc>
          <w:tcPr>
            <w:tcW w:w="19" w:type="pct"/>
            <w:shd w:val="clear" w:color="auto" w:fill="auto"/>
            <w:vAlign w:val="bottom"/>
          </w:tcPr>
          <w:p w14:paraId="6429970C" w14:textId="77777777" w:rsidR="007B6C97" w:rsidRDefault="007B6C97">
            <w:pPr>
              <w:rPr>
                <w:rFonts w:ascii="宋体"/>
              </w:rPr>
            </w:pPr>
          </w:p>
        </w:tc>
        <w:tc>
          <w:tcPr>
            <w:tcW w:w="5" w:type="pct"/>
            <w:shd w:val="clear" w:color="auto" w:fill="auto"/>
            <w:vAlign w:val="bottom"/>
          </w:tcPr>
          <w:p w14:paraId="6429970D" w14:textId="77777777" w:rsidR="007B6C97" w:rsidRDefault="007B6C97">
            <w:pPr>
              <w:rPr>
                <w:rFonts w:ascii="宋体"/>
              </w:rPr>
            </w:pPr>
          </w:p>
        </w:tc>
        <w:tc>
          <w:tcPr>
            <w:tcW w:w="50" w:type="pct"/>
            <w:shd w:val="clear" w:color="auto" w:fill="auto"/>
            <w:vAlign w:val="bottom"/>
          </w:tcPr>
          <w:p w14:paraId="6429970E" w14:textId="77777777" w:rsidR="007B6C97" w:rsidRDefault="007B6C97">
            <w:pPr>
              <w:rPr>
                <w:rFonts w:ascii="宋体"/>
              </w:rPr>
            </w:pPr>
          </w:p>
        </w:tc>
        <w:tc>
          <w:tcPr>
            <w:tcW w:w="537" w:type="pct"/>
            <w:shd w:val="clear" w:color="auto" w:fill="auto"/>
            <w:vAlign w:val="bottom"/>
          </w:tcPr>
          <w:p w14:paraId="6429970F" w14:textId="77777777" w:rsidR="007B6C97" w:rsidRDefault="007B6C97">
            <w:pPr>
              <w:rPr>
                <w:rFonts w:ascii="宋体"/>
              </w:rPr>
            </w:pPr>
          </w:p>
        </w:tc>
        <w:tc>
          <w:tcPr>
            <w:tcW w:w="5" w:type="pct"/>
            <w:shd w:val="clear" w:color="auto" w:fill="auto"/>
            <w:vAlign w:val="bottom"/>
          </w:tcPr>
          <w:p w14:paraId="64299710" w14:textId="77777777" w:rsidR="007B6C97" w:rsidRDefault="007B6C97">
            <w:pPr>
              <w:rPr>
                <w:rFonts w:ascii="宋体"/>
              </w:rPr>
            </w:pPr>
          </w:p>
        </w:tc>
        <w:tc>
          <w:tcPr>
            <w:tcW w:w="5" w:type="pct"/>
            <w:shd w:val="clear" w:color="auto" w:fill="auto"/>
            <w:vAlign w:val="bottom"/>
          </w:tcPr>
          <w:p w14:paraId="64299711" w14:textId="77777777" w:rsidR="007B6C97" w:rsidRDefault="007B6C97">
            <w:pPr>
              <w:rPr>
                <w:rFonts w:ascii="宋体"/>
              </w:rPr>
            </w:pPr>
          </w:p>
        </w:tc>
        <w:tc>
          <w:tcPr>
            <w:tcW w:w="19" w:type="pct"/>
            <w:shd w:val="clear" w:color="auto" w:fill="auto"/>
            <w:vAlign w:val="bottom"/>
          </w:tcPr>
          <w:p w14:paraId="64299712" w14:textId="77777777" w:rsidR="007B6C97" w:rsidRDefault="007B6C97">
            <w:pPr>
              <w:rPr>
                <w:rFonts w:ascii="宋体"/>
              </w:rPr>
            </w:pPr>
          </w:p>
        </w:tc>
        <w:tc>
          <w:tcPr>
            <w:tcW w:w="5" w:type="pct"/>
            <w:shd w:val="clear" w:color="auto" w:fill="auto"/>
            <w:vAlign w:val="bottom"/>
          </w:tcPr>
          <w:p w14:paraId="64299713" w14:textId="77777777" w:rsidR="007B6C97" w:rsidRDefault="007B6C97">
            <w:pPr>
              <w:rPr>
                <w:rFonts w:ascii="宋体"/>
              </w:rPr>
            </w:pPr>
          </w:p>
        </w:tc>
        <w:tc>
          <w:tcPr>
            <w:tcW w:w="50" w:type="pct"/>
            <w:shd w:val="clear" w:color="auto" w:fill="auto"/>
            <w:vAlign w:val="bottom"/>
          </w:tcPr>
          <w:p w14:paraId="64299714" w14:textId="77777777" w:rsidR="007B6C97" w:rsidRDefault="007B6C97">
            <w:pPr>
              <w:rPr>
                <w:rFonts w:ascii="宋体"/>
              </w:rPr>
            </w:pPr>
          </w:p>
        </w:tc>
        <w:tc>
          <w:tcPr>
            <w:tcW w:w="537" w:type="pct"/>
            <w:shd w:val="clear" w:color="auto" w:fill="auto"/>
            <w:vAlign w:val="bottom"/>
          </w:tcPr>
          <w:p w14:paraId="64299715" w14:textId="77777777" w:rsidR="007B6C97" w:rsidRDefault="007B6C97">
            <w:pPr>
              <w:rPr>
                <w:rFonts w:ascii="宋体"/>
              </w:rPr>
            </w:pPr>
          </w:p>
        </w:tc>
        <w:tc>
          <w:tcPr>
            <w:tcW w:w="5" w:type="pct"/>
            <w:shd w:val="clear" w:color="auto" w:fill="auto"/>
            <w:vAlign w:val="bottom"/>
          </w:tcPr>
          <w:p w14:paraId="64299716" w14:textId="77777777" w:rsidR="007B6C97" w:rsidRDefault="007B6C97">
            <w:pPr>
              <w:rPr>
                <w:rFonts w:ascii="宋体"/>
              </w:rPr>
            </w:pPr>
          </w:p>
        </w:tc>
      </w:tr>
      <w:tr w:rsidR="007B6C97" w14:paraId="6429971E" w14:textId="77777777">
        <w:tc>
          <w:tcPr>
            <w:tcW w:w="0" w:type="auto"/>
            <w:gridSpan w:val="3"/>
            <w:shd w:val="clear" w:color="auto" w:fill="auto"/>
            <w:tcMar>
              <w:top w:w="40" w:type="dxa"/>
              <w:left w:w="20" w:type="dxa"/>
              <w:bottom w:w="40" w:type="dxa"/>
              <w:right w:w="20" w:type="dxa"/>
            </w:tcMar>
            <w:vAlign w:val="bottom"/>
          </w:tcPr>
          <w:p w14:paraId="64299718" w14:textId="77777777" w:rsidR="007B6C97" w:rsidRDefault="00E426D1">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center"/>
          </w:tcPr>
          <w:p w14:paraId="64299719" w14:textId="77777777" w:rsidR="007B6C97" w:rsidRDefault="00E426D1">
            <w:pPr>
              <w:jc w:val="center"/>
              <w:textAlignment w:val="center"/>
            </w:pPr>
            <w:r>
              <w:rPr>
                <w:rFonts w:ascii="Times New Roman" w:eastAsia="宋体" w:hAnsi="Times New Roman"/>
                <w:b/>
                <w:bCs/>
                <w:color w:val="FFFFFF"/>
                <w:sz w:val="16"/>
                <w:szCs w:val="16"/>
              </w:rPr>
              <w:t>Net stores opened/(closed) and transferred during the period</w:t>
            </w:r>
          </w:p>
        </w:tc>
        <w:tc>
          <w:tcPr>
            <w:tcW w:w="0" w:type="auto"/>
            <w:gridSpan w:val="3"/>
            <w:shd w:val="clear" w:color="auto" w:fill="auto"/>
            <w:tcMar>
              <w:top w:w="0" w:type="dxa"/>
              <w:left w:w="20" w:type="dxa"/>
              <w:bottom w:w="0" w:type="dxa"/>
              <w:right w:w="20" w:type="dxa"/>
            </w:tcMar>
            <w:vAlign w:val="bottom"/>
          </w:tcPr>
          <w:p w14:paraId="6429971A"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71B"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971C"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71D" w14:textId="77777777" w:rsidR="007B6C97" w:rsidRDefault="00E426D1">
            <w:pPr>
              <w:textAlignment w:val="bottom"/>
            </w:pPr>
            <w:r>
              <w:rPr>
                <w:rFonts w:ascii="Times New Roman" w:eastAsia="宋体" w:hAnsi="Times New Roman"/>
                <w:color w:val="000000"/>
                <w:sz w:val="16"/>
                <w:szCs w:val="16"/>
              </w:rPr>
              <w:t> </w:t>
            </w:r>
          </w:p>
        </w:tc>
      </w:tr>
      <w:tr w:rsidR="007B6C97" w14:paraId="64299725" w14:textId="77777777">
        <w:tc>
          <w:tcPr>
            <w:tcW w:w="0" w:type="auto"/>
            <w:gridSpan w:val="3"/>
            <w:shd w:val="clear" w:color="auto" w:fill="auto"/>
            <w:tcMar>
              <w:top w:w="40" w:type="dxa"/>
              <w:left w:w="20" w:type="dxa"/>
              <w:bottom w:w="40" w:type="dxa"/>
              <w:right w:w="20" w:type="dxa"/>
            </w:tcMar>
            <w:vAlign w:val="bottom"/>
          </w:tcPr>
          <w:p w14:paraId="6429971F" w14:textId="77777777" w:rsidR="007B6C97" w:rsidRDefault="00E426D1">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4299720" w14:textId="77777777" w:rsidR="007B6C97" w:rsidRDefault="00E426D1">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4299721"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9722" w14:textId="77777777" w:rsidR="007B6C97" w:rsidRDefault="00E426D1">
            <w:pPr>
              <w:jc w:val="center"/>
              <w:textAlignment w:val="bottom"/>
            </w:pPr>
            <w:r>
              <w:rPr>
                <w:rFonts w:ascii="Times New Roman" w:eastAsia="宋体" w:hAnsi="Times New Roman"/>
                <w:b/>
                <w:bCs/>
                <w:color w:val="FFFFFF"/>
                <w:sz w:val="16"/>
                <w:szCs w:val="16"/>
              </w:rPr>
              <w:t xml:space="preserve">Three Quarters </w:t>
            </w:r>
            <w:r>
              <w:rPr>
                <w:rFonts w:ascii="Times New Roman" w:eastAsia="宋体" w:hAnsi="Times New Roman"/>
                <w:b/>
                <w:bCs/>
                <w:color w:val="FFFFFF"/>
                <w:sz w:val="16"/>
                <w:szCs w:val="16"/>
              </w:rPr>
              <w:t>Ended</w:t>
            </w:r>
          </w:p>
        </w:tc>
        <w:tc>
          <w:tcPr>
            <w:tcW w:w="0" w:type="auto"/>
            <w:gridSpan w:val="3"/>
            <w:shd w:val="clear" w:color="auto" w:fill="auto"/>
            <w:tcMar>
              <w:top w:w="0" w:type="dxa"/>
              <w:left w:w="20" w:type="dxa"/>
              <w:bottom w:w="0" w:type="dxa"/>
              <w:right w:w="20" w:type="dxa"/>
            </w:tcMar>
            <w:vAlign w:val="bottom"/>
          </w:tcPr>
          <w:p w14:paraId="64299723" w14:textId="77777777" w:rsidR="007B6C97" w:rsidRDefault="007B6C97">
            <w:pPr>
              <w:rPr>
                <w:rFonts w:ascii="宋体"/>
              </w:rPr>
            </w:pPr>
          </w:p>
        </w:tc>
        <w:tc>
          <w:tcPr>
            <w:tcW w:w="0" w:type="auto"/>
            <w:gridSpan w:val="9"/>
            <w:shd w:val="clear" w:color="auto" w:fill="00704A"/>
            <w:tcMar>
              <w:top w:w="40" w:type="dxa"/>
              <w:left w:w="20" w:type="dxa"/>
              <w:bottom w:w="40" w:type="dxa"/>
              <w:right w:w="20" w:type="dxa"/>
            </w:tcMar>
            <w:vAlign w:val="bottom"/>
          </w:tcPr>
          <w:p w14:paraId="64299724" w14:textId="77777777" w:rsidR="007B6C97" w:rsidRDefault="00E426D1">
            <w:pPr>
              <w:jc w:val="center"/>
              <w:textAlignment w:val="bottom"/>
            </w:pPr>
            <w:r>
              <w:rPr>
                <w:rFonts w:ascii="Times New Roman" w:eastAsia="宋体" w:hAnsi="Times New Roman"/>
                <w:b/>
                <w:bCs/>
                <w:color w:val="FFFFFF"/>
                <w:sz w:val="16"/>
                <w:szCs w:val="16"/>
              </w:rPr>
              <w:t>Stores open as of</w:t>
            </w:r>
          </w:p>
        </w:tc>
      </w:tr>
      <w:tr w:rsidR="007B6C97" w14:paraId="64299732" w14:textId="77777777">
        <w:tc>
          <w:tcPr>
            <w:tcW w:w="0" w:type="auto"/>
            <w:gridSpan w:val="3"/>
            <w:shd w:val="clear" w:color="auto" w:fill="auto"/>
            <w:tcMar>
              <w:top w:w="0" w:type="dxa"/>
              <w:left w:w="20" w:type="dxa"/>
              <w:bottom w:w="0" w:type="dxa"/>
              <w:right w:w="20" w:type="dxa"/>
            </w:tcMar>
            <w:vAlign w:val="bottom"/>
          </w:tcPr>
          <w:p w14:paraId="64299726"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27"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728"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29"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72A"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2B"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72C"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2D"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429972E"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2F" w14:textId="77777777" w:rsidR="007B6C97" w:rsidRDefault="00E426D1">
            <w:pPr>
              <w:jc w:val="center"/>
              <w:textAlignment w:val="bottom"/>
            </w:pPr>
            <w:r>
              <w:rPr>
                <w:rFonts w:ascii="Times New Roman" w:eastAsia="宋体" w:hAnsi="Times New Roman"/>
                <w:b/>
                <w:bCs/>
                <w:color w:val="FFFFFF"/>
                <w:sz w:val="16"/>
                <w:szCs w:val="16"/>
              </w:rPr>
              <w:t>Jul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429973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731" w14:textId="77777777" w:rsidR="007B6C97" w:rsidRDefault="00E426D1">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r>
      <w:tr w:rsidR="007B6C97" w14:paraId="6429973F" w14:textId="77777777">
        <w:tc>
          <w:tcPr>
            <w:tcW w:w="0" w:type="auto"/>
            <w:gridSpan w:val="3"/>
            <w:shd w:val="clear" w:color="auto" w:fill="D7E4BC"/>
            <w:tcMar>
              <w:top w:w="40" w:type="dxa"/>
              <w:left w:w="20" w:type="dxa"/>
              <w:bottom w:w="40" w:type="dxa"/>
              <w:right w:w="20" w:type="dxa"/>
            </w:tcMar>
          </w:tcPr>
          <w:p w14:paraId="64299733" w14:textId="77777777" w:rsidR="007B6C97" w:rsidRDefault="00E426D1">
            <w:pPr>
              <w:textAlignment w:val="top"/>
            </w:pPr>
            <w:r>
              <w:rPr>
                <w:rFonts w:ascii="Times New Roman" w:eastAsia="宋体" w:hAnsi="Times New Roman"/>
                <w:color w:val="000000"/>
                <w:sz w:val="20"/>
                <w:szCs w:val="20"/>
              </w:rPr>
              <w:t>North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4"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35"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6"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37"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8"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39"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3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3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3E" w14:textId="77777777" w:rsidR="007B6C97" w:rsidRDefault="007B6C97">
            <w:pPr>
              <w:rPr>
                <w:rFonts w:ascii="宋体"/>
              </w:rPr>
            </w:pPr>
          </w:p>
        </w:tc>
      </w:tr>
      <w:tr w:rsidR="007B6C97" w14:paraId="64299752" w14:textId="77777777">
        <w:tc>
          <w:tcPr>
            <w:tcW w:w="0" w:type="auto"/>
            <w:gridSpan w:val="3"/>
            <w:shd w:val="clear" w:color="auto" w:fill="FFFFFF"/>
            <w:tcMar>
              <w:top w:w="40" w:type="dxa"/>
              <w:left w:w="380" w:type="dxa"/>
              <w:bottom w:w="40" w:type="dxa"/>
              <w:right w:w="20" w:type="dxa"/>
            </w:tcMar>
            <w:vAlign w:val="bottom"/>
          </w:tcPr>
          <w:p w14:paraId="64299740" w14:textId="77777777" w:rsidR="007B6C97" w:rsidRDefault="00E426D1">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64299741" w14:textId="77777777" w:rsidR="007B6C97" w:rsidRDefault="00E426D1">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64299742"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43"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44" w14:textId="77777777" w:rsidR="007B6C97" w:rsidRDefault="00E426D1">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64299745"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46"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47" w14:textId="77777777" w:rsidR="007B6C97" w:rsidRDefault="00E426D1">
            <w:pPr>
              <w:jc w:val="right"/>
              <w:textAlignment w:val="bottom"/>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bottom"/>
          </w:tcPr>
          <w:p w14:paraId="6429974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4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4A" w14:textId="77777777" w:rsidR="007B6C97" w:rsidRDefault="00E426D1">
            <w:pPr>
              <w:jc w:val="right"/>
              <w:textAlignment w:val="bottom"/>
            </w:pPr>
            <w:r>
              <w:rPr>
                <w:rFonts w:ascii="Times New Roman" w:eastAsia="宋体" w:hAnsi="Times New Roman"/>
                <w:color w:val="000000"/>
                <w:sz w:val="20"/>
                <w:szCs w:val="20"/>
              </w:rPr>
              <w:t>(249)</w:t>
            </w:r>
          </w:p>
        </w:tc>
        <w:tc>
          <w:tcPr>
            <w:tcW w:w="0" w:type="auto"/>
            <w:shd w:val="clear" w:color="auto" w:fill="FFFFFF"/>
            <w:tcMar>
              <w:top w:w="40" w:type="dxa"/>
              <w:left w:w="0" w:type="dxa"/>
              <w:bottom w:w="40" w:type="dxa"/>
              <w:right w:w="20" w:type="dxa"/>
            </w:tcMar>
            <w:vAlign w:val="bottom"/>
          </w:tcPr>
          <w:p w14:paraId="6429974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4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4D" w14:textId="77777777" w:rsidR="007B6C97" w:rsidRDefault="00E426D1">
            <w:pPr>
              <w:jc w:val="right"/>
              <w:textAlignment w:val="bottom"/>
            </w:pPr>
            <w:r>
              <w:rPr>
                <w:rFonts w:ascii="Times New Roman" w:eastAsia="宋体" w:hAnsi="Times New Roman"/>
                <w:color w:val="000000"/>
                <w:sz w:val="20"/>
                <w:szCs w:val="20"/>
              </w:rPr>
              <w:t>10,050 </w:t>
            </w:r>
          </w:p>
        </w:tc>
        <w:tc>
          <w:tcPr>
            <w:tcW w:w="0" w:type="auto"/>
            <w:shd w:val="clear" w:color="auto" w:fill="FFFFFF"/>
            <w:tcMar>
              <w:top w:w="40" w:type="dxa"/>
              <w:left w:w="0" w:type="dxa"/>
              <w:bottom w:w="40" w:type="dxa"/>
              <w:right w:w="20" w:type="dxa"/>
            </w:tcMar>
            <w:vAlign w:val="bottom"/>
          </w:tcPr>
          <w:p w14:paraId="6429974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4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50" w14:textId="77777777" w:rsidR="007B6C97" w:rsidRDefault="00E426D1">
            <w:pPr>
              <w:jc w:val="right"/>
              <w:textAlignment w:val="bottom"/>
            </w:pPr>
            <w:r>
              <w:rPr>
                <w:rFonts w:ascii="Times New Roman" w:eastAsia="宋体" w:hAnsi="Times New Roman"/>
                <w:color w:val="000000"/>
                <w:sz w:val="20"/>
                <w:szCs w:val="20"/>
              </w:rPr>
              <w:t>9,860 </w:t>
            </w:r>
          </w:p>
        </w:tc>
        <w:tc>
          <w:tcPr>
            <w:tcW w:w="0" w:type="auto"/>
            <w:shd w:val="clear" w:color="auto" w:fill="FFFFFF"/>
            <w:tcMar>
              <w:top w:w="40" w:type="dxa"/>
              <w:left w:w="0" w:type="dxa"/>
              <w:bottom w:w="40" w:type="dxa"/>
              <w:right w:w="20" w:type="dxa"/>
            </w:tcMar>
            <w:vAlign w:val="bottom"/>
          </w:tcPr>
          <w:p w14:paraId="64299751" w14:textId="77777777" w:rsidR="007B6C97" w:rsidRDefault="007B6C97">
            <w:pPr>
              <w:jc w:val="right"/>
              <w:rPr>
                <w:rFonts w:ascii="宋体"/>
              </w:rPr>
            </w:pPr>
          </w:p>
        </w:tc>
      </w:tr>
      <w:tr w:rsidR="007B6C97" w14:paraId="64299765" w14:textId="77777777">
        <w:tc>
          <w:tcPr>
            <w:tcW w:w="0" w:type="auto"/>
            <w:gridSpan w:val="3"/>
            <w:shd w:val="clear" w:color="auto" w:fill="D7E4BC"/>
            <w:tcMar>
              <w:top w:w="40" w:type="dxa"/>
              <w:left w:w="380" w:type="dxa"/>
              <w:bottom w:w="40" w:type="dxa"/>
              <w:right w:w="20" w:type="dxa"/>
            </w:tcMar>
            <w:vAlign w:val="bottom"/>
          </w:tcPr>
          <w:p w14:paraId="64299753" w14:textId="77777777" w:rsidR="007B6C97" w:rsidRDefault="00E426D1">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4299754" w14:textId="77777777" w:rsidR="007B6C97" w:rsidRDefault="00E426D1">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6429975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56"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57" w14:textId="77777777" w:rsidR="007B6C97" w:rsidRDefault="00E426D1">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6429975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59"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5A" w14:textId="77777777" w:rsidR="007B6C97" w:rsidRDefault="00E426D1">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6429975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5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5D" w14:textId="77777777" w:rsidR="007B6C97" w:rsidRDefault="00E426D1">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6429975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5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60" w14:textId="77777777" w:rsidR="007B6C97" w:rsidRDefault="00E426D1">
            <w:pPr>
              <w:jc w:val="right"/>
              <w:textAlignment w:val="bottom"/>
            </w:pPr>
            <w:r>
              <w:rPr>
                <w:rFonts w:ascii="Times New Roman" w:eastAsia="宋体" w:hAnsi="Times New Roman"/>
                <w:color w:val="000000"/>
                <w:sz w:val="20"/>
                <w:szCs w:val="20"/>
              </w:rPr>
              <w:t>7,000 </w:t>
            </w:r>
          </w:p>
        </w:tc>
        <w:tc>
          <w:tcPr>
            <w:tcW w:w="0" w:type="auto"/>
            <w:shd w:val="clear" w:color="auto" w:fill="D7E4BC"/>
            <w:tcMar>
              <w:top w:w="40" w:type="dxa"/>
              <w:left w:w="0" w:type="dxa"/>
              <w:bottom w:w="40" w:type="dxa"/>
              <w:right w:w="20" w:type="dxa"/>
            </w:tcMar>
            <w:vAlign w:val="bottom"/>
          </w:tcPr>
          <w:p w14:paraId="6429976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6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63" w14:textId="77777777" w:rsidR="007B6C97" w:rsidRDefault="00E426D1">
            <w:pPr>
              <w:jc w:val="right"/>
              <w:textAlignment w:val="bottom"/>
            </w:pPr>
            <w:r>
              <w:rPr>
                <w:rFonts w:ascii="Times New Roman" w:eastAsia="宋体" w:hAnsi="Times New Roman"/>
                <w:color w:val="000000"/>
                <w:sz w:val="20"/>
                <w:szCs w:val="20"/>
              </w:rPr>
              <w:t>6,892 </w:t>
            </w:r>
          </w:p>
        </w:tc>
        <w:tc>
          <w:tcPr>
            <w:tcW w:w="0" w:type="auto"/>
            <w:shd w:val="clear" w:color="auto" w:fill="D7E4BC"/>
            <w:tcMar>
              <w:top w:w="40" w:type="dxa"/>
              <w:left w:w="0" w:type="dxa"/>
              <w:bottom w:w="40" w:type="dxa"/>
              <w:right w:w="20" w:type="dxa"/>
            </w:tcMar>
            <w:vAlign w:val="bottom"/>
          </w:tcPr>
          <w:p w14:paraId="64299764" w14:textId="77777777" w:rsidR="007B6C97" w:rsidRDefault="007B6C97">
            <w:pPr>
              <w:jc w:val="right"/>
              <w:rPr>
                <w:rFonts w:ascii="宋体"/>
              </w:rPr>
            </w:pPr>
          </w:p>
        </w:tc>
      </w:tr>
      <w:tr w:rsidR="007B6C97" w14:paraId="64299778" w14:textId="77777777">
        <w:tc>
          <w:tcPr>
            <w:tcW w:w="0" w:type="auto"/>
            <w:gridSpan w:val="3"/>
            <w:shd w:val="clear" w:color="auto" w:fill="FFFFFF"/>
            <w:tcMar>
              <w:top w:w="40" w:type="dxa"/>
              <w:left w:w="20" w:type="dxa"/>
              <w:bottom w:w="40" w:type="dxa"/>
              <w:right w:w="20" w:type="dxa"/>
            </w:tcMar>
          </w:tcPr>
          <w:p w14:paraId="64299766"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Total North America </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67" w14:textId="77777777" w:rsidR="007B6C97" w:rsidRDefault="00E426D1">
            <w:pPr>
              <w:jc w:val="right"/>
              <w:textAlignment w:val="bottom"/>
            </w:pPr>
            <w:r>
              <w:rPr>
                <w:rFonts w:ascii="Times New Roman" w:eastAsia="宋体" w:hAnsi="Times New Roman"/>
                <w:color w:val="000000"/>
                <w:sz w:val="20"/>
                <w:szCs w:val="20"/>
              </w:rPr>
              <w:t>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6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69"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6A" w14:textId="77777777" w:rsidR="007B6C97" w:rsidRDefault="00E426D1">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6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6C"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6D" w14:textId="77777777" w:rsidR="007B6C97" w:rsidRDefault="00E426D1">
            <w:pPr>
              <w:jc w:val="right"/>
              <w:textAlignment w:val="bottom"/>
            </w:pPr>
            <w:r>
              <w:rPr>
                <w:rFonts w:ascii="Times New Roman" w:eastAsia="宋体" w:hAnsi="Times New Roman"/>
                <w:color w:val="000000"/>
                <w:sz w:val="20"/>
                <w:szCs w:val="20"/>
              </w:rPr>
              <w:t>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6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6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70" w14:textId="77777777" w:rsidR="007B6C97" w:rsidRDefault="00E426D1">
            <w:pPr>
              <w:jc w:val="right"/>
              <w:textAlignment w:val="bottom"/>
            </w:pPr>
            <w:r>
              <w:rPr>
                <w:rFonts w:ascii="Times New Roman" w:eastAsia="宋体" w:hAnsi="Times New Roman"/>
                <w:color w:val="000000"/>
                <w:sz w:val="20"/>
                <w:szCs w:val="20"/>
              </w:rPr>
              <w:t>(188)</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7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7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73" w14:textId="77777777" w:rsidR="007B6C97" w:rsidRDefault="00E426D1">
            <w:pPr>
              <w:jc w:val="right"/>
              <w:textAlignment w:val="bottom"/>
            </w:pPr>
            <w:r>
              <w:rPr>
                <w:rFonts w:ascii="Times New Roman" w:eastAsia="宋体" w:hAnsi="Times New Roman"/>
                <w:color w:val="000000"/>
                <w:sz w:val="20"/>
                <w:szCs w:val="20"/>
              </w:rPr>
              <w:t>17,050 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7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75"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76" w14:textId="77777777" w:rsidR="007B6C97" w:rsidRDefault="00E426D1">
            <w:pPr>
              <w:jc w:val="right"/>
              <w:textAlignment w:val="bottom"/>
            </w:pPr>
            <w:r>
              <w:rPr>
                <w:rFonts w:ascii="Times New Roman" w:eastAsia="宋体" w:hAnsi="Times New Roman"/>
                <w:color w:val="000000"/>
                <w:sz w:val="20"/>
                <w:szCs w:val="20"/>
              </w:rPr>
              <w:t>16,752 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77" w14:textId="77777777" w:rsidR="007B6C97" w:rsidRDefault="007B6C97">
            <w:pPr>
              <w:jc w:val="right"/>
              <w:rPr>
                <w:rFonts w:ascii="宋体"/>
              </w:rPr>
            </w:pPr>
          </w:p>
        </w:tc>
      </w:tr>
      <w:tr w:rsidR="007B6C97" w14:paraId="64299785" w14:textId="77777777">
        <w:tc>
          <w:tcPr>
            <w:tcW w:w="0" w:type="auto"/>
            <w:gridSpan w:val="3"/>
            <w:shd w:val="clear" w:color="auto" w:fill="D7E4BC"/>
            <w:tcMar>
              <w:top w:w="40" w:type="dxa"/>
              <w:left w:w="20" w:type="dxa"/>
              <w:bottom w:w="40" w:type="dxa"/>
              <w:right w:w="20" w:type="dxa"/>
            </w:tcMar>
          </w:tcPr>
          <w:p w14:paraId="64299779" w14:textId="77777777" w:rsidR="007B6C97" w:rsidRDefault="00E426D1">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7A"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7B"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7C"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7D"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7E"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7F"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80"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8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82" w14:textId="77777777" w:rsidR="007B6C97" w:rsidRDefault="007B6C97">
            <w:pPr>
              <w:rPr>
                <w:rFonts w:ascii="宋体"/>
              </w:rPr>
            </w:pPr>
          </w:p>
        </w:tc>
        <w:tc>
          <w:tcPr>
            <w:tcW w:w="0" w:type="auto"/>
            <w:gridSpan w:val="3"/>
            <w:shd w:val="clear" w:color="auto" w:fill="D7E4BC"/>
            <w:tcMar>
              <w:top w:w="0" w:type="dxa"/>
              <w:left w:w="20" w:type="dxa"/>
              <w:bottom w:w="0" w:type="dxa"/>
              <w:right w:w="20" w:type="dxa"/>
            </w:tcMar>
            <w:vAlign w:val="bottom"/>
          </w:tcPr>
          <w:p w14:paraId="64299783"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784" w14:textId="77777777" w:rsidR="007B6C97" w:rsidRDefault="007B6C97">
            <w:pPr>
              <w:rPr>
                <w:rFonts w:ascii="宋体"/>
              </w:rPr>
            </w:pPr>
          </w:p>
        </w:tc>
      </w:tr>
      <w:tr w:rsidR="007B6C97" w14:paraId="64299798" w14:textId="77777777">
        <w:tc>
          <w:tcPr>
            <w:tcW w:w="0" w:type="auto"/>
            <w:gridSpan w:val="3"/>
            <w:shd w:val="clear" w:color="auto" w:fill="FFFFFF"/>
            <w:tcMar>
              <w:top w:w="40" w:type="dxa"/>
              <w:left w:w="380" w:type="dxa"/>
              <w:bottom w:w="40" w:type="dxa"/>
              <w:right w:w="20" w:type="dxa"/>
            </w:tcMar>
          </w:tcPr>
          <w:p w14:paraId="64299786" w14:textId="77777777" w:rsidR="007B6C97" w:rsidRDefault="00E426D1">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64299787" w14:textId="77777777" w:rsidR="007B6C97" w:rsidRDefault="00E426D1">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64299788"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89"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8A" w14:textId="77777777" w:rsidR="007B6C97" w:rsidRDefault="00E426D1">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6429978B"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8C"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8D" w14:textId="77777777" w:rsidR="007B6C97" w:rsidRDefault="00E426D1">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left w:w="0" w:type="dxa"/>
              <w:bottom w:w="40" w:type="dxa"/>
              <w:right w:w="20" w:type="dxa"/>
            </w:tcMar>
            <w:vAlign w:val="bottom"/>
          </w:tcPr>
          <w:p w14:paraId="6429978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8F"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90" w14:textId="77777777" w:rsidR="007B6C97" w:rsidRDefault="00E426D1">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left w:w="0" w:type="dxa"/>
              <w:bottom w:w="40" w:type="dxa"/>
              <w:right w:w="20" w:type="dxa"/>
            </w:tcMar>
            <w:vAlign w:val="bottom"/>
          </w:tcPr>
          <w:p w14:paraId="6429979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92"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93" w14:textId="77777777" w:rsidR="007B6C97" w:rsidRDefault="00E426D1">
            <w:pPr>
              <w:jc w:val="right"/>
              <w:textAlignment w:val="bottom"/>
            </w:pPr>
            <w:r>
              <w:rPr>
                <w:rFonts w:ascii="Times New Roman" w:eastAsia="宋体" w:hAnsi="Times New Roman"/>
                <w:color w:val="000000"/>
                <w:sz w:val="20"/>
                <w:szCs w:val="20"/>
              </w:rPr>
              <w:t>7,717 </w:t>
            </w:r>
          </w:p>
        </w:tc>
        <w:tc>
          <w:tcPr>
            <w:tcW w:w="0" w:type="auto"/>
            <w:shd w:val="clear" w:color="auto" w:fill="FFFFFF"/>
            <w:tcMar>
              <w:top w:w="40" w:type="dxa"/>
              <w:left w:w="0" w:type="dxa"/>
              <w:bottom w:w="40" w:type="dxa"/>
              <w:right w:w="20" w:type="dxa"/>
            </w:tcMar>
            <w:vAlign w:val="bottom"/>
          </w:tcPr>
          <w:p w14:paraId="6429979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95" w14:textId="77777777" w:rsidR="007B6C97" w:rsidRDefault="007B6C97">
            <w:pPr>
              <w:rPr>
                <w:rFonts w:ascii="宋体"/>
              </w:rPr>
            </w:pPr>
          </w:p>
        </w:tc>
        <w:tc>
          <w:tcPr>
            <w:tcW w:w="0" w:type="auto"/>
            <w:gridSpan w:val="2"/>
            <w:shd w:val="clear" w:color="auto" w:fill="FFFFFF"/>
            <w:tcMar>
              <w:top w:w="40" w:type="dxa"/>
              <w:left w:w="20" w:type="dxa"/>
              <w:bottom w:w="40" w:type="dxa"/>
              <w:right w:w="0" w:type="dxa"/>
            </w:tcMar>
            <w:vAlign w:val="bottom"/>
          </w:tcPr>
          <w:p w14:paraId="64299796" w14:textId="77777777" w:rsidR="007B6C97" w:rsidRDefault="00E426D1">
            <w:pPr>
              <w:jc w:val="right"/>
              <w:textAlignment w:val="bottom"/>
            </w:pPr>
            <w:r>
              <w:rPr>
                <w:rFonts w:ascii="Times New Roman" w:eastAsia="宋体" w:hAnsi="Times New Roman"/>
                <w:color w:val="000000"/>
                <w:sz w:val="20"/>
                <w:szCs w:val="20"/>
              </w:rPr>
              <w:t>7,013 </w:t>
            </w:r>
          </w:p>
        </w:tc>
        <w:tc>
          <w:tcPr>
            <w:tcW w:w="0" w:type="auto"/>
            <w:shd w:val="clear" w:color="auto" w:fill="FFFFFF"/>
            <w:tcMar>
              <w:top w:w="40" w:type="dxa"/>
              <w:left w:w="0" w:type="dxa"/>
              <w:bottom w:w="40" w:type="dxa"/>
              <w:right w:w="20" w:type="dxa"/>
            </w:tcMar>
            <w:vAlign w:val="bottom"/>
          </w:tcPr>
          <w:p w14:paraId="64299797" w14:textId="77777777" w:rsidR="007B6C97" w:rsidRDefault="007B6C97">
            <w:pPr>
              <w:jc w:val="right"/>
              <w:rPr>
                <w:rFonts w:ascii="宋体"/>
              </w:rPr>
            </w:pPr>
          </w:p>
        </w:tc>
      </w:tr>
      <w:tr w:rsidR="007B6C97" w14:paraId="642997AB" w14:textId="77777777">
        <w:tc>
          <w:tcPr>
            <w:tcW w:w="0" w:type="auto"/>
            <w:gridSpan w:val="3"/>
            <w:shd w:val="clear" w:color="auto" w:fill="D7E4BC"/>
            <w:tcMar>
              <w:top w:w="40" w:type="dxa"/>
              <w:left w:w="380" w:type="dxa"/>
              <w:bottom w:w="40" w:type="dxa"/>
              <w:right w:w="20" w:type="dxa"/>
            </w:tcMar>
          </w:tcPr>
          <w:p w14:paraId="64299799" w14:textId="77777777" w:rsidR="007B6C97" w:rsidRDefault="00E426D1">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429979A" w14:textId="77777777" w:rsidR="007B6C97" w:rsidRDefault="00E426D1">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6429979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9C"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9D" w14:textId="77777777" w:rsidR="007B6C97" w:rsidRDefault="00E426D1">
            <w:pPr>
              <w:jc w:val="right"/>
              <w:textAlignment w:val="bottom"/>
            </w:pPr>
            <w:r>
              <w:rPr>
                <w:rFonts w:ascii="Times New Roman" w:eastAsia="宋体" w:hAnsi="Times New Roman"/>
                <w:color w:val="000000"/>
                <w:sz w:val="20"/>
                <w:szCs w:val="20"/>
              </w:rPr>
              <w:t>124 </w:t>
            </w:r>
          </w:p>
        </w:tc>
        <w:tc>
          <w:tcPr>
            <w:tcW w:w="0" w:type="auto"/>
            <w:shd w:val="clear" w:color="auto" w:fill="D7E4BC"/>
            <w:tcMar>
              <w:top w:w="40" w:type="dxa"/>
              <w:left w:w="0" w:type="dxa"/>
              <w:bottom w:w="40" w:type="dxa"/>
              <w:right w:w="20" w:type="dxa"/>
            </w:tcMar>
            <w:vAlign w:val="bottom"/>
          </w:tcPr>
          <w:p w14:paraId="6429979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9F"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A0" w14:textId="77777777" w:rsidR="007B6C97" w:rsidRDefault="00E426D1">
            <w:pPr>
              <w:jc w:val="right"/>
              <w:textAlignment w:val="bottom"/>
            </w:pPr>
            <w:r>
              <w:rPr>
                <w:rFonts w:ascii="Times New Roman" w:eastAsia="宋体" w:hAnsi="Times New Roman"/>
                <w:color w:val="000000"/>
                <w:sz w:val="20"/>
                <w:szCs w:val="20"/>
              </w:rPr>
              <w:t>446 </w:t>
            </w:r>
          </w:p>
        </w:tc>
        <w:tc>
          <w:tcPr>
            <w:tcW w:w="0" w:type="auto"/>
            <w:shd w:val="clear" w:color="auto" w:fill="D7E4BC"/>
            <w:tcMar>
              <w:top w:w="40" w:type="dxa"/>
              <w:left w:w="0" w:type="dxa"/>
              <w:bottom w:w="40" w:type="dxa"/>
              <w:right w:w="20" w:type="dxa"/>
            </w:tcMar>
            <w:vAlign w:val="bottom"/>
          </w:tcPr>
          <w:p w14:paraId="642997A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A2"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A3" w14:textId="77777777" w:rsidR="007B6C97" w:rsidRDefault="00E426D1">
            <w:pPr>
              <w:jc w:val="right"/>
              <w:textAlignment w:val="bottom"/>
            </w:pPr>
            <w:r>
              <w:rPr>
                <w:rFonts w:ascii="Times New Roman" w:eastAsia="宋体" w:hAnsi="Times New Roman"/>
                <w:color w:val="000000"/>
                <w:sz w:val="20"/>
                <w:szCs w:val="20"/>
              </w:rPr>
              <w:t>338 </w:t>
            </w:r>
          </w:p>
        </w:tc>
        <w:tc>
          <w:tcPr>
            <w:tcW w:w="0" w:type="auto"/>
            <w:shd w:val="clear" w:color="auto" w:fill="D7E4BC"/>
            <w:tcMar>
              <w:top w:w="40" w:type="dxa"/>
              <w:left w:w="0" w:type="dxa"/>
              <w:bottom w:w="40" w:type="dxa"/>
              <w:right w:w="20" w:type="dxa"/>
            </w:tcMar>
            <w:vAlign w:val="bottom"/>
          </w:tcPr>
          <w:p w14:paraId="642997A4"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A5"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A6" w14:textId="77777777" w:rsidR="007B6C97" w:rsidRDefault="00E426D1">
            <w:pPr>
              <w:jc w:val="right"/>
              <w:textAlignment w:val="bottom"/>
            </w:pPr>
            <w:r>
              <w:rPr>
                <w:rFonts w:ascii="Times New Roman" w:eastAsia="宋体" w:hAnsi="Times New Roman"/>
                <w:color w:val="000000"/>
                <w:sz w:val="20"/>
                <w:szCs w:val="20"/>
              </w:rPr>
              <w:t>10,181 </w:t>
            </w:r>
          </w:p>
        </w:tc>
        <w:tc>
          <w:tcPr>
            <w:tcW w:w="0" w:type="auto"/>
            <w:shd w:val="clear" w:color="auto" w:fill="D7E4BC"/>
            <w:tcMar>
              <w:top w:w="40" w:type="dxa"/>
              <w:left w:w="0" w:type="dxa"/>
              <w:bottom w:w="40" w:type="dxa"/>
              <w:right w:w="20" w:type="dxa"/>
            </w:tcMar>
            <w:vAlign w:val="bottom"/>
          </w:tcPr>
          <w:p w14:paraId="642997A7"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A8" w14:textId="77777777" w:rsidR="007B6C97" w:rsidRDefault="007B6C97">
            <w:pPr>
              <w:rPr>
                <w:rFonts w:ascii="宋体"/>
              </w:rPr>
            </w:pPr>
          </w:p>
        </w:tc>
        <w:tc>
          <w:tcPr>
            <w:tcW w:w="0" w:type="auto"/>
            <w:gridSpan w:val="2"/>
            <w:shd w:val="clear" w:color="auto" w:fill="D7E4BC"/>
            <w:tcMar>
              <w:top w:w="40" w:type="dxa"/>
              <w:left w:w="20" w:type="dxa"/>
              <w:bottom w:w="40" w:type="dxa"/>
              <w:right w:w="0" w:type="dxa"/>
            </w:tcMar>
            <w:vAlign w:val="bottom"/>
          </w:tcPr>
          <w:p w14:paraId="642997A9" w14:textId="77777777" w:rsidR="007B6C97" w:rsidRDefault="00E426D1">
            <w:pPr>
              <w:jc w:val="right"/>
              <w:textAlignment w:val="bottom"/>
            </w:pPr>
            <w:r>
              <w:rPr>
                <w:rFonts w:ascii="Times New Roman" w:eastAsia="宋体" w:hAnsi="Times New Roman"/>
                <w:color w:val="000000"/>
                <w:sz w:val="20"/>
                <w:szCs w:val="20"/>
              </w:rPr>
              <w:t>9,530 </w:t>
            </w:r>
          </w:p>
        </w:tc>
        <w:tc>
          <w:tcPr>
            <w:tcW w:w="0" w:type="auto"/>
            <w:shd w:val="clear" w:color="auto" w:fill="D7E4BC"/>
            <w:tcMar>
              <w:top w:w="40" w:type="dxa"/>
              <w:left w:w="0" w:type="dxa"/>
              <w:bottom w:w="40" w:type="dxa"/>
              <w:right w:w="20" w:type="dxa"/>
            </w:tcMar>
            <w:vAlign w:val="bottom"/>
          </w:tcPr>
          <w:p w14:paraId="642997AA" w14:textId="77777777" w:rsidR="007B6C97" w:rsidRDefault="007B6C97">
            <w:pPr>
              <w:jc w:val="right"/>
              <w:rPr>
                <w:rFonts w:ascii="宋体"/>
              </w:rPr>
            </w:pPr>
          </w:p>
        </w:tc>
      </w:tr>
      <w:tr w:rsidR="007B6C97" w14:paraId="642997BE" w14:textId="77777777">
        <w:tc>
          <w:tcPr>
            <w:tcW w:w="0" w:type="auto"/>
            <w:gridSpan w:val="3"/>
            <w:shd w:val="clear" w:color="auto" w:fill="FFFFFF"/>
            <w:tcMar>
              <w:top w:w="40" w:type="dxa"/>
              <w:left w:w="20" w:type="dxa"/>
              <w:bottom w:w="40" w:type="dxa"/>
              <w:right w:w="20" w:type="dxa"/>
            </w:tcMar>
          </w:tcPr>
          <w:p w14:paraId="642997AC"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Total International </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AD" w14:textId="77777777" w:rsidR="007B6C97" w:rsidRDefault="00E426D1">
            <w:pPr>
              <w:jc w:val="right"/>
              <w:textAlignment w:val="bottom"/>
            </w:pPr>
            <w:r>
              <w:rPr>
                <w:rFonts w:ascii="Times New Roman" w:eastAsia="宋体" w:hAnsi="Times New Roman"/>
                <w:color w:val="000000"/>
                <w:sz w:val="20"/>
                <w:szCs w:val="20"/>
              </w:rPr>
              <w:t>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AE"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AF"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B0" w14:textId="77777777" w:rsidR="007B6C97" w:rsidRDefault="00E426D1">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B1"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B2"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B3" w14:textId="77777777" w:rsidR="007B6C97" w:rsidRDefault="00E426D1">
            <w:pPr>
              <w:jc w:val="right"/>
              <w:textAlignment w:val="bottom"/>
            </w:pPr>
            <w:r>
              <w:rPr>
                <w:rFonts w:ascii="Times New Roman" w:eastAsia="宋体" w:hAnsi="Times New Roman"/>
                <w:color w:val="000000"/>
                <w:sz w:val="20"/>
                <w:szCs w:val="20"/>
              </w:rPr>
              <w:t>891 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B4"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B5"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B6" w14:textId="77777777" w:rsidR="007B6C97" w:rsidRDefault="00E426D1">
            <w:pPr>
              <w:jc w:val="right"/>
              <w:textAlignment w:val="bottom"/>
            </w:pPr>
            <w:r>
              <w:rPr>
                <w:rFonts w:ascii="Times New Roman" w:eastAsia="宋体" w:hAnsi="Times New Roman"/>
                <w:color w:val="000000"/>
                <w:sz w:val="20"/>
                <w:szCs w:val="20"/>
              </w:rPr>
              <w:t>823 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B7"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B8"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B9" w14:textId="77777777" w:rsidR="007B6C97" w:rsidRDefault="00E426D1">
            <w:pPr>
              <w:jc w:val="right"/>
              <w:textAlignment w:val="bottom"/>
            </w:pPr>
            <w:r>
              <w:rPr>
                <w:rFonts w:ascii="Times New Roman" w:eastAsia="宋体" w:hAnsi="Times New Roman"/>
                <w:color w:val="000000"/>
                <w:sz w:val="20"/>
                <w:szCs w:val="20"/>
              </w:rPr>
              <w:t>17,898 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BA" w14:textId="77777777" w:rsidR="007B6C97" w:rsidRDefault="007B6C97">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997BB" w14:textId="77777777" w:rsidR="007B6C97" w:rsidRDefault="007B6C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2997BC" w14:textId="77777777" w:rsidR="007B6C97" w:rsidRDefault="00E426D1">
            <w:pPr>
              <w:jc w:val="right"/>
              <w:textAlignment w:val="bottom"/>
            </w:pPr>
            <w:r>
              <w:rPr>
                <w:rFonts w:ascii="Times New Roman" w:eastAsia="宋体" w:hAnsi="Times New Roman"/>
                <w:color w:val="000000"/>
                <w:sz w:val="20"/>
                <w:szCs w:val="20"/>
              </w:rPr>
              <w:t>16,543 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2997BD" w14:textId="77777777" w:rsidR="007B6C97" w:rsidRDefault="007B6C97">
            <w:pPr>
              <w:jc w:val="right"/>
              <w:rPr>
                <w:rFonts w:ascii="宋体"/>
              </w:rPr>
            </w:pPr>
          </w:p>
        </w:tc>
      </w:tr>
      <w:tr w:rsidR="007B6C97" w14:paraId="642997CB" w14:textId="77777777">
        <w:trPr>
          <w:hidden/>
        </w:trPr>
        <w:tc>
          <w:tcPr>
            <w:tcW w:w="0" w:type="auto"/>
            <w:gridSpan w:val="3"/>
            <w:shd w:val="clear" w:color="auto" w:fill="auto"/>
            <w:vAlign w:val="bottom"/>
          </w:tcPr>
          <w:p w14:paraId="642997BF" w14:textId="77777777" w:rsidR="007B6C97" w:rsidRDefault="007B6C97">
            <w:pPr>
              <w:rPr>
                <w:rFonts w:ascii="宋体"/>
                <w:vanish/>
              </w:rPr>
            </w:pPr>
          </w:p>
        </w:tc>
        <w:tc>
          <w:tcPr>
            <w:tcW w:w="0" w:type="auto"/>
            <w:gridSpan w:val="3"/>
            <w:shd w:val="clear" w:color="auto" w:fill="auto"/>
            <w:vAlign w:val="bottom"/>
          </w:tcPr>
          <w:p w14:paraId="642997C0" w14:textId="77777777" w:rsidR="007B6C97" w:rsidRDefault="007B6C97">
            <w:pPr>
              <w:rPr>
                <w:rFonts w:ascii="宋体"/>
                <w:vanish/>
              </w:rPr>
            </w:pPr>
          </w:p>
        </w:tc>
        <w:tc>
          <w:tcPr>
            <w:tcW w:w="0" w:type="auto"/>
            <w:gridSpan w:val="3"/>
            <w:shd w:val="clear" w:color="auto" w:fill="auto"/>
            <w:vAlign w:val="bottom"/>
          </w:tcPr>
          <w:p w14:paraId="642997C1" w14:textId="77777777" w:rsidR="007B6C97" w:rsidRDefault="007B6C97">
            <w:pPr>
              <w:rPr>
                <w:rFonts w:ascii="宋体"/>
                <w:vanish/>
              </w:rPr>
            </w:pPr>
          </w:p>
        </w:tc>
        <w:tc>
          <w:tcPr>
            <w:tcW w:w="0" w:type="auto"/>
            <w:gridSpan w:val="3"/>
            <w:shd w:val="clear" w:color="auto" w:fill="auto"/>
            <w:vAlign w:val="bottom"/>
          </w:tcPr>
          <w:p w14:paraId="642997C2" w14:textId="77777777" w:rsidR="007B6C97" w:rsidRDefault="007B6C97">
            <w:pPr>
              <w:rPr>
                <w:rFonts w:ascii="宋体"/>
                <w:vanish/>
              </w:rPr>
            </w:pPr>
          </w:p>
        </w:tc>
        <w:tc>
          <w:tcPr>
            <w:tcW w:w="0" w:type="auto"/>
            <w:gridSpan w:val="3"/>
            <w:shd w:val="clear" w:color="auto" w:fill="auto"/>
            <w:vAlign w:val="bottom"/>
          </w:tcPr>
          <w:p w14:paraId="642997C3" w14:textId="77777777" w:rsidR="007B6C97" w:rsidRDefault="007B6C97">
            <w:pPr>
              <w:rPr>
                <w:rFonts w:ascii="宋体"/>
                <w:vanish/>
              </w:rPr>
            </w:pPr>
          </w:p>
        </w:tc>
        <w:tc>
          <w:tcPr>
            <w:tcW w:w="0" w:type="auto"/>
            <w:gridSpan w:val="3"/>
            <w:shd w:val="clear" w:color="auto" w:fill="auto"/>
            <w:vAlign w:val="bottom"/>
          </w:tcPr>
          <w:p w14:paraId="642997C4" w14:textId="77777777" w:rsidR="007B6C97" w:rsidRDefault="007B6C97">
            <w:pPr>
              <w:rPr>
                <w:rFonts w:ascii="宋体"/>
                <w:vanish/>
              </w:rPr>
            </w:pPr>
          </w:p>
        </w:tc>
        <w:tc>
          <w:tcPr>
            <w:tcW w:w="0" w:type="auto"/>
            <w:gridSpan w:val="3"/>
            <w:shd w:val="clear" w:color="auto" w:fill="auto"/>
            <w:vAlign w:val="bottom"/>
          </w:tcPr>
          <w:p w14:paraId="642997C5" w14:textId="77777777" w:rsidR="007B6C97" w:rsidRDefault="007B6C97">
            <w:pPr>
              <w:rPr>
                <w:rFonts w:ascii="宋体"/>
                <w:vanish/>
              </w:rPr>
            </w:pPr>
          </w:p>
        </w:tc>
        <w:tc>
          <w:tcPr>
            <w:tcW w:w="0" w:type="auto"/>
            <w:gridSpan w:val="3"/>
            <w:shd w:val="clear" w:color="auto" w:fill="auto"/>
            <w:vAlign w:val="bottom"/>
          </w:tcPr>
          <w:p w14:paraId="642997C6" w14:textId="77777777" w:rsidR="007B6C97" w:rsidRDefault="007B6C97">
            <w:pPr>
              <w:rPr>
                <w:rFonts w:ascii="宋体"/>
                <w:vanish/>
              </w:rPr>
            </w:pPr>
          </w:p>
        </w:tc>
        <w:tc>
          <w:tcPr>
            <w:tcW w:w="0" w:type="auto"/>
            <w:gridSpan w:val="3"/>
            <w:shd w:val="clear" w:color="auto" w:fill="auto"/>
            <w:vAlign w:val="bottom"/>
          </w:tcPr>
          <w:p w14:paraId="642997C7" w14:textId="77777777" w:rsidR="007B6C97" w:rsidRDefault="007B6C97">
            <w:pPr>
              <w:rPr>
                <w:rFonts w:ascii="宋体"/>
                <w:vanish/>
              </w:rPr>
            </w:pPr>
          </w:p>
        </w:tc>
        <w:tc>
          <w:tcPr>
            <w:tcW w:w="0" w:type="auto"/>
            <w:gridSpan w:val="3"/>
            <w:shd w:val="clear" w:color="auto" w:fill="auto"/>
            <w:vAlign w:val="bottom"/>
          </w:tcPr>
          <w:p w14:paraId="642997C8" w14:textId="77777777" w:rsidR="007B6C97" w:rsidRDefault="007B6C97">
            <w:pPr>
              <w:rPr>
                <w:rFonts w:ascii="宋体"/>
                <w:vanish/>
              </w:rPr>
            </w:pPr>
          </w:p>
        </w:tc>
        <w:tc>
          <w:tcPr>
            <w:tcW w:w="0" w:type="auto"/>
            <w:gridSpan w:val="3"/>
            <w:shd w:val="clear" w:color="auto" w:fill="auto"/>
            <w:vAlign w:val="bottom"/>
          </w:tcPr>
          <w:p w14:paraId="642997C9" w14:textId="77777777" w:rsidR="007B6C97" w:rsidRDefault="007B6C97">
            <w:pPr>
              <w:rPr>
                <w:rFonts w:ascii="宋体"/>
                <w:vanish/>
              </w:rPr>
            </w:pPr>
          </w:p>
        </w:tc>
        <w:tc>
          <w:tcPr>
            <w:tcW w:w="0" w:type="auto"/>
            <w:gridSpan w:val="3"/>
            <w:shd w:val="clear" w:color="auto" w:fill="auto"/>
            <w:vAlign w:val="bottom"/>
          </w:tcPr>
          <w:p w14:paraId="642997CA" w14:textId="77777777" w:rsidR="007B6C97" w:rsidRDefault="007B6C97">
            <w:pPr>
              <w:rPr>
                <w:rFonts w:ascii="宋体"/>
                <w:vanish/>
              </w:rPr>
            </w:pPr>
          </w:p>
        </w:tc>
      </w:tr>
      <w:tr w:rsidR="007B6C97" w14:paraId="642997D8" w14:textId="77777777">
        <w:trPr>
          <w:hidden/>
        </w:trPr>
        <w:tc>
          <w:tcPr>
            <w:tcW w:w="0" w:type="auto"/>
            <w:gridSpan w:val="3"/>
            <w:shd w:val="clear" w:color="auto" w:fill="auto"/>
            <w:vAlign w:val="bottom"/>
          </w:tcPr>
          <w:p w14:paraId="642997CC" w14:textId="77777777" w:rsidR="007B6C97" w:rsidRDefault="007B6C97">
            <w:pPr>
              <w:rPr>
                <w:rFonts w:ascii="宋体"/>
                <w:vanish/>
              </w:rPr>
            </w:pPr>
          </w:p>
        </w:tc>
        <w:tc>
          <w:tcPr>
            <w:tcW w:w="0" w:type="auto"/>
            <w:gridSpan w:val="3"/>
            <w:shd w:val="clear" w:color="auto" w:fill="auto"/>
            <w:vAlign w:val="bottom"/>
          </w:tcPr>
          <w:p w14:paraId="642997CD" w14:textId="77777777" w:rsidR="007B6C97" w:rsidRDefault="007B6C97">
            <w:pPr>
              <w:rPr>
                <w:rFonts w:ascii="宋体"/>
                <w:vanish/>
              </w:rPr>
            </w:pPr>
          </w:p>
        </w:tc>
        <w:tc>
          <w:tcPr>
            <w:tcW w:w="0" w:type="auto"/>
            <w:gridSpan w:val="3"/>
            <w:shd w:val="clear" w:color="auto" w:fill="auto"/>
            <w:vAlign w:val="bottom"/>
          </w:tcPr>
          <w:p w14:paraId="642997CE" w14:textId="77777777" w:rsidR="007B6C97" w:rsidRDefault="007B6C97">
            <w:pPr>
              <w:rPr>
                <w:rFonts w:ascii="宋体"/>
                <w:vanish/>
              </w:rPr>
            </w:pPr>
          </w:p>
        </w:tc>
        <w:tc>
          <w:tcPr>
            <w:tcW w:w="0" w:type="auto"/>
            <w:gridSpan w:val="3"/>
            <w:shd w:val="clear" w:color="auto" w:fill="auto"/>
            <w:vAlign w:val="bottom"/>
          </w:tcPr>
          <w:p w14:paraId="642997CF" w14:textId="77777777" w:rsidR="007B6C97" w:rsidRDefault="007B6C97">
            <w:pPr>
              <w:rPr>
                <w:rFonts w:ascii="宋体"/>
                <w:vanish/>
              </w:rPr>
            </w:pPr>
          </w:p>
        </w:tc>
        <w:tc>
          <w:tcPr>
            <w:tcW w:w="0" w:type="auto"/>
            <w:gridSpan w:val="3"/>
            <w:shd w:val="clear" w:color="auto" w:fill="auto"/>
            <w:vAlign w:val="bottom"/>
          </w:tcPr>
          <w:p w14:paraId="642997D0" w14:textId="77777777" w:rsidR="007B6C97" w:rsidRDefault="007B6C97">
            <w:pPr>
              <w:rPr>
                <w:rFonts w:ascii="宋体"/>
                <w:vanish/>
              </w:rPr>
            </w:pPr>
          </w:p>
        </w:tc>
        <w:tc>
          <w:tcPr>
            <w:tcW w:w="0" w:type="auto"/>
            <w:gridSpan w:val="3"/>
            <w:shd w:val="clear" w:color="auto" w:fill="auto"/>
            <w:vAlign w:val="bottom"/>
          </w:tcPr>
          <w:p w14:paraId="642997D1" w14:textId="77777777" w:rsidR="007B6C97" w:rsidRDefault="007B6C97">
            <w:pPr>
              <w:rPr>
                <w:rFonts w:ascii="宋体"/>
                <w:vanish/>
              </w:rPr>
            </w:pPr>
          </w:p>
        </w:tc>
        <w:tc>
          <w:tcPr>
            <w:tcW w:w="0" w:type="auto"/>
            <w:gridSpan w:val="3"/>
            <w:shd w:val="clear" w:color="auto" w:fill="auto"/>
            <w:vAlign w:val="bottom"/>
          </w:tcPr>
          <w:p w14:paraId="642997D2" w14:textId="77777777" w:rsidR="007B6C97" w:rsidRDefault="007B6C97">
            <w:pPr>
              <w:rPr>
                <w:rFonts w:ascii="宋体"/>
                <w:vanish/>
              </w:rPr>
            </w:pPr>
          </w:p>
        </w:tc>
        <w:tc>
          <w:tcPr>
            <w:tcW w:w="0" w:type="auto"/>
            <w:gridSpan w:val="3"/>
            <w:shd w:val="clear" w:color="auto" w:fill="auto"/>
            <w:vAlign w:val="bottom"/>
          </w:tcPr>
          <w:p w14:paraId="642997D3" w14:textId="77777777" w:rsidR="007B6C97" w:rsidRDefault="007B6C97">
            <w:pPr>
              <w:rPr>
                <w:rFonts w:ascii="宋体"/>
                <w:vanish/>
              </w:rPr>
            </w:pPr>
          </w:p>
        </w:tc>
        <w:tc>
          <w:tcPr>
            <w:tcW w:w="0" w:type="auto"/>
            <w:gridSpan w:val="3"/>
            <w:shd w:val="clear" w:color="auto" w:fill="auto"/>
            <w:vAlign w:val="bottom"/>
          </w:tcPr>
          <w:p w14:paraId="642997D4" w14:textId="77777777" w:rsidR="007B6C97" w:rsidRDefault="007B6C97">
            <w:pPr>
              <w:rPr>
                <w:rFonts w:ascii="宋体"/>
                <w:vanish/>
              </w:rPr>
            </w:pPr>
          </w:p>
        </w:tc>
        <w:tc>
          <w:tcPr>
            <w:tcW w:w="0" w:type="auto"/>
            <w:gridSpan w:val="3"/>
            <w:shd w:val="clear" w:color="auto" w:fill="auto"/>
            <w:vAlign w:val="bottom"/>
          </w:tcPr>
          <w:p w14:paraId="642997D5" w14:textId="77777777" w:rsidR="007B6C97" w:rsidRDefault="007B6C97">
            <w:pPr>
              <w:rPr>
                <w:rFonts w:ascii="宋体"/>
                <w:vanish/>
              </w:rPr>
            </w:pPr>
          </w:p>
        </w:tc>
        <w:tc>
          <w:tcPr>
            <w:tcW w:w="0" w:type="auto"/>
            <w:gridSpan w:val="3"/>
            <w:shd w:val="clear" w:color="auto" w:fill="auto"/>
            <w:vAlign w:val="bottom"/>
          </w:tcPr>
          <w:p w14:paraId="642997D6" w14:textId="77777777" w:rsidR="007B6C97" w:rsidRDefault="007B6C97">
            <w:pPr>
              <w:rPr>
                <w:rFonts w:ascii="宋体"/>
                <w:vanish/>
              </w:rPr>
            </w:pPr>
          </w:p>
        </w:tc>
        <w:tc>
          <w:tcPr>
            <w:tcW w:w="0" w:type="auto"/>
            <w:gridSpan w:val="3"/>
            <w:shd w:val="clear" w:color="auto" w:fill="auto"/>
            <w:vAlign w:val="bottom"/>
          </w:tcPr>
          <w:p w14:paraId="642997D7" w14:textId="77777777" w:rsidR="007B6C97" w:rsidRDefault="007B6C97">
            <w:pPr>
              <w:rPr>
                <w:rFonts w:ascii="宋体"/>
                <w:vanish/>
              </w:rPr>
            </w:pPr>
          </w:p>
        </w:tc>
      </w:tr>
      <w:tr w:rsidR="007B6C97" w14:paraId="642997E5" w14:textId="77777777">
        <w:trPr>
          <w:hidden/>
        </w:trPr>
        <w:tc>
          <w:tcPr>
            <w:tcW w:w="0" w:type="auto"/>
            <w:gridSpan w:val="3"/>
            <w:shd w:val="clear" w:color="auto" w:fill="auto"/>
            <w:vAlign w:val="bottom"/>
          </w:tcPr>
          <w:p w14:paraId="642997D9" w14:textId="77777777" w:rsidR="007B6C97" w:rsidRDefault="007B6C97">
            <w:pPr>
              <w:rPr>
                <w:rFonts w:ascii="宋体"/>
                <w:vanish/>
              </w:rPr>
            </w:pPr>
          </w:p>
        </w:tc>
        <w:tc>
          <w:tcPr>
            <w:tcW w:w="0" w:type="auto"/>
            <w:gridSpan w:val="3"/>
            <w:shd w:val="clear" w:color="auto" w:fill="auto"/>
            <w:vAlign w:val="bottom"/>
          </w:tcPr>
          <w:p w14:paraId="642997DA" w14:textId="77777777" w:rsidR="007B6C97" w:rsidRDefault="007B6C97">
            <w:pPr>
              <w:rPr>
                <w:rFonts w:ascii="宋体"/>
                <w:vanish/>
              </w:rPr>
            </w:pPr>
          </w:p>
        </w:tc>
        <w:tc>
          <w:tcPr>
            <w:tcW w:w="0" w:type="auto"/>
            <w:gridSpan w:val="3"/>
            <w:shd w:val="clear" w:color="auto" w:fill="auto"/>
            <w:vAlign w:val="bottom"/>
          </w:tcPr>
          <w:p w14:paraId="642997DB" w14:textId="77777777" w:rsidR="007B6C97" w:rsidRDefault="007B6C97">
            <w:pPr>
              <w:rPr>
                <w:rFonts w:ascii="宋体"/>
                <w:vanish/>
              </w:rPr>
            </w:pPr>
          </w:p>
        </w:tc>
        <w:tc>
          <w:tcPr>
            <w:tcW w:w="0" w:type="auto"/>
            <w:gridSpan w:val="3"/>
            <w:shd w:val="clear" w:color="auto" w:fill="auto"/>
            <w:vAlign w:val="bottom"/>
          </w:tcPr>
          <w:p w14:paraId="642997DC" w14:textId="77777777" w:rsidR="007B6C97" w:rsidRDefault="007B6C97">
            <w:pPr>
              <w:rPr>
                <w:rFonts w:ascii="宋体"/>
                <w:vanish/>
              </w:rPr>
            </w:pPr>
          </w:p>
        </w:tc>
        <w:tc>
          <w:tcPr>
            <w:tcW w:w="0" w:type="auto"/>
            <w:gridSpan w:val="3"/>
            <w:shd w:val="clear" w:color="auto" w:fill="auto"/>
            <w:vAlign w:val="bottom"/>
          </w:tcPr>
          <w:p w14:paraId="642997DD" w14:textId="77777777" w:rsidR="007B6C97" w:rsidRDefault="007B6C97">
            <w:pPr>
              <w:rPr>
                <w:rFonts w:ascii="宋体"/>
                <w:vanish/>
              </w:rPr>
            </w:pPr>
          </w:p>
        </w:tc>
        <w:tc>
          <w:tcPr>
            <w:tcW w:w="0" w:type="auto"/>
            <w:gridSpan w:val="3"/>
            <w:shd w:val="clear" w:color="auto" w:fill="auto"/>
            <w:vAlign w:val="bottom"/>
          </w:tcPr>
          <w:p w14:paraId="642997DE" w14:textId="77777777" w:rsidR="007B6C97" w:rsidRDefault="007B6C97">
            <w:pPr>
              <w:rPr>
                <w:rFonts w:ascii="宋体"/>
                <w:vanish/>
              </w:rPr>
            </w:pPr>
          </w:p>
        </w:tc>
        <w:tc>
          <w:tcPr>
            <w:tcW w:w="0" w:type="auto"/>
            <w:gridSpan w:val="3"/>
            <w:shd w:val="clear" w:color="auto" w:fill="auto"/>
            <w:vAlign w:val="bottom"/>
          </w:tcPr>
          <w:p w14:paraId="642997DF" w14:textId="77777777" w:rsidR="007B6C97" w:rsidRDefault="007B6C97">
            <w:pPr>
              <w:rPr>
                <w:rFonts w:ascii="宋体"/>
                <w:vanish/>
              </w:rPr>
            </w:pPr>
          </w:p>
        </w:tc>
        <w:tc>
          <w:tcPr>
            <w:tcW w:w="0" w:type="auto"/>
            <w:gridSpan w:val="3"/>
            <w:shd w:val="clear" w:color="auto" w:fill="auto"/>
            <w:vAlign w:val="bottom"/>
          </w:tcPr>
          <w:p w14:paraId="642997E0" w14:textId="77777777" w:rsidR="007B6C97" w:rsidRDefault="007B6C97">
            <w:pPr>
              <w:rPr>
                <w:rFonts w:ascii="宋体"/>
                <w:vanish/>
              </w:rPr>
            </w:pPr>
          </w:p>
        </w:tc>
        <w:tc>
          <w:tcPr>
            <w:tcW w:w="0" w:type="auto"/>
            <w:gridSpan w:val="3"/>
            <w:shd w:val="clear" w:color="auto" w:fill="auto"/>
            <w:vAlign w:val="bottom"/>
          </w:tcPr>
          <w:p w14:paraId="642997E1" w14:textId="77777777" w:rsidR="007B6C97" w:rsidRDefault="007B6C97">
            <w:pPr>
              <w:rPr>
                <w:rFonts w:ascii="宋体"/>
                <w:vanish/>
              </w:rPr>
            </w:pPr>
          </w:p>
        </w:tc>
        <w:tc>
          <w:tcPr>
            <w:tcW w:w="0" w:type="auto"/>
            <w:gridSpan w:val="3"/>
            <w:shd w:val="clear" w:color="auto" w:fill="auto"/>
            <w:vAlign w:val="bottom"/>
          </w:tcPr>
          <w:p w14:paraId="642997E2" w14:textId="77777777" w:rsidR="007B6C97" w:rsidRDefault="007B6C97">
            <w:pPr>
              <w:rPr>
                <w:rFonts w:ascii="宋体"/>
                <w:vanish/>
              </w:rPr>
            </w:pPr>
          </w:p>
        </w:tc>
        <w:tc>
          <w:tcPr>
            <w:tcW w:w="0" w:type="auto"/>
            <w:gridSpan w:val="3"/>
            <w:shd w:val="clear" w:color="auto" w:fill="auto"/>
            <w:vAlign w:val="bottom"/>
          </w:tcPr>
          <w:p w14:paraId="642997E3" w14:textId="77777777" w:rsidR="007B6C97" w:rsidRDefault="007B6C97">
            <w:pPr>
              <w:rPr>
                <w:rFonts w:ascii="宋体"/>
                <w:vanish/>
              </w:rPr>
            </w:pPr>
          </w:p>
        </w:tc>
        <w:tc>
          <w:tcPr>
            <w:tcW w:w="0" w:type="auto"/>
            <w:gridSpan w:val="3"/>
            <w:shd w:val="clear" w:color="auto" w:fill="auto"/>
            <w:vAlign w:val="bottom"/>
          </w:tcPr>
          <w:p w14:paraId="642997E4" w14:textId="77777777" w:rsidR="007B6C97" w:rsidRDefault="007B6C97">
            <w:pPr>
              <w:rPr>
                <w:rFonts w:ascii="宋体"/>
                <w:vanish/>
              </w:rPr>
            </w:pPr>
          </w:p>
        </w:tc>
      </w:tr>
      <w:tr w:rsidR="007B6C97" w14:paraId="642997F2" w14:textId="77777777">
        <w:trPr>
          <w:hidden/>
        </w:trPr>
        <w:tc>
          <w:tcPr>
            <w:tcW w:w="0" w:type="auto"/>
            <w:gridSpan w:val="3"/>
            <w:shd w:val="clear" w:color="auto" w:fill="auto"/>
            <w:vAlign w:val="bottom"/>
          </w:tcPr>
          <w:p w14:paraId="642997E6" w14:textId="77777777" w:rsidR="007B6C97" w:rsidRDefault="007B6C97">
            <w:pPr>
              <w:rPr>
                <w:rFonts w:ascii="宋体"/>
                <w:vanish/>
              </w:rPr>
            </w:pPr>
          </w:p>
        </w:tc>
        <w:tc>
          <w:tcPr>
            <w:tcW w:w="0" w:type="auto"/>
            <w:gridSpan w:val="3"/>
            <w:shd w:val="clear" w:color="auto" w:fill="auto"/>
            <w:vAlign w:val="bottom"/>
          </w:tcPr>
          <w:p w14:paraId="642997E7" w14:textId="77777777" w:rsidR="007B6C97" w:rsidRDefault="007B6C97">
            <w:pPr>
              <w:rPr>
                <w:rFonts w:ascii="宋体"/>
                <w:vanish/>
              </w:rPr>
            </w:pPr>
          </w:p>
        </w:tc>
        <w:tc>
          <w:tcPr>
            <w:tcW w:w="0" w:type="auto"/>
            <w:gridSpan w:val="3"/>
            <w:shd w:val="clear" w:color="auto" w:fill="auto"/>
            <w:vAlign w:val="bottom"/>
          </w:tcPr>
          <w:p w14:paraId="642997E8" w14:textId="77777777" w:rsidR="007B6C97" w:rsidRDefault="007B6C97">
            <w:pPr>
              <w:rPr>
                <w:rFonts w:ascii="宋体"/>
                <w:vanish/>
              </w:rPr>
            </w:pPr>
          </w:p>
        </w:tc>
        <w:tc>
          <w:tcPr>
            <w:tcW w:w="0" w:type="auto"/>
            <w:gridSpan w:val="3"/>
            <w:shd w:val="clear" w:color="auto" w:fill="auto"/>
            <w:vAlign w:val="bottom"/>
          </w:tcPr>
          <w:p w14:paraId="642997E9" w14:textId="77777777" w:rsidR="007B6C97" w:rsidRDefault="007B6C97">
            <w:pPr>
              <w:rPr>
                <w:rFonts w:ascii="宋体"/>
                <w:vanish/>
              </w:rPr>
            </w:pPr>
          </w:p>
        </w:tc>
        <w:tc>
          <w:tcPr>
            <w:tcW w:w="0" w:type="auto"/>
            <w:gridSpan w:val="3"/>
            <w:shd w:val="clear" w:color="auto" w:fill="auto"/>
            <w:vAlign w:val="bottom"/>
          </w:tcPr>
          <w:p w14:paraId="642997EA" w14:textId="77777777" w:rsidR="007B6C97" w:rsidRDefault="007B6C97">
            <w:pPr>
              <w:rPr>
                <w:rFonts w:ascii="宋体"/>
                <w:vanish/>
              </w:rPr>
            </w:pPr>
          </w:p>
        </w:tc>
        <w:tc>
          <w:tcPr>
            <w:tcW w:w="0" w:type="auto"/>
            <w:gridSpan w:val="3"/>
            <w:shd w:val="clear" w:color="auto" w:fill="auto"/>
            <w:vAlign w:val="bottom"/>
          </w:tcPr>
          <w:p w14:paraId="642997EB" w14:textId="77777777" w:rsidR="007B6C97" w:rsidRDefault="007B6C97">
            <w:pPr>
              <w:rPr>
                <w:rFonts w:ascii="宋体"/>
                <w:vanish/>
              </w:rPr>
            </w:pPr>
          </w:p>
        </w:tc>
        <w:tc>
          <w:tcPr>
            <w:tcW w:w="0" w:type="auto"/>
            <w:gridSpan w:val="3"/>
            <w:shd w:val="clear" w:color="auto" w:fill="auto"/>
            <w:vAlign w:val="bottom"/>
          </w:tcPr>
          <w:p w14:paraId="642997EC" w14:textId="77777777" w:rsidR="007B6C97" w:rsidRDefault="007B6C97">
            <w:pPr>
              <w:rPr>
                <w:rFonts w:ascii="宋体"/>
                <w:vanish/>
              </w:rPr>
            </w:pPr>
          </w:p>
        </w:tc>
        <w:tc>
          <w:tcPr>
            <w:tcW w:w="0" w:type="auto"/>
            <w:gridSpan w:val="3"/>
            <w:shd w:val="clear" w:color="auto" w:fill="auto"/>
            <w:vAlign w:val="bottom"/>
          </w:tcPr>
          <w:p w14:paraId="642997ED" w14:textId="77777777" w:rsidR="007B6C97" w:rsidRDefault="007B6C97">
            <w:pPr>
              <w:rPr>
                <w:rFonts w:ascii="宋体"/>
                <w:vanish/>
              </w:rPr>
            </w:pPr>
          </w:p>
        </w:tc>
        <w:tc>
          <w:tcPr>
            <w:tcW w:w="0" w:type="auto"/>
            <w:gridSpan w:val="3"/>
            <w:shd w:val="clear" w:color="auto" w:fill="auto"/>
            <w:vAlign w:val="bottom"/>
          </w:tcPr>
          <w:p w14:paraId="642997EE" w14:textId="77777777" w:rsidR="007B6C97" w:rsidRDefault="007B6C97">
            <w:pPr>
              <w:rPr>
                <w:rFonts w:ascii="宋体"/>
                <w:vanish/>
              </w:rPr>
            </w:pPr>
          </w:p>
        </w:tc>
        <w:tc>
          <w:tcPr>
            <w:tcW w:w="0" w:type="auto"/>
            <w:gridSpan w:val="3"/>
            <w:shd w:val="clear" w:color="auto" w:fill="auto"/>
            <w:vAlign w:val="bottom"/>
          </w:tcPr>
          <w:p w14:paraId="642997EF" w14:textId="77777777" w:rsidR="007B6C97" w:rsidRDefault="007B6C97">
            <w:pPr>
              <w:rPr>
                <w:rFonts w:ascii="宋体"/>
                <w:vanish/>
              </w:rPr>
            </w:pPr>
          </w:p>
        </w:tc>
        <w:tc>
          <w:tcPr>
            <w:tcW w:w="0" w:type="auto"/>
            <w:gridSpan w:val="3"/>
            <w:shd w:val="clear" w:color="auto" w:fill="auto"/>
            <w:vAlign w:val="bottom"/>
          </w:tcPr>
          <w:p w14:paraId="642997F0" w14:textId="77777777" w:rsidR="007B6C97" w:rsidRDefault="007B6C97">
            <w:pPr>
              <w:rPr>
                <w:rFonts w:ascii="宋体"/>
                <w:vanish/>
              </w:rPr>
            </w:pPr>
          </w:p>
        </w:tc>
        <w:tc>
          <w:tcPr>
            <w:tcW w:w="0" w:type="auto"/>
            <w:gridSpan w:val="3"/>
            <w:shd w:val="clear" w:color="auto" w:fill="auto"/>
            <w:vAlign w:val="bottom"/>
          </w:tcPr>
          <w:p w14:paraId="642997F1" w14:textId="77777777" w:rsidR="007B6C97" w:rsidRDefault="007B6C97">
            <w:pPr>
              <w:rPr>
                <w:rFonts w:ascii="宋体"/>
                <w:vanish/>
              </w:rPr>
            </w:pPr>
          </w:p>
        </w:tc>
      </w:tr>
      <w:tr w:rsidR="007B6C97" w14:paraId="64299805" w14:textId="77777777">
        <w:tc>
          <w:tcPr>
            <w:tcW w:w="0" w:type="auto"/>
            <w:gridSpan w:val="3"/>
            <w:shd w:val="clear" w:color="auto" w:fill="D7E4BC"/>
            <w:tcMar>
              <w:top w:w="40" w:type="dxa"/>
              <w:left w:w="20" w:type="dxa"/>
              <w:bottom w:w="40" w:type="dxa"/>
              <w:right w:w="20" w:type="dxa"/>
            </w:tcMar>
          </w:tcPr>
          <w:p w14:paraId="642997F3" w14:textId="77777777" w:rsidR="007B6C97" w:rsidRDefault="00E426D1">
            <w:pPr>
              <w:textAlignment w:val="top"/>
            </w:pPr>
            <w:r>
              <w:rPr>
                <w:rFonts w:ascii="Times New Roman" w:eastAsia="宋体" w:hAnsi="Times New Roman"/>
                <w:b/>
                <w:bCs/>
                <w:color w:val="000000"/>
                <w:sz w:val="20"/>
                <w:szCs w:val="20"/>
              </w:rPr>
              <w:t>Total Company</w:t>
            </w: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7F4" w14:textId="77777777" w:rsidR="007B6C97" w:rsidRDefault="00E426D1">
            <w:pPr>
              <w:jc w:val="right"/>
              <w:textAlignment w:val="bottom"/>
            </w:pPr>
            <w:r>
              <w:rPr>
                <w:rFonts w:ascii="Times New Roman" w:eastAsia="宋体" w:hAnsi="Times New Roman"/>
                <w:b/>
                <w:bCs/>
                <w:color w:val="000000"/>
                <w:sz w:val="20"/>
                <w:szCs w:val="20"/>
              </w:rPr>
              <w:t>318</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7F5"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F6" w14:textId="77777777" w:rsidR="007B6C97" w:rsidRDefault="007B6C97">
            <w:pPr>
              <w:rPr>
                <w:rFonts w:ascii="宋体"/>
              </w:rPr>
            </w:pP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7F7" w14:textId="77777777" w:rsidR="007B6C97" w:rsidRDefault="00E426D1">
            <w:pPr>
              <w:jc w:val="right"/>
              <w:textAlignment w:val="bottom"/>
            </w:pPr>
            <w:r>
              <w:rPr>
                <w:rFonts w:ascii="Times New Roman" w:eastAsia="宋体" w:hAnsi="Times New Roman"/>
                <w:b/>
                <w:bCs/>
                <w:color w:val="000000"/>
                <w:sz w:val="20"/>
                <w:szCs w:val="20"/>
              </w:rPr>
              <w:t>352</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7F8"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F9" w14:textId="77777777" w:rsidR="007B6C97" w:rsidRDefault="007B6C97">
            <w:pPr>
              <w:rPr>
                <w:rFonts w:ascii="宋体"/>
              </w:rPr>
            </w:pP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7FA" w14:textId="77777777" w:rsidR="007B6C97" w:rsidRDefault="00E426D1">
            <w:pPr>
              <w:jc w:val="right"/>
              <w:textAlignment w:val="bottom"/>
            </w:pPr>
            <w:r>
              <w:rPr>
                <w:rFonts w:ascii="Times New Roman" w:eastAsia="宋体" w:hAnsi="Times New Roman"/>
                <w:b/>
                <w:bCs/>
                <w:color w:val="000000"/>
                <w:sz w:val="20"/>
                <w:szCs w:val="20"/>
              </w:rPr>
              <w:t>1,115</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7FB"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FC" w14:textId="77777777" w:rsidR="007B6C97" w:rsidRDefault="007B6C97">
            <w:pPr>
              <w:rPr>
                <w:rFonts w:ascii="宋体"/>
              </w:rPr>
            </w:pP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7FD" w14:textId="77777777" w:rsidR="007B6C97" w:rsidRDefault="00E426D1">
            <w:pPr>
              <w:jc w:val="right"/>
              <w:textAlignment w:val="bottom"/>
            </w:pPr>
            <w:r>
              <w:rPr>
                <w:rFonts w:ascii="Times New Roman" w:eastAsia="宋体" w:hAnsi="Times New Roman"/>
                <w:b/>
                <w:bCs/>
                <w:color w:val="000000"/>
                <w:sz w:val="20"/>
                <w:szCs w:val="20"/>
              </w:rPr>
              <w:t>635</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7FE"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7FF" w14:textId="77777777" w:rsidR="007B6C97" w:rsidRDefault="007B6C97">
            <w:pPr>
              <w:rPr>
                <w:rFonts w:ascii="宋体"/>
              </w:rPr>
            </w:pP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800" w14:textId="77777777" w:rsidR="007B6C97" w:rsidRDefault="00E426D1">
            <w:pPr>
              <w:jc w:val="right"/>
              <w:textAlignment w:val="bottom"/>
            </w:pPr>
            <w:r>
              <w:rPr>
                <w:rFonts w:ascii="Times New Roman" w:eastAsia="宋体" w:hAnsi="Times New Roman"/>
                <w:b/>
                <w:bCs/>
                <w:color w:val="000000"/>
                <w:sz w:val="20"/>
                <w:szCs w:val="20"/>
              </w:rPr>
              <w:t>34,948</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801" w14:textId="77777777" w:rsidR="007B6C97" w:rsidRDefault="007B6C97">
            <w:pPr>
              <w:jc w:val="right"/>
              <w:rPr>
                <w:rFonts w:ascii="宋体"/>
              </w:rPr>
            </w:pPr>
          </w:p>
        </w:tc>
        <w:tc>
          <w:tcPr>
            <w:tcW w:w="0" w:type="auto"/>
            <w:gridSpan w:val="3"/>
            <w:shd w:val="clear" w:color="auto" w:fill="D7E4BC"/>
            <w:tcMar>
              <w:top w:w="0" w:type="dxa"/>
              <w:left w:w="20" w:type="dxa"/>
              <w:bottom w:w="0" w:type="dxa"/>
              <w:right w:w="20" w:type="dxa"/>
            </w:tcMar>
            <w:vAlign w:val="bottom"/>
          </w:tcPr>
          <w:p w14:paraId="64299802" w14:textId="77777777" w:rsidR="007B6C97" w:rsidRDefault="007B6C97">
            <w:pPr>
              <w:rPr>
                <w:rFonts w:ascii="宋体"/>
              </w:rPr>
            </w:pPr>
          </w:p>
        </w:tc>
        <w:tc>
          <w:tcPr>
            <w:tcW w:w="0" w:type="auto"/>
            <w:gridSpan w:val="2"/>
            <w:tcBorders>
              <w:bottom w:val="double" w:sz="6" w:space="0" w:color="000000"/>
            </w:tcBorders>
            <w:shd w:val="clear" w:color="auto" w:fill="D7E4BC"/>
            <w:tcMar>
              <w:top w:w="40" w:type="dxa"/>
              <w:left w:w="20" w:type="dxa"/>
              <w:bottom w:w="40" w:type="dxa"/>
              <w:right w:w="0" w:type="dxa"/>
            </w:tcMar>
            <w:vAlign w:val="bottom"/>
          </w:tcPr>
          <w:p w14:paraId="64299803" w14:textId="77777777" w:rsidR="007B6C97" w:rsidRDefault="00E426D1">
            <w:pPr>
              <w:jc w:val="right"/>
              <w:textAlignment w:val="bottom"/>
            </w:pPr>
            <w:r>
              <w:rPr>
                <w:rFonts w:ascii="Times New Roman" w:eastAsia="宋体" w:hAnsi="Times New Roman"/>
                <w:b/>
                <w:bCs/>
                <w:color w:val="000000"/>
                <w:sz w:val="20"/>
                <w:szCs w:val="20"/>
              </w:rPr>
              <w:t>33,295</w:t>
            </w:r>
            <w:r>
              <w:rPr>
                <w:rFonts w:ascii="Times New Roman" w:eastAsia="宋体" w:hAnsi="Times New Roman"/>
                <w:color w:val="000000"/>
                <w:sz w:val="20"/>
                <w:szCs w:val="20"/>
              </w:rPr>
              <w:t>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64299804" w14:textId="77777777" w:rsidR="007B6C97" w:rsidRDefault="007B6C97">
            <w:pPr>
              <w:jc w:val="right"/>
              <w:rPr>
                <w:rFonts w:ascii="宋体"/>
              </w:rPr>
            </w:pPr>
          </w:p>
        </w:tc>
      </w:tr>
      <w:tr w:rsidR="007B6C97" w14:paraId="64299828" w14:textId="77777777">
        <w:trPr>
          <w:hidden/>
        </w:trPr>
        <w:tc>
          <w:tcPr>
            <w:tcW w:w="0" w:type="auto"/>
            <w:gridSpan w:val="3"/>
            <w:shd w:val="clear" w:color="auto" w:fill="auto"/>
            <w:vAlign w:val="bottom"/>
          </w:tcPr>
          <w:p w14:paraId="64299806" w14:textId="77777777" w:rsidR="007B6C97" w:rsidRDefault="007B6C97">
            <w:pPr>
              <w:rPr>
                <w:rFonts w:ascii="宋体"/>
                <w:vanish/>
              </w:rPr>
            </w:pPr>
          </w:p>
        </w:tc>
        <w:tc>
          <w:tcPr>
            <w:tcW w:w="0" w:type="auto"/>
            <w:shd w:val="clear" w:color="auto" w:fill="auto"/>
            <w:vAlign w:val="bottom"/>
          </w:tcPr>
          <w:p w14:paraId="64299807" w14:textId="77777777" w:rsidR="007B6C97" w:rsidRDefault="007B6C97">
            <w:pPr>
              <w:rPr>
                <w:rFonts w:ascii="宋体"/>
              </w:rPr>
            </w:pPr>
          </w:p>
        </w:tc>
        <w:tc>
          <w:tcPr>
            <w:tcW w:w="0" w:type="auto"/>
            <w:shd w:val="clear" w:color="auto" w:fill="auto"/>
            <w:vAlign w:val="bottom"/>
          </w:tcPr>
          <w:p w14:paraId="64299808" w14:textId="77777777" w:rsidR="007B6C97" w:rsidRDefault="007B6C97">
            <w:pPr>
              <w:rPr>
                <w:rFonts w:ascii="宋体"/>
              </w:rPr>
            </w:pPr>
          </w:p>
        </w:tc>
        <w:tc>
          <w:tcPr>
            <w:tcW w:w="0" w:type="auto"/>
            <w:shd w:val="clear" w:color="auto" w:fill="auto"/>
            <w:vAlign w:val="bottom"/>
          </w:tcPr>
          <w:p w14:paraId="64299809" w14:textId="77777777" w:rsidR="007B6C97" w:rsidRDefault="007B6C97">
            <w:pPr>
              <w:rPr>
                <w:rFonts w:ascii="宋体"/>
              </w:rPr>
            </w:pPr>
          </w:p>
        </w:tc>
        <w:tc>
          <w:tcPr>
            <w:tcW w:w="0" w:type="auto"/>
            <w:shd w:val="clear" w:color="auto" w:fill="auto"/>
            <w:vAlign w:val="bottom"/>
          </w:tcPr>
          <w:p w14:paraId="6429980A" w14:textId="77777777" w:rsidR="007B6C97" w:rsidRDefault="007B6C97">
            <w:pPr>
              <w:rPr>
                <w:rFonts w:ascii="宋体"/>
              </w:rPr>
            </w:pPr>
          </w:p>
        </w:tc>
        <w:tc>
          <w:tcPr>
            <w:tcW w:w="0" w:type="auto"/>
            <w:shd w:val="clear" w:color="auto" w:fill="auto"/>
            <w:vAlign w:val="bottom"/>
          </w:tcPr>
          <w:p w14:paraId="6429980B" w14:textId="77777777" w:rsidR="007B6C97" w:rsidRDefault="007B6C97">
            <w:pPr>
              <w:rPr>
                <w:rFonts w:ascii="宋体"/>
              </w:rPr>
            </w:pPr>
          </w:p>
        </w:tc>
        <w:tc>
          <w:tcPr>
            <w:tcW w:w="0" w:type="auto"/>
            <w:shd w:val="clear" w:color="auto" w:fill="auto"/>
            <w:vAlign w:val="bottom"/>
          </w:tcPr>
          <w:p w14:paraId="6429980C" w14:textId="77777777" w:rsidR="007B6C97" w:rsidRDefault="007B6C97">
            <w:pPr>
              <w:rPr>
                <w:rFonts w:ascii="宋体"/>
              </w:rPr>
            </w:pPr>
          </w:p>
        </w:tc>
        <w:tc>
          <w:tcPr>
            <w:tcW w:w="0" w:type="auto"/>
            <w:shd w:val="clear" w:color="auto" w:fill="auto"/>
            <w:vAlign w:val="bottom"/>
          </w:tcPr>
          <w:p w14:paraId="6429980D" w14:textId="77777777" w:rsidR="007B6C97" w:rsidRDefault="007B6C97">
            <w:pPr>
              <w:rPr>
                <w:rFonts w:ascii="宋体"/>
              </w:rPr>
            </w:pPr>
          </w:p>
        </w:tc>
        <w:tc>
          <w:tcPr>
            <w:tcW w:w="0" w:type="auto"/>
            <w:shd w:val="clear" w:color="auto" w:fill="auto"/>
            <w:vAlign w:val="bottom"/>
          </w:tcPr>
          <w:p w14:paraId="6429980E" w14:textId="77777777" w:rsidR="007B6C97" w:rsidRDefault="007B6C97">
            <w:pPr>
              <w:rPr>
                <w:rFonts w:ascii="宋体"/>
              </w:rPr>
            </w:pPr>
          </w:p>
        </w:tc>
        <w:tc>
          <w:tcPr>
            <w:tcW w:w="0" w:type="auto"/>
            <w:shd w:val="clear" w:color="auto" w:fill="auto"/>
            <w:vAlign w:val="bottom"/>
          </w:tcPr>
          <w:p w14:paraId="6429980F" w14:textId="77777777" w:rsidR="007B6C97" w:rsidRDefault="007B6C97">
            <w:pPr>
              <w:rPr>
                <w:rFonts w:ascii="宋体"/>
              </w:rPr>
            </w:pPr>
          </w:p>
        </w:tc>
        <w:tc>
          <w:tcPr>
            <w:tcW w:w="0" w:type="auto"/>
            <w:shd w:val="clear" w:color="auto" w:fill="auto"/>
            <w:vAlign w:val="bottom"/>
          </w:tcPr>
          <w:p w14:paraId="64299810" w14:textId="77777777" w:rsidR="007B6C97" w:rsidRDefault="007B6C97">
            <w:pPr>
              <w:rPr>
                <w:rFonts w:ascii="宋体"/>
              </w:rPr>
            </w:pPr>
          </w:p>
        </w:tc>
        <w:tc>
          <w:tcPr>
            <w:tcW w:w="0" w:type="auto"/>
            <w:shd w:val="clear" w:color="auto" w:fill="auto"/>
            <w:vAlign w:val="bottom"/>
          </w:tcPr>
          <w:p w14:paraId="64299811" w14:textId="77777777" w:rsidR="007B6C97" w:rsidRDefault="007B6C97">
            <w:pPr>
              <w:rPr>
                <w:rFonts w:ascii="宋体"/>
              </w:rPr>
            </w:pPr>
          </w:p>
        </w:tc>
        <w:tc>
          <w:tcPr>
            <w:tcW w:w="0" w:type="auto"/>
            <w:shd w:val="clear" w:color="auto" w:fill="auto"/>
            <w:vAlign w:val="bottom"/>
          </w:tcPr>
          <w:p w14:paraId="64299812" w14:textId="77777777" w:rsidR="007B6C97" w:rsidRDefault="007B6C97">
            <w:pPr>
              <w:rPr>
                <w:rFonts w:ascii="宋体"/>
              </w:rPr>
            </w:pPr>
          </w:p>
        </w:tc>
        <w:tc>
          <w:tcPr>
            <w:tcW w:w="0" w:type="auto"/>
            <w:shd w:val="clear" w:color="auto" w:fill="auto"/>
            <w:vAlign w:val="bottom"/>
          </w:tcPr>
          <w:p w14:paraId="64299813" w14:textId="77777777" w:rsidR="007B6C97" w:rsidRDefault="007B6C97">
            <w:pPr>
              <w:rPr>
                <w:rFonts w:ascii="宋体"/>
              </w:rPr>
            </w:pPr>
          </w:p>
        </w:tc>
        <w:tc>
          <w:tcPr>
            <w:tcW w:w="0" w:type="auto"/>
            <w:shd w:val="clear" w:color="auto" w:fill="auto"/>
            <w:vAlign w:val="bottom"/>
          </w:tcPr>
          <w:p w14:paraId="64299814" w14:textId="77777777" w:rsidR="007B6C97" w:rsidRDefault="007B6C97">
            <w:pPr>
              <w:rPr>
                <w:rFonts w:ascii="宋体"/>
              </w:rPr>
            </w:pPr>
          </w:p>
        </w:tc>
        <w:tc>
          <w:tcPr>
            <w:tcW w:w="0" w:type="auto"/>
            <w:shd w:val="clear" w:color="auto" w:fill="auto"/>
            <w:vAlign w:val="bottom"/>
          </w:tcPr>
          <w:p w14:paraId="64299815" w14:textId="77777777" w:rsidR="007B6C97" w:rsidRDefault="007B6C97">
            <w:pPr>
              <w:rPr>
                <w:rFonts w:ascii="宋体"/>
              </w:rPr>
            </w:pPr>
          </w:p>
        </w:tc>
        <w:tc>
          <w:tcPr>
            <w:tcW w:w="0" w:type="auto"/>
            <w:shd w:val="clear" w:color="auto" w:fill="auto"/>
            <w:vAlign w:val="bottom"/>
          </w:tcPr>
          <w:p w14:paraId="64299816" w14:textId="77777777" w:rsidR="007B6C97" w:rsidRDefault="007B6C97">
            <w:pPr>
              <w:rPr>
                <w:rFonts w:ascii="宋体"/>
              </w:rPr>
            </w:pPr>
          </w:p>
        </w:tc>
        <w:tc>
          <w:tcPr>
            <w:tcW w:w="0" w:type="auto"/>
            <w:shd w:val="clear" w:color="auto" w:fill="auto"/>
            <w:vAlign w:val="bottom"/>
          </w:tcPr>
          <w:p w14:paraId="64299817" w14:textId="77777777" w:rsidR="007B6C97" w:rsidRDefault="007B6C97">
            <w:pPr>
              <w:rPr>
                <w:rFonts w:ascii="宋体"/>
              </w:rPr>
            </w:pPr>
          </w:p>
        </w:tc>
        <w:tc>
          <w:tcPr>
            <w:tcW w:w="0" w:type="auto"/>
            <w:shd w:val="clear" w:color="auto" w:fill="auto"/>
            <w:vAlign w:val="bottom"/>
          </w:tcPr>
          <w:p w14:paraId="64299818" w14:textId="77777777" w:rsidR="007B6C97" w:rsidRDefault="007B6C97">
            <w:pPr>
              <w:rPr>
                <w:rFonts w:ascii="宋体"/>
              </w:rPr>
            </w:pPr>
          </w:p>
        </w:tc>
        <w:tc>
          <w:tcPr>
            <w:tcW w:w="0" w:type="auto"/>
            <w:shd w:val="clear" w:color="auto" w:fill="auto"/>
            <w:vAlign w:val="bottom"/>
          </w:tcPr>
          <w:p w14:paraId="64299819" w14:textId="77777777" w:rsidR="007B6C97" w:rsidRDefault="007B6C97">
            <w:pPr>
              <w:rPr>
                <w:rFonts w:ascii="宋体"/>
              </w:rPr>
            </w:pPr>
          </w:p>
        </w:tc>
        <w:tc>
          <w:tcPr>
            <w:tcW w:w="0" w:type="auto"/>
            <w:shd w:val="clear" w:color="auto" w:fill="auto"/>
            <w:vAlign w:val="bottom"/>
          </w:tcPr>
          <w:p w14:paraId="6429981A" w14:textId="77777777" w:rsidR="007B6C97" w:rsidRDefault="007B6C97">
            <w:pPr>
              <w:rPr>
                <w:rFonts w:ascii="宋体"/>
              </w:rPr>
            </w:pPr>
          </w:p>
        </w:tc>
        <w:tc>
          <w:tcPr>
            <w:tcW w:w="0" w:type="auto"/>
            <w:shd w:val="clear" w:color="auto" w:fill="auto"/>
            <w:vAlign w:val="bottom"/>
          </w:tcPr>
          <w:p w14:paraId="6429981B" w14:textId="77777777" w:rsidR="007B6C97" w:rsidRDefault="007B6C97">
            <w:pPr>
              <w:rPr>
                <w:rFonts w:ascii="宋体"/>
              </w:rPr>
            </w:pPr>
          </w:p>
        </w:tc>
        <w:tc>
          <w:tcPr>
            <w:tcW w:w="0" w:type="auto"/>
            <w:shd w:val="clear" w:color="auto" w:fill="auto"/>
            <w:vAlign w:val="bottom"/>
          </w:tcPr>
          <w:p w14:paraId="6429981C" w14:textId="77777777" w:rsidR="007B6C97" w:rsidRDefault="007B6C97">
            <w:pPr>
              <w:rPr>
                <w:rFonts w:ascii="宋体"/>
              </w:rPr>
            </w:pPr>
          </w:p>
        </w:tc>
        <w:tc>
          <w:tcPr>
            <w:tcW w:w="0" w:type="auto"/>
            <w:shd w:val="clear" w:color="auto" w:fill="auto"/>
            <w:vAlign w:val="bottom"/>
          </w:tcPr>
          <w:p w14:paraId="6429981D" w14:textId="77777777" w:rsidR="007B6C97" w:rsidRDefault="007B6C97">
            <w:pPr>
              <w:rPr>
                <w:rFonts w:ascii="宋体"/>
              </w:rPr>
            </w:pPr>
          </w:p>
        </w:tc>
        <w:tc>
          <w:tcPr>
            <w:tcW w:w="0" w:type="auto"/>
            <w:shd w:val="clear" w:color="auto" w:fill="auto"/>
            <w:vAlign w:val="bottom"/>
          </w:tcPr>
          <w:p w14:paraId="6429981E" w14:textId="77777777" w:rsidR="007B6C97" w:rsidRDefault="007B6C97">
            <w:pPr>
              <w:rPr>
                <w:rFonts w:ascii="宋体"/>
              </w:rPr>
            </w:pPr>
          </w:p>
        </w:tc>
        <w:tc>
          <w:tcPr>
            <w:tcW w:w="0" w:type="auto"/>
            <w:shd w:val="clear" w:color="auto" w:fill="auto"/>
            <w:vAlign w:val="bottom"/>
          </w:tcPr>
          <w:p w14:paraId="6429981F" w14:textId="77777777" w:rsidR="007B6C97" w:rsidRDefault="007B6C97">
            <w:pPr>
              <w:rPr>
                <w:rFonts w:ascii="宋体"/>
              </w:rPr>
            </w:pPr>
          </w:p>
        </w:tc>
        <w:tc>
          <w:tcPr>
            <w:tcW w:w="0" w:type="auto"/>
            <w:shd w:val="clear" w:color="auto" w:fill="auto"/>
            <w:vAlign w:val="bottom"/>
          </w:tcPr>
          <w:p w14:paraId="64299820" w14:textId="77777777" w:rsidR="007B6C97" w:rsidRDefault="007B6C97">
            <w:pPr>
              <w:rPr>
                <w:rFonts w:ascii="宋体"/>
              </w:rPr>
            </w:pPr>
          </w:p>
        </w:tc>
        <w:tc>
          <w:tcPr>
            <w:tcW w:w="0" w:type="auto"/>
            <w:shd w:val="clear" w:color="auto" w:fill="auto"/>
            <w:vAlign w:val="bottom"/>
          </w:tcPr>
          <w:p w14:paraId="64299821" w14:textId="77777777" w:rsidR="007B6C97" w:rsidRDefault="007B6C97">
            <w:pPr>
              <w:rPr>
                <w:rFonts w:ascii="宋体"/>
              </w:rPr>
            </w:pPr>
          </w:p>
        </w:tc>
        <w:tc>
          <w:tcPr>
            <w:tcW w:w="0" w:type="auto"/>
            <w:shd w:val="clear" w:color="auto" w:fill="auto"/>
            <w:vAlign w:val="bottom"/>
          </w:tcPr>
          <w:p w14:paraId="64299822" w14:textId="77777777" w:rsidR="007B6C97" w:rsidRDefault="007B6C97">
            <w:pPr>
              <w:rPr>
                <w:rFonts w:ascii="宋体"/>
              </w:rPr>
            </w:pPr>
          </w:p>
        </w:tc>
        <w:tc>
          <w:tcPr>
            <w:tcW w:w="0" w:type="auto"/>
            <w:shd w:val="clear" w:color="auto" w:fill="auto"/>
            <w:vAlign w:val="bottom"/>
          </w:tcPr>
          <w:p w14:paraId="64299823" w14:textId="77777777" w:rsidR="007B6C97" w:rsidRDefault="007B6C97">
            <w:pPr>
              <w:rPr>
                <w:rFonts w:ascii="宋体"/>
              </w:rPr>
            </w:pPr>
          </w:p>
        </w:tc>
        <w:tc>
          <w:tcPr>
            <w:tcW w:w="0" w:type="auto"/>
            <w:shd w:val="clear" w:color="auto" w:fill="auto"/>
            <w:vAlign w:val="bottom"/>
          </w:tcPr>
          <w:p w14:paraId="64299824" w14:textId="77777777" w:rsidR="007B6C97" w:rsidRDefault="007B6C97">
            <w:pPr>
              <w:rPr>
                <w:rFonts w:ascii="宋体"/>
              </w:rPr>
            </w:pPr>
          </w:p>
        </w:tc>
        <w:tc>
          <w:tcPr>
            <w:tcW w:w="0" w:type="auto"/>
            <w:shd w:val="clear" w:color="auto" w:fill="auto"/>
            <w:vAlign w:val="bottom"/>
          </w:tcPr>
          <w:p w14:paraId="64299825" w14:textId="77777777" w:rsidR="007B6C97" w:rsidRDefault="007B6C97">
            <w:pPr>
              <w:rPr>
                <w:rFonts w:ascii="宋体"/>
              </w:rPr>
            </w:pPr>
          </w:p>
        </w:tc>
        <w:tc>
          <w:tcPr>
            <w:tcW w:w="0" w:type="auto"/>
            <w:shd w:val="clear" w:color="auto" w:fill="auto"/>
            <w:vAlign w:val="bottom"/>
          </w:tcPr>
          <w:p w14:paraId="64299826" w14:textId="77777777" w:rsidR="007B6C97" w:rsidRDefault="007B6C97">
            <w:pPr>
              <w:rPr>
                <w:rFonts w:ascii="宋体"/>
              </w:rPr>
            </w:pPr>
          </w:p>
        </w:tc>
        <w:tc>
          <w:tcPr>
            <w:tcW w:w="0" w:type="auto"/>
            <w:shd w:val="clear" w:color="auto" w:fill="auto"/>
            <w:vAlign w:val="bottom"/>
          </w:tcPr>
          <w:p w14:paraId="64299827" w14:textId="77777777" w:rsidR="007B6C97" w:rsidRDefault="007B6C97">
            <w:pPr>
              <w:rPr>
                <w:rFonts w:ascii="宋体"/>
              </w:rPr>
            </w:pPr>
          </w:p>
        </w:tc>
      </w:tr>
      <w:tr w:rsidR="007B6C97" w14:paraId="6429984B" w14:textId="77777777">
        <w:trPr>
          <w:hidden/>
        </w:trPr>
        <w:tc>
          <w:tcPr>
            <w:tcW w:w="0" w:type="auto"/>
            <w:gridSpan w:val="3"/>
            <w:shd w:val="clear" w:color="auto" w:fill="auto"/>
            <w:vAlign w:val="bottom"/>
          </w:tcPr>
          <w:p w14:paraId="64299829" w14:textId="77777777" w:rsidR="007B6C97" w:rsidRDefault="007B6C97">
            <w:pPr>
              <w:rPr>
                <w:rFonts w:ascii="宋体"/>
                <w:vanish/>
              </w:rPr>
            </w:pPr>
          </w:p>
        </w:tc>
        <w:tc>
          <w:tcPr>
            <w:tcW w:w="0" w:type="auto"/>
            <w:shd w:val="clear" w:color="auto" w:fill="auto"/>
            <w:vAlign w:val="bottom"/>
          </w:tcPr>
          <w:p w14:paraId="6429982A" w14:textId="77777777" w:rsidR="007B6C97" w:rsidRDefault="007B6C97">
            <w:pPr>
              <w:rPr>
                <w:rFonts w:ascii="宋体"/>
              </w:rPr>
            </w:pPr>
          </w:p>
        </w:tc>
        <w:tc>
          <w:tcPr>
            <w:tcW w:w="0" w:type="auto"/>
            <w:shd w:val="clear" w:color="auto" w:fill="auto"/>
            <w:vAlign w:val="bottom"/>
          </w:tcPr>
          <w:p w14:paraId="6429982B" w14:textId="77777777" w:rsidR="007B6C97" w:rsidRDefault="007B6C97">
            <w:pPr>
              <w:rPr>
                <w:rFonts w:ascii="宋体"/>
              </w:rPr>
            </w:pPr>
          </w:p>
        </w:tc>
        <w:tc>
          <w:tcPr>
            <w:tcW w:w="0" w:type="auto"/>
            <w:shd w:val="clear" w:color="auto" w:fill="auto"/>
            <w:vAlign w:val="bottom"/>
          </w:tcPr>
          <w:p w14:paraId="6429982C" w14:textId="77777777" w:rsidR="007B6C97" w:rsidRDefault="007B6C97">
            <w:pPr>
              <w:rPr>
                <w:rFonts w:ascii="宋体"/>
              </w:rPr>
            </w:pPr>
          </w:p>
        </w:tc>
        <w:tc>
          <w:tcPr>
            <w:tcW w:w="0" w:type="auto"/>
            <w:shd w:val="clear" w:color="auto" w:fill="auto"/>
            <w:vAlign w:val="bottom"/>
          </w:tcPr>
          <w:p w14:paraId="6429982D" w14:textId="77777777" w:rsidR="007B6C97" w:rsidRDefault="007B6C97">
            <w:pPr>
              <w:rPr>
                <w:rFonts w:ascii="宋体"/>
              </w:rPr>
            </w:pPr>
          </w:p>
        </w:tc>
        <w:tc>
          <w:tcPr>
            <w:tcW w:w="0" w:type="auto"/>
            <w:shd w:val="clear" w:color="auto" w:fill="auto"/>
            <w:vAlign w:val="bottom"/>
          </w:tcPr>
          <w:p w14:paraId="6429982E" w14:textId="77777777" w:rsidR="007B6C97" w:rsidRDefault="007B6C97">
            <w:pPr>
              <w:rPr>
                <w:rFonts w:ascii="宋体"/>
              </w:rPr>
            </w:pPr>
          </w:p>
        </w:tc>
        <w:tc>
          <w:tcPr>
            <w:tcW w:w="0" w:type="auto"/>
            <w:shd w:val="clear" w:color="auto" w:fill="auto"/>
            <w:vAlign w:val="bottom"/>
          </w:tcPr>
          <w:p w14:paraId="6429982F" w14:textId="77777777" w:rsidR="007B6C97" w:rsidRDefault="007B6C97">
            <w:pPr>
              <w:rPr>
                <w:rFonts w:ascii="宋体"/>
              </w:rPr>
            </w:pPr>
          </w:p>
        </w:tc>
        <w:tc>
          <w:tcPr>
            <w:tcW w:w="0" w:type="auto"/>
            <w:shd w:val="clear" w:color="auto" w:fill="auto"/>
            <w:vAlign w:val="bottom"/>
          </w:tcPr>
          <w:p w14:paraId="64299830" w14:textId="77777777" w:rsidR="007B6C97" w:rsidRDefault="007B6C97">
            <w:pPr>
              <w:rPr>
                <w:rFonts w:ascii="宋体"/>
              </w:rPr>
            </w:pPr>
          </w:p>
        </w:tc>
        <w:tc>
          <w:tcPr>
            <w:tcW w:w="0" w:type="auto"/>
            <w:shd w:val="clear" w:color="auto" w:fill="auto"/>
            <w:vAlign w:val="bottom"/>
          </w:tcPr>
          <w:p w14:paraId="64299831" w14:textId="77777777" w:rsidR="007B6C97" w:rsidRDefault="007B6C97">
            <w:pPr>
              <w:rPr>
                <w:rFonts w:ascii="宋体"/>
              </w:rPr>
            </w:pPr>
          </w:p>
        </w:tc>
        <w:tc>
          <w:tcPr>
            <w:tcW w:w="0" w:type="auto"/>
            <w:shd w:val="clear" w:color="auto" w:fill="auto"/>
            <w:vAlign w:val="bottom"/>
          </w:tcPr>
          <w:p w14:paraId="64299832" w14:textId="77777777" w:rsidR="007B6C97" w:rsidRDefault="007B6C97">
            <w:pPr>
              <w:rPr>
                <w:rFonts w:ascii="宋体"/>
              </w:rPr>
            </w:pPr>
          </w:p>
        </w:tc>
        <w:tc>
          <w:tcPr>
            <w:tcW w:w="0" w:type="auto"/>
            <w:shd w:val="clear" w:color="auto" w:fill="auto"/>
            <w:vAlign w:val="bottom"/>
          </w:tcPr>
          <w:p w14:paraId="64299833" w14:textId="77777777" w:rsidR="007B6C97" w:rsidRDefault="007B6C97">
            <w:pPr>
              <w:rPr>
                <w:rFonts w:ascii="宋体"/>
              </w:rPr>
            </w:pPr>
          </w:p>
        </w:tc>
        <w:tc>
          <w:tcPr>
            <w:tcW w:w="0" w:type="auto"/>
            <w:shd w:val="clear" w:color="auto" w:fill="auto"/>
            <w:vAlign w:val="bottom"/>
          </w:tcPr>
          <w:p w14:paraId="64299834" w14:textId="77777777" w:rsidR="007B6C97" w:rsidRDefault="007B6C97">
            <w:pPr>
              <w:rPr>
                <w:rFonts w:ascii="宋体"/>
              </w:rPr>
            </w:pPr>
          </w:p>
        </w:tc>
        <w:tc>
          <w:tcPr>
            <w:tcW w:w="0" w:type="auto"/>
            <w:shd w:val="clear" w:color="auto" w:fill="auto"/>
            <w:vAlign w:val="bottom"/>
          </w:tcPr>
          <w:p w14:paraId="64299835" w14:textId="77777777" w:rsidR="007B6C97" w:rsidRDefault="007B6C97">
            <w:pPr>
              <w:rPr>
                <w:rFonts w:ascii="宋体"/>
              </w:rPr>
            </w:pPr>
          </w:p>
        </w:tc>
        <w:tc>
          <w:tcPr>
            <w:tcW w:w="0" w:type="auto"/>
            <w:shd w:val="clear" w:color="auto" w:fill="auto"/>
            <w:vAlign w:val="bottom"/>
          </w:tcPr>
          <w:p w14:paraId="64299836" w14:textId="77777777" w:rsidR="007B6C97" w:rsidRDefault="007B6C97">
            <w:pPr>
              <w:rPr>
                <w:rFonts w:ascii="宋体"/>
              </w:rPr>
            </w:pPr>
          </w:p>
        </w:tc>
        <w:tc>
          <w:tcPr>
            <w:tcW w:w="0" w:type="auto"/>
            <w:shd w:val="clear" w:color="auto" w:fill="auto"/>
            <w:vAlign w:val="bottom"/>
          </w:tcPr>
          <w:p w14:paraId="64299837" w14:textId="77777777" w:rsidR="007B6C97" w:rsidRDefault="007B6C97">
            <w:pPr>
              <w:rPr>
                <w:rFonts w:ascii="宋体"/>
              </w:rPr>
            </w:pPr>
          </w:p>
        </w:tc>
        <w:tc>
          <w:tcPr>
            <w:tcW w:w="0" w:type="auto"/>
            <w:shd w:val="clear" w:color="auto" w:fill="auto"/>
            <w:vAlign w:val="bottom"/>
          </w:tcPr>
          <w:p w14:paraId="64299838" w14:textId="77777777" w:rsidR="007B6C97" w:rsidRDefault="007B6C97">
            <w:pPr>
              <w:rPr>
                <w:rFonts w:ascii="宋体"/>
              </w:rPr>
            </w:pPr>
          </w:p>
        </w:tc>
        <w:tc>
          <w:tcPr>
            <w:tcW w:w="0" w:type="auto"/>
            <w:shd w:val="clear" w:color="auto" w:fill="auto"/>
            <w:vAlign w:val="bottom"/>
          </w:tcPr>
          <w:p w14:paraId="64299839" w14:textId="77777777" w:rsidR="007B6C97" w:rsidRDefault="007B6C97">
            <w:pPr>
              <w:rPr>
                <w:rFonts w:ascii="宋体"/>
              </w:rPr>
            </w:pPr>
          </w:p>
        </w:tc>
        <w:tc>
          <w:tcPr>
            <w:tcW w:w="0" w:type="auto"/>
            <w:shd w:val="clear" w:color="auto" w:fill="auto"/>
            <w:vAlign w:val="bottom"/>
          </w:tcPr>
          <w:p w14:paraId="6429983A" w14:textId="77777777" w:rsidR="007B6C97" w:rsidRDefault="007B6C97">
            <w:pPr>
              <w:rPr>
                <w:rFonts w:ascii="宋体"/>
              </w:rPr>
            </w:pPr>
          </w:p>
        </w:tc>
        <w:tc>
          <w:tcPr>
            <w:tcW w:w="0" w:type="auto"/>
            <w:shd w:val="clear" w:color="auto" w:fill="auto"/>
            <w:vAlign w:val="bottom"/>
          </w:tcPr>
          <w:p w14:paraId="6429983B" w14:textId="77777777" w:rsidR="007B6C97" w:rsidRDefault="007B6C97">
            <w:pPr>
              <w:rPr>
                <w:rFonts w:ascii="宋体"/>
              </w:rPr>
            </w:pPr>
          </w:p>
        </w:tc>
        <w:tc>
          <w:tcPr>
            <w:tcW w:w="0" w:type="auto"/>
            <w:shd w:val="clear" w:color="auto" w:fill="auto"/>
            <w:vAlign w:val="bottom"/>
          </w:tcPr>
          <w:p w14:paraId="6429983C" w14:textId="77777777" w:rsidR="007B6C97" w:rsidRDefault="007B6C97">
            <w:pPr>
              <w:rPr>
                <w:rFonts w:ascii="宋体"/>
              </w:rPr>
            </w:pPr>
          </w:p>
        </w:tc>
        <w:tc>
          <w:tcPr>
            <w:tcW w:w="0" w:type="auto"/>
            <w:shd w:val="clear" w:color="auto" w:fill="auto"/>
            <w:vAlign w:val="bottom"/>
          </w:tcPr>
          <w:p w14:paraId="6429983D" w14:textId="77777777" w:rsidR="007B6C97" w:rsidRDefault="007B6C97">
            <w:pPr>
              <w:rPr>
                <w:rFonts w:ascii="宋体"/>
              </w:rPr>
            </w:pPr>
          </w:p>
        </w:tc>
        <w:tc>
          <w:tcPr>
            <w:tcW w:w="0" w:type="auto"/>
            <w:shd w:val="clear" w:color="auto" w:fill="auto"/>
            <w:vAlign w:val="bottom"/>
          </w:tcPr>
          <w:p w14:paraId="6429983E" w14:textId="77777777" w:rsidR="007B6C97" w:rsidRDefault="007B6C97">
            <w:pPr>
              <w:rPr>
                <w:rFonts w:ascii="宋体"/>
              </w:rPr>
            </w:pPr>
          </w:p>
        </w:tc>
        <w:tc>
          <w:tcPr>
            <w:tcW w:w="0" w:type="auto"/>
            <w:shd w:val="clear" w:color="auto" w:fill="auto"/>
            <w:vAlign w:val="bottom"/>
          </w:tcPr>
          <w:p w14:paraId="6429983F" w14:textId="77777777" w:rsidR="007B6C97" w:rsidRDefault="007B6C97">
            <w:pPr>
              <w:rPr>
                <w:rFonts w:ascii="宋体"/>
              </w:rPr>
            </w:pPr>
          </w:p>
        </w:tc>
        <w:tc>
          <w:tcPr>
            <w:tcW w:w="0" w:type="auto"/>
            <w:shd w:val="clear" w:color="auto" w:fill="auto"/>
            <w:vAlign w:val="bottom"/>
          </w:tcPr>
          <w:p w14:paraId="64299840" w14:textId="77777777" w:rsidR="007B6C97" w:rsidRDefault="007B6C97">
            <w:pPr>
              <w:rPr>
                <w:rFonts w:ascii="宋体"/>
              </w:rPr>
            </w:pPr>
          </w:p>
        </w:tc>
        <w:tc>
          <w:tcPr>
            <w:tcW w:w="0" w:type="auto"/>
            <w:shd w:val="clear" w:color="auto" w:fill="auto"/>
            <w:vAlign w:val="bottom"/>
          </w:tcPr>
          <w:p w14:paraId="64299841" w14:textId="77777777" w:rsidR="007B6C97" w:rsidRDefault="007B6C97">
            <w:pPr>
              <w:rPr>
                <w:rFonts w:ascii="宋体"/>
              </w:rPr>
            </w:pPr>
          </w:p>
        </w:tc>
        <w:tc>
          <w:tcPr>
            <w:tcW w:w="0" w:type="auto"/>
            <w:shd w:val="clear" w:color="auto" w:fill="auto"/>
            <w:vAlign w:val="bottom"/>
          </w:tcPr>
          <w:p w14:paraId="64299842" w14:textId="77777777" w:rsidR="007B6C97" w:rsidRDefault="007B6C97">
            <w:pPr>
              <w:rPr>
                <w:rFonts w:ascii="宋体"/>
              </w:rPr>
            </w:pPr>
          </w:p>
        </w:tc>
        <w:tc>
          <w:tcPr>
            <w:tcW w:w="0" w:type="auto"/>
            <w:shd w:val="clear" w:color="auto" w:fill="auto"/>
            <w:vAlign w:val="bottom"/>
          </w:tcPr>
          <w:p w14:paraId="64299843" w14:textId="77777777" w:rsidR="007B6C97" w:rsidRDefault="007B6C97">
            <w:pPr>
              <w:rPr>
                <w:rFonts w:ascii="宋体"/>
              </w:rPr>
            </w:pPr>
          </w:p>
        </w:tc>
        <w:tc>
          <w:tcPr>
            <w:tcW w:w="0" w:type="auto"/>
            <w:shd w:val="clear" w:color="auto" w:fill="auto"/>
            <w:vAlign w:val="bottom"/>
          </w:tcPr>
          <w:p w14:paraId="64299844" w14:textId="77777777" w:rsidR="007B6C97" w:rsidRDefault="007B6C97">
            <w:pPr>
              <w:rPr>
                <w:rFonts w:ascii="宋体"/>
              </w:rPr>
            </w:pPr>
          </w:p>
        </w:tc>
        <w:tc>
          <w:tcPr>
            <w:tcW w:w="0" w:type="auto"/>
            <w:shd w:val="clear" w:color="auto" w:fill="auto"/>
            <w:vAlign w:val="bottom"/>
          </w:tcPr>
          <w:p w14:paraId="64299845" w14:textId="77777777" w:rsidR="007B6C97" w:rsidRDefault="007B6C97">
            <w:pPr>
              <w:rPr>
                <w:rFonts w:ascii="宋体"/>
              </w:rPr>
            </w:pPr>
          </w:p>
        </w:tc>
        <w:tc>
          <w:tcPr>
            <w:tcW w:w="0" w:type="auto"/>
            <w:shd w:val="clear" w:color="auto" w:fill="auto"/>
            <w:vAlign w:val="bottom"/>
          </w:tcPr>
          <w:p w14:paraId="64299846" w14:textId="77777777" w:rsidR="007B6C97" w:rsidRDefault="007B6C97">
            <w:pPr>
              <w:rPr>
                <w:rFonts w:ascii="宋体"/>
              </w:rPr>
            </w:pPr>
          </w:p>
        </w:tc>
        <w:tc>
          <w:tcPr>
            <w:tcW w:w="0" w:type="auto"/>
            <w:shd w:val="clear" w:color="auto" w:fill="auto"/>
            <w:vAlign w:val="bottom"/>
          </w:tcPr>
          <w:p w14:paraId="64299847" w14:textId="77777777" w:rsidR="007B6C97" w:rsidRDefault="007B6C97">
            <w:pPr>
              <w:rPr>
                <w:rFonts w:ascii="宋体"/>
              </w:rPr>
            </w:pPr>
          </w:p>
        </w:tc>
        <w:tc>
          <w:tcPr>
            <w:tcW w:w="0" w:type="auto"/>
            <w:shd w:val="clear" w:color="auto" w:fill="auto"/>
            <w:vAlign w:val="bottom"/>
          </w:tcPr>
          <w:p w14:paraId="64299848" w14:textId="77777777" w:rsidR="007B6C97" w:rsidRDefault="007B6C97">
            <w:pPr>
              <w:rPr>
                <w:rFonts w:ascii="宋体"/>
              </w:rPr>
            </w:pPr>
          </w:p>
        </w:tc>
        <w:tc>
          <w:tcPr>
            <w:tcW w:w="0" w:type="auto"/>
            <w:shd w:val="clear" w:color="auto" w:fill="auto"/>
            <w:vAlign w:val="bottom"/>
          </w:tcPr>
          <w:p w14:paraId="64299849" w14:textId="77777777" w:rsidR="007B6C97" w:rsidRDefault="007B6C97">
            <w:pPr>
              <w:rPr>
                <w:rFonts w:ascii="宋体"/>
              </w:rPr>
            </w:pPr>
          </w:p>
        </w:tc>
        <w:tc>
          <w:tcPr>
            <w:tcW w:w="0" w:type="auto"/>
            <w:shd w:val="clear" w:color="auto" w:fill="auto"/>
            <w:vAlign w:val="bottom"/>
          </w:tcPr>
          <w:p w14:paraId="6429984A" w14:textId="77777777" w:rsidR="007B6C97" w:rsidRDefault="007B6C97">
            <w:pPr>
              <w:rPr>
                <w:rFonts w:ascii="宋体"/>
              </w:rPr>
            </w:pPr>
          </w:p>
        </w:tc>
      </w:tr>
    </w:tbl>
    <w:p w14:paraId="6429984C" w14:textId="77777777" w:rsidR="007B6C97" w:rsidRDefault="00E426D1">
      <w:pPr>
        <w:pBdr>
          <w:left w:val="none" w:sz="0" w:space="0" w:color="auto"/>
        </w:pBdr>
        <w:spacing w:before="6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North America and International licensed stores as of June 27, 2021, have been recast as a result of our fiscal 2021 operating segment reporting structure realignment.</w:t>
      </w:r>
    </w:p>
    <w:p w14:paraId="6429984D" w14:textId="77777777" w:rsidR="007B6C97" w:rsidRDefault="00E426D1">
      <w:pPr>
        <w:spacing w:before="180"/>
      </w:pPr>
      <w:r>
        <w:rPr>
          <w:rFonts w:ascii="Times New Roman" w:eastAsia="宋体" w:hAnsi="Times New Roman"/>
          <w:b/>
          <w:bCs/>
          <w:color w:val="000000"/>
          <w:sz w:val="20"/>
          <w:szCs w:val="20"/>
        </w:rPr>
        <w:t>Financial Condition, Liquidity and Capital Resources</w:t>
      </w:r>
    </w:p>
    <w:p w14:paraId="6429984E" w14:textId="77777777" w:rsidR="007B6C97" w:rsidRDefault="00E426D1">
      <w:pPr>
        <w:spacing w:before="120"/>
      </w:pPr>
      <w:r>
        <w:rPr>
          <w:rFonts w:ascii="Times New Roman" w:eastAsia="宋体" w:hAnsi="Times New Roman"/>
          <w:color w:val="000000"/>
          <w:sz w:val="20"/>
          <w:szCs w:val="20"/>
          <w:u w:val="single"/>
        </w:rPr>
        <w:t>Investment Overview</w:t>
      </w:r>
    </w:p>
    <w:p w14:paraId="6429984F" w14:textId="77777777" w:rsidR="007B6C97" w:rsidRDefault="00E426D1">
      <w:pPr>
        <w:spacing w:before="120"/>
      </w:pPr>
      <w:r>
        <w:rPr>
          <w:rFonts w:ascii="Times New Roman" w:eastAsia="宋体" w:hAnsi="Times New Roman"/>
          <w:color w:val="000000"/>
          <w:sz w:val="20"/>
          <w:szCs w:val="20"/>
        </w:rPr>
        <w:t>Ou</w:t>
      </w:r>
      <w:r>
        <w:rPr>
          <w:rFonts w:ascii="Times New Roman" w:eastAsia="宋体" w:hAnsi="Times New Roman"/>
          <w:color w:val="000000"/>
          <w:sz w:val="20"/>
          <w:szCs w:val="20"/>
        </w:rPr>
        <w:t>r cash and investments totaled $3.5 billion as of July 3, 2022 and $6.9 billion as of October 3, 2021. We actively manage our cash and investments in order to internally fund operating needs, make scheduled interest and principal payments on our borrowings</w:t>
      </w:r>
      <w:r>
        <w:rPr>
          <w:rFonts w:ascii="Times New Roman" w:eastAsia="宋体" w:hAnsi="Times New Roman"/>
          <w:color w:val="000000"/>
          <w:sz w:val="20"/>
          <w:szCs w:val="20"/>
        </w:rPr>
        <w:t>, make acquisitions and return cash to shareholders through common stock cash dividend payments and share repurchases. Our investment portfolio primarily includes highly liquid available-for-sale securities, including corporate debt securities and governme</w:t>
      </w:r>
      <w:r>
        <w:rPr>
          <w:rFonts w:ascii="Times New Roman" w:eastAsia="宋体" w:hAnsi="Times New Roman"/>
          <w:color w:val="000000"/>
          <w:sz w:val="20"/>
          <w:szCs w:val="20"/>
        </w:rPr>
        <w:t xml:space="preserve">nt treasury securities (foreign and domestic). As of July 3, 2022, approximately $2.8 billion of cash was held in foreign subsidiaries. </w:t>
      </w:r>
    </w:p>
    <w:p w14:paraId="64299850" w14:textId="77777777" w:rsidR="007B6C97" w:rsidRDefault="00E426D1">
      <w:pPr>
        <w:spacing w:before="120"/>
      </w:pPr>
      <w:r>
        <w:rPr>
          <w:rFonts w:ascii="Times New Roman" w:eastAsia="宋体" w:hAnsi="Times New Roman"/>
          <w:color w:val="000000"/>
          <w:sz w:val="20"/>
          <w:szCs w:val="20"/>
          <w:u w:val="single"/>
        </w:rPr>
        <w:t>Borrowing Capacity</w:t>
      </w:r>
    </w:p>
    <w:p w14:paraId="64299851" w14:textId="77777777" w:rsidR="007B6C97" w:rsidRDefault="00E426D1">
      <w:pPr>
        <w:spacing w:before="120"/>
      </w:pPr>
      <w:r>
        <w:rPr>
          <w:rFonts w:ascii="Times New Roman" w:eastAsia="宋体" w:hAnsi="Times New Roman"/>
          <w:b/>
          <w:bCs/>
          <w:i/>
          <w:iCs/>
          <w:color w:val="000000"/>
          <w:sz w:val="20"/>
          <w:szCs w:val="20"/>
        </w:rPr>
        <w:t>Revolving Credit Facility</w:t>
      </w:r>
    </w:p>
    <w:p w14:paraId="64299852" w14:textId="77777777" w:rsidR="007B6C97" w:rsidRDefault="00E426D1">
      <w:pPr>
        <w:spacing w:before="120"/>
      </w:pPr>
      <w:r>
        <w:rPr>
          <w:rFonts w:ascii="Times New Roman" w:eastAsia="宋体" w:hAnsi="Times New Roman"/>
          <w:color w:val="000000"/>
          <w:sz w:val="20"/>
          <w:szCs w:val="20"/>
        </w:rPr>
        <w:t xml:space="preserve">Our $3 billion unsecured five-year revolving credit facility (the </w:t>
      </w:r>
      <w:r>
        <w:rPr>
          <w:rFonts w:ascii="Times New Roman" w:eastAsia="宋体" w:hAnsi="Times New Roman"/>
          <w:color w:val="000000"/>
          <w:sz w:val="20"/>
          <w:szCs w:val="20"/>
        </w:rPr>
        <w:t>“2021 credit facility”), of which $150 million may be used for issuances of letters of credit, is currently set to mature on September 16, 2026. The 2021 credit facility is available for working capital, capital expenditures and other corporate purposes, i</w:t>
      </w:r>
      <w:r>
        <w:rPr>
          <w:rFonts w:ascii="Times New Roman" w:eastAsia="宋体" w:hAnsi="Times New Roman"/>
          <w:color w:val="000000"/>
          <w:sz w:val="20"/>
          <w:szCs w:val="20"/>
        </w:rPr>
        <w:t>ncluding acquisitions and share repurchases. We have the option, subject to negotiation and agreement with the related banks, to increase the maximum commitment amount by an additional $1.0 billion.</w:t>
      </w:r>
    </w:p>
    <w:p w14:paraId="64299853" w14:textId="77777777" w:rsidR="007B6C97" w:rsidRDefault="00E426D1">
      <w:pPr>
        <w:spacing w:before="120"/>
      </w:pPr>
      <w:r>
        <w:rPr>
          <w:rFonts w:ascii="Times New Roman" w:eastAsia="宋体" w:hAnsi="Times New Roman"/>
          <w:color w:val="000000"/>
          <w:sz w:val="20"/>
          <w:szCs w:val="20"/>
        </w:rPr>
        <w:t>Borrowings under the 2021 credit facility will bear inter</w:t>
      </w:r>
      <w:r>
        <w:rPr>
          <w:rFonts w:ascii="Times New Roman" w:eastAsia="宋体" w:hAnsi="Times New Roman"/>
          <w:color w:val="000000"/>
          <w:sz w:val="20"/>
          <w:szCs w:val="20"/>
        </w:rPr>
        <w:t>est at a variable rate based on LIBOR, and, for U.S. dollar-denominated loans under certain circumstances, a Base Rate (as defined in the 2021 credit facility), in each case plus an applicable margin. The applicable margin is based on the Company’s long-te</w:t>
      </w:r>
      <w:r>
        <w:rPr>
          <w:rFonts w:ascii="Times New Roman" w:eastAsia="宋体" w:hAnsi="Times New Roman"/>
          <w:color w:val="000000"/>
          <w:sz w:val="20"/>
          <w:szCs w:val="20"/>
        </w:rPr>
        <w:t xml:space="preserve">rm credit ratings assigned by the Moody’s and Standard &amp; Poor’s rating agencies. The 2021 credit facility contains alternative interest rate provisions specifying rate calculations to be used at such time LIBOR ceases to be available as a benchmark due to </w:t>
      </w:r>
      <w:r>
        <w:rPr>
          <w:rFonts w:ascii="Times New Roman" w:eastAsia="宋体" w:hAnsi="Times New Roman"/>
          <w:color w:val="000000"/>
          <w:sz w:val="20"/>
          <w:szCs w:val="20"/>
        </w:rPr>
        <w:t>reference rate reform. The “Base Rate” is the highest of (i) the Federal Funds Rate (as defined in the 2021 credit facility) plus 0.050%, (ii) Bank of America’s prime rate and (iii) the Eurocurrency Rate (as defined in the 2021 credit facility) plus 1.000%</w:t>
      </w:r>
      <w:r>
        <w:rPr>
          <w:rFonts w:ascii="Times New Roman" w:eastAsia="宋体" w:hAnsi="Times New Roman"/>
          <w:color w:val="000000"/>
          <w:sz w:val="20"/>
          <w:szCs w:val="20"/>
        </w:rPr>
        <w:t>.</w:t>
      </w:r>
    </w:p>
    <w:p w14:paraId="64299854" w14:textId="77777777" w:rsidR="007B6C97" w:rsidRDefault="00E426D1">
      <w:pPr>
        <w:spacing w:before="120"/>
      </w:pPr>
      <w:r>
        <w:rPr>
          <w:rFonts w:ascii="Times New Roman" w:eastAsia="宋体" w:hAnsi="Times New Roman"/>
          <w:color w:val="000000"/>
          <w:sz w:val="20"/>
          <w:szCs w:val="20"/>
        </w:rPr>
        <w:t>The 2021 credit facility contains provisions requiring us to maintain compliance with certain covenants, including a minimum fixed charge coverage ratio, which measures our ability to cover financing expenses. As of July 3, 2022, we were in compliance wi</w:t>
      </w:r>
      <w:r>
        <w:rPr>
          <w:rFonts w:ascii="Times New Roman" w:eastAsia="宋体" w:hAnsi="Times New Roman"/>
          <w:color w:val="000000"/>
          <w:sz w:val="20"/>
          <w:szCs w:val="20"/>
        </w:rPr>
        <w:t>th all applicable covenants. No amounts were outstanding under our 2021 credit facility as of July 3, 2022 or October 3, 2021.</w:t>
      </w:r>
    </w:p>
    <w:p w14:paraId="64299855" w14:textId="77777777" w:rsidR="007B6C97" w:rsidRDefault="00E426D1">
      <w:pPr>
        <w:spacing w:before="120"/>
      </w:pPr>
      <w:r>
        <w:rPr>
          <w:rFonts w:ascii="Times New Roman" w:eastAsia="宋体" w:hAnsi="Times New Roman"/>
          <w:i/>
          <w:iCs/>
          <w:color w:val="000000"/>
          <w:sz w:val="20"/>
          <w:szCs w:val="20"/>
        </w:rPr>
        <w:t>Commercial Paper</w:t>
      </w:r>
    </w:p>
    <w:p w14:paraId="64299856" w14:textId="77777777" w:rsidR="007B6C97" w:rsidRDefault="00E426D1">
      <w:pPr>
        <w:spacing w:before="120"/>
      </w:pPr>
      <w:r>
        <w:rPr>
          <w:rFonts w:ascii="Times New Roman" w:eastAsia="宋体" w:hAnsi="Times New Roman"/>
          <w:color w:val="000000"/>
          <w:sz w:val="20"/>
          <w:szCs w:val="20"/>
        </w:rPr>
        <w:t>Under our commercial paper program, we may issue unsecured commercial paper notes up to a maximum aggregate amou</w:t>
      </w:r>
      <w:r>
        <w:rPr>
          <w:rFonts w:ascii="Times New Roman" w:eastAsia="宋体" w:hAnsi="Times New Roman"/>
          <w:color w:val="000000"/>
          <w:sz w:val="20"/>
          <w:szCs w:val="20"/>
        </w:rPr>
        <w:t>nt outstanding at any time of $3.0 billion, with individual maturities that may vary but not exceed 397 days from the date of issue. Amounts outstanding under the commercial paper program are required to be backstopped by available commitments under the 20</w:t>
      </w:r>
      <w:r>
        <w:rPr>
          <w:rFonts w:ascii="Times New Roman" w:eastAsia="宋体" w:hAnsi="Times New Roman"/>
          <w:color w:val="000000"/>
          <w:sz w:val="20"/>
          <w:szCs w:val="20"/>
        </w:rPr>
        <w:t>21 credit facility discussed above. The proceeds from borrowings under our commercial paper program may be used for working capital needs, capital expenditures and other corporate purposes, including, but not limited to, business expansion, payment of cash</w:t>
      </w:r>
      <w:r>
        <w:rPr>
          <w:rFonts w:ascii="Times New Roman" w:eastAsia="宋体" w:hAnsi="Times New Roman"/>
          <w:color w:val="000000"/>
          <w:sz w:val="20"/>
          <w:szCs w:val="20"/>
        </w:rPr>
        <w:t xml:space="preserve"> dividends on our common stock and share repurchases. As of July 3, 2022, we had $200 million of borrowings </w:t>
      </w:r>
    </w:p>
    <w:p w14:paraId="64299857" w14:textId="77777777" w:rsidR="007B6C97" w:rsidRDefault="00E426D1">
      <w:pPr>
        <w:jc w:val="center"/>
      </w:pPr>
      <w:r>
        <w:rPr>
          <w:rFonts w:ascii="Times New Roman" w:eastAsia="宋体" w:hAnsi="Times New Roman"/>
          <w:color w:val="000000"/>
          <w:sz w:val="20"/>
          <w:szCs w:val="20"/>
        </w:rPr>
        <w:t>40</w:t>
      </w:r>
    </w:p>
    <w:p w14:paraId="64299858" w14:textId="77777777" w:rsidR="007B6C97" w:rsidRDefault="00E426D1">
      <w:r>
        <w:pict w14:anchorId="64299A02">
          <v:rect id="_x0000_i1064" style="width:415.3pt;height:1.5pt" o:hralign="center" o:hrstd="t" o:hr="t" fillcolor="#a0a0a0" stroked="f"/>
        </w:pict>
      </w:r>
    </w:p>
    <w:p w14:paraId="64299859" w14:textId="77777777" w:rsidR="007B6C97" w:rsidRDefault="00E426D1">
      <w:hyperlink r:id="rId161" w:anchor="ie38a2b375c9840e583a36769999bbee6_7" w:history="1">
        <w:r>
          <w:rPr>
            <w:rStyle w:val="a5"/>
            <w:rFonts w:ascii="Times New Roman" w:eastAsia="宋体" w:hAnsi="Times New Roman"/>
            <w:sz w:val="20"/>
            <w:szCs w:val="20"/>
          </w:rPr>
          <w:t>Table</w:t>
        </w:r>
      </w:hyperlink>
      <w:hyperlink r:id="rId162" w:anchor="ie38a2b375c9840e583a36769999bbee6_7" w:history="1">
        <w:r>
          <w:rPr>
            <w:rStyle w:val="a5"/>
            <w:rFonts w:ascii="Times New Roman" w:eastAsia="宋体" w:hAnsi="Times New Roman"/>
            <w:sz w:val="20"/>
            <w:szCs w:val="20"/>
          </w:rPr>
          <w:t xml:space="preserve"> of Contents</w:t>
        </w:r>
      </w:hyperlink>
    </w:p>
    <w:p w14:paraId="6429985A" w14:textId="77777777" w:rsidR="007B6C97" w:rsidRDefault="00E426D1">
      <w:pPr>
        <w:spacing w:before="120"/>
      </w:pPr>
      <w:r>
        <w:rPr>
          <w:rFonts w:ascii="Times New Roman" w:eastAsia="宋体" w:hAnsi="Times New Roman"/>
          <w:color w:val="000000"/>
          <w:sz w:val="20"/>
          <w:szCs w:val="20"/>
        </w:rPr>
        <w:t xml:space="preserve">outstanding under our commercial paper program. As of October 3, 2021, we </w:t>
      </w:r>
      <w:r>
        <w:rPr>
          <w:rFonts w:ascii="Times New Roman" w:eastAsia="宋体" w:hAnsi="Times New Roman"/>
          <w:color w:val="000000"/>
          <w:sz w:val="20"/>
          <w:szCs w:val="20"/>
        </w:rPr>
        <w:t>had no borrowings outstanding under this program. Our total contractual borrowing capacity for general corporate purposes was $2.8 billion as of the end of our third quarter of fiscal 2022.</w:t>
      </w:r>
    </w:p>
    <w:p w14:paraId="6429985B" w14:textId="77777777" w:rsidR="007B6C97" w:rsidRDefault="00E426D1">
      <w:pPr>
        <w:spacing w:before="120"/>
      </w:pPr>
      <w:r>
        <w:rPr>
          <w:rFonts w:ascii="Times New Roman" w:eastAsia="宋体" w:hAnsi="Times New Roman"/>
          <w:i/>
          <w:iCs/>
          <w:color w:val="000000"/>
          <w:sz w:val="20"/>
          <w:szCs w:val="20"/>
        </w:rPr>
        <w:t>Credit facilities in Japan</w:t>
      </w:r>
    </w:p>
    <w:p w14:paraId="6429985C" w14:textId="77777777" w:rsidR="007B6C97" w:rsidRDefault="00E426D1">
      <w:pPr>
        <w:spacing w:before="120"/>
      </w:pPr>
      <w:r>
        <w:rPr>
          <w:rFonts w:ascii="Times New Roman" w:eastAsia="宋体" w:hAnsi="Times New Roman"/>
          <w:color w:val="000000"/>
          <w:sz w:val="20"/>
          <w:szCs w:val="20"/>
        </w:rPr>
        <w:t xml:space="preserve">Additionally, we hold Japanese </w:t>
      </w:r>
      <w:r>
        <w:rPr>
          <w:rFonts w:ascii="Times New Roman" w:eastAsia="宋体" w:hAnsi="Times New Roman"/>
          <w:color w:val="000000"/>
          <w:sz w:val="20"/>
          <w:szCs w:val="20"/>
        </w:rPr>
        <w:t>yen-denominated credit facilities for the use of our Japan subsidiary. These are available for working capital needs and capital expenditures within our Japanese market.</w:t>
      </w:r>
    </w:p>
    <w:p w14:paraId="6429985D" w14:textId="77777777" w:rsidR="007B6C97" w:rsidRDefault="00E426D1">
      <w:pPr>
        <w:pBdr>
          <w:left w:val="none" w:sz="0" w:space="0" w:color="auto"/>
        </w:pBdr>
        <w:spacing w:before="120"/>
        <w:ind w:hanging="360"/>
      </w:pPr>
      <w:r>
        <w:rPr>
          <w:rFonts w:ascii="Times New Roman" w:eastAsia="宋体" w:hAnsi="Times New Roman"/>
          <w:color w:val="000000"/>
          <w:sz w:val="20"/>
          <w:szCs w:val="20"/>
        </w:rPr>
        <w:t>•A ¥5 billion, or $36.8 million, credit facility is currently set to mature on Decembe</w:t>
      </w:r>
      <w:r>
        <w:rPr>
          <w:rFonts w:ascii="Times New Roman" w:eastAsia="宋体" w:hAnsi="Times New Roman"/>
          <w:color w:val="000000"/>
          <w:sz w:val="20"/>
          <w:szCs w:val="20"/>
        </w:rPr>
        <w:t xml:space="preserve">r 31, 2022. Borrowings under such credit facility are subject to terms defined within the facility and will bear interest at a variable rate based on TIBOR plus an applicable margin of 0.400%. </w:t>
      </w:r>
    </w:p>
    <w:p w14:paraId="6429985E" w14:textId="77777777" w:rsidR="007B6C97" w:rsidRDefault="00E426D1">
      <w:pPr>
        <w:pBdr>
          <w:left w:val="none" w:sz="0" w:space="0" w:color="auto"/>
        </w:pBdr>
        <w:spacing w:before="120"/>
        <w:ind w:hanging="360"/>
      </w:pPr>
      <w:r>
        <w:rPr>
          <w:rFonts w:ascii="Times New Roman" w:eastAsia="宋体" w:hAnsi="Times New Roman"/>
          <w:color w:val="000000"/>
          <w:sz w:val="20"/>
          <w:szCs w:val="20"/>
        </w:rPr>
        <w:t>•A ¥10 billion, or $73.7 million, credit facility is currently</w:t>
      </w:r>
      <w:r>
        <w:rPr>
          <w:rFonts w:ascii="Times New Roman" w:eastAsia="宋体" w:hAnsi="Times New Roman"/>
          <w:color w:val="000000"/>
          <w:sz w:val="20"/>
          <w:szCs w:val="20"/>
        </w:rPr>
        <w:t xml:space="preserve"> set to mature on March 27, 2023. Borrowings under such credit facility are subject to terms defined within the facility and will bear interest at a variable rate based on TIBOR plus an applicable margin of 0.350%.</w:t>
      </w:r>
    </w:p>
    <w:p w14:paraId="6429985F" w14:textId="77777777" w:rsidR="007B6C97" w:rsidRDefault="00E426D1">
      <w:pPr>
        <w:spacing w:before="120"/>
      </w:pPr>
      <w:r>
        <w:rPr>
          <w:rFonts w:ascii="Times New Roman" w:eastAsia="宋体" w:hAnsi="Times New Roman"/>
          <w:color w:val="000000"/>
          <w:sz w:val="20"/>
          <w:szCs w:val="20"/>
        </w:rPr>
        <w:t>As of July 3, 2022 and October 3, 2021, w</w:t>
      </w:r>
      <w:r>
        <w:rPr>
          <w:rFonts w:ascii="Times New Roman" w:eastAsia="宋体" w:hAnsi="Times New Roman"/>
          <w:color w:val="000000"/>
          <w:sz w:val="20"/>
          <w:szCs w:val="20"/>
        </w:rPr>
        <w:t>e had no borrowings outstanding under these Japanese yen-denominated credit facilities.</w:t>
      </w:r>
    </w:p>
    <w:p w14:paraId="64299860" w14:textId="77777777" w:rsidR="007B6C97" w:rsidRDefault="00E426D1">
      <w:pPr>
        <w:spacing w:before="120"/>
      </w:pPr>
      <w:r>
        <w:rPr>
          <w:rFonts w:ascii="Times New Roman" w:eastAsia="宋体" w:hAnsi="Times New Roman"/>
          <w:color w:val="000000"/>
          <w:sz w:val="20"/>
          <w:szCs w:val="20"/>
        </w:rPr>
        <w:t xml:space="preserve">See </w:t>
      </w:r>
      <w:hyperlink r:id="rId163" w:anchor="ie38a2b375c9840e583a36769999bbee6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to the consolidated financial statements included in Item 1 of Part I of this 10-Q for d</w:t>
      </w:r>
      <w:r>
        <w:rPr>
          <w:rFonts w:ascii="Times New Roman" w:eastAsia="宋体" w:hAnsi="Times New Roman"/>
          <w:color w:val="000000"/>
          <w:sz w:val="20"/>
          <w:szCs w:val="20"/>
        </w:rPr>
        <w:t>etails of the components of our long-term debt.</w:t>
      </w:r>
    </w:p>
    <w:p w14:paraId="64299861" w14:textId="77777777" w:rsidR="007B6C97" w:rsidRDefault="00E426D1">
      <w:pPr>
        <w:spacing w:before="120"/>
      </w:pPr>
      <w:r>
        <w:rPr>
          <w:rFonts w:ascii="Times New Roman" w:eastAsia="宋体" w:hAnsi="Times New Roman"/>
          <w:color w:val="000000"/>
          <w:sz w:val="20"/>
          <w:szCs w:val="20"/>
        </w:rPr>
        <w:t xml:space="preserve">Our ability to incur new liens and conduct sale and leaseback transactions on certain material properties is subject to compliance with terms of the indentures under which the long-term notes were issued. As </w:t>
      </w:r>
      <w:r>
        <w:rPr>
          <w:rFonts w:ascii="Times New Roman" w:eastAsia="宋体" w:hAnsi="Times New Roman"/>
          <w:color w:val="000000"/>
          <w:sz w:val="20"/>
          <w:szCs w:val="20"/>
        </w:rPr>
        <w:t>of July 3, 2022, we were in compliance with all applicable covenants.</w:t>
      </w:r>
    </w:p>
    <w:p w14:paraId="64299862" w14:textId="77777777" w:rsidR="007B6C97" w:rsidRDefault="00E426D1">
      <w:pPr>
        <w:spacing w:before="120"/>
      </w:pPr>
      <w:r>
        <w:rPr>
          <w:rFonts w:ascii="Times New Roman" w:eastAsia="宋体" w:hAnsi="Times New Roman"/>
          <w:color w:val="000000"/>
          <w:sz w:val="20"/>
          <w:szCs w:val="20"/>
          <w:u w:val="single"/>
        </w:rPr>
        <w:t>Use of Cash</w:t>
      </w:r>
    </w:p>
    <w:p w14:paraId="64299863" w14:textId="77777777" w:rsidR="007B6C97" w:rsidRDefault="00E426D1">
      <w:pPr>
        <w:spacing w:before="120"/>
      </w:pPr>
      <w:r>
        <w:rPr>
          <w:rFonts w:ascii="Times New Roman" w:eastAsia="宋体" w:hAnsi="Times New Roman"/>
          <w:color w:val="000000"/>
          <w:sz w:val="20"/>
          <w:szCs w:val="20"/>
        </w:rPr>
        <w:t>We expect to use our available cash and investments, including, but not limited to, additional potential future borrowings under the credit facilities, commercial paper progr</w:t>
      </w:r>
      <w:r>
        <w:rPr>
          <w:rFonts w:ascii="Times New Roman" w:eastAsia="宋体" w:hAnsi="Times New Roman"/>
          <w:color w:val="000000"/>
          <w:sz w:val="20"/>
          <w:szCs w:val="20"/>
        </w:rPr>
        <w:t>am and the issuance of debt to support and invest in our core businesses, including investing in new ways to serve our customers and supporting our store partners, repaying maturing debts, as well as returning cash to shareholders through common stock cash</w:t>
      </w:r>
      <w:r>
        <w:rPr>
          <w:rFonts w:ascii="Times New Roman" w:eastAsia="宋体" w:hAnsi="Times New Roman"/>
          <w:color w:val="000000"/>
          <w:sz w:val="20"/>
          <w:szCs w:val="20"/>
        </w:rPr>
        <w:t xml:space="preserve"> dividend payments and discretionary share repurchases and investing in new business opportunities related to our core and developing businesses. Furthermore, we may use our available cash resources to make proportionate capital contributions to our invest</w:t>
      </w:r>
      <w:r>
        <w:rPr>
          <w:rFonts w:ascii="Times New Roman" w:eastAsia="宋体" w:hAnsi="Times New Roman"/>
          <w:color w:val="000000"/>
          <w:sz w:val="20"/>
          <w:szCs w:val="20"/>
        </w:rPr>
        <w:t>ees. We may also seek strategic acquisitions to leverage existing capabilities and further build our business. Acquisitions may include increasing our ownership interests in our investees. Any decisions to increase such ownership interests will be driven b</w:t>
      </w:r>
      <w:r>
        <w:rPr>
          <w:rFonts w:ascii="Times New Roman" w:eastAsia="宋体" w:hAnsi="Times New Roman"/>
          <w:color w:val="000000"/>
          <w:sz w:val="20"/>
          <w:szCs w:val="20"/>
        </w:rPr>
        <w:t xml:space="preserve">y valuation and fit with our ownership strategy. </w:t>
      </w:r>
    </w:p>
    <w:p w14:paraId="64299864" w14:textId="77777777" w:rsidR="007B6C97" w:rsidRDefault="00E426D1">
      <w:pPr>
        <w:spacing w:before="120"/>
      </w:pPr>
      <w:r>
        <w:rPr>
          <w:rFonts w:ascii="Times New Roman" w:eastAsia="宋体" w:hAnsi="Times New Roman"/>
          <w:color w:val="000000"/>
          <w:sz w:val="20"/>
          <w:szCs w:val="20"/>
        </w:rPr>
        <w:t>We believe that net future cash flows generated from operations and existing cash and investments both domestically and internationally combined with our ability to leverage our balance sheet through the is</w:t>
      </w:r>
      <w:r>
        <w:rPr>
          <w:rFonts w:ascii="Times New Roman" w:eastAsia="宋体" w:hAnsi="Times New Roman"/>
          <w:color w:val="000000"/>
          <w:sz w:val="20"/>
          <w:szCs w:val="20"/>
        </w:rPr>
        <w:t>suance of debt will be sufficient to finance capital requirements for our core businesses as well as shareholder distributions for at least the next 12 months. We are currently not aware of any trends or demands, commitments, events or uncertainties that w</w:t>
      </w:r>
      <w:r>
        <w:rPr>
          <w:rFonts w:ascii="Times New Roman" w:eastAsia="宋体" w:hAnsi="Times New Roman"/>
          <w:color w:val="000000"/>
          <w:sz w:val="20"/>
          <w:szCs w:val="20"/>
        </w:rPr>
        <w:t>ill result in, or that are reasonably likely to result in, our liquidity increasing or decreasing in any material way that will impact our capital needs during or beyond the next 12 months. We have borrowed funds and continue to believe we have the ability</w:t>
      </w:r>
      <w:r>
        <w:rPr>
          <w:rFonts w:ascii="Times New Roman" w:eastAsia="宋体" w:hAnsi="Times New Roman"/>
          <w:color w:val="000000"/>
          <w:sz w:val="20"/>
          <w:szCs w:val="20"/>
        </w:rPr>
        <w:t xml:space="preserve"> to do so at reasonable interest rates; however, additional borrowings would result in increased interest expense in the future. In this regard, we may incur additional debt, within targeted levels, as part of our plans to fund our capital programs, includ</w:t>
      </w:r>
      <w:r>
        <w:rPr>
          <w:rFonts w:ascii="Times New Roman" w:eastAsia="宋体" w:hAnsi="Times New Roman"/>
          <w:color w:val="000000"/>
          <w:sz w:val="20"/>
          <w:szCs w:val="20"/>
        </w:rPr>
        <w:t>ing cash returns to shareholders through future dividends and discretionary share repurchases as well as investing in new business opportunities. If necessary, we may pursue additional sources of financing, including both short-term and long-term borrowing</w:t>
      </w:r>
      <w:r>
        <w:rPr>
          <w:rFonts w:ascii="Times New Roman" w:eastAsia="宋体" w:hAnsi="Times New Roman"/>
          <w:color w:val="000000"/>
          <w:sz w:val="20"/>
          <w:szCs w:val="20"/>
        </w:rPr>
        <w:t>s and debt issuances.</w:t>
      </w:r>
    </w:p>
    <w:p w14:paraId="64299865" w14:textId="77777777" w:rsidR="007B6C97" w:rsidRDefault="00E426D1">
      <w:pPr>
        <w:spacing w:before="120"/>
      </w:pPr>
      <w:r>
        <w:rPr>
          <w:rFonts w:ascii="Times New Roman" w:eastAsia="宋体" w:hAnsi="Times New Roman"/>
          <w:color w:val="000000"/>
          <w:sz w:val="20"/>
          <w:szCs w:val="20"/>
        </w:rPr>
        <w:t>We regularly review our cash positions and our determination of indefinite reinvestment of foreign earnings. In the event we determine that all or a portion of such foreign earnings are no longer indefinitely reinvested, we may be sub</w:t>
      </w:r>
      <w:r>
        <w:rPr>
          <w:rFonts w:ascii="Times New Roman" w:eastAsia="宋体" w:hAnsi="Times New Roman"/>
          <w:color w:val="000000"/>
          <w:sz w:val="20"/>
          <w:szCs w:val="20"/>
        </w:rPr>
        <w:t>ject to additional foreign withholding taxes and U.S. state income taxes, which could be material. We do not anticipate the need for repatriated funds to the U.S. to satisfy domestic liquidity needs.</w:t>
      </w:r>
    </w:p>
    <w:p w14:paraId="64299866" w14:textId="77777777" w:rsidR="007B6C97" w:rsidRDefault="00E426D1">
      <w:pPr>
        <w:spacing w:before="120"/>
      </w:pPr>
      <w:r>
        <w:rPr>
          <w:rFonts w:ascii="Times New Roman" w:eastAsia="宋体" w:hAnsi="Times New Roman"/>
          <w:color w:val="000000"/>
          <w:sz w:val="20"/>
          <w:szCs w:val="20"/>
        </w:rPr>
        <w:t>During the third quarter of fiscal 2022, our Board of Di</w:t>
      </w:r>
      <w:r>
        <w:rPr>
          <w:rFonts w:ascii="Times New Roman" w:eastAsia="宋体" w:hAnsi="Times New Roman"/>
          <w:color w:val="000000"/>
          <w:sz w:val="20"/>
          <w:szCs w:val="20"/>
        </w:rPr>
        <w:t>rectors approved a quarterly cash dividend to shareholders of $0.49 per share to be paid on August 26, 2022 to shareholders of record as of the close of business on August 12, 2022.</w:t>
      </w:r>
    </w:p>
    <w:p w14:paraId="64299867" w14:textId="77777777" w:rsidR="007B6C97" w:rsidRDefault="00E426D1">
      <w:pPr>
        <w:spacing w:before="120"/>
      </w:pPr>
      <w:r>
        <w:rPr>
          <w:rFonts w:ascii="Times New Roman" w:eastAsia="宋体" w:hAnsi="Times New Roman"/>
          <w:color w:val="000000"/>
          <w:sz w:val="20"/>
          <w:szCs w:val="20"/>
        </w:rPr>
        <w:t>During the first quarter of fiscal 2022, we resumed our share repurchase p</w:t>
      </w:r>
      <w:r>
        <w:rPr>
          <w:rFonts w:ascii="Times New Roman" w:eastAsia="宋体" w:hAnsi="Times New Roman"/>
          <w:color w:val="000000"/>
          <w:sz w:val="20"/>
          <w:szCs w:val="20"/>
        </w:rPr>
        <w:t>rogram which was temporarily suspended in March 2020. During the three quarters ended July 3, 2022, we repurchased 36.3 million shares of common stock for $4.0 billion. On March 15, 2022, we announced that our Board of Directors authorized the repurchase o</w:t>
      </w:r>
      <w:r>
        <w:rPr>
          <w:rFonts w:ascii="Times New Roman" w:eastAsia="宋体" w:hAnsi="Times New Roman"/>
          <w:color w:val="000000"/>
          <w:sz w:val="20"/>
          <w:szCs w:val="20"/>
        </w:rPr>
        <w:t>f up to an additional 40 million shares under our ongoing share repurchase program. On April 4, 2022, we announced a temporary suspension of our share repurchase program to allow us to augment investments in our stores and partners. Repurchases pursuant to</w:t>
      </w:r>
      <w:r>
        <w:rPr>
          <w:rFonts w:ascii="Times New Roman" w:eastAsia="宋体" w:hAnsi="Times New Roman"/>
          <w:color w:val="000000"/>
          <w:sz w:val="20"/>
          <w:szCs w:val="20"/>
        </w:rPr>
        <w:t xml:space="preserve"> this program were last made on April 1, 2022. As of July 3, 2022, 52.6 million shares remained available for repurchase under current authorizations.</w:t>
      </w:r>
    </w:p>
    <w:p w14:paraId="64299868" w14:textId="77777777" w:rsidR="007B6C97" w:rsidRDefault="00E426D1">
      <w:pPr>
        <w:jc w:val="center"/>
      </w:pPr>
      <w:r>
        <w:rPr>
          <w:rFonts w:ascii="Times New Roman" w:eastAsia="宋体" w:hAnsi="Times New Roman"/>
          <w:color w:val="000000"/>
          <w:sz w:val="20"/>
          <w:szCs w:val="20"/>
        </w:rPr>
        <w:t>41</w:t>
      </w:r>
    </w:p>
    <w:p w14:paraId="64299869" w14:textId="77777777" w:rsidR="007B6C97" w:rsidRDefault="00E426D1">
      <w:r>
        <w:pict w14:anchorId="64299A03">
          <v:rect id="_x0000_i1065" style="width:415.3pt;height:1.5pt" o:hralign="center" o:hrstd="t" o:hr="t" fillcolor="#a0a0a0" stroked="f"/>
        </w:pict>
      </w:r>
    </w:p>
    <w:p w14:paraId="6429986A" w14:textId="77777777" w:rsidR="007B6C97" w:rsidRDefault="00E426D1">
      <w:hyperlink r:id="rId164" w:anchor="ie38a2b375c9840e583a36769999bbee6_7" w:history="1">
        <w:r>
          <w:rPr>
            <w:rStyle w:val="a5"/>
            <w:rFonts w:ascii="Times New Roman" w:eastAsia="宋体" w:hAnsi="Times New Roman"/>
            <w:sz w:val="20"/>
            <w:szCs w:val="20"/>
          </w:rPr>
          <w:t>Table</w:t>
        </w:r>
      </w:hyperlink>
      <w:hyperlink r:id="rId165" w:anchor="ie38a2b375c9840e583a36769999bbee6_7" w:history="1">
        <w:r>
          <w:rPr>
            <w:rStyle w:val="a5"/>
            <w:rFonts w:ascii="Times New Roman" w:eastAsia="宋体" w:hAnsi="Times New Roman"/>
            <w:sz w:val="20"/>
            <w:szCs w:val="20"/>
          </w:rPr>
          <w:t xml:space="preserve"> of Contents</w:t>
        </w:r>
      </w:hyperlink>
    </w:p>
    <w:p w14:paraId="6429986B" w14:textId="77777777" w:rsidR="007B6C97" w:rsidRDefault="00E426D1">
      <w:pPr>
        <w:spacing w:before="120"/>
      </w:pPr>
      <w:r>
        <w:rPr>
          <w:rFonts w:ascii="Times New Roman" w:eastAsia="宋体" w:hAnsi="Times New Roman"/>
          <w:color w:val="000000"/>
          <w:sz w:val="20"/>
          <w:szCs w:val="20"/>
        </w:rPr>
        <w:t>Other than normal operating expe</w:t>
      </w:r>
      <w:r>
        <w:rPr>
          <w:rFonts w:ascii="Times New Roman" w:eastAsia="宋体" w:hAnsi="Times New Roman"/>
          <w:color w:val="000000"/>
          <w:sz w:val="20"/>
          <w:szCs w:val="20"/>
        </w:rPr>
        <w:t>nses, cash requirements for the remainder of fiscal 2022 are expected to consist primarily of capital expenditures for investments in our new and existing stores, our supply chain and corporate facilities. Total capital expenditures for fiscal 2022 are exp</w:t>
      </w:r>
      <w:r>
        <w:rPr>
          <w:rFonts w:ascii="Times New Roman" w:eastAsia="宋体" w:hAnsi="Times New Roman"/>
          <w:color w:val="000000"/>
          <w:sz w:val="20"/>
          <w:szCs w:val="20"/>
        </w:rPr>
        <w:t xml:space="preserve">ected to be approximately $2 billion. </w:t>
      </w:r>
    </w:p>
    <w:p w14:paraId="6429986C" w14:textId="77777777" w:rsidR="007B6C97" w:rsidRDefault="00E426D1">
      <w:pPr>
        <w:spacing w:before="120"/>
      </w:pPr>
      <w:r>
        <w:rPr>
          <w:rFonts w:ascii="Times New Roman" w:eastAsia="宋体" w:hAnsi="Times New Roman"/>
          <w:color w:val="000000"/>
          <w:sz w:val="20"/>
          <w:szCs w:val="20"/>
        </w:rPr>
        <w:t>In the MD&amp;A included in the 10-K, we disclosed that we had $33.7 billion of current and long-term material cash requirements as of October 3, 2021. There have been no material changes to our material cash requirements</w:t>
      </w:r>
      <w:r>
        <w:rPr>
          <w:rFonts w:ascii="Times New Roman" w:eastAsia="宋体" w:hAnsi="Times New Roman"/>
          <w:color w:val="000000"/>
          <w:sz w:val="20"/>
          <w:szCs w:val="20"/>
        </w:rPr>
        <w:t xml:space="preserve"> during the period covered by this 10-Q outside of the normal course of our business.</w:t>
      </w:r>
    </w:p>
    <w:p w14:paraId="6429986D" w14:textId="77777777" w:rsidR="007B6C97" w:rsidRDefault="00E426D1">
      <w:pPr>
        <w:spacing w:before="120"/>
      </w:pPr>
      <w:r>
        <w:rPr>
          <w:rFonts w:ascii="Times New Roman" w:eastAsia="宋体" w:hAnsi="Times New Roman"/>
          <w:color w:val="000000"/>
          <w:sz w:val="20"/>
          <w:szCs w:val="20"/>
          <w:u w:val="single"/>
        </w:rPr>
        <w:t>Cash Flows</w:t>
      </w:r>
    </w:p>
    <w:p w14:paraId="6429986E" w14:textId="77777777" w:rsidR="007B6C97" w:rsidRDefault="00E426D1">
      <w:pPr>
        <w:spacing w:before="120"/>
      </w:pPr>
      <w:r>
        <w:rPr>
          <w:rFonts w:ascii="Times New Roman" w:eastAsia="宋体" w:hAnsi="Times New Roman"/>
          <w:color w:val="000000"/>
          <w:sz w:val="20"/>
          <w:szCs w:val="20"/>
        </w:rPr>
        <w:t>Cash provided by operating activities was $3.3 billion for the first three quarters of fiscal 2022, compared to $4.5 billion for the same period in fiscal 2021</w:t>
      </w:r>
      <w:r>
        <w:rPr>
          <w:rFonts w:ascii="Times New Roman" w:eastAsia="宋体" w:hAnsi="Times New Roman"/>
          <w:color w:val="000000"/>
          <w:sz w:val="20"/>
          <w:szCs w:val="20"/>
        </w:rPr>
        <w:t>. The change was primarily due to an increase in inventory and net cash used by changes in other operating assets and liabilities.</w:t>
      </w:r>
    </w:p>
    <w:p w14:paraId="6429986F" w14:textId="77777777" w:rsidR="007B6C97" w:rsidRDefault="00E426D1">
      <w:pPr>
        <w:spacing w:before="120"/>
      </w:pPr>
      <w:r>
        <w:rPr>
          <w:rFonts w:ascii="Times New Roman" w:eastAsia="宋体" w:hAnsi="Times New Roman"/>
          <w:color w:val="000000"/>
          <w:sz w:val="20"/>
          <w:szCs w:val="20"/>
          <w:shd w:val="clear" w:color="auto" w:fill="FFFFFF"/>
        </w:rPr>
        <w:t>Cash used in investing activities for the first three quarters of fiscal 2022 totaled</w:t>
      </w:r>
      <w:r>
        <w:rPr>
          <w:rFonts w:ascii="Times New Roman" w:eastAsia="宋体" w:hAnsi="Times New Roman"/>
          <w:color w:val="000000"/>
          <w:sz w:val="20"/>
          <w:szCs w:val="20"/>
        </w:rPr>
        <w:t xml:space="preserve"> $1.4 billion,</w:t>
      </w:r>
      <w:r>
        <w:rPr>
          <w:rFonts w:ascii="Times New Roman" w:eastAsia="宋体" w:hAnsi="Times New Roman"/>
          <w:color w:val="000000"/>
          <w:sz w:val="20"/>
          <w:szCs w:val="20"/>
          <w:shd w:val="clear" w:color="auto" w:fill="FFFFFF"/>
        </w:rPr>
        <w:t xml:space="preserve"> compared to cash used in </w:t>
      </w:r>
      <w:r>
        <w:rPr>
          <w:rFonts w:ascii="Times New Roman" w:eastAsia="宋体" w:hAnsi="Times New Roman"/>
          <w:color w:val="000000"/>
          <w:sz w:val="20"/>
          <w:szCs w:val="20"/>
          <w:shd w:val="clear" w:color="auto" w:fill="FFFFFF"/>
        </w:rPr>
        <w:t>investing activities of $1.0 billion for the same period in fiscal 2021.</w:t>
      </w:r>
      <w:r>
        <w:rPr>
          <w:rFonts w:ascii="Times New Roman" w:eastAsia="宋体" w:hAnsi="Times New Roman"/>
          <w:color w:val="000000"/>
          <w:sz w:val="20"/>
          <w:szCs w:val="20"/>
        </w:rPr>
        <w:t xml:space="preserve"> The change was primarily due to an increase in spend on capital expenditures.</w:t>
      </w:r>
    </w:p>
    <w:p w14:paraId="64299870" w14:textId="77777777" w:rsidR="007B6C97" w:rsidRDefault="00E426D1">
      <w:pPr>
        <w:spacing w:before="120"/>
      </w:pPr>
      <w:r>
        <w:rPr>
          <w:rFonts w:ascii="Times New Roman" w:eastAsia="宋体" w:hAnsi="Times New Roman"/>
          <w:color w:val="000000"/>
          <w:sz w:val="20"/>
          <w:szCs w:val="20"/>
          <w:shd w:val="clear" w:color="auto" w:fill="FFFFFF"/>
        </w:rPr>
        <w:t>Cash used in financing activities for the first three quarters of fiscal 2022 totale</w:t>
      </w:r>
      <w:r>
        <w:rPr>
          <w:rFonts w:ascii="Times New Roman" w:eastAsia="宋体" w:hAnsi="Times New Roman"/>
          <w:color w:val="000000"/>
          <w:sz w:val="20"/>
          <w:szCs w:val="20"/>
        </w:rPr>
        <w:t>d $5.1 billion</w:t>
      </w:r>
      <w:r>
        <w:rPr>
          <w:rFonts w:ascii="Times New Roman" w:eastAsia="宋体" w:hAnsi="Times New Roman"/>
          <w:color w:val="000000"/>
          <w:sz w:val="20"/>
          <w:szCs w:val="20"/>
          <w:shd w:val="clear" w:color="auto" w:fill="FFFFFF"/>
        </w:rPr>
        <w:t xml:space="preserve"> compared to cash used in financing activities of $3.2 billion for the same period in fiscal 2021.</w:t>
      </w:r>
      <w:r>
        <w:rPr>
          <w:rFonts w:ascii="Times New Roman" w:eastAsia="宋体" w:hAnsi="Times New Roman"/>
          <w:color w:val="000000"/>
          <w:sz w:val="20"/>
          <w:szCs w:val="20"/>
        </w:rPr>
        <w:t xml:space="preserve"> The increase was primarily due to resuming our share repurchase program, partially offset by net proceeds from issuance of long-term debt.</w:t>
      </w:r>
    </w:p>
    <w:p w14:paraId="64299871" w14:textId="77777777" w:rsidR="007B6C97" w:rsidRDefault="00E426D1">
      <w:pPr>
        <w:spacing w:before="180"/>
      </w:pPr>
      <w:r>
        <w:rPr>
          <w:rFonts w:ascii="Times New Roman" w:eastAsia="宋体" w:hAnsi="Times New Roman"/>
          <w:b/>
          <w:bCs/>
          <w:color w:val="000000"/>
          <w:sz w:val="20"/>
          <w:szCs w:val="20"/>
        </w:rPr>
        <w:t xml:space="preserve">Commodity Prices, </w:t>
      </w:r>
      <w:r>
        <w:rPr>
          <w:rFonts w:ascii="Times New Roman" w:eastAsia="宋体" w:hAnsi="Times New Roman"/>
          <w:b/>
          <w:bCs/>
          <w:color w:val="000000"/>
          <w:sz w:val="20"/>
          <w:szCs w:val="20"/>
        </w:rPr>
        <w:t>Availability and General Risk Conditions</w:t>
      </w:r>
    </w:p>
    <w:p w14:paraId="64299872" w14:textId="77777777" w:rsidR="007B6C97" w:rsidRDefault="00E426D1">
      <w:pPr>
        <w:spacing w:before="120"/>
      </w:pPr>
      <w:r>
        <w:rPr>
          <w:rFonts w:ascii="Times New Roman" w:eastAsia="宋体" w:hAnsi="Times New Roman"/>
          <w:color w:val="000000"/>
          <w:sz w:val="20"/>
          <w:szCs w:val="20"/>
        </w:rPr>
        <w:t xml:space="preserve">Commodity price risk represents our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w:t>
      </w:r>
      <w:r>
        <w:rPr>
          <w:rFonts w:ascii="Times New Roman" w:eastAsia="宋体" w:hAnsi="Times New Roman"/>
          <w:color w:val="000000"/>
          <w:sz w:val="20"/>
          <w:szCs w:val="20"/>
        </w:rPr>
        <w:t xml:space="preserve"> and risk arises from the price volatility of green coffee. In addition to coffee, we also purchase significant amounts of dairy products to support the needs of our company-operated stores. The price and availability of these commodities directly impact o</w:t>
      </w:r>
      <w:r>
        <w:rPr>
          <w:rFonts w:ascii="Times New Roman" w:eastAsia="宋体" w:hAnsi="Times New Roman"/>
          <w:color w:val="000000"/>
          <w:sz w:val="20"/>
          <w:szCs w:val="20"/>
        </w:rPr>
        <w:t>ur results of operations, and we expect commodity prices, particularly coffee, to impact future results of operations. For additional details, see Product Supply in Item 1 of the 10-K, as well as Risk Factors in Item 1A of the 10-K.</w:t>
      </w:r>
    </w:p>
    <w:p w14:paraId="64299873" w14:textId="77777777" w:rsidR="007B6C97" w:rsidRDefault="00E426D1">
      <w:pPr>
        <w:spacing w:before="180"/>
      </w:pPr>
      <w:r>
        <w:rPr>
          <w:rFonts w:ascii="Times New Roman" w:eastAsia="宋体" w:hAnsi="Times New Roman"/>
          <w:b/>
          <w:bCs/>
          <w:color w:val="000000"/>
          <w:sz w:val="20"/>
          <w:szCs w:val="20"/>
        </w:rPr>
        <w:t>Seasonality and Quarter</w:t>
      </w:r>
      <w:r>
        <w:rPr>
          <w:rFonts w:ascii="Times New Roman" w:eastAsia="宋体" w:hAnsi="Times New Roman"/>
          <w:b/>
          <w:bCs/>
          <w:color w:val="000000"/>
          <w:sz w:val="20"/>
          <w:szCs w:val="20"/>
        </w:rPr>
        <w:t>ly Results</w:t>
      </w:r>
    </w:p>
    <w:p w14:paraId="64299874" w14:textId="77777777" w:rsidR="007B6C97" w:rsidRDefault="00E426D1">
      <w:pPr>
        <w:spacing w:before="120"/>
      </w:pPr>
      <w:r>
        <w:rPr>
          <w:rFonts w:ascii="Times New Roman" w:eastAsia="宋体" w:hAnsi="Times New Roman"/>
          <w:color w:val="000000"/>
          <w:sz w:val="20"/>
          <w:szCs w:val="20"/>
        </w:rPr>
        <w:t>Our business is subject to moderate seasonal fluctuations, of which our fiscal second quarter typically experiences lower revenues and operating income. However, the COVID-19 pandemic may have an impact on consumer behaviors and customer traffic</w:t>
      </w:r>
      <w:r>
        <w:rPr>
          <w:rFonts w:ascii="Times New Roman" w:eastAsia="宋体" w:hAnsi="Times New Roman"/>
          <w:color w:val="000000"/>
          <w:sz w:val="20"/>
          <w:szCs w:val="20"/>
        </w:rPr>
        <w:t xml:space="preserve"> that result in changes in the seasonal fluctuations of our business. Additionally, as our stored value cards are issued to and loaded by customers during the holiday season, we tend to have higher cash flows from operations during the first quarter of the</w:t>
      </w:r>
      <w:r>
        <w:rPr>
          <w:rFonts w:ascii="Times New Roman" w:eastAsia="宋体" w:hAnsi="Times New Roman"/>
          <w:color w:val="000000"/>
          <w:sz w:val="20"/>
          <w:szCs w:val="20"/>
        </w:rPr>
        <w:t xml:space="preserve"> fiscal year. However, since revenues from our stored value cards are recognized upon redemption and not when cash is loaded, the impact of seasonal fluctuations on the consolidated statements of earnings is much less pronounced. As a result of moderate se</w:t>
      </w:r>
      <w:r>
        <w:rPr>
          <w:rFonts w:ascii="Times New Roman" w:eastAsia="宋体" w:hAnsi="Times New Roman"/>
          <w:color w:val="000000"/>
          <w:sz w:val="20"/>
          <w:szCs w:val="20"/>
        </w:rPr>
        <w:t>asonal fluctuations, results for any quarter are not necessarily indicative of the results that may be achieved for the full fiscal year.</w:t>
      </w:r>
    </w:p>
    <w:p w14:paraId="64299875" w14:textId="77777777" w:rsidR="007B6C97" w:rsidRDefault="00E426D1">
      <w:pPr>
        <w:spacing w:before="180"/>
      </w:pPr>
      <w:r>
        <w:rPr>
          <w:rFonts w:ascii="Times New Roman" w:eastAsia="宋体" w:hAnsi="Times New Roman"/>
          <w:b/>
          <w:bCs/>
          <w:color w:val="000000"/>
          <w:sz w:val="20"/>
          <w:szCs w:val="20"/>
        </w:rPr>
        <w:t>RECENT ACCOUNTING PRONOUNCEMENTS</w:t>
      </w:r>
    </w:p>
    <w:p w14:paraId="64299876" w14:textId="77777777" w:rsidR="007B6C97" w:rsidRDefault="00E426D1">
      <w:pPr>
        <w:spacing w:before="120"/>
      </w:pPr>
      <w:r>
        <w:rPr>
          <w:rFonts w:ascii="Times New Roman" w:eastAsia="宋体" w:hAnsi="Times New Roman"/>
          <w:color w:val="000000"/>
          <w:sz w:val="20"/>
          <w:szCs w:val="20"/>
        </w:rPr>
        <w:t xml:space="preserve">See </w:t>
      </w:r>
      <w:hyperlink r:id="rId166" w:anchor="ie38a2b375c9840e583a36769999bbee6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and Estimates, to the consolidated financial statem</w:t>
      </w:r>
      <w:r>
        <w:rPr>
          <w:rFonts w:ascii="Times New Roman" w:eastAsia="宋体" w:hAnsi="Times New Roman"/>
          <w:color w:val="000000"/>
          <w:sz w:val="20"/>
          <w:szCs w:val="20"/>
        </w:rPr>
        <w:t>ents included in Item 1 of Part I of this 10-Q, for a detailed description of recent accounting pronouncements.</w:t>
      </w:r>
    </w:p>
    <w:p w14:paraId="64299877" w14:textId="77777777" w:rsidR="007B6C97" w:rsidRDefault="00E426D1">
      <w:pPr>
        <w:pBdr>
          <w:left w:val="none" w:sz="0" w:space="0" w:color="auto"/>
        </w:pBd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About Market Risk</w:t>
      </w:r>
    </w:p>
    <w:p w14:paraId="64299878" w14:textId="77777777" w:rsidR="007B6C97" w:rsidRDefault="00E426D1">
      <w:pPr>
        <w:spacing w:before="120"/>
      </w:pPr>
      <w:r>
        <w:rPr>
          <w:rFonts w:ascii="Times New Roman" w:eastAsia="宋体" w:hAnsi="Times New Roman"/>
          <w:color w:val="000000"/>
          <w:sz w:val="20"/>
          <w:szCs w:val="20"/>
        </w:rPr>
        <w:t xml:space="preserve">There has been no material change in the commodity price risk, foreign </w:t>
      </w:r>
      <w:r>
        <w:rPr>
          <w:rFonts w:ascii="Times New Roman" w:eastAsia="宋体" w:hAnsi="Times New Roman"/>
          <w:color w:val="000000"/>
          <w:sz w:val="20"/>
          <w:szCs w:val="20"/>
        </w:rPr>
        <w:t>currency exchange risk, equity security price risk or interest rate risk discussed in Item 7A of the 10-K.</w:t>
      </w:r>
    </w:p>
    <w:p w14:paraId="64299879" w14:textId="77777777" w:rsidR="007B6C97" w:rsidRDefault="00E426D1">
      <w:pPr>
        <w:pBdr>
          <w:left w:val="none" w:sz="0" w:space="0" w:color="auto"/>
        </w:pBd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6429987A" w14:textId="77777777" w:rsidR="007B6C97" w:rsidRDefault="00E426D1">
      <w:pPr>
        <w:spacing w:before="120"/>
      </w:pPr>
      <w:r>
        <w:rPr>
          <w:rFonts w:ascii="Times New Roman" w:eastAsia="宋体" w:hAnsi="Times New Roman"/>
          <w:color w:val="000000"/>
          <w:sz w:val="20"/>
          <w:szCs w:val="20"/>
        </w:rPr>
        <w:t>We maintain disclosure controls and procedures that are designed to ensure that material information required to be d</w:t>
      </w:r>
      <w:r>
        <w:rPr>
          <w:rFonts w:ascii="Times New Roman" w:eastAsia="宋体" w:hAnsi="Times New Roman"/>
          <w:color w:val="000000"/>
          <w:sz w:val="20"/>
          <w:szCs w:val="20"/>
        </w:rPr>
        <w:t>isclosed in our periodic reports filed or submitted under the Securities Exchange Act of 1934, as amended (the “Exchange Act”), is recorded, processed, summarized and reported within the time periods specified in the SEC’s rules and forms. Our disclosure c</w:t>
      </w:r>
      <w:r>
        <w:rPr>
          <w:rFonts w:ascii="Times New Roman" w:eastAsia="宋体" w:hAnsi="Times New Roman"/>
          <w:color w:val="000000"/>
          <w:sz w:val="20"/>
          <w:szCs w:val="20"/>
        </w:rPr>
        <w:t xml:space="preserve">ontrols and procedures are also designed to ensure that information required to be disclosed in the reports we file or submit under the Exchange Act is accumulated and communicated to our management, including our principal executive officer and principal </w:t>
      </w:r>
      <w:r>
        <w:rPr>
          <w:rFonts w:ascii="Times New Roman" w:eastAsia="宋体" w:hAnsi="Times New Roman"/>
          <w:color w:val="000000"/>
          <w:sz w:val="20"/>
          <w:szCs w:val="20"/>
        </w:rPr>
        <w:t>financial officer as appropriate, to allow timely decisions regarding required disclosure.</w:t>
      </w:r>
    </w:p>
    <w:p w14:paraId="6429987B" w14:textId="77777777" w:rsidR="007B6C97" w:rsidRDefault="00E426D1">
      <w:pPr>
        <w:spacing w:before="120"/>
      </w:pPr>
      <w:r>
        <w:rPr>
          <w:rFonts w:ascii="Times New Roman" w:eastAsia="宋体" w:hAnsi="Times New Roman"/>
          <w:color w:val="000000"/>
          <w:sz w:val="20"/>
          <w:szCs w:val="20"/>
        </w:rPr>
        <w:t>During the third quarter of fiscal 2022, we carried out an evaluation, under the supervision and with the participation of our management, including our interim chie</w:t>
      </w:r>
      <w:r>
        <w:rPr>
          <w:rFonts w:ascii="Times New Roman" w:eastAsia="宋体" w:hAnsi="Times New Roman"/>
          <w:color w:val="000000"/>
          <w:sz w:val="20"/>
          <w:szCs w:val="20"/>
        </w:rPr>
        <w:t xml:space="preserve">f executive officer and our chief financial officer, of the effectiveness of the design and operation of the disclosure controls and procedures, as defined in Rules 13a-15(e) and 15d-15(e) under the Exchange Act. </w:t>
      </w:r>
    </w:p>
    <w:p w14:paraId="6429987C" w14:textId="77777777" w:rsidR="007B6C97" w:rsidRDefault="00E426D1">
      <w:pPr>
        <w:jc w:val="center"/>
      </w:pPr>
      <w:r>
        <w:rPr>
          <w:rFonts w:ascii="Times New Roman" w:eastAsia="宋体" w:hAnsi="Times New Roman"/>
          <w:color w:val="000000"/>
          <w:sz w:val="20"/>
          <w:szCs w:val="20"/>
        </w:rPr>
        <w:t>42</w:t>
      </w:r>
    </w:p>
    <w:p w14:paraId="6429987D" w14:textId="77777777" w:rsidR="007B6C97" w:rsidRDefault="00E426D1">
      <w:r>
        <w:pict w14:anchorId="64299A04">
          <v:rect id="_x0000_i1066" style="width:415.3pt;height:1.5pt" o:hralign="center" o:hrstd="t" o:hr="t" fillcolor="#a0a0a0" stroked="f"/>
        </w:pict>
      </w:r>
    </w:p>
    <w:p w14:paraId="6429987E" w14:textId="77777777" w:rsidR="007B6C97" w:rsidRDefault="00E426D1">
      <w:hyperlink r:id="rId167" w:anchor="ie38a2b375c9840e583a36769999bbee6_7" w:history="1">
        <w:r>
          <w:rPr>
            <w:rStyle w:val="a5"/>
            <w:rFonts w:ascii="Times New Roman" w:eastAsia="宋体" w:hAnsi="Times New Roman"/>
            <w:sz w:val="20"/>
            <w:szCs w:val="20"/>
          </w:rPr>
          <w:t>Table</w:t>
        </w:r>
      </w:hyperlink>
      <w:hyperlink r:id="rId168" w:anchor="ie38a2b375c9840e583a36769999bbee6_7" w:history="1">
        <w:r>
          <w:rPr>
            <w:rStyle w:val="a5"/>
            <w:rFonts w:ascii="Times New Roman" w:eastAsia="宋体" w:hAnsi="Times New Roman"/>
            <w:sz w:val="20"/>
            <w:szCs w:val="20"/>
          </w:rPr>
          <w:t xml:space="preserve"> of Contents</w:t>
        </w:r>
      </w:hyperlink>
    </w:p>
    <w:p w14:paraId="6429987F" w14:textId="77777777" w:rsidR="007B6C97" w:rsidRDefault="00E426D1">
      <w:pPr>
        <w:spacing w:before="120"/>
      </w:pPr>
      <w:r>
        <w:rPr>
          <w:rFonts w:ascii="Times New Roman" w:eastAsia="宋体" w:hAnsi="Times New Roman"/>
          <w:color w:val="000000"/>
          <w:sz w:val="20"/>
          <w:szCs w:val="20"/>
        </w:rPr>
        <w:t>Based upon that evaluation, our interim chief executive officer and chief financial officer concluded that our disclosure controls and procedures were effective, as of the end of the period covered by this report (July 3, 202</w:t>
      </w:r>
      <w:r>
        <w:rPr>
          <w:rFonts w:ascii="Times New Roman" w:eastAsia="宋体" w:hAnsi="Times New Roman"/>
          <w:color w:val="000000"/>
          <w:sz w:val="20"/>
          <w:szCs w:val="20"/>
        </w:rPr>
        <w:t>2).</w:t>
      </w:r>
    </w:p>
    <w:p w14:paraId="64299880" w14:textId="77777777" w:rsidR="007B6C97" w:rsidRDefault="00E426D1">
      <w:pPr>
        <w:spacing w:before="120"/>
      </w:pPr>
      <w:r>
        <w:rPr>
          <w:rFonts w:ascii="Times New Roman" w:eastAsia="宋体" w:hAnsi="Times New Roman"/>
          <w:color w:val="000000"/>
          <w:sz w:val="20"/>
          <w:szCs w:val="20"/>
        </w:rPr>
        <w:t xml:space="preserve">There were no changes in our internal control over financial reporting (as defined in Rules 13a-15(f) and 15d-15(f) of the Exchange Act) during our most recently completed fiscal quarter that materially affected, or are reasonably likely to materially </w:t>
      </w:r>
      <w:r>
        <w:rPr>
          <w:rFonts w:ascii="Times New Roman" w:eastAsia="宋体" w:hAnsi="Times New Roman"/>
          <w:color w:val="000000"/>
          <w:sz w:val="20"/>
          <w:szCs w:val="20"/>
        </w:rPr>
        <w:t>affect, our internal control over financial reporting.</w:t>
      </w:r>
    </w:p>
    <w:p w14:paraId="64299881" w14:textId="77777777" w:rsidR="007B6C97" w:rsidRDefault="00E426D1">
      <w:pPr>
        <w:jc w:val="center"/>
      </w:pPr>
      <w:r>
        <w:rPr>
          <w:rFonts w:ascii="Times New Roman" w:eastAsia="宋体" w:hAnsi="Times New Roman"/>
          <w:color w:val="000000"/>
          <w:sz w:val="20"/>
          <w:szCs w:val="20"/>
        </w:rPr>
        <w:t>43</w:t>
      </w:r>
    </w:p>
    <w:p w14:paraId="64299882" w14:textId="77777777" w:rsidR="007B6C97" w:rsidRDefault="00E426D1">
      <w:r>
        <w:pict w14:anchorId="64299A05">
          <v:rect id="_x0000_i1067" style="width:415.3pt;height:1.5pt" o:hralign="center" o:hrstd="t" o:hr="t" fillcolor="#a0a0a0" stroked="f"/>
        </w:pict>
      </w:r>
    </w:p>
    <w:p w14:paraId="64299883" w14:textId="77777777" w:rsidR="007B6C97" w:rsidRDefault="00E426D1">
      <w:hyperlink r:id="rId169" w:anchor="ie38a2b375c9840e583a36769999bbee6_7" w:history="1">
        <w:r>
          <w:rPr>
            <w:rStyle w:val="a5"/>
            <w:rFonts w:ascii="Times New Roman" w:eastAsia="宋体" w:hAnsi="Times New Roman"/>
            <w:sz w:val="20"/>
            <w:szCs w:val="20"/>
          </w:rPr>
          <w:t>Table</w:t>
        </w:r>
      </w:hyperlink>
      <w:hyperlink r:id="rId170" w:anchor="ie38a2b375c9840e583a36769999bbee6_7" w:history="1">
        <w:r>
          <w:rPr>
            <w:rStyle w:val="a5"/>
            <w:rFonts w:ascii="Times New Roman" w:eastAsia="宋体" w:hAnsi="Times New Roman"/>
            <w:sz w:val="20"/>
            <w:szCs w:val="20"/>
          </w:rPr>
          <w:t xml:space="preserve"> of Contents</w:t>
        </w:r>
      </w:hyperlink>
    </w:p>
    <w:p w14:paraId="64299884" w14:textId="77777777" w:rsidR="007B6C97" w:rsidRDefault="00E426D1">
      <w:pPr>
        <w:spacing w:before="180" w:after="100"/>
        <w:jc w:val="center"/>
      </w:pPr>
      <w:r>
        <w:rPr>
          <w:rFonts w:ascii="Times New Roman" w:eastAsia="宋体" w:hAnsi="Times New Roman"/>
          <w:b/>
          <w:bCs/>
          <w:color w:val="00704A"/>
          <w:sz w:val="20"/>
          <w:szCs w:val="20"/>
        </w:rPr>
        <w:t>PART II — OTHER INFORMATION</w:t>
      </w:r>
    </w:p>
    <w:p w14:paraId="64299885" w14:textId="77777777" w:rsidR="007B6C97" w:rsidRDefault="00E426D1">
      <w:pPr>
        <w:pBdr>
          <w:left w:val="none" w:sz="0" w:space="0" w:color="auto"/>
        </w:pBd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64299886" w14:textId="77777777" w:rsidR="007B6C97" w:rsidRDefault="00E426D1">
      <w:pPr>
        <w:spacing w:before="120"/>
      </w:pPr>
      <w:r>
        <w:rPr>
          <w:rFonts w:ascii="Times New Roman" w:eastAsia="宋体" w:hAnsi="Times New Roman"/>
          <w:color w:val="000000"/>
          <w:sz w:val="20"/>
          <w:szCs w:val="20"/>
        </w:rPr>
        <w:t xml:space="preserve">See </w:t>
      </w:r>
      <w:hyperlink r:id="rId171" w:anchor="ie38a2b375c9840e583a36769999bbee6_8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xml:space="preserve">, Commitments and Contingencies, to the consolidated financial statements included in Item 1 of Part I of this 10-Q for information regarding certain legal </w:t>
      </w:r>
      <w:r>
        <w:rPr>
          <w:rFonts w:ascii="Times New Roman" w:eastAsia="宋体" w:hAnsi="Times New Roman"/>
          <w:color w:val="000000"/>
          <w:sz w:val="20"/>
          <w:szCs w:val="20"/>
        </w:rPr>
        <w:t>proceedings in which we are involved.</w:t>
      </w:r>
    </w:p>
    <w:p w14:paraId="64299887" w14:textId="77777777" w:rsidR="007B6C97" w:rsidRDefault="00E426D1">
      <w:pPr>
        <w:pBdr>
          <w:left w:val="none" w:sz="0" w:space="0" w:color="auto"/>
        </w:pBd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64299888" w14:textId="77777777" w:rsidR="007B6C97" w:rsidRDefault="00E426D1">
      <w:pPr>
        <w:spacing w:before="120"/>
      </w:pPr>
      <w:r>
        <w:rPr>
          <w:rFonts w:ascii="Times New Roman" w:eastAsia="宋体" w:hAnsi="Times New Roman"/>
          <w:color w:val="000000"/>
          <w:sz w:val="20"/>
          <w:szCs w:val="20"/>
        </w:rPr>
        <w:t>In addition to the other information set forth in this 10-Q, you should carefully consider the risks and uncertainties discussed in Part I, Item 1A. Risk Factors in our 10-K and Part II, Item 1A. R</w:t>
      </w:r>
      <w:r>
        <w:rPr>
          <w:rFonts w:ascii="Times New Roman" w:eastAsia="宋体" w:hAnsi="Times New Roman"/>
          <w:color w:val="000000"/>
          <w:sz w:val="20"/>
          <w:szCs w:val="20"/>
        </w:rPr>
        <w:t>isk Factors in our first quarter 2022 Form 10-Q, which could materially adversely affect our business, financial condition, or future results. There have been no material changes to the risk factors disclosed our 10-K and our first quarter 2022 Form 10-Q.</w:t>
      </w:r>
    </w:p>
    <w:p w14:paraId="64299889" w14:textId="77777777" w:rsidR="007B6C97" w:rsidRDefault="00E426D1">
      <w:pPr>
        <w:pBdr>
          <w:left w:val="none" w:sz="0" w:space="0" w:color="auto"/>
        </w:pBdr>
        <w:spacing w:before="180"/>
        <w:ind w:hanging="360"/>
      </w:pPr>
      <w:r>
        <w:rPr>
          <w:rFonts w:ascii="Times New Roman" w:eastAsia="宋体" w:hAnsi="Times New Roman"/>
          <w:b/>
          <w:bCs/>
          <w:color w:val="00704A"/>
          <w:sz w:val="20"/>
          <w:szCs w:val="20"/>
        </w:rPr>
        <w:t>Item 2.</w:t>
      </w:r>
      <w:hyperlink r:id="rId172" w:anchor="ie38a2b375c9840e583a36769999bbee6_148" w:history="1">
        <w:r>
          <w:rPr>
            <w:rStyle w:val="a5"/>
            <w:rFonts w:ascii="Times New Roman" w:eastAsia="宋体" w:hAnsi="Times New Roman"/>
            <w:b/>
            <w:bCs/>
            <w:i/>
            <w:iCs/>
            <w:color w:val="00704A"/>
            <w:sz w:val="20"/>
            <w:szCs w:val="20"/>
            <w:u w:val="none"/>
          </w:rPr>
          <w:t>Unregistered Sales of Equity Securities and Use of Proceeds</w:t>
        </w:r>
      </w:hyperlink>
    </w:p>
    <w:p w14:paraId="6429988A" w14:textId="77777777" w:rsidR="007B6C97" w:rsidRDefault="00E426D1">
      <w:pPr>
        <w:spacing w:before="180"/>
      </w:pPr>
      <w:r>
        <w:rPr>
          <w:rFonts w:ascii="Times New Roman" w:eastAsia="宋体" w:hAnsi="Times New Roman"/>
          <w:color w:val="000000"/>
          <w:sz w:val="20"/>
          <w:szCs w:val="20"/>
        </w:rPr>
        <w:t>Shares under our ongoing share rep</w:t>
      </w:r>
      <w:r>
        <w:rPr>
          <w:rFonts w:ascii="Times New Roman" w:eastAsia="宋体" w:hAnsi="Times New Roman"/>
          <w:color w:val="000000"/>
          <w:sz w:val="20"/>
          <w:szCs w:val="20"/>
        </w:rPr>
        <w:t>urchase program may be repurchased in open market transactions, including pursuant to a trading plan adopted in accordance with Rule 10b5-1 of the Exchange Act, or through privately negotiated transactions. The timing, manner, price and amount of repurchas</w:t>
      </w:r>
      <w:r>
        <w:rPr>
          <w:rFonts w:ascii="Times New Roman" w:eastAsia="宋体" w:hAnsi="Times New Roman"/>
          <w:color w:val="000000"/>
          <w:sz w:val="20"/>
          <w:szCs w:val="20"/>
        </w:rPr>
        <w:t>es will be determined at our discretion and the share repurchase program may be suspended, terminated or modified at any time for any reason. On April 4, 2022, we announced a temporary suspension of our share repurchase program to allow us to augment inves</w:t>
      </w:r>
      <w:r>
        <w:rPr>
          <w:rFonts w:ascii="Times New Roman" w:eastAsia="宋体" w:hAnsi="Times New Roman"/>
          <w:color w:val="000000"/>
          <w:sz w:val="20"/>
          <w:szCs w:val="20"/>
        </w:rPr>
        <w:t>tments in our stores and partners. During the third fiscal quarter ended July 3, 2022, there was no share repurchase activity.</w:t>
      </w:r>
    </w:p>
    <w:p w14:paraId="6429988B" w14:textId="77777777" w:rsidR="007B6C97" w:rsidRDefault="00E426D1">
      <w:pPr>
        <w:pBdr>
          <w:left w:val="none" w:sz="0" w:space="0" w:color="auto"/>
        </w:pBdr>
        <w:spacing w:before="180"/>
        <w:ind w:hanging="81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Defaults upon Senior Securities</w:t>
      </w:r>
    </w:p>
    <w:p w14:paraId="6429988C" w14:textId="77777777" w:rsidR="007B6C97" w:rsidRDefault="00E426D1">
      <w:pPr>
        <w:spacing w:before="180"/>
      </w:pPr>
      <w:r>
        <w:rPr>
          <w:rFonts w:ascii="Times New Roman" w:eastAsia="宋体" w:hAnsi="Times New Roman"/>
          <w:color w:val="000000"/>
          <w:sz w:val="20"/>
          <w:szCs w:val="20"/>
        </w:rPr>
        <w:t>None.</w:t>
      </w:r>
    </w:p>
    <w:p w14:paraId="6429988D" w14:textId="77777777" w:rsidR="007B6C97" w:rsidRDefault="00E426D1">
      <w:pPr>
        <w:pBdr>
          <w:left w:val="none" w:sz="0" w:space="0" w:color="auto"/>
        </w:pBdr>
        <w:spacing w:before="180"/>
        <w:ind w:hanging="81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Mine Safety Disclosures</w:t>
      </w:r>
    </w:p>
    <w:p w14:paraId="6429988E" w14:textId="77777777" w:rsidR="007B6C97" w:rsidRDefault="00E426D1">
      <w:pPr>
        <w:spacing w:before="180"/>
      </w:pPr>
      <w:r>
        <w:rPr>
          <w:rFonts w:ascii="Times New Roman" w:eastAsia="宋体" w:hAnsi="Times New Roman"/>
          <w:color w:val="000000"/>
          <w:sz w:val="20"/>
          <w:szCs w:val="20"/>
        </w:rPr>
        <w:t>Not applicable.</w:t>
      </w:r>
    </w:p>
    <w:p w14:paraId="6429988F" w14:textId="77777777" w:rsidR="007B6C97" w:rsidRDefault="00E426D1">
      <w:pPr>
        <w:pBdr>
          <w:left w:val="none" w:sz="0" w:space="0" w:color="auto"/>
        </w:pBdr>
        <w:spacing w:before="180"/>
        <w:ind w:hanging="810"/>
      </w:pPr>
      <w:r>
        <w:rPr>
          <w:rFonts w:ascii="Times New Roman" w:eastAsia="宋体" w:hAnsi="Times New Roman"/>
          <w:b/>
          <w:bCs/>
          <w:color w:val="00704A"/>
          <w:sz w:val="20"/>
          <w:szCs w:val="20"/>
        </w:rPr>
        <w:t>Item 5.</w:t>
      </w:r>
      <w:r>
        <w:rPr>
          <w:rFonts w:ascii="Times New Roman" w:eastAsia="宋体" w:hAnsi="Times New Roman"/>
          <w:b/>
          <w:bCs/>
          <w:i/>
          <w:iCs/>
          <w:color w:val="00704A"/>
          <w:sz w:val="20"/>
          <w:szCs w:val="20"/>
        </w:rPr>
        <w:t>Other Information</w:t>
      </w:r>
    </w:p>
    <w:p w14:paraId="64299890" w14:textId="77777777" w:rsidR="007B6C97" w:rsidRDefault="00E426D1">
      <w:pPr>
        <w:spacing w:before="180"/>
      </w:pPr>
      <w:r>
        <w:rPr>
          <w:rFonts w:ascii="Times New Roman" w:eastAsia="宋体" w:hAnsi="Times New Roman"/>
          <w:color w:val="000000"/>
          <w:sz w:val="20"/>
          <w:szCs w:val="20"/>
        </w:rPr>
        <w:t>None.</w:t>
      </w:r>
    </w:p>
    <w:p w14:paraId="64299891" w14:textId="77777777" w:rsidR="007B6C97" w:rsidRDefault="00E426D1">
      <w:pPr>
        <w:jc w:val="center"/>
      </w:pPr>
      <w:r>
        <w:rPr>
          <w:rFonts w:ascii="Times New Roman" w:eastAsia="宋体" w:hAnsi="Times New Roman"/>
          <w:color w:val="000000"/>
          <w:sz w:val="20"/>
          <w:szCs w:val="20"/>
        </w:rPr>
        <w:t>44</w:t>
      </w:r>
    </w:p>
    <w:p w14:paraId="64299892" w14:textId="77777777" w:rsidR="007B6C97" w:rsidRDefault="00E426D1">
      <w:r>
        <w:pict w14:anchorId="64299A06">
          <v:rect id="_x0000_i1068" style="width:415.3pt;height:1.5pt" o:hralign="center" o:hrstd="t" o:hr="t" fillcolor="#a0a0a0" stroked="f"/>
        </w:pict>
      </w:r>
    </w:p>
    <w:p w14:paraId="64299893" w14:textId="77777777" w:rsidR="007B6C97" w:rsidRDefault="00E426D1">
      <w:hyperlink r:id="rId173" w:anchor="ie38a2b375c9840e583a36769999bbee6_7" w:history="1">
        <w:r>
          <w:rPr>
            <w:rStyle w:val="a5"/>
            <w:rFonts w:ascii="Times New Roman" w:eastAsia="宋体" w:hAnsi="Times New Roman"/>
            <w:sz w:val="20"/>
            <w:szCs w:val="20"/>
          </w:rPr>
          <w:t>Table</w:t>
        </w:r>
      </w:hyperlink>
      <w:hyperlink r:id="rId174" w:anchor="ie38a2b375c9840e583a36769999bbee6_7" w:history="1">
        <w:r>
          <w:rPr>
            <w:rStyle w:val="a5"/>
            <w:rFonts w:ascii="Times New Roman" w:eastAsia="宋体" w:hAnsi="Times New Roman"/>
            <w:sz w:val="20"/>
            <w:szCs w:val="20"/>
          </w:rPr>
          <w:t xml:space="preserve"> of Contents</w:t>
        </w:r>
      </w:hyperlink>
    </w:p>
    <w:p w14:paraId="64299894" w14:textId="77777777" w:rsidR="007B6C97" w:rsidRDefault="00E426D1">
      <w:pPr>
        <w:pBdr>
          <w:left w:val="none" w:sz="0" w:space="0" w:color="auto"/>
        </w:pBd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5000" w:type="pct"/>
        <w:tblInd w:w="-345" w:type="dxa"/>
        <w:tblCellMar>
          <w:top w:w="15" w:type="dxa"/>
          <w:left w:w="15" w:type="dxa"/>
          <w:bottom w:w="15" w:type="dxa"/>
          <w:right w:w="15" w:type="dxa"/>
        </w:tblCellMar>
        <w:tblLook w:val="04A0" w:firstRow="1" w:lastRow="0" w:firstColumn="1" w:lastColumn="0" w:noHBand="0" w:noVBand="1"/>
      </w:tblPr>
      <w:tblGrid>
        <w:gridCol w:w="74"/>
        <w:gridCol w:w="466"/>
        <w:gridCol w:w="36"/>
        <w:gridCol w:w="36"/>
        <w:gridCol w:w="36"/>
        <w:gridCol w:w="36"/>
        <w:gridCol w:w="39"/>
        <w:gridCol w:w="3318"/>
        <w:gridCol w:w="38"/>
        <w:gridCol w:w="36"/>
        <w:gridCol w:w="36"/>
        <w:gridCol w:w="36"/>
        <w:gridCol w:w="61"/>
        <w:gridCol w:w="356"/>
        <w:gridCol w:w="37"/>
        <w:gridCol w:w="37"/>
        <w:gridCol w:w="37"/>
        <w:gridCol w:w="37"/>
        <w:gridCol w:w="90"/>
        <w:gridCol w:w="809"/>
        <w:gridCol w:w="37"/>
        <w:gridCol w:w="37"/>
        <w:gridCol w:w="36"/>
        <w:gridCol w:w="36"/>
        <w:gridCol w:w="94"/>
        <w:gridCol w:w="849"/>
        <w:gridCol w:w="36"/>
        <w:gridCol w:w="36"/>
        <w:gridCol w:w="36"/>
        <w:gridCol w:w="36"/>
        <w:gridCol w:w="91"/>
        <w:gridCol w:w="509"/>
        <w:gridCol w:w="36"/>
        <w:gridCol w:w="36"/>
        <w:gridCol w:w="36"/>
        <w:gridCol w:w="36"/>
        <w:gridCol w:w="87"/>
        <w:gridCol w:w="585"/>
        <w:gridCol w:w="36"/>
      </w:tblGrid>
      <w:tr w:rsidR="007B6C97" w14:paraId="642998BC" w14:textId="77777777">
        <w:tc>
          <w:tcPr>
            <w:tcW w:w="50" w:type="pct"/>
            <w:shd w:val="clear" w:color="auto" w:fill="auto"/>
            <w:vAlign w:val="bottom"/>
          </w:tcPr>
          <w:p w14:paraId="64299895" w14:textId="77777777" w:rsidR="007B6C97" w:rsidRDefault="007B6C97">
            <w:pPr>
              <w:rPr>
                <w:rFonts w:ascii="宋体"/>
              </w:rPr>
            </w:pPr>
          </w:p>
        </w:tc>
        <w:tc>
          <w:tcPr>
            <w:tcW w:w="317" w:type="pct"/>
            <w:shd w:val="clear" w:color="auto" w:fill="auto"/>
            <w:vAlign w:val="bottom"/>
          </w:tcPr>
          <w:p w14:paraId="64299896" w14:textId="77777777" w:rsidR="007B6C97" w:rsidRDefault="007B6C97">
            <w:pPr>
              <w:rPr>
                <w:rFonts w:ascii="宋体"/>
              </w:rPr>
            </w:pPr>
          </w:p>
        </w:tc>
        <w:tc>
          <w:tcPr>
            <w:tcW w:w="5" w:type="pct"/>
            <w:shd w:val="clear" w:color="auto" w:fill="auto"/>
            <w:vAlign w:val="bottom"/>
          </w:tcPr>
          <w:p w14:paraId="64299897" w14:textId="77777777" w:rsidR="007B6C97" w:rsidRDefault="007B6C97">
            <w:pPr>
              <w:rPr>
                <w:rFonts w:ascii="宋体"/>
              </w:rPr>
            </w:pPr>
          </w:p>
        </w:tc>
        <w:tc>
          <w:tcPr>
            <w:tcW w:w="5" w:type="pct"/>
            <w:shd w:val="clear" w:color="auto" w:fill="auto"/>
            <w:vAlign w:val="bottom"/>
          </w:tcPr>
          <w:p w14:paraId="64299898" w14:textId="77777777" w:rsidR="007B6C97" w:rsidRDefault="007B6C97">
            <w:pPr>
              <w:rPr>
                <w:rFonts w:ascii="宋体"/>
              </w:rPr>
            </w:pPr>
          </w:p>
        </w:tc>
        <w:tc>
          <w:tcPr>
            <w:tcW w:w="26" w:type="pct"/>
            <w:shd w:val="clear" w:color="auto" w:fill="auto"/>
            <w:vAlign w:val="bottom"/>
          </w:tcPr>
          <w:p w14:paraId="64299899" w14:textId="77777777" w:rsidR="007B6C97" w:rsidRDefault="007B6C97">
            <w:pPr>
              <w:rPr>
                <w:rFonts w:ascii="宋体"/>
              </w:rPr>
            </w:pPr>
          </w:p>
        </w:tc>
        <w:tc>
          <w:tcPr>
            <w:tcW w:w="5" w:type="pct"/>
            <w:shd w:val="clear" w:color="auto" w:fill="auto"/>
            <w:vAlign w:val="bottom"/>
          </w:tcPr>
          <w:p w14:paraId="6429989A" w14:textId="77777777" w:rsidR="007B6C97" w:rsidRDefault="007B6C97">
            <w:pPr>
              <w:rPr>
                <w:rFonts w:ascii="宋体"/>
              </w:rPr>
            </w:pPr>
          </w:p>
        </w:tc>
        <w:tc>
          <w:tcPr>
            <w:tcW w:w="50" w:type="pct"/>
            <w:shd w:val="clear" w:color="auto" w:fill="auto"/>
            <w:vAlign w:val="bottom"/>
          </w:tcPr>
          <w:p w14:paraId="6429989B" w14:textId="77777777" w:rsidR="007B6C97" w:rsidRDefault="007B6C97">
            <w:pPr>
              <w:rPr>
                <w:rFonts w:ascii="宋体"/>
              </w:rPr>
            </w:pPr>
          </w:p>
        </w:tc>
        <w:tc>
          <w:tcPr>
            <w:tcW w:w="2254" w:type="pct"/>
            <w:shd w:val="clear" w:color="auto" w:fill="auto"/>
            <w:vAlign w:val="bottom"/>
          </w:tcPr>
          <w:p w14:paraId="6429989C" w14:textId="77777777" w:rsidR="007B6C97" w:rsidRDefault="007B6C97">
            <w:pPr>
              <w:rPr>
                <w:rFonts w:ascii="宋体"/>
              </w:rPr>
            </w:pPr>
          </w:p>
        </w:tc>
        <w:tc>
          <w:tcPr>
            <w:tcW w:w="5" w:type="pct"/>
            <w:shd w:val="clear" w:color="auto" w:fill="auto"/>
            <w:vAlign w:val="bottom"/>
          </w:tcPr>
          <w:p w14:paraId="6429989D" w14:textId="77777777" w:rsidR="007B6C97" w:rsidRDefault="007B6C97">
            <w:pPr>
              <w:rPr>
                <w:rFonts w:ascii="宋体"/>
              </w:rPr>
            </w:pPr>
          </w:p>
        </w:tc>
        <w:tc>
          <w:tcPr>
            <w:tcW w:w="5" w:type="pct"/>
            <w:shd w:val="clear" w:color="auto" w:fill="auto"/>
            <w:vAlign w:val="bottom"/>
          </w:tcPr>
          <w:p w14:paraId="6429989E" w14:textId="77777777" w:rsidR="007B6C97" w:rsidRDefault="007B6C97">
            <w:pPr>
              <w:rPr>
                <w:rFonts w:ascii="宋体"/>
              </w:rPr>
            </w:pPr>
          </w:p>
        </w:tc>
        <w:tc>
          <w:tcPr>
            <w:tcW w:w="26" w:type="pct"/>
            <w:shd w:val="clear" w:color="auto" w:fill="auto"/>
            <w:vAlign w:val="bottom"/>
          </w:tcPr>
          <w:p w14:paraId="6429989F" w14:textId="77777777" w:rsidR="007B6C97" w:rsidRDefault="007B6C97">
            <w:pPr>
              <w:rPr>
                <w:rFonts w:ascii="宋体"/>
              </w:rPr>
            </w:pPr>
          </w:p>
        </w:tc>
        <w:tc>
          <w:tcPr>
            <w:tcW w:w="5" w:type="pct"/>
            <w:shd w:val="clear" w:color="auto" w:fill="auto"/>
            <w:vAlign w:val="bottom"/>
          </w:tcPr>
          <w:p w14:paraId="642998A0" w14:textId="77777777" w:rsidR="007B6C97" w:rsidRDefault="007B6C97">
            <w:pPr>
              <w:rPr>
                <w:rFonts w:ascii="宋体"/>
              </w:rPr>
            </w:pPr>
          </w:p>
        </w:tc>
        <w:tc>
          <w:tcPr>
            <w:tcW w:w="50" w:type="pct"/>
            <w:shd w:val="clear" w:color="auto" w:fill="auto"/>
            <w:vAlign w:val="bottom"/>
          </w:tcPr>
          <w:p w14:paraId="642998A1" w14:textId="77777777" w:rsidR="007B6C97" w:rsidRDefault="007B6C97">
            <w:pPr>
              <w:rPr>
                <w:rFonts w:ascii="宋体"/>
              </w:rPr>
            </w:pPr>
          </w:p>
        </w:tc>
        <w:tc>
          <w:tcPr>
            <w:tcW w:w="295" w:type="pct"/>
            <w:shd w:val="clear" w:color="auto" w:fill="auto"/>
            <w:vAlign w:val="bottom"/>
          </w:tcPr>
          <w:p w14:paraId="642998A2" w14:textId="77777777" w:rsidR="007B6C97" w:rsidRDefault="007B6C97">
            <w:pPr>
              <w:rPr>
                <w:rFonts w:ascii="宋体"/>
              </w:rPr>
            </w:pPr>
          </w:p>
        </w:tc>
        <w:tc>
          <w:tcPr>
            <w:tcW w:w="5" w:type="pct"/>
            <w:shd w:val="clear" w:color="auto" w:fill="auto"/>
            <w:vAlign w:val="bottom"/>
          </w:tcPr>
          <w:p w14:paraId="642998A3" w14:textId="77777777" w:rsidR="007B6C97" w:rsidRDefault="007B6C97">
            <w:pPr>
              <w:rPr>
                <w:rFonts w:ascii="宋体"/>
              </w:rPr>
            </w:pPr>
          </w:p>
        </w:tc>
        <w:tc>
          <w:tcPr>
            <w:tcW w:w="5" w:type="pct"/>
            <w:shd w:val="clear" w:color="auto" w:fill="auto"/>
            <w:vAlign w:val="bottom"/>
          </w:tcPr>
          <w:p w14:paraId="642998A4" w14:textId="77777777" w:rsidR="007B6C97" w:rsidRDefault="007B6C97">
            <w:pPr>
              <w:rPr>
                <w:rFonts w:ascii="宋体"/>
              </w:rPr>
            </w:pPr>
          </w:p>
        </w:tc>
        <w:tc>
          <w:tcPr>
            <w:tcW w:w="26" w:type="pct"/>
            <w:shd w:val="clear" w:color="auto" w:fill="auto"/>
            <w:vAlign w:val="bottom"/>
          </w:tcPr>
          <w:p w14:paraId="642998A5" w14:textId="77777777" w:rsidR="007B6C97" w:rsidRDefault="007B6C97">
            <w:pPr>
              <w:rPr>
                <w:rFonts w:ascii="宋体"/>
              </w:rPr>
            </w:pPr>
          </w:p>
        </w:tc>
        <w:tc>
          <w:tcPr>
            <w:tcW w:w="5" w:type="pct"/>
            <w:shd w:val="clear" w:color="auto" w:fill="auto"/>
            <w:vAlign w:val="bottom"/>
          </w:tcPr>
          <w:p w14:paraId="642998A6" w14:textId="77777777" w:rsidR="007B6C97" w:rsidRDefault="007B6C97">
            <w:pPr>
              <w:rPr>
                <w:rFonts w:ascii="宋体"/>
              </w:rPr>
            </w:pPr>
          </w:p>
        </w:tc>
        <w:tc>
          <w:tcPr>
            <w:tcW w:w="50" w:type="pct"/>
            <w:shd w:val="clear" w:color="auto" w:fill="auto"/>
            <w:vAlign w:val="bottom"/>
          </w:tcPr>
          <w:p w14:paraId="642998A7" w14:textId="77777777" w:rsidR="007B6C97" w:rsidRDefault="007B6C97">
            <w:pPr>
              <w:rPr>
                <w:rFonts w:ascii="宋体"/>
              </w:rPr>
            </w:pPr>
          </w:p>
        </w:tc>
        <w:tc>
          <w:tcPr>
            <w:tcW w:w="449" w:type="pct"/>
            <w:shd w:val="clear" w:color="auto" w:fill="auto"/>
            <w:vAlign w:val="bottom"/>
          </w:tcPr>
          <w:p w14:paraId="642998A8" w14:textId="77777777" w:rsidR="007B6C97" w:rsidRDefault="007B6C97">
            <w:pPr>
              <w:rPr>
                <w:rFonts w:ascii="宋体"/>
              </w:rPr>
            </w:pPr>
          </w:p>
        </w:tc>
        <w:tc>
          <w:tcPr>
            <w:tcW w:w="5" w:type="pct"/>
            <w:shd w:val="clear" w:color="auto" w:fill="auto"/>
            <w:vAlign w:val="bottom"/>
          </w:tcPr>
          <w:p w14:paraId="642998A9" w14:textId="77777777" w:rsidR="007B6C97" w:rsidRDefault="007B6C97">
            <w:pPr>
              <w:rPr>
                <w:rFonts w:ascii="宋体"/>
              </w:rPr>
            </w:pPr>
          </w:p>
        </w:tc>
        <w:tc>
          <w:tcPr>
            <w:tcW w:w="5" w:type="pct"/>
            <w:shd w:val="clear" w:color="auto" w:fill="auto"/>
            <w:vAlign w:val="bottom"/>
          </w:tcPr>
          <w:p w14:paraId="642998AA" w14:textId="77777777" w:rsidR="007B6C97" w:rsidRDefault="007B6C97">
            <w:pPr>
              <w:rPr>
                <w:rFonts w:ascii="宋体"/>
              </w:rPr>
            </w:pPr>
          </w:p>
        </w:tc>
        <w:tc>
          <w:tcPr>
            <w:tcW w:w="26" w:type="pct"/>
            <w:shd w:val="clear" w:color="auto" w:fill="auto"/>
            <w:vAlign w:val="bottom"/>
          </w:tcPr>
          <w:p w14:paraId="642998AB" w14:textId="77777777" w:rsidR="007B6C97" w:rsidRDefault="007B6C97">
            <w:pPr>
              <w:rPr>
                <w:rFonts w:ascii="宋体"/>
              </w:rPr>
            </w:pPr>
          </w:p>
        </w:tc>
        <w:tc>
          <w:tcPr>
            <w:tcW w:w="5" w:type="pct"/>
            <w:shd w:val="clear" w:color="auto" w:fill="auto"/>
            <w:vAlign w:val="bottom"/>
          </w:tcPr>
          <w:p w14:paraId="642998AC" w14:textId="77777777" w:rsidR="007B6C97" w:rsidRDefault="007B6C97">
            <w:pPr>
              <w:rPr>
                <w:rFonts w:ascii="宋体"/>
              </w:rPr>
            </w:pPr>
          </w:p>
        </w:tc>
        <w:tc>
          <w:tcPr>
            <w:tcW w:w="50" w:type="pct"/>
            <w:shd w:val="clear" w:color="auto" w:fill="auto"/>
            <w:vAlign w:val="bottom"/>
          </w:tcPr>
          <w:p w14:paraId="642998AD" w14:textId="77777777" w:rsidR="007B6C97" w:rsidRDefault="007B6C97">
            <w:pPr>
              <w:rPr>
                <w:rFonts w:ascii="宋体"/>
              </w:rPr>
            </w:pPr>
          </w:p>
        </w:tc>
        <w:tc>
          <w:tcPr>
            <w:tcW w:w="456" w:type="pct"/>
            <w:shd w:val="clear" w:color="auto" w:fill="auto"/>
            <w:vAlign w:val="bottom"/>
          </w:tcPr>
          <w:p w14:paraId="642998AE" w14:textId="77777777" w:rsidR="007B6C97" w:rsidRDefault="007B6C97">
            <w:pPr>
              <w:rPr>
                <w:rFonts w:ascii="宋体"/>
              </w:rPr>
            </w:pPr>
          </w:p>
        </w:tc>
        <w:tc>
          <w:tcPr>
            <w:tcW w:w="5" w:type="pct"/>
            <w:shd w:val="clear" w:color="auto" w:fill="auto"/>
            <w:vAlign w:val="bottom"/>
          </w:tcPr>
          <w:p w14:paraId="642998AF" w14:textId="77777777" w:rsidR="007B6C97" w:rsidRDefault="007B6C97">
            <w:pPr>
              <w:rPr>
                <w:rFonts w:ascii="宋体"/>
              </w:rPr>
            </w:pPr>
          </w:p>
        </w:tc>
        <w:tc>
          <w:tcPr>
            <w:tcW w:w="5" w:type="pct"/>
            <w:shd w:val="clear" w:color="auto" w:fill="auto"/>
            <w:vAlign w:val="bottom"/>
          </w:tcPr>
          <w:p w14:paraId="642998B0" w14:textId="77777777" w:rsidR="007B6C97" w:rsidRDefault="007B6C97">
            <w:pPr>
              <w:rPr>
                <w:rFonts w:ascii="宋体"/>
              </w:rPr>
            </w:pPr>
          </w:p>
        </w:tc>
        <w:tc>
          <w:tcPr>
            <w:tcW w:w="26" w:type="pct"/>
            <w:shd w:val="clear" w:color="auto" w:fill="auto"/>
            <w:vAlign w:val="bottom"/>
          </w:tcPr>
          <w:p w14:paraId="642998B1" w14:textId="77777777" w:rsidR="007B6C97" w:rsidRDefault="007B6C97">
            <w:pPr>
              <w:rPr>
                <w:rFonts w:ascii="宋体"/>
              </w:rPr>
            </w:pPr>
          </w:p>
        </w:tc>
        <w:tc>
          <w:tcPr>
            <w:tcW w:w="5" w:type="pct"/>
            <w:shd w:val="clear" w:color="auto" w:fill="auto"/>
            <w:vAlign w:val="bottom"/>
          </w:tcPr>
          <w:p w14:paraId="642998B2" w14:textId="77777777" w:rsidR="007B6C97" w:rsidRDefault="007B6C97">
            <w:pPr>
              <w:rPr>
                <w:rFonts w:ascii="宋体"/>
              </w:rPr>
            </w:pPr>
          </w:p>
        </w:tc>
        <w:tc>
          <w:tcPr>
            <w:tcW w:w="50" w:type="pct"/>
            <w:shd w:val="clear" w:color="auto" w:fill="auto"/>
            <w:vAlign w:val="bottom"/>
          </w:tcPr>
          <w:p w14:paraId="642998B3" w14:textId="77777777" w:rsidR="007B6C97" w:rsidRDefault="007B6C97">
            <w:pPr>
              <w:rPr>
                <w:rFonts w:ascii="宋体"/>
              </w:rPr>
            </w:pPr>
          </w:p>
        </w:tc>
        <w:tc>
          <w:tcPr>
            <w:tcW w:w="281" w:type="pct"/>
            <w:shd w:val="clear" w:color="auto" w:fill="auto"/>
            <w:vAlign w:val="bottom"/>
          </w:tcPr>
          <w:p w14:paraId="642998B4" w14:textId="77777777" w:rsidR="007B6C97" w:rsidRDefault="007B6C97">
            <w:pPr>
              <w:rPr>
                <w:rFonts w:ascii="宋体"/>
              </w:rPr>
            </w:pPr>
          </w:p>
        </w:tc>
        <w:tc>
          <w:tcPr>
            <w:tcW w:w="5" w:type="pct"/>
            <w:shd w:val="clear" w:color="auto" w:fill="auto"/>
            <w:vAlign w:val="bottom"/>
          </w:tcPr>
          <w:p w14:paraId="642998B5" w14:textId="77777777" w:rsidR="007B6C97" w:rsidRDefault="007B6C97">
            <w:pPr>
              <w:rPr>
                <w:rFonts w:ascii="宋体"/>
              </w:rPr>
            </w:pPr>
          </w:p>
        </w:tc>
        <w:tc>
          <w:tcPr>
            <w:tcW w:w="5" w:type="pct"/>
            <w:shd w:val="clear" w:color="auto" w:fill="auto"/>
            <w:vAlign w:val="bottom"/>
          </w:tcPr>
          <w:p w14:paraId="642998B6" w14:textId="77777777" w:rsidR="007B6C97" w:rsidRDefault="007B6C97">
            <w:pPr>
              <w:rPr>
                <w:rFonts w:ascii="宋体"/>
              </w:rPr>
            </w:pPr>
          </w:p>
        </w:tc>
        <w:tc>
          <w:tcPr>
            <w:tcW w:w="26" w:type="pct"/>
            <w:shd w:val="clear" w:color="auto" w:fill="auto"/>
            <w:vAlign w:val="bottom"/>
          </w:tcPr>
          <w:p w14:paraId="642998B7" w14:textId="77777777" w:rsidR="007B6C97" w:rsidRDefault="007B6C97">
            <w:pPr>
              <w:rPr>
                <w:rFonts w:ascii="宋体"/>
              </w:rPr>
            </w:pPr>
          </w:p>
        </w:tc>
        <w:tc>
          <w:tcPr>
            <w:tcW w:w="5" w:type="pct"/>
            <w:shd w:val="clear" w:color="auto" w:fill="auto"/>
            <w:vAlign w:val="bottom"/>
          </w:tcPr>
          <w:p w14:paraId="642998B8" w14:textId="77777777" w:rsidR="007B6C97" w:rsidRDefault="007B6C97">
            <w:pPr>
              <w:rPr>
                <w:rFonts w:ascii="宋体"/>
              </w:rPr>
            </w:pPr>
          </w:p>
        </w:tc>
        <w:tc>
          <w:tcPr>
            <w:tcW w:w="50" w:type="pct"/>
            <w:shd w:val="clear" w:color="auto" w:fill="auto"/>
            <w:vAlign w:val="bottom"/>
          </w:tcPr>
          <w:p w14:paraId="642998B9" w14:textId="77777777" w:rsidR="007B6C97" w:rsidRDefault="007B6C97">
            <w:pPr>
              <w:rPr>
                <w:rFonts w:ascii="宋体"/>
              </w:rPr>
            </w:pPr>
          </w:p>
        </w:tc>
        <w:tc>
          <w:tcPr>
            <w:tcW w:w="340" w:type="pct"/>
            <w:shd w:val="clear" w:color="auto" w:fill="auto"/>
            <w:vAlign w:val="bottom"/>
          </w:tcPr>
          <w:p w14:paraId="642998BA" w14:textId="77777777" w:rsidR="007B6C97" w:rsidRDefault="007B6C97">
            <w:pPr>
              <w:rPr>
                <w:rFonts w:ascii="宋体"/>
              </w:rPr>
            </w:pPr>
          </w:p>
        </w:tc>
        <w:tc>
          <w:tcPr>
            <w:tcW w:w="5" w:type="pct"/>
            <w:shd w:val="clear" w:color="auto" w:fill="auto"/>
            <w:vAlign w:val="bottom"/>
          </w:tcPr>
          <w:p w14:paraId="642998BB" w14:textId="77777777" w:rsidR="007B6C97" w:rsidRDefault="007B6C97">
            <w:pPr>
              <w:rPr>
                <w:rFonts w:ascii="宋体"/>
              </w:rPr>
            </w:pPr>
          </w:p>
        </w:tc>
      </w:tr>
      <w:tr w:rsidR="007B6C97" w14:paraId="642998C4" w14:textId="77777777">
        <w:tc>
          <w:tcPr>
            <w:tcW w:w="0" w:type="auto"/>
            <w:gridSpan w:val="3"/>
            <w:shd w:val="clear" w:color="auto" w:fill="auto"/>
            <w:tcMar>
              <w:top w:w="40" w:type="dxa"/>
              <w:left w:w="20" w:type="dxa"/>
              <w:bottom w:w="40" w:type="dxa"/>
              <w:right w:w="20" w:type="dxa"/>
            </w:tcMar>
            <w:vAlign w:val="bottom"/>
          </w:tcPr>
          <w:p w14:paraId="642998BD"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98BE"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8BF" w14:textId="77777777" w:rsidR="007B6C97" w:rsidRDefault="00E426D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42998C0" w14:textId="77777777" w:rsidR="007B6C97" w:rsidRDefault="007B6C97">
            <w:pPr>
              <w:rPr>
                <w:rFonts w:ascii="宋体"/>
              </w:rPr>
            </w:pPr>
          </w:p>
        </w:tc>
        <w:tc>
          <w:tcPr>
            <w:tcW w:w="0" w:type="auto"/>
            <w:gridSpan w:val="21"/>
            <w:shd w:val="clear" w:color="auto" w:fill="00704A"/>
            <w:tcMar>
              <w:top w:w="40" w:type="dxa"/>
              <w:left w:w="20" w:type="dxa"/>
              <w:bottom w:w="40" w:type="dxa"/>
              <w:right w:w="20" w:type="dxa"/>
            </w:tcMar>
            <w:vAlign w:val="bottom"/>
          </w:tcPr>
          <w:p w14:paraId="642998C1" w14:textId="77777777" w:rsidR="007B6C97" w:rsidRDefault="00E426D1">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642998C2"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8C3" w14:textId="77777777" w:rsidR="007B6C97" w:rsidRDefault="00E426D1">
            <w:pPr>
              <w:textAlignment w:val="bottom"/>
            </w:pPr>
            <w:r>
              <w:rPr>
                <w:rFonts w:ascii="Times New Roman" w:eastAsia="宋体" w:hAnsi="Times New Roman"/>
                <w:color w:val="000000"/>
                <w:sz w:val="16"/>
                <w:szCs w:val="16"/>
              </w:rPr>
              <w:t> </w:t>
            </w:r>
          </w:p>
        </w:tc>
      </w:tr>
      <w:tr w:rsidR="007B6C97" w14:paraId="642998D5" w14:textId="77777777">
        <w:tc>
          <w:tcPr>
            <w:tcW w:w="0" w:type="auto"/>
            <w:gridSpan w:val="3"/>
            <w:shd w:val="clear" w:color="auto" w:fill="00704A"/>
            <w:tcMar>
              <w:top w:w="40" w:type="dxa"/>
              <w:left w:w="20" w:type="dxa"/>
              <w:bottom w:w="40" w:type="dxa"/>
              <w:right w:w="20" w:type="dxa"/>
            </w:tcMar>
            <w:vAlign w:val="bottom"/>
          </w:tcPr>
          <w:p w14:paraId="642998C5"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Exhibit</w:t>
            </w:r>
          </w:p>
          <w:p w14:paraId="642998C6"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top w:w="0" w:type="dxa"/>
              <w:left w:w="20" w:type="dxa"/>
              <w:bottom w:w="0" w:type="dxa"/>
              <w:right w:w="20" w:type="dxa"/>
            </w:tcMar>
            <w:vAlign w:val="bottom"/>
          </w:tcPr>
          <w:p w14:paraId="642998C7"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C8" w14:textId="77777777" w:rsidR="007B6C97" w:rsidRDefault="00E426D1">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642998C9"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CA" w14:textId="77777777" w:rsidR="007B6C97" w:rsidRDefault="00E426D1">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Mar>
              <w:top w:w="0" w:type="dxa"/>
              <w:left w:w="20" w:type="dxa"/>
              <w:bottom w:w="0" w:type="dxa"/>
              <w:right w:w="20" w:type="dxa"/>
            </w:tcMar>
            <w:vAlign w:val="bottom"/>
          </w:tcPr>
          <w:p w14:paraId="642998CB"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CC" w14:textId="77777777" w:rsidR="007B6C97" w:rsidRDefault="00E426D1">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Mar>
              <w:top w:w="0" w:type="dxa"/>
              <w:left w:w="20" w:type="dxa"/>
              <w:bottom w:w="0" w:type="dxa"/>
              <w:right w:w="20" w:type="dxa"/>
            </w:tcMar>
            <w:vAlign w:val="bottom"/>
          </w:tcPr>
          <w:p w14:paraId="642998CD"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CE"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Date of</w:t>
            </w:r>
          </w:p>
          <w:p w14:paraId="642998CF"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Mar>
              <w:top w:w="0" w:type="dxa"/>
              <w:left w:w="20" w:type="dxa"/>
              <w:bottom w:w="0" w:type="dxa"/>
              <w:right w:w="20" w:type="dxa"/>
            </w:tcMar>
            <w:vAlign w:val="bottom"/>
          </w:tcPr>
          <w:p w14:paraId="642998D0"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D1" w14:textId="77777777" w:rsidR="007B6C97" w:rsidRDefault="00E426D1">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Mar>
              <w:top w:w="0" w:type="dxa"/>
              <w:left w:w="20" w:type="dxa"/>
              <w:bottom w:w="0" w:type="dxa"/>
              <w:right w:w="20" w:type="dxa"/>
            </w:tcMar>
            <w:vAlign w:val="bottom"/>
          </w:tcPr>
          <w:p w14:paraId="642998D2" w14:textId="77777777" w:rsidR="007B6C97" w:rsidRDefault="007B6C97">
            <w:pPr>
              <w:rPr>
                <w:rFonts w:ascii="宋体"/>
              </w:rPr>
            </w:pPr>
          </w:p>
        </w:tc>
        <w:tc>
          <w:tcPr>
            <w:tcW w:w="0" w:type="auto"/>
            <w:gridSpan w:val="3"/>
            <w:shd w:val="clear" w:color="auto" w:fill="00704A"/>
            <w:tcMar>
              <w:top w:w="40" w:type="dxa"/>
              <w:left w:w="20" w:type="dxa"/>
              <w:bottom w:w="40" w:type="dxa"/>
              <w:right w:w="20" w:type="dxa"/>
            </w:tcMar>
            <w:vAlign w:val="bottom"/>
          </w:tcPr>
          <w:p w14:paraId="642998D3"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Filed</w:t>
            </w:r>
          </w:p>
          <w:p w14:paraId="642998D4" w14:textId="77777777" w:rsidR="007B6C97" w:rsidRDefault="00E426D1">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FFFFFF"/>
                <w:sz w:val="16"/>
                <w:szCs w:val="16"/>
              </w:rPr>
              <w:t>Herewith</w:t>
            </w:r>
          </w:p>
        </w:tc>
      </w:tr>
      <w:tr w:rsidR="007B6C97" w14:paraId="642998E3" w14:textId="77777777">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42998D6" w14:textId="77777777" w:rsidR="007B6C97" w:rsidRDefault="00E426D1">
            <w:pPr>
              <w:pBdr>
                <w:top w:val="none" w:sz="0" w:space="0" w:color="auto"/>
                <w:left w:val="none" w:sz="0" w:space="0" w:color="auto"/>
                <w:bottom w:val="none" w:sz="0" w:space="0" w:color="auto"/>
                <w:right w:val="none" w:sz="0" w:space="0" w:color="auto"/>
              </w:pBdr>
              <w:jc w:val="center"/>
              <w:textAlignment w:val="center"/>
            </w:pPr>
            <w:hyperlink r:id="rId175" w:history="1">
              <w:r>
                <w:rPr>
                  <w:rStyle w:val="a5"/>
                  <w:rFonts w:ascii="Times New Roman" w:eastAsia="宋体" w:hAnsi="Times New Roman"/>
                  <w:sz w:val="20"/>
                  <w:szCs w:val="20"/>
                </w:rPr>
                <w:t>3.1</w:t>
              </w:r>
            </w:hyperlink>
          </w:p>
        </w:tc>
        <w:tc>
          <w:tcPr>
            <w:tcW w:w="0" w:type="auto"/>
            <w:gridSpan w:val="3"/>
            <w:shd w:val="clear" w:color="auto" w:fill="D7E4BC"/>
            <w:tcMar>
              <w:top w:w="0" w:type="dxa"/>
              <w:left w:w="20" w:type="dxa"/>
              <w:bottom w:w="0" w:type="dxa"/>
              <w:right w:w="20" w:type="dxa"/>
            </w:tcMar>
            <w:vAlign w:val="bottom"/>
          </w:tcPr>
          <w:p w14:paraId="642998D7"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642998D8" w14:textId="77777777" w:rsidR="007B6C97" w:rsidRDefault="00E426D1">
            <w:pPr>
              <w:pBdr>
                <w:top w:val="none" w:sz="0" w:space="0" w:color="auto"/>
                <w:left w:val="none" w:sz="0" w:space="0" w:color="auto"/>
                <w:bottom w:val="none" w:sz="0" w:space="0" w:color="auto"/>
                <w:right w:val="none" w:sz="0" w:space="0" w:color="auto"/>
              </w:pBdr>
              <w:textAlignment w:val="top"/>
            </w:pPr>
            <w:hyperlink r:id="rId176" w:history="1">
              <w:r>
                <w:rPr>
                  <w:rStyle w:val="a5"/>
                  <w:rFonts w:ascii="Times New Roman" w:eastAsia="宋体" w:hAnsi="Times New Roman"/>
                  <w:sz w:val="20"/>
                  <w:szCs w:val="20"/>
                </w:rPr>
                <w:t xml:space="preserve">Restated Articles of Incorporation of </w:t>
              </w:r>
              <w:r>
                <w:rPr>
                  <w:rStyle w:val="a5"/>
                  <w:rFonts w:ascii="Times New Roman" w:eastAsia="宋体" w:hAnsi="Times New Roman"/>
                  <w:sz w:val="20"/>
                  <w:szCs w:val="20"/>
                </w:rPr>
                <w:t>Starbucks Corporation</w:t>
              </w:r>
            </w:hyperlink>
          </w:p>
        </w:tc>
        <w:tc>
          <w:tcPr>
            <w:tcW w:w="0" w:type="auto"/>
            <w:gridSpan w:val="3"/>
            <w:shd w:val="clear" w:color="auto" w:fill="D7E4BC"/>
            <w:tcMar>
              <w:top w:w="0" w:type="dxa"/>
              <w:left w:w="20" w:type="dxa"/>
              <w:bottom w:w="0" w:type="dxa"/>
              <w:right w:w="20" w:type="dxa"/>
            </w:tcMar>
            <w:vAlign w:val="bottom"/>
          </w:tcPr>
          <w:p w14:paraId="642998D9"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42998DA" w14:textId="77777777" w:rsidR="007B6C97" w:rsidRDefault="00E426D1">
            <w:pPr>
              <w:jc w:val="center"/>
              <w:textAlignment w:val="center"/>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642998DB"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42998DC" w14:textId="77777777" w:rsidR="007B6C97" w:rsidRDefault="00E426D1">
            <w:pPr>
              <w:jc w:val="center"/>
              <w:textAlignment w:val="center"/>
            </w:pPr>
            <w:r>
              <w:rPr>
                <w:rFonts w:ascii="Times New Roman" w:eastAsia="宋体" w:hAnsi="Times New Roman"/>
                <w:color w:val="000000"/>
                <w:sz w:val="20"/>
                <w:szCs w:val="20"/>
              </w:rPr>
              <w:t>000-20322</w:t>
            </w:r>
          </w:p>
        </w:tc>
        <w:tc>
          <w:tcPr>
            <w:tcW w:w="0" w:type="auto"/>
            <w:gridSpan w:val="3"/>
            <w:shd w:val="clear" w:color="auto" w:fill="D7E4BC"/>
            <w:tcMar>
              <w:top w:w="0" w:type="dxa"/>
              <w:left w:w="20" w:type="dxa"/>
              <w:bottom w:w="0" w:type="dxa"/>
              <w:right w:w="20" w:type="dxa"/>
            </w:tcMar>
            <w:vAlign w:val="bottom"/>
          </w:tcPr>
          <w:p w14:paraId="642998DD"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42998DE" w14:textId="77777777" w:rsidR="007B6C97" w:rsidRDefault="00E426D1">
            <w:pPr>
              <w:jc w:val="center"/>
              <w:textAlignment w:val="center"/>
            </w:pPr>
            <w:r>
              <w:rPr>
                <w:rFonts w:ascii="Times New Roman" w:eastAsia="宋体" w:hAnsi="Times New Roman"/>
                <w:color w:val="000000"/>
                <w:sz w:val="20"/>
                <w:szCs w:val="20"/>
              </w:rPr>
              <w:t>04/28/2015</w:t>
            </w:r>
          </w:p>
        </w:tc>
        <w:tc>
          <w:tcPr>
            <w:tcW w:w="0" w:type="auto"/>
            <w:gridSpan w:val="3"/>
            <w:shd w:val="clear" w:color="auto" w:fill="D7E4BC"/>
            <w:tcMar>
              <w:top w:w="0" w:type="dxa"/>
              <w:left w:w="20" w:type="dxa"/>
              <w:bottom w:w="0" w:type="dxa"/>
              <w:right w:w="20" w:type="dxa"/>
            </w:tcMar>
            <w:vAlign w:val="bottom"/>
          </w:tcPr>
          <w:p w14:paraId="642998DF" w14:textId="77777777" w:rsidR="007B6C97" w:rsidRDefault="007B6C97">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42998E0" w14:textId="77777777" w:rsidR="007B6C97" w:rsidRDefault="00E426D1">
            <w:pPr>
              <w:jc w:val="center"/>
              <w:textAlignment w:val="center"/>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vAlign w:val="bottom"/>
          </w:tcPr>
          <w:p w14:paraId="642998E1" w14:textId="77777777" w:rsidR="007B6C97" w:rsidRDefault="007B6C97">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42998E2" w14:textId="77777777" w:rsidR="007B6C97" w:rsidRDefault="007B6C97">
            <w:pPr>
              <w:rPr>
                <w:rFonts w:ascii="宋体"/>
              </w:rPr>
            </w:pPr>
          </w:p>
        </w:tc>
      </w:tr>
      <w:tr w:rsidR="007B6C97" w14:paraId="642998F1" w14:textId="77777777">
        <w:tc>
          <w:tcPr>
            <w:tcW w:w="0" w:type="auto"/>
            <w:gridSpan w:val="3"/>
            <w:shd w:val="clear" w:color="auto" w:fill="FFFFFF"/>
            <w:tcMar>
              <w:top w:w="40" w:type="dxa"/>
              <w:left w:w="20" w:type="dxa"/>
              <w:bottom w:w="40" w:type="dxa"/>
              <w:right w:w="20" w:type="dxa"/>
            </w:tcMar>
          </w:tcPr>
          <w:p w14:paraId="642998E4" w14:textId="77777777" w:rsidR="007B6C97" w:rsidRDefault="00E426D1">
            <w:pPr>
              <w:pBdr>
                <w:top w:val="none" w:sz="0" w:space="0" w:color="auto"/>
                <w:left w:val="none" w:sz="0" w:space="0" w:color="auto"/>
                <w:bottom w:val="none" w:sz="0" w:space="0" w:color="auto"/>
                <w:right w:val="none" w:sz="0" w:space="0" w:color="auto"/>
              </w:pBdr>
              <w:jc w:val="center"/>
              <w:textAlignment w:val="top"/>
            </w:pPr>
            <w:hyperlink r:id="rId177"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vAlign w:val="bottom"/>
          </w:tcPr>
          <w:p w14:paraId="642998E5"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98E6" w14:textId="77777777" w:rsidR="007B6C97" w:rsidRDefault="00E426D1">
            <w:pPr>
              <w:pBdr>
                <w:top w:val="none" w:sz="0" w:space="0" w:color="auto"/>
                <w:left w:val="none" w:sz="0" w:space="0" w:color="auto"/>
                <w:bottom w:val="none" w:sz="0" w:space="0" w:color="auto"/>
                <w:right w:val="none" w:sz="0" w:space="0" w:color="auto"/>
              </w:pBdr>
              <w:textAlignment w:val="top"/>
            </w:pPr>
            <w:hyperlink r:id="rId178" w:history="1">
              <w:r>
                <w:rPr>
                  <w:rStyle w:val="a5"/>
                  <w:rFonts w:ascii="Times New Roman" w:eastAsia="宋体" w:hAnsi="Times New Roman"/>
                  <w:sz w:val="20"/>
                  <w:szCs w:val="20"/>
                </w:rPr>
                <w:t>Amended and Restated Bylaws of Starbucks Corporation (As a</w:t>
              </w:r>
              <w:r>
                <w:rPr>
                  <w:rStyle w:val="a5"/>
                  <w:rFonts w:ascii="Times New Roman" w:eastAsia="宋体" w:hAnsi="Times New Roman"/>
                  <w:sz w:val="20"/>
                  <w:szCs w:val="20"/>
                </w:rPr>
                <w:t>mended and restated through March 17, 2021)</w:t>
              </w:r>
            </w:hyperlink>
          </w:p>
        </w:tc>
        <w:tc>
          <w:tcPr>
            <w:tcW w:w="0" w:type="auto"/>
            <w:gridSpan w:val="3"/>
            <w:shd w:val="clear" w:color="auto" w:fill="FFFFFF"/>
            <w:tcMar>
              <w:top w:w="0" w:type="dxa"/>
              <w:left w:w="20" w:type="dxa"/>
              <w:bottom w:w="0" w:type="dxa"/>
              <w:right w:w="20" w:type="dxa"/>
            </w:tcMar>
            <w:vAlign w:val="bottom"/>
          </w:tcPr>
          <w:p w14:paraId="642998E7"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8E8" w14:textId="77777777" w:rsidR="007B6C97" w:rsidRDefault="00E426D1">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642998E9"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8EA" w14:textId="77777777" w:rsidR="007B6C97" w:rsidRDefault="00E426D1">
            <w:pPr>
              <w:jc w:val="center"/>
              <w:textAlignment w:val="center"/>
            </w:pPr>
            <w:r>
              <w:rPr>
                <w:rFonts w:ascii="Times New Roman" w:eastAsia="宋体" w:hAnsi="Times New Roman"/>
                <w:color w:val="000000"/>
                <w:sz w:val="20"/>
                <w:szCs w:val="20"/>
              </w:rPr>
              <w:t>000-20322</w:t>
            </w:r>
          </w:p>
        </w:tc>
        <w:tc>
          <w:tcPr>
            <w:tcW w:w="0" w:type="auto"/>
            <w:gridSpan w:val="3"/>
            <w:shd w:val="clear" w:color="auto" w:fill="FFFFFF"/>
            <w:tcMar>
              <w:top w:w="0" w:type="dxa"/>
              <w:left w:w="20" w:type="dxa"/>
              <w:bottom w:w="0" w:type="dxa"/>
              <w:right w:w="20" w:type="dxa"/>
            </w:tcMar>
            <w:vAlign w:val="bottom"/>
          </w:tcPr>
          <w:p w14:paraId="642998E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8EC" w14:textId="77777777" w:rsidR="007B6C97" w:rsidRDefault="00E426D1">
            <w:pPr>
              <w:jc w:val="center"/>
              <w:textAlignment w:val="center"/>
            </w:pPr>
            <w:r>
              <w:rPr>
                <w:rFonts w:ascii="Times New Roman" w:eastAsia="宋体" w:hAnsi="Times New Roman"/>
                <w:color w:val="000000"/>
                <w:sz w:val="20"/>
                <w:szCs w:val="20"/>
              </w:rPr>
              <w:t>03/19/2021</w:t>
            </w:r>
          </w:p>
        </w:tc>
        <w:tc>
          <w:tcPr>
            <w:tcW w:w="0" w:type="auto"/>
            <w:gridSpan w:val="3"/>
            <w:shd w:val="clear" w:color="auto" w:fill="FFFFFF"/>
            <w:tcMar>
              <w:top w:w="0" w:type="dxa"/>
              <w:left w:w="20" w:type="dxa"/>
              <w:bottom w:w="0" w:type="dxa"/>
              <w:right w:w="20" w:type="dxa"/>
            </w:tcMar>
            <w:vAlign w:val="bottom"/>
          </w:tcPr>
          <w:p w14:paraId="642998ED"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8EE" w14:textId="77777777" w:rsidR="007B6C97" w:rsidRDefault="00E426D1">
            <w:pPr>
              <w:jc w:val="center"/>
              <w:textAlignment w:val="center"/>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vAlign w:val="bottom"/>
          </w:tcPr>
          <w:p w14:paraId="642998EF" w14:textId="77777777" w:rsidR="007B6C97" w:rsidRDefault="007B6C97">
            <w:pPr>
              <w:rPr>
                <w:rFonts w:ascii="宋体"/>
              </w:rPr>
            </w:pPr>
          </w:p>
        </w:tc>
        <w:tc>
          <w:tcPr>
            <w:tcW w:w="0" w:type="auto"/>
            <w:gridSpan w:val="3"/>
            <w:shd w:val="clear" w:color="auto" w:fill="FFFFFF"/>
            <w:tcMar>
              <w:top w:w="0" w:type="dxa"/>
              <w:left w:w="20" w:type="dxa"/>
              <w:bottom w:w="0" w:type="dxa"/>
              <w:right w:w="20" w:type="dxa"/>
            </w:tcMar>
            <w:vAlign w:val="bottom"/>
          </w:tcPr>
          <w:p w14:paraId="642998F0" w14:textId="77777777" w:rsidR="007B6C97" w:rsidRDefault="007B6C97">
            <w:pPr>
              <w:rPr>
                <w:rFonts w:ascii="宋体"/>
              </w:rPr>
            </w:pPr>
          </w:p>
        </w:tc>
      </w:tr>
      <w:tr w:rsidR="007B6C97" w14:paraId="642998FF" w14:textId="77777777">
        <w:tc>
          <w:tcPr>
            <w:tcW w:w="0" w:type="auto"/>
            <w:gridSpan w:val="3"/>
            <w:shd w:val="clear" w:color="auto" w:fill="D7E4BC"/>
            <w:tcMar>
              <w:top w:w="40" w:type="dxa"/>
              <w:left w:w="20" w:type="dxa"/>
              <w:bottom w:w="40" w:type="dxa"/>
              <w:right w:w="20" w:type="dxa"/>
            </w:tcMar>
          </w:tcPr>
          <w:p w14:paraId="642998F2" w14:textId="77777777" w:rsidR="007B6C97" w:rsidRDefault="00E426D1">
            <w:pPr>
              <w:pBdr>
                <w:top w:val="none" w:sz="0" w:space="0" w:color="auto"/>
                <w:left w:val="none" w:sz="0" w:space="0" w:color="auto"/>
                <w:bottom w:val="none" w:sz="0" w:space="0" w:color="auto"/>
                <w:right w:val="none" w:sz="0" w:space="0" w:color="auto"/>
              </w:pBdr>
              <w:jc w:val="center"/>
              <w:textAlignment w:val="top"/>
            </w:pPr>
            <w:hyperlink r:id="rId179" w:history="1">
              <w:r>
                <w:rPr>
                  <w:rStyle w:val="a5"/>
                  <w:rFonts w:ascii="Times New Roman" w:eastAsia="宋体" w:hAnsi="Times New Roman"/>
                  <w:sz w:val="20"/>
                  <w:szCs w:val="20"/>
                </w:rPr>
                <w:t>31.1</w:t>
              </w:r>
            </w:hyperlink>
          </w:p>
        </w:tc>
        <w:tc>
          <w:tcPr>
            <w:tcW w:w="0" w:type="auto"/>
            <w:gridSpan w:val="3"/>
            <w:shd w:val="clear" w:color="auto" w:fill="D7E4BC"/>
            <w:tcMar>
              <w:top w:w="0" w:type="dxa"/>
              <w:left w:w="20" w:type="dxa"/>
              <w:bottom w:w="0" w:type="dxa"/>
              <w:right w:w="20" w:type="dxa"/>
            </w:tcMar>
            <w:vAlign w:val="bottom"/>
          </w:tcPr>
          <w:p w14:paraId="642998F3"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98F4" w14:textId="77777777" w:rsidR="007B6C97" w:rsidRDefault="00E426D1">
            <w:pPr>
              <w:pBdr>
                <w:top w:val="none" w:sz="0" w:space="0" w:color="auto"/>
                <w:left w:val="none" w:sz="0" w:space="0" w:color="auto"/>
                <w:bottom w:val="none" w:sz="0" w:space="0" w:color="auto"/>
                <w:right w:val="none" w:sz="0" w:space="0" w:color="auto"/>
              </w:pBdr>
              <w:textAlignment w:val="top"/>
            </w:pPr>
            <w:hyperlink r:id="rId180" w:history="1">
              <w:r>
                <w:rPr>
                  <w:rStyle w:val="a5"/>
                  <w:rFonts w:ascii="Times New Roman" w:eastAsia="宋体" w:hAnsi="Times New Roman"/>
                  <w:sz w:val="20"/>
                  <w:szCs w:val="20"/>
                </w:rPr>
                <w:t xml:space="preserve">Certification of Principal </w:t>
              </w:r>
              <w:r>
                <w:rPr>
                  <w:rStyle w:val="a5"/>
                  <w:rFonts w:ascii="Times New Roman" w:eastAsia="宋体" w:hAnsi="Times New Roman"/>
                  <w:sz w:val="20"/>
                  <w:szCs w:val="20"/>
                </w:rPr>
                <w:t>Executive Officer Pursuant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vAlign w:val="bottom"/>
          </w:tcPr>
          <w:p w14:paraId="642998F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8F6"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8F7"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8F8"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8F9"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8FA"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8FB"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8FC"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8F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8FE" w14:textId="77777777" w:rsidR="007B6C97" w:rsidRDefault="00E426D1">
            <w:pPr>
              <w:jc w:val="center"/>
              <w:textAlignment w:val="center"/>
            </w:pPr>
            <w:r>
              <w:rPr>
                <w:rFonts w:ascii="Times New Roman" w:eastAsia="宋体" w:hAnsi="Times New Roman"/>
                <w:color w:val="000000"/>
                <w:sz w:val="20"/>
                <w:szCs w:val="20"/>
              </w:rPr>
              <w:t>X</w:t>
            </w:r>
          </w:p>
        </w:tc>
      </w:tr>
      <w:tr w:rsidR="007B6C97" w14:paraId="6429990D" w14:textId="77777777">
        <w:tc>
          <w:tcPr>
            <w:tcW w:w="0" w:type="auto"/>
            <w:gridSpan w:val="3"/>
            <w:shd w:val="clear" w:color="auto" w:fill="FFFFFF"/>
            <w:tcMar>
              <w:top w:w="40" w:type="dxa"/>
              <w:left w:w="20" w:type="dxa"/>
              <w:bottom w:w="40" w:type="dxa"/>
              <w:right w:w="20" w:type="dxa"/>
            </w:tcMar>
          </w:tcPr>
          <w:p w14:paraId="64299900" w14:textId="77777777" w:rsidR="007B6C97" w:rsidRDefault="00E426D1">
            <w:pPr>
              <w:pBdr>
                <w:top w:val="none" w:sz="0" w:space="0" w:color="auto"/>
                <w:left w:val="none" w:sz="0" w:space="0" w:color="auto"/>
                <w:bottom w:val="none" w:sz="0" w:space="0" w:color="auto"/>
                <w:right w:val="none" w:sz="0" w:space="0" w:color="auto"/>
              </w:pBdr>
              <w:jc w:val="center"/>
              <w:textAlignment w:val="top"/>
            </w:pPr>
            <w:hyperlink r:id="rId181" w:history="1">
              <w:r>
                <w:rPr>
                  <w:rStyle w:val="a5"/>
                  <w:rFonts w:ascii="Times New Roman" w:eastAsia="宋体" w:hAnsi="Times New Roman"/>
                  <w:sz w:val="20"/>
                  <w:szCs w:val="20"/>
                </w:rPr>
                <w:t>31.2</w:t>
              </w:r>
            </w:hyperlink>
          </w:p>
        </w:tc>
        <w:tc>
          <w:tcPr>
            <w:tcW w:w="0" w:type="auto"/>
            <w:gridSpan w:val="3"/>
            <w:shd w:val="clear" w:color="auto" w:fill="FFFFFF"/>
            <w:tcMar>
              <w:top w:w="0" w:type="dxa"/>
              <w:left w:w="20" w:type="dxa"/>
              <w:bottom w:w="0" w:type="dxa"/>
              <w:right w:w="20" w:type="dxa"/>
            </w:tcMar>
            <w:vAlign w:val="bottom"/>
          </w:tcPr>
          <w:p w14:paraId="6429990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9902" w14:textId="77777777" w:rsidR="007B6C97" w:rsidRDefault="00E426D1">
            <w:pPr>
              <w:pBdr>
                <w:top w:val="none" w:sz="0" w:space="0" w:color="auto"/>
                <w:left w:val="none" w:sz="0" w:space="0" w:color="auto"/>
                <w:bottom w:val="none" w:sz="0" w:space="0" w:color="auto"/>
                <w:right w:val="none" w:sz="0" w:space="0" w:color="auto"/>
              </w:pBdr>
              <w:textAlignment w:val="top"/>
            </w:pPr>
            <w:hyperlink r:id="rId182" w:history="1">
              <w:r>
                <w:rPr>
                  <w:rStyle w:val="a5"/>
                  <w:rFonts w:ascii="Times New Roman" w:eastAsia="宋体" w:hAnsi="Times New Roman"/>
                  <w:sz w:val="20"/>
                  <w:szCs w:val="20"/>
                </w:rPr>
                <w:t xml:space="preserve">Certification of Principal </w:t>
              </w:r>
              <w:r>
                <w:rPr>
                  <w:rStyle w:val="a5"/>
                  <w:rFonts w:ascii="Times New Roman" w:eastAsia="宋体" w:hAnsi="Times New Roman"/>
                  <w:sz w:val="20"/>
                  <w:szCs w:val="20"/>
                </w:rPr>
                <w:t>Financial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bottom"/>
          </w:tcPr>
          <w:p w14:paraId="64299903"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04"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05"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06"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07"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08"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09"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0A"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0B"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0C" w14:textId="77777777" w:rsidR="007B6C97" w:rsidRDefault="00E426D1">
            <w:pPr>
              <w:jc w:val="center"/>
              <w:textAlignment w:val="center"/>
            </w:pPr>
            <w:r>
              <w:rPr>
                <w:rFonts w:ascii="Times New Roman" w:eastAsia="宋体" w:hAnsi="Times New Roman"/>
                <w:color w:val="000000"/>
                <w:sz w:val="20"/>
                <w:szCs w:val="20"/>
              </w:rPr>
              <w:t>X</w:t>
            </w:r>
          </w:p>
        </w:tc>
      </w:tr>
      <w:tr w:rsidR="007B6C97" w14:paraId="6429991B" w14:textId="77777777">
        <w:tc>
          <w:tcPr>
            <w:tcW w:w="0" w:type="auto"/>
            <w:gridSpan w:val="3"/>
            <w:shd w:val="clear" w:color="auto" w:fill="D7E4BC"/>
            <w:tcMar>
              <w:top w:w="40" w:type="dxa"/>
              <w:left w:w="20" w:type="dxa"/>
              <w:bottom w:w="40" w:type="dxa"/>
              <w:right w:w="20" w:type="dxa"/>
            </w:tcMar>
          </w:tcPr>
          <w:p w14:paraId="6429990E" w14:textId="77777777" w:rsidR="007B6C97" w:rsidRDefault="00E426D1">
            <w:pPr>
              <w:pBdr>
                <w:top w:val="none" w:sz="0" w:space="0" w:color="auto"/>
                <w:left w:val="none" w:sz="0" w:space="0" w:color="auto"/>
                <w:bottom w:val="none" w:sz="0" w:space="0" w:color="auto"/>
                <w:right w:val="none" w:sz="0" w:space="0" w:color="auto"/>
              </w:pBdr>
              <w:jc w:val="center"/>
              <w:textAlignment w:val="top"/>
            </w:pPr>
            <w:hyperlink r:id="rId183"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vAlign w:val="bottom"/>
          </w:tcPr>
          <w:p w14:paraId="6429990F"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9910" w14:textId="77777777" w:rsidR="007B6C97" w:rsidRDefault="00E426D1">
            <w:pPr>
              <w:pBdr>
                <w:top w:val="none" w:sz="0" w:space="0" w:color="auto"/>
                <w:left w:val="none" w:sz="0" w:space="0" w:color="auto"/>
                <w:bottom w:val="none" w:sz="0" w:space="0" w:color="auto"/>
                <w:right w:val="none" w:sz="0" w:space="0" w:color="auto"/>
              </w:pBdr>
              <w:textAlignment w:val="top"/>
            </w:pPr>
            <w:hyperlink r:id="rId184" w:history="1">
              <w:r>
                <w:rPr>
                  <w:rStyle w:val="a5"/>
                  <w:rFonts w:ascii="Times New Roman" w:eastAsia="宋体" w:hAnsi="Times New Roman"/>
                  <w:sz w:val="20"/>
                  <w:szCs w:val="20"/>
                </w:rPr>
                <w:t>Certifications of Principal Executive Officer and Principal Financial Officer Pursuant to 18 U.S.C. Section 1350, as Adopted Pursuant to Section 90</w:t>
              </w:r>
              <w:r>
                <w:rPr>
                  <w:rStyle w:val="a5"/>
                  <w:rFonts w:ascii="Times New Roman" w:eastAsia="宋体" w:hAnsi="Times New Roman"/>
                  <w:sz w:val="20"/>
                  <w:szCs w:val="20"/>
                </w:rPr>
                <w:t>6 of the Sarbanes-Oxley Act of 2002</w:t>
              </w:r>
            </w:hyperlink>
          </w:p>
        </w:tc>
        <w:tc>
          <w:tcPr>
            <w:tcW w:w="0" w:type="auto"/>
            <w:gridSpan w:val="3"/>
            <w:shd w:val="clear" w:color="auto" w:fill="D7E4BC"/>
            <w:tcMar>
              <w:top w:w="0" w:type="dxa"/>
              <w:left w:w="20" w:type="dxa"/>
              <w:bottom w:w="0" w:type="dxa"/>
              <w:right w:w="20" w:type="dxa"/>
            </w:tcMar>
            <w:vAlign w:val="bottom"/>
          </w:tcPr>
          <w:p w14:paraId="64299911"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12"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13"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14"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1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16"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17"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18"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19"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1A" w14:textId="77777777" w:rsidR="007B6C97" w:rsidRDefault="00E426D1">
            <w:pPr>
              <w:jc w:val="center"/>
              <w:textAlignment w:val="center"/>
            </w:pPr>
            <w:r>
              <w:rPr>
                <w:rFonts w:ascii="Times New Roman" w:eastAsia="宋体" w:hAnsi="Times New Roman"/>
                <w:color w:val="000000"/>
                <w:sz w:val="20"/>
                <w:szCs w:val="20"/>
              </w:rPr>
              <w:t>—</w:t>
            </w:r>
          </w:p>
        </w:tc>
      </w:tr>
      <w:tr w:rsidR="007B6C97" w14:paraId="64299929" w14:textId="77777777">
        <w:tc>
          <w:tcPr>
            <w:tcW w:w="0" w:type="auto"/>
            <w:gridSpan w:val="3"/>
            <w:shd w:val="clear" w:color="auto" w:fill="FFFFFF"/>
            <w:tcMar>
              <w:top w:w="40" w:type="dxa"/>
              <w:left w:w="20" w:type="dxa"/>
              <w:bottom w:w="40" w:type="dxa"/>
              <w:right w:w="20" w:type="dxa"/>
            </w:tcMar>
          </w:tcPr>
          <w:p w14:paraId="6429991C" w14:textId="77777777" w:rsidR="007B6C97" w:rsidRDefault="00E426D1">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6429991D"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tcPr>
          <w:p w14:paraId="6429991E" w14:textId="77777777" w:rsidR="007B6C97" w:rsidRDefault="00E426D1">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The following financial statements from the Company's 10-Q for the fiscal quarter ended July 3, 2022, formatted in iXBRL: (i) Consolidated Statements of </w:t>
            </w:r>
            <w:r>
              <w:rPr>
                <w:rFonts w:ascii="Times New Roman" w:eastAsia="宋体" w:hAnsi="Times New Roman"/>
                <w:color w:val="000000"/>
                <w:sz w:val="20"/>
                <w:szCs w:val="20"/>
              </w:rPr>
              <w:t>Earnings, (ii) Consolidated Statements of Comprehensive Income, (iii) Consolidated Balance Sheets, (iv) Consolidated Statements of Cash Flows, (v) Consolidated Statements of Equity and (vi) Notes to Consolidated Financial Statements</w:t>
            </w:r>
          </w:p>
        </w:tc>
        <w:tc>
          <w:tcPr>
            <w:tcW w:w="0" w:type="auto"/>
            <w:gridSpan w:val="3"/>
            <w:shd w:val="clear" w:color="auto" w:fill="FFFFFF"/>
            <w:tcMar>
              <w:top w:w="0" w:type="dxa"/>
              <w:left w:w="20" w:type="dxa"/>
              <w:bottom w:w="0" w:type="dxa"/>
              <w:right w:w="20" w:type="dxa"/>
            </w:tcMar>
            <w:vAlign w:val="bottom"/>
          </w:tcPr>
          <w:p w14:paraId="6429991F"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20"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21"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22"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23"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24"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25"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26"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4299927" w14:textId="77777777" w:rsidR="007B6C97" w:rsidRDefault="007B6C97">
            <w:pPr>
              <w:rPr>
                <w:rFonts w:ascii="宋体"/>
              </w:rPr>
            </w:pPr>
          </w:p>
        </w:tc>
        <w:tc>
          <w:tcPr>
            <w:tcW w:w="0" w:type="auto"/>
            <w:gridSpan w:val="3"/>
            <w:shd w:val="clear" w:color="auto" w:fill="FFFFFF"/>
            <w:tcMar>
              <w:top w:w="40" w:type="dxa"/>
              <w:left w:w="20" w:type="dxa"/>
              <w:bottom w:w="40" w:type="dxa"/>
              <w:right w:w="20" w:type="dxa"/>
            </w:tcMar>
            <w:vAlign w:val="center"/>
          </w:tcPr>
          <w:p w14:paraId="64299928" w14:textId="77777777" w:rsidR="007B6C97" w:rsidRDefault="00E426D1">
            <w:pPr>
              <w:jc w:val="center"/>
              <w:textAlignment w:val="center"/>
            </w:pPr>
            <w:r>
              <w:rPr>
                <w:rFonts w:ascii="Times New Roman" w:eastAsia="宋体" w:hAnsi="Times New Roman"/>
                <w:color w:val="000000"/>
                <w:sz w:val="20"/>
                <w:szCs w:val="20"/>
              </w:rPr>
              <w:t>X</w:t>
            </w:r>
          </w:p>
        </w:tc>
      </w:tr>
      <w:tr w:rsidR="007B6C97" w14:paraId="64299937" w14:textId="77777777">
        <w:tc>
          <w:tcPr>
            <w:tcW w:w="0" w:type="auto"/>
            <w:gridSpan w:val="3"/>
            <w:shd w:val="clear" w:color="auto" w:fill="D7E4BC"/>
            <w:tcMar>
              <w:top w:w="40" w:type="dxa"/>
              <w:left w:w="20" w:type="dxa"/>
              <w:bottom w:w="40" w:type="dxa"/>
              <w:right w:w="20" w:type="dxa"/>
            </w:tcMar>
          </w:tcPr>
          <w:p w14:paraId="6429992A" w14:textId="77777777" w:rsidR="007B6C97" w:rsidRDefault="00E426D1">
            <w:pPr>
              <w:jc w:val="center"/>
              <w:textAlignment w:val="top"/>
            </w:pPr>
            <w:r>
              <w:rPr>
                <w:rFonts w:ascii="Times New Roman" w:eastAsia="宋体" w:hAnsi="Times New Roman"/>
                <w:color w:val="000000"/>
                <w:sz w:val="20"/>
                <w:szCs w:val="20"/>
              </w:rPr>
              <w:t>104</w:t>
            </w:r>
          </w:p>
        </w:tc>
        <w:tc>
          <w:tcPr>
            <w:tcW w:w="0" w:type="auto"/>
            <w:gridSpan w:val="3"/>
            <w:shd w:val="clear" w:color="auto" w:fill="D7E4BC"/>
            <w:tcMar>
              <w:top w:w="0" w:type="dxa"/>
              <w:left w:w="20" w:type="dxa"/>
              <w:bottom w:w="0" w:type="dxa"/>
              <w:right w:w="20" w:type="dxa"/>
            </w:tcMar>
            <w:vAlign w:val="bottom"/>
          </w:tcPr>
          <w:p w14:paraId="6429992B"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tcPr>
          <w:p w14:paraId="6429992C" w14:textId="77777777" w:rsidR="007B6C97" w:rsidRDefault="00E426D1">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top w:w="0" w:type="dxa"/>
              <w:left w:w="20" w:type="dxa"/>
              <w:bottom w:w="0" w:type="dxa"/>
              <w:right w:w="20" w:type="dxa"/>
            </w:tcMar>
            <w:vAlign w:val="bottom"/>
          </w:tcPr>
          <w:p w14:paraId="6429992D"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2E"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2F"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30"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31"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32"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33"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34" w14:textId="77777777" w:rsidR="007B6C97" w:rsidRDefault="00E426D1">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4299935" w14:textId="77777777" w:rsidR="007B6C97" w:rsidRDefault="007B6C97">
            <w:pPr>
              <w:rPr>
                <w:rFonts w:ascii="宋体"/>
              </w:rPr>
            </w:pPr>
          </w:p>
        </w:tc>
        <w:tc>
          <w:tcPr>
            <w:tcW w:w="0" w:type="auto"/>
            <w:gridSpan w:val="3"/>
            <w:shd w:val="clear" w:color="auto" w:fill="D7E4BC"/>
            <w:tcMar>
              <w:top w:w="40" w:type="dxa"/>
              <w:left w:w="20" w:type="dxa"/>
              <w:bottom w:w="40" w:type="dxa"/>
              <w:right w:w="20" w:type="dxa"/>
            </w:tcMar>
            <w:vAlign w:val="center"/>
          </w:tcPr>
          <w:p w14:paraId="64299936" w14:textId="77777777" w:rsidR="007B6C97" w:rsidRDefault="00E426D1">
            <w:pPr>
              <w:jc w:val="center"/>
              <w:textAlignment w:val="center"/>
            </w:pPr>
            <w:r>
              <w:rPr>
                <w:rFonts w:ascii="Times New Roman" w:eastAsia="宋体" w:hAnsi="Times New Roman"/>
                <w:color w:val="000000"/>
                <w:sz w:val="20"/>
                <w:szCs w:val="20"/>
              </w:rPr>
              <w:t>X</w:t>
            </w:r>
          </w:p>
        </w:tc>
      </w:tr>
      <w:tr w:rsidR="007B6C97" w14:paraId="64299951" w14:textId="77777777">
        <w:trPr>
          <w:hidden/>
        </w:trPr>
        <w:tc>
          <w:tcPr>
            <w:tcW w:w="0" w:type="auto"/>
            <w:gridSpan w:val="3"/>
            <w:shd w:val="clear" w:color="auto" w:fill="auto"/>
            <w:vAlign w:val="bottom"/>
          </w:tcPr>
          <w:p w14:paraId="64299938" w14:textId="77777777" w:rsidR="007B6C97" w:rsidRDefault="007B6C97">
            <w:pPr>
              <w:rPr>
                <w:rFonts w:ascii="宋体"/>
                <w:vanish/>
              </w:rPr>
            </w:pPr>
          </w:p>
        </w:tc>
        <w:tc>
          <w:tcPr>
            <w:tcW w:w="0" w:type="auto"/>
            <w:gridSpan w:val="3"/>
            <w:shd w:val="clear" w:color="auto" w:fill="auto"/>
            <w:vAlign w:val="bottom"/>
          </w:tcPr>
          <w:p w14:paraId="64299939" w14:textId="77777777" w:rsidR="007B6C97" w:rsidRDefault="007B6C97">
            <w:pPr>
              <w:rPr>
                <w:rFonts w:ascii="宋体"/>
                <w:vanish/>
              </w:rPr>
            </w:pPr>
          </w:p>
        </w:tc>
        <w:tc>
          <w:tcPr>
            <w:tcW w:w="0" w:type="auto"/>
            <w:gridSpan w:val="3"/>
            <w:shd w:val="clear" w:color="auto" w:fill="auto"/>
            <w:vAlign w:val="bottom"/>
          </w:tcPr>
          <w:p w14:paraId="6429993A" w14:textId="77777777" w:rsidR="007B6C97" w:rsidRDefault="007B6C97">
            <w:pPr>
              <w:rPr>
                <w:rFonts w:ascii="宋体"/>
                <w:vanish/>
              </w:rPr>
            </w:pPr>
          </w:p>
        </w:tc>
        <w:tc>
          <w:tcPr>
            <w:tcW w:w="0" w:type="auto"/>
            <w:gridSpan w:val="3"/>
            <w:shd w:val="clear" w:color="auto" w:fill="auto"/>
            <w:vAlign w:val="bottom"/>
          </w:tcPr>
          <w:p w14:paraId="6429993B" w14:textId="77777777" w:rsidR="007B6C97" w:rsidRDefault="007B6C97">
            <w:pPr>
              <w:rPr>
                <w:rFonts w:ascii="宋体"/>
                <w:vanish/>
              </w:rPr>
            </w:pPr>
          </w:p>
        </w:tc>
        <w:tc>
          <w:tcPr>
            <w:tcW w:w="0" w:type="auto"/>
            <w:gridSpan w:val="3"/>
            <w:shd w:val="clear" w:color="auto" w:fill="auto"/>
            <w:vAlign w:val="bottom"/>
          </w:tcPr>
          <w:p w14:paraId="6429993C" w14:textId="77777777" w:rsidR="007B6C97" w:rsidRDefault="007B6C97">
            <w:pPr>
              <w:rPr>
                <w:rFonts w:ascii="宋体"/>
                <w:vanish/>
              </w:rPr>
            </w:pPr>
          </w:p>
        </w:tc>
        <w:tc>
          <w:tcPr>
            <w:tcW w:w="0" w:type="auto"/>
            <w:gridSpan w:val="3"/>
            <w:shd w:val="clear" w:color="auto" w:fill="auto"/>
            <w:vAlign w:val="bottom"/>
          </w:tcPr>
          <w:p w14:paraId="6429993D" w14:textId="77777777" w:rsidR="007B6C97" w:rsidRDefault="007B6C97">
            <w:pPr>
              <w:rPr>
                <w:rFonts w:ascii="宋体"/>
                <w:vanish/>
              </w:rPr>
            </w:pPr>
          </w:p>
        </w:tc>
        <w:tc>
          <w:tcPr>
            <w:tcW w:w="0" w:type="auto"/>
            <w:gridSpan w:val="3"/>
            <w:shd w:val="clear" w:color="auto" w:fill="auto"/>
            <w:vAlign w:val="bottom"/>
          </w:tcPr>
          <w:p w14:paraId="6429993E" w14:textId="77777777" w:rsidR="007B6C97" w:rsidRDefault="007B6C97">
            <w:pPr>
              <w:rPr>
                <w:rFonts w:ascii="宋体"/>
                <w:vanish/>
              </w:rPr>
            </w:pPr>
          </w:p>
        </w:tc>
        <w:tc>
          <w:tcPr>
            <w:tcW w:w="0" w:type="auto"/>
            <w:shd w:val="clear" w:color="auto" w:fill="auto"/>
            <w:vAlign w:val="bottom"/>
          </w:tcPr>
          <w:p w14:paraId="6429993F" w14:textId="77777777" w:rsidR="007B6C97" w:rsidRDefault="007B6C97">
            <w:pPr>
              <w:rPr>
                <w:rFonts w:ascii="宋体"/>
              </w:rPr>
            </w:pPr>
          </w:p>
        </w:tc>
        <w:tc>
          <w:tcPr>
            <w:tcW w:w="0" w:type="auto"/>
            <w:shd w:val="clear" w:color="auto" w:fill="auto"/>
            <w:vAlign w:val="bottom"/>
          </w:tcPr>
          <w:p w14:paraId="64299940" w14:textId="77777777" w:rsidR="007B6C97" w:rsidRDefault="007B6C97">
            <w:pPr>
              <w:rPr>
                <w:rFonts w:ascii="宋体"/>
              </w:rPr>
            </w:pPr>
          </w:p>
        </w:tc>
        <w:tc>
          <w:tcPr>
            <w:tcW w:w="0" w:type="auto"/>
            <w:shd w:val="clear" w:color="auto" w:fill="auto"/>
            <w:vAlign w:val="bottom"/>
          </w:tcPr>
          <w:p w14:paraId="64299941" w14:textId="77777777" w:rsidR="007B6C97" w:rsidRDefault="007B6C97">
            <w:pPr>
              <w:rPr>
                <w:rFonts w:ascii="宋体"/>
              </w:rPr>
            </w:pPr>
          </w:p>
        </w:tc>
        <w:tc>
          <w:tcPr>
            <w:tcW w:w="0" w:type="auto"/>
            <w:shd w:val="clear" w:color="auto" w:fill="auto"/>
            <w:vAlign w:val="bottom"/>
          </w:tcPr>
          <w:p w14:paraId="64299942" w14:textId="77777777" w:rsidR="007B6C97" w:rsidRDefault="007B6C97">
            <w:pPr>
              <w:rPr>
                <w:rFonts w:ascii="宋体"/>
              </w:rPr>
            </w:pPr>
          </w:p>
        </w:tc>
        <w:tc>
          <w:tcPr>
            <w:tcW w:w="0" w:type="auto"/>
            <w:shd w:val="clear" w:color="auto" w:fill="auto"/>
            <w:vAlign w:val="bottom"/>
          </w:tcPr>
          <w:p w14:paraId="64299943" w14:textId="77777777" w:rsidR="007B6C97" w:rsidRDefault="007B6C97">
            <w:pPr>
              <w:rPr>
                <w:rFonts w:ascii="宋体"/>
              </w:rPr>
            </w:pPr>
          </w:p>
        </w:tc>
        <w:tc>
          <w:tcPr>
            <w:tcW w:w="0" w:type="auto"/>
            <w:shd w:val="clear" w:color="auto" w:fill="auto"/>
            <w:vAlign w:val="bottom"/>
          </w:tcPr>
          <w:p w14:paraId="64299944" w14:textId="77777777" w:rsidR="007B6C97" w:rsidRDefault="007B6C97">
            <w:pPr>
              <w:rPr>
                <w:rFonts w:ascii="宋体"/>
              </w:rPr>
            </w:pPr>
          </w:p>
        </w:tc>
        <w:tc>
          <w:tcPr>
            <w:tcW w:w="0" w:type="auto"/>
            <w:shd w:val="clear" w:color="auto" w:fill="auto"/>
            <w:vAlign w:val="bottom"/>
          </w:tcPr>
          <w:p w14:paraId="64299945" w14:textId="77777777" w:rsidR="007B6C97" w:rsidRDefault="007B6C97">
            <w:pPr>
              <w:rPr>
                <w:rFonts w:ascii="宋体"/>
              </w:rPr>
            </w:pPr>
          </w:p>
        </w:tc>
        <w:tc>
          <w:tcPr>
            <w:tcW w:w="0" w:type="auto"/>
            <w:shd w:val="clear" w:color="auto" w:fill="auto"/>
            <w:vAlign w:val="bottom"/>
          </w:tcPr>
          <w:p w14:paraId="64299946" w14:textId="77777777" w:rsidR="007B6C97" w:rsidRDefault="007B6C97">
            <w:pPr>
              <w:rPr>
                <w:rFonts w:ascii="宋体"/>
              </w:rPr>
            </w:pPr>
          </w:p>
        </w:tc>
        <w:tc>
          <w:tcPr>
            <w:tcW w:w="0" w:type="auto"/>
            <w:shd w:val="clear" w:color="auto" w:fill="auto"/>
            <w:vAlign w:val="bottom"/>
          </w:tcPr>
          <w:p w14:paraId="64299947" w14:textId="77777777" w:rsidR="007B6C97" w:rsidRDefault="007B6C97">
            <w:pPr>
              <w:rPr>
                <w:rFonts w:ascii="宋体"/>
              </w:rPr>
            </w:pPr>
          </w:p>
        </w:tc>
        <w:tc>
          <w:tcPr>
            <w:tcW w:w="0" w:type="auto"/>
            <w:shd w:val="clear" w:color="auto" w:fill="auto"/>
            <w:vAlign w:val="bottom"/>
          </w:tcPr>
          <w:p w14:paraId="64299948" w14:textId="77777777" w:rsidR="007B6C97" w:rsidRDefault="007B6C97">
            <w:pPr>
              <w:rPr>
                <w:rFonts w:ascii="宋体"/>
              </w:rPr>
            </w:pPr>
          </w:p>
        </w:tc>
        <w:tc>
          <w:tcPr>
            <w:tcW w:w="0" w:type="auto"/>
            <w:shd w:val="clear" w:color="auto" w:fill="auto"/>
            <w:vAlign w:val="bottom"/>
          </w:tcPr>
          <w:p w14:paraId="64299949" w14:textId="77777777" w:rsidR="007B6C97" w:rsidRDefault="007B6C97">
            <w:pPr>
              <w:rPr>
                <w:rFonts w:ascii="宋体"/>
              </w:rPr>
            </w:pPr>
          </w:p>
        </w:tc>
        <w:tc>
          <w:tcPr>
            <w:tcW w:w="0" w:type="auto"/>
            <w:shd w:val="clear" w:color="auto" w:fill="auto"/>
            <w:vAlign w:val="bottom"/>
          </w:tcPr>
          <w:p w14:paraId="6429994A" w14:textId="77777777" w:rsidR="007B6C97" w:rsidRDefault="007B6C97">
            <w:pPr>
              <w:rPr>
                <w:rFonts w:ascii="宋体"/>
              </w:rPr>
            </w:pPr>
          </w:p>
        </w:tc>
        <w:tc>
          <w:tcPr>
            <w:tcW w:w="0" w:type="auto"/>
            <w:shd w:val="clear" w:color="auto" w:fill="auto"/>
            <w:vAlign w:val="bottom"/>
          </w:tcPr>
          <w:p w14:paraId="6429994B" w14:textId="77777777" w:rsidR="007B6C97" w:rsidRDefault="007B6C97">
            <w:pPr>
              <w:rPr>
                <w:rFonts w:ascii="宋体"/>
              </w:rPr>
            </w:pPr>
          </w:p>
        </w:tc>
        <w:tc>
          <w:tcPr>
            <w:tcW w:w="0" w:type="auto"/>
            <w:shd w:val="clear" w:color="auto" w:fill="auto"/>
            <w:vAlign w:val="bottom"/>
          </w:tcPr>
          <w:p w14:paraId="6429994C" w14:textId="77777777" w:rsidR="007B6C97" w:rsidRDefault="007B6C97">
            <w:pPr>
              <w:rPr>
                <w:rFonts w:ascii="宋体"/>
              </w:rPr>
            </w:pPr>
          </w:p>
        </w:tc>
        <w:tc>
          <w:tcPr>
            <w:tcW w:w="0" w:type="auto"/>
            <w:shd w:val="clear" w:color="auto" w:fill="auto"/>
            <w:vAlign w:val="bottom"/>
          </w:tcPr>
          <w:p w14:paraId="6429994D" w14:textId="77777777" w:rsidR="007B6C97" w:rsidRDefault="007B6C97">
            <w:pPr>
              <w:rPr>
                <w:rFonts w:ascii="宋体"/>
              </w:rPr>
            </w:pPr>
          </w:p>
        </w:tc>
        <w:tc>
          <w:tcPr>
            <w:tcW w:w="0" w:type="auto"/>
            <w:shd w:val="clear" w:color="auto" w:fill="auto"/>
            <w:vAlign w:val="bottom"/>
          </w:tcPr>
          <w:p w14:paraId="6429994E" w14:textId="77777777" w:rsidR="007B6C97" w:rsidRDefault="007B6C97">
            <w:pPr>
              <w:rPr>
                <w:rFonts w:ascii="宋体"/>
              </w:rPr>
            </w:pPr>
          </w:p>
        </w:tc>
        <w:tc>
          <w:tcPr>
            <w:tcW w:w="0" w:type="auto"/>
            <w:shd w:val="clear" w:color="auto" w:fill="auto"/>
            <w:vAlign w:val="bottom"/>
          </w:tcPr>
          <w:p w14:paraId="6429994F" w14:textId="77777777" w:rsidR="007B6C97" w:rsidRDefault="007B6C97">
            <w:pPr>
              <w:rPr>
                <w:rFonts w:ascii="宋体"/>
              </w:rPr>
            </w:pPr>
          </w:p>
        </w:tc>
        <w:tc>
          <w:tcPr>
            <w:tcW w:w="0" w:type="auto"/>
            <w:shd w:val="clear" w:color="auto" w:fill="auto"/>
            <w:vAlign w:val="bottom"/>
          </w:tcPr>
          <w:p w14:paraId="64299950" w14:textId="77777777" w:rsidR="007B6C97" w:rsidRDefault="007B6C97">
            <w:pPr>
              <w:rPr>
                <w:rFonts w:ascii="宋体"/>
              </w:rPr>
            </w:pPr>
          </w:p>
        </w:tc>
      </w:tr>
      <w:tr w:rsidR="007B6C97" w14:paraId="6429995F" w14:textId="77777777">
        <w:trPr>
          <w:hidden/>
        </w:trPr>
        <w:tc>
          <w:tcPr>
            <w:tcW w:w="0" w:type="auto"/>
            <w:gridSpan w:val="3"/>
            <w:shd w:val="clear" w:color="auto" w:fill="auto"/>
            <w:vAlign w:val="bottom"/>
          </w:tcPr>
          <w:p w14:paraId="64299952" w14:textId="77777777" w:rsidR="007B6C97" w:rsidRDefault="007B6C97">
            <w:pPr>
              <w:rPr>
                <w:rFonts w:ascii="宋体"/>
                <w:vanish/>
              </w:rPr>
            </w:pPr>
          </w:p>
        </w:tc>
        <w:tc>
          <w:tcPr>
            <w:tcW w:w="0" w:type="auto"/>
            <w:gridSpan w:val="3"/>
            <w:shd w:val="clear" w:color="auto" w:fill="auto"/>
            <w:vAlign w:val="bottom"/>
          </w:tcPr>
          <w:p w14:paraId="64299953" w14:textId="77777777" w:rsidR="007B6C97" w:rsidRDefault="007B6C97">
            <w:pPr>
              <w:rPr>
                <w:rFonts w:ascii="宋体"/>
                <w:vanish/>
              </w:rPr>
            </w:pPr>
          </w:p>
        </w:tc>
        <w:tc>
          <w:tcPr>
            <w:tcW w:w="0" w:type="auto"/>
            <w:gridSpan w:val="3"/>
            <w:shd w:val="clear" w:color="auto" w:fill="auto"/>
            <w:vAlign w:val="bottom"/>
          </w:tcPr>
          <w:p w14:paraId="64299954" w14:textId="77777777" w:rsidR="007B6C97" w:rsidRDefault="007B6C97">
            <w:pPr>
              <w:rPr>
                <w:rFonts w:ascii="宋体"/>
                <w:vanish/>
              </w:rPr>
            </w:pPr>
          </w:p>
        </w:tc>
        <w:tc>
          <w:tcPr>
            <w:tcW w:w="0" w:type="auto"/>
            <w:gridSpan w:val="3"/>
            <w:shd w:val="clear" w:color="auto" w:fill="auto"/>
            <w:vAlign w:val="bottom"/>
          </w:tcPr>
          <w:p w14:paraId="64299955" w14:textId="77777777" w:rsidR="007B6C97" w:rsidRDefault="007B6C97">
            <w:pPr>
              <w:rPr>
                <w:rFonts w:ascii="宋体"/>
                <w:vanish/>
              </w:rPr>
            </w:pPr>
          </w:p>
        </w:tc>
        <w:tc>
          <w:tcPr>
            <w:tcW w:w="0" w:type="auto"/>
            <w:gridSpan w:val="3"/>
            <w:shd w:val="clear" w:color="auto" w:fill="auto"/>
            <w:vAlign w:val="bottom"/>
          </w:tcPr>
          <w:p w14:paraId="64299956" w14:textId="77777777" w:rsidR="007B6C97" w:rsidRDefault="007B6C97">
            <w:pPr>
              <w:rPr>
                <w:rFonts w:ascii="宋体"/>
                <w:vanish/>
              </w:rPr>
            </w:pPr>
          </w:p>
        </w:tc>
        <w:tc>
          <w:tcPr>
            <w:tcW w:w="0" w:type="auto"/>
            <w:gridSpan w:val="3"/>
            <w:shd w:val="clear" w:color="auto" w:fill="auto"/>
            <w:vAlign w:val="bottom"/>
          </w:tcPr>
          <w:p w14:paraId="64299957" w14:textId="77777777" w:rsidR="007B6C97" w:rsidRDefault="007B6C97">
            <w:pPr>
              <w:rPr>
                <w:rFonts w:ascii="宋体"/>
                <w:vanish/>
              </w:rPr>
            </w:pPr>
          </w:p>
        </w:tc>
        <w:tc>
          <w:tcPr>
            <w:tcW w:w="0" w:type="auto"/>
            <w:gridSpan w:val="3"/>
            <w:shd w:val="clear" w:color="auto" w:fill="auto"/>
            <w:vAlign w:val="bottom"/>
          </w:tcPr>
          <w:p w14:paraId="64299958" w14:textId="77777777" w:rsidR="007B6C97" w:rsidRDefault="007B6C97">
            <w:pPr>
              <w:rPr>
                <w:rFonts w:ascii="宋体"/>
                <w:vanish/>
              </w:rPr>
            </w:pPr>
          </w:p>
        </w:tc>
        <w:tc>
          <w:tcPr>
            <w:tcW w:w="0" w:type="auto"/>
            <w:gridSpan w:val="3"/>
            <w:shd w:val="clear" w:color="auto" w:fill="auto"/>
            <w:vAlign w:val="bottom"/>
          </w:tcPr>
          <w:p w14:paraId="64299959" w14:textId="77777777" w:rsidR="007B6C97" w:rsidRDefault="007B6C97">
            <w:pPr>
              <w:rPr>
                <w:rFonts w:ascii="宋体"/>
                <w:vanish/>
              </w:rPr>
            </w:pPr>
          </w:p>
        </w:tc>
        <w:tc>
          <w:tcPr>
            <w:tcW w:w="0" w:type="auto"/>
            <w:gridSpan w:val="3"/>
            <w:shd w:val="clear" w:color="auto" w:fill="auto"/>
            <w:vAlign w:val="bottom"/>
          </w:tcPr>
          <w:p w14:paraId="6429995A" w14:textId="77777777" w:rsidR="007B6C97" w:rsidRDefault="007B6C97">
            <w:pPr>
              <w:rPr>
                <w:rFonts w:ascii="宋体"/>
                <w:vanish/>
              </w:rPr>
            </w:pPr>
          </w:p>
        </w:tc>
        <w:tc>
          <w:tcPr>
            <w:tcW w:w="0" w:type="auto"/>
            <w:gridSpan w:val="3"/>
            <w:shd w:val="clear" w:color="auto" w:fill="auto"/>
            <w:vAlign w:val="bottom"/>
          </w:tcPr>
          <w:p w14:paraId="6429995B" w14:textId="77777777" w:rsidR="007B6C97" w:rsidRDefault="007B6C97">
            <w:pPr>
              <w:rPr>
                <w:rFonts w:ascii="宋体"/>
                <w:vanish/>
              </w:rPr>
            </w:pPr>
          </w:p>
        </w:tc>
        <w:tc>
          <w:tcPr>
            <w:tcW w:w="0" w:type="auto"/>
            <w:gridSpan w:val="3"/>
            <w:shd w:val="clear" w:color="auto" w:fill="auto"/>
            <w:vAlign w:val="bottom"/>
          </w:tcPr>
          <w:p w14:paraId="6429995C" w14:textId="77777777" w:rsidR="007B6C97" w:rsidRDefault="007B6C97">
            <w:pPr>
              <w:rPr>
                <w:rFonts w:ascii="宋体"/>
                <w:vanish/>
              </w:rPr>
            </w:pPr>
          </w:p>
        </w:tc>
        <w:tc>
          <w:tcPr>
            <w:tcW w:w="0" w:type="auto"/>
            <w:gridSpan w:val="3"/>
            <w:shd w:val="clear" w:color="auto" w:fill="auto"/>
            <w:vAlign w:val="bottom"/>
          </w:tcPr>
          <w:p w14:paraId="6429995D" w14:textId="77777777" w:rsidR="007B6C97" w:rsidRDefault="007B6C97">
            <w:pPr>
              <w:rPr>
                <w:rFonts w:ascii="宋体"/>
                <w:vanish/>
              </w:rPr>
            </w:pPr>
          </w:p>
        </w:tc>
        <w:tc>
          <w:tcPr>
            <w:tcW w:w="0" w:type="auto"/>
            <w:gridSpan w:val="3"/>
            <w:shd w:val="clear" w:color="auto" w:fill="auto"/>
            <w:vAlign w:val="bottom"/>
          </w:tcPr>
          <w:p w14:paraId="6429995E" w14:textId="77777777" w:rsidR="007B6C97" w:rsidRDefault="007B6C97">
            <w:pPr>
              <w:rPr>
                <w:rFonts w:ascii="宋体"/>
                <w:vanish/>
              </w:rPr>
            </w:pPr>
          </w:p>
        </w:tc>
      </w:tr>
    </w:tbl>
    <w:p w14:paraId="64299960" w14:textId="77777777" w:rsidR="007B6C97" w:rsidRDefault="007B6C97"/>
    <w:p w14:paraId="64299961" w14:textId="77777777" w:rsidR="007B6C97" w:rsidRDefault="00E426D1">
      <w:r>
        <w:rPr>
          <w:rFonts w:ascii="Times New Roman" w:eastAsia="宋体" w:hAnsi="Times New Roman"/>
          <w:color w:val="000000"/>
          <w:sz w:val="20"/>
          <w:szCs w:val="20"/>
        </w:rPr>
        <w:t>* Furnished herewith.</w:t>
      </w:r>
    </w:p>
    <w:p w14:paraId="64299962" w14:textId="77777777" w:rsidR="007B6C97" w:rsidRDefault="007B6C97"/>
    <w:p w14:paraId="64299963" w14:textId="77777777" w:rsidR="007B6C97" w:rsidRDefault="007B6C97"/>
    <w:p w14:paraId="64299964" w14:textId="77777777" w:rsidR="007B6C97" w:rsidRDefault="00E426D1">
      <w:pPr>
        <w:jc w:val="center"/>
      </w:pPr>
      <w:r>
        <w:rPr>
          <w:rFonts w:ascii="Times New Roman" w:eastAsia="宋体" w:hAnsi="Times New Roman"/>
          <w:color w:val="000000"/>
          <w:sz w:val="20"/>
          <w:szCs w:val="20"/>
        </w:rPr>
        <w:t>45</w:t>
      </w:r>
    </w:p>
    <w:p w14:paraId="64299965" w14:textId="77777777" w:rsidR="007B6C97" w:rsidRDefault="00E426D1">
      <w:r>
        <w:pict w14:anchorId="64299A07">
          <v:rect id="_x0000_i1069" style="width:415.3pt;height:1.5pt" o:hralign="center" o:hrstd="t" o:hr="t" fillcolor="#a0a0a0" stroked="f"/>
        </w:pict>
      </w:r>
    </w:p>
    <w:p w14:paraId="64299966" w14:textId="77777777" w:rsidR="007B6C97" w:rsidRDefault="00E426D1">
      <w:hyperlink r:id="rId185" w:anchor="ie38a2b375c9840e583a36769999bbee6_7" w:history="1">
        <w:r>
          <w:rPr>
            <w:rStyle w:val="a5"/>
            <w:rFonts w:ascii="Times New Roman" w:eastAsia="宋体" w:hAnsi="Times New Roman"/>
            <w:sz w:val="20"/>
            <w:szCs w:val="20"/>
          </w:rPr>
          <w:t>Table</w:t>
        </w:r>
      </w:hyperlink>
      <w:hyperlink r:id="rId186" w:anchor="ie38a2b375c9840e583a36769999bbee6_7" w:history="1">
        <w:r>
          <w:rPr>
            <w:rStyle w:val="a5"/>
            <w:rFonts w:ascii="Times New Roman" w:eastAsia="宋体" w:hAnsi="Times New Roman"/>
            <w:sz w:val="20"/>
            <w:szCs w:val="20"/>
          </w:rPr>
          <w:t xml:space="preserve"> of Contents</w:t>
        </w:r>
      </w:hyperlink>
    </w:p>
    <w:p w14:paraId="64299967" w14:textId="77777777" w:rsidR="007B6C97" w:rsidRDefault="00E426D1">
      <w:pPr>
        <w:jc w:val="center"/>
      </w:pPr>
      <w:r>
        <w:rPr>
          <w:rFonts w:ascii="Times New Roman" w:eastAsia="宋体" w:hAnsi="Times New Roman"/>
          <w:b/>
          <w:bCs/>
          <w:color w:val="000000"/>
          <w:sz w:val="20"/>
          <w:szCs w:val="20"/>
        </w:rPr>
        <w:t>SIGNATURES</w:t>
      </w:r>
    </w:p>
    <w:p w14:paraId="64299968" w14:textId="77777777" w:rsidR="007B6C97" w:rsidRDefault="00E426D1">
      <w:pPr>
        <w:spacing w:before="100"/>
      </w:pPr>
      <w:r>
        <w:rPr>
          <w:rFonts w:ascii="Times New Roman" w:eastAsia="宋体" w:hAnsi="Times New Roman"/>
          <w:color w:val="000000"/>
          <w:sz w:val="20"/>
          <w:szCs w:val="20"/>
        </w:rPr>
        <w:t>Pursuant to the requirements of the Securities Exchange Act of 1934, the registrant has duly caused this report to be signed on its behalf by the undersigned thereunto duly auth</w:t>
      </w:r>
      <w:r>
        <w:rPr>
          <w:rFonts w:ascii="Times New Roman" w:eastAsia="宋体" w:hAnsi="Times New Roman"/>
          <w:color w:val="000000"/>
          <w:sz w:val="20"/>
          <w:szCs w:val="20"/>
        </w:rPr>
        <w:t>orized.</w:t>
      </w:r>
    </w:p>
    <w:p w14:paraId="64299969" w14:textId="77777777" w:rsidR="007B6C97" w:rsidRDefault="00E426D1">
      <w:pPr>
        <w:spacing w:before="180"/>
      </w:pPr>
      <w:r>
        <w:rPr>
          <w:rFonts w:ascii="Times New Roman" w:eastAsia="宋体" w:hAnsi="Times New Roman"/>
          <w:color w:val="000000"/>
          <w:sz w:val="20"/>
          <w:szCs w:val="20"/>
        </w:rPr>
        <w:t xml:space="preserve">August 2, 2022 </w:t>
      </w:r>
    </w:p>
    <w:p w14:paraId="6429996A" w14:textId="77777777" w:rsidR="007B6C97" w:rsidRDefault="00E426D1">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3"/>
        <w:gridCol w:w="4958"/>
        <w:gridCol w:w="36"/>
        <w:gridCol w:w="80"/>
        <w:gridCol w:w="240"/>
        <w:gridCol w:w="37"/>
        <w:gridCol w:w="36"/>
        <w:gridCol w:w="36"/>
        <w:gridCol w:w="36"/>
        <w:gridCol w:w="40"/>
        <w:gridCol w:w="2713"/>
        <w:gridCol w:w="36"/>
      </w:tblGrid>
      <w:tr w:rsidR="007B6C97" w14:paraId="64299977" w14:textId="77777777">
        <w:tc>
          <w:tcPr>
            <w:tcW w:w="50" w:type="pct"/>
            <w:shd w:val="clear" w:color="auto" w:fill="auto"/>
            <w:vAlign w:val="bottom"/>
          </w:tcPr>
          <w:p w14:paraId="6429996B" w14:textId="77777777" w:rsidR="007B6C97" w:rsidRDefault="007B6C97">
            <w:pPr>
              <w:rPr>
                <w:rFonts w:ascii="宋体"/>
              </w:rPr>
            </w:pPr>
          </w:p>
        </w:tc>
        <w:tc>
          <w:tcPr>
            <w:tcW w:w="2994" w:type="pct"/>
            <w:shd w:val="clear" w:color="auto" w:fill="auto"/>
            <w:vAlign w:val="bottom"/>
          </w:tcPr>
          <w:p w14:paraId="6429996C" w14:textId="77777777" w:rsidR="007B6C97" w:rsidRDefault="007B6C97">
            <w:pPr>
              <w:rPr>
                <w:rFonts w:ascii="宋体"/>
              </w:rPr>
            </w:pPr>
          </w:p>
        </w:tc>
        <w:tc>
          <w:tcPr>
            <w:tcW w:w="5" w:type="pct"/>
            <w:shd w:val="clear" w:color="auto" w:fill="auto"/>
            <w:vAlign w:val="bottom"/>
          </w:tcPr>
          <w:p w14:paraId="6429996D" w14:textId="77777777" w:rsidR="007B6C97" w:rsidRDefault="007B6C97">
            <w:pPr>
              <w:rPr>
                <w:rFonts w:ascii="宋体"/>
              </w:rPr>
            </w:pPr>
          </w:p>
        </w:tc>
        <w:tc>
          <w:tcPr>
            <w:tcW w:w="50" w:type="pct"/>
            <w:shd w:val="clear" w:color="auto" w:fill="auto"/>
            <w:vAlign w:val="bottom"/>
          </w:tcPr>
          <w:p w14:paraId="6429996E" w14:textId="77777777" w:rsidR="007B6C97" w:rsidRDefault="007B6C97">
            <w:pPr>
              <w:rPr>
                <w:rFonts w:ascii="宋体"/>
              </w:rPr>
            </w:pPr>
          </w:p>
        </w:tc>
        <w:tc>
          <w:tcPr>
            <w:tcW w:w="150" w:type="pct"/>
            <w:shd w:val="clear" w:color="auto" w:fill="auto"/>
            <w:vAlign w:val="bottom"/>
          </w:tcPr>
          <w:p w14:paraId="6429996F" w14:textId="77777777" w:rsidR="007B6C97" w:rsidRDefault="007B6C97">
            <w:pPr>
              <w:rPr>
                <w:rFonts w:ascii="宋体"/>
              </w:rPr>
            </w:pPr>
          </w:p>
        </w:tc>
        <w:tc>
          <w:tcPr>
            <w:tcW w:w="5" w:type="pct"/>
            <w:shd w:val="clear" w:color="auto" w:fill="auto"/>
            <w:vAlign w:val="bottom"/>
          </w:tcPr>
          <w:p w14:paraId="64299970" w14:textId="77777777" w:rsidR="007B6C97" w:rsidRDefault="007B6C97">
            <w:pPr>
              <w:rPr>
                <w:rFonts w:ascii="宋体"/>
              </w:rPr>
            </w:pPr>
          </w:p>
        </w:tc>
        <w:tc>
          <w:tcPr>
            <w:tcW w:w="5" w:type="pct"/>
            <w:shd w:val="clear" w:color="auto" w:fill="auto"/>
            <w:vAlign w:val="bottom"/>
          </w:tcPr>
          <w:p w14:paraId="64299971" w14:textId="77777777" w:rsidR="007B6C97" w:rsidRDefault="007B6C97">
            <w:pPr>
              <w:rPr>
                <w:rFonts w:ascii="宋体"/>
              </w:rPr>
            </w:pPr>
          </w:p>
        </w:tc>
        <w:tc>
          <w:tcPr>
            <w:tcW w:w="26" w:type="pct"/>
            <w:shd w:val="clear" w:color="auto" w:fill="auto"/>
            <w:vAlign w:val="bottom"/>
          </w:tcPr>
          <w:p w14:paraId="64299972" w14:textId="77777777" w:rsidR="007B6C97" w:rsidRDefault="007B6C97">
            <w:pPr>
              <w:rPr>
                <w:rFonts w:ascii="宋体"/>
              </w:rPr>
            </w:pPr>
          </w:p>
        </w:tc>
        <w:tc>
          <w:tcPr>
            <w:tcW w:w="5" w:type="pct"/>
            <w:shd w:val="clear" w:color="auto" w:fill="auto"/>
            <w:vAlign w:val="bottom"/>
          </w:tcPr>
          <w:p w14:paraId="64299973" w14:textId="77777777" w:rsidR="007B6C97" w:rsidRDefault="007B6C97">
            <w:pPr>
              <w:rPr>
                <w:rFonts w:ascii="宋体"/>
              </w:rPr>
            </w:pPr>
          </w:p>
        </w:tc>
        <w:tc>
          <w:tcPr>
            <w:tcW w:w="50" w:type="pct"/>
            <w:shd w:val="clear" w:color="auto" w:fill="auto"/>
            <w:vAlign w:val="bottom"/>
          </w:tcPr>
          <w:p w14:paraId="64299974" w14:textId="77777777" w:rsidR="007B6C97" w:rsidRDefault="007B6C97">
            <w:pPr>
              <w:rPr>
                <w:rFonts w:ascii="宋体"/>
              </w:rPr>
            </w:pPr>
          </w:p>
        </w:tc>
        <w:tc>
          <w:tcPr>
            <w:tcW w:w="1653" w:type="pct"/>
            <w:shd w:val="clear" w:color="auto" w:fill="auto"/>
            <w:vAlign w:val="bottom"/>
          </w:tcPr>
          <w:p w14:paraId="64299975" w14:textId="77777777" w:rsidR="007B6C97" w:rsidRDefault="007B6C97">
            <w:pPr>
              <w:rPr>
                <w:rFonts w:ascii="宋体"/>
              </w:rPr>
            </w:pPr>
          </w:p>
        </w:tc>
        <w:tc>
          <w:tcPr>
            <w:tcW w:w="5" w:type="pct"/>
            <w:shd w:val="clear" w:color="auto" w:fill="auto"/>
            <w:vAlign w:val="bottom"/>
          </w:tcPr>
          <w:p w14:paraId="64299976" w14:textId="77777777" w:rsidR="007B6C97" w:rsidRDefault="007B6C97">
            <w:pPr>
              <w:rPr>
                <w:rFonts w:ascii="宋体"/>
              </w:rPr>
            </w:pPr>
          </w:p>
        </w:tc>
      </w:tr>
      <w:tr w:rsidR="007B6C97" w14:paraId="6429997A" w14:textId="77777777">
        <w:tc>
          <w:tcPr>
            <w:tcW w:w="0" w:type="auto"/>
            <w:gridSpan w:val="3"/>
            <w:shd w:val="clear" w:color="auto" w:fill="auto"/>
            <w:tcMar>
              <w:top w:w="0" w:type="dxa"/>
              <w:left w:w="20" w:type="dxa"/>
              <w:bottom w:w="0" w:type="dxa"/>
              <w:right w:w="20" w:type="dxa"/>
            </w:tcMar>
            <w:vAlign w:val="bottom"/>
          </w:tcPr>
          <w:p w14:paraId="64299978" w14:textId="77777777" w:rsidR="007B6C97" w:rsidRDefault="007B6C97">
            <w:pPr>
              <w:rPr>
                <w:rFonts w:ascii="宋体"/>
              </w:rPr>
            </w:pPr>
          </w:p>
        </w:tc>
        <w:tc>
          <w:tcPr>
            <w:tcW w:w="0" w:type="auto"/>
            <w:gridSpan w:val="9"/>
            <w:shd w:val="clear" w:color="auto" w:fill="auto"/>
            <w:tcMar>
              <w:top w:w="40" w:type="dxa"/>
              <w:left w:w="20" w:type="dxa"/>
              <w:bottom w:w="40" w:type="dxa"/>
              <w:right w:w="20" w:type="dxa"/>
            </w:tcMar>
          </w:tcPr>
          <w:p w14:paraId="64299979" w14:textId="77777777" w:rsidR="007B6C97" w:rsidRDefault="00E426D1">
            <w:pPr>
              <w:textAlignment w:val="top"/>
            </w:pPr>
            <w:r>
              <w:rPr>
                <w:rFonts w:ascii="Times New Roman" w:eastAsia="宋体" w:hAnsi="Times New Roman"/>
                <w:b/>
                <w:bCs/>
                <w:color w:val="000000"/>
                <w:sz w:val="20"/>
                <w:szCs w:val="20"/>
              </w:rPr>
              <w:t>STARBUCKS CORPORATION</w:t>
            </w:r>
          </w:p>
        </w:tc>
      </w:tr>
      <w:tr w:rsidR="007B6C97" w14:paraId="6429997E" w14:textId="77777777">
        <w:trPr>
          <w:trHeight w:val="300"/>
        </w:trPr>
        <w:tc>
          <w:tcPr>
            <w:tcW w:w="0" w:type="auto"/>
            <w:gridSpan w:val="3"/>
            <w:shd w:val="clear" w:color="auto" w:fill="auto"/>
            <w:tcMar>
              <w:top w:w="0" w:type="dxa"/>
              <w:left w:w="20" w:type="dxa"/>
              <w:bottom w:w="0" w:type="dxa"/>
              <w:right w:w="20" w:type="dxa"/>
            </w:tcMar>
            <w:vAlign w:val="bottom"/>
          </w:tcPr>
          <w:p w14:paraId="6429997B"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7C" w14:textId="77777777" w:rsidR="007B6C97" w:rsidRDefault="007B6C97">
            <w:pPr>
              <w:rPr>
                <w:rFonts w:ascii="宋体"/>
              </w:rPr>
            </w:pPr>
          </w:p>
        </w:tc>
        <w:tc>
          <w:tcPr>
            <w:tcW w:w="0" w:type="auto"/>
            <w:gridSpan w:val="6"/>
            <w:shd w:val="clear" w:color="auto" w:fill="auto"/>
            <w:tcMar>
              <w:top w:w="0" w:type="dxa"/>
              <w:left w:w="20" w:type="dxa"/>
              <w:bottom w:w="0" w:type="dxa"/>
              <w:right w:w="20" w:type="dxa"/>
            </w:tcMar>
            <w:vAlign w:val="bottom"/>
          </w:tcPr>
          <w:p w14:paraId="6429997D" w14:textId="77777777" w:rsidR="007B6C97" w:rsidRDefault="007B6C97">
            <w:pPr>
              <w:rPr>
                <w:rFonts w:ascii="宋体"/>
              </w:rPr>
            </w:pPr>
          </w:p>
        </w:tc>
      </w:tr>
      <w:tr w:rsidR="007B6C97" w14:paraId="64299983" w14:textId="77777777">
        <w:tc>
          <w:tcPr>
            <w:tcW w:w="0" w:type="auto"/>
            <w:gridSpan w:val="3"/>
            <w:shd w:val="clear" w:color="auto" w:fill="auto"/>
            <w:tcMar>
              <w:top w:w="0" w:type="dxa"/>
              <w:left w:w="20" w:type="dxa"/>
              <w:bottom w:w="0" w:type="dxa"/>
              <w:right w:w="20" w:type="dxa"/>
            </w:tcMar>
            <w:vAlign w:val="bottom"/>
          </w:tcPr>
          <w:p w14:paraId="6429997F"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tcPr>
          <w:p w14:paraId="64299980" w14:textId="77777777" w:rsidR="007B6C97" w:rsidRDefault="00E426D1">
            <w:pP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64299981"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982" w14:textId="77777777" w:rsidR="007B6C97" w:rsidRDefault="00E426D1">
            <w:pPr>
              <w:textAlignment w:val="bottom"/>
            </w:pPr>
            <w:r>
              <w:rPr>
                <w:rFonts w:ascii="Times New Roman" w:eastAsia="宋体" w:hAnsi="Times New Roman"/>
                <w:color w:val="000000"/>
                <w:sz w:val="20"/>
                <w:szCs w:val="20"/>
              </w:rPr>
              <w:t>/s/ Rachel Ruggeri</w:t>
            </w:r>
          </w:p>
        </w:tc>
      </w:tr>
      <w:tr w:rsidR="007B6C97" w14:paraId="64299988" w14:textId="77777777">
        <w:tc>
          <w:tcPr>
            <w:tcW w:w="0" w:type="auto"/>
            <w:gridSpan w:val="3"/>
            <w:shd w:val="clear" w:color="auto" w:fill="auto"/>
            <w:tcMar>
              <w:top w:w="0" w:type="dxa"/>
              <w:left w:w="20" w:type="dxa"/>
              <w:bottom w:w="0" w:type="dxa"/>
              <w:right w:w="20" w:type="dxa"/>
            </w:tcMar>
            <w:vAlign w:val="bottom"/>
          </w:tcPr>
          <w:p w14:paraId="64299984"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85"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86" w14:textId="77777777" w:rsidR="007B6C97" w:rsidRDefault="007B6C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299987" w14:textId="77777777" w:rsidR="007B6C97" w:rsidRDefault="00E426D1">
            <w:pPr>
              <w:textAlignment w:val="bottom"/>
            </w:pPr>
            <w:r>
              <w:rPr>
                <w:rFonts w:ascii="Times New Roman" w:eastAsia="宋体" w:hAnsi="Times New Roman"/>
                <w:color w:val="000000"/>
                <w:sz w:val="20"/>
                <w:szCs w:val="20"/>
              </w:rPr>
              <w:t>Rachel Ruggeri</w:t>
            </w:r>
          </w:p>
        </w:tc>
      </w:tr>
      <w:tr w:rsidR="007B6C97" w14:paraId="6429998D" w14:textId="77777777">
        <w:tc>
          <w:tcPr>
            <w:tcW w:w="0" w:type="auto"/>
            <w:gridSpan w:val="3"/>
            <w:shd w:val="clear" w:color="auto" w:fill="auto"/>
            <w:tcMar>
              <w:top w:w="0" w:type="dxa"/>
              <w:left w:w="20" w:type="dxa"/>
              <w:bottom w:w="0" w:type="dxa"/>
              <w:right w:w="20" w:type="dxa"/>
            </w:tcMar>
            <w:vAlign w:val="bottom"/>
          </w:tcPr>
          <w:p w14:paraId="64299989"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8A"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8B"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98C" w14:textId="77777777" w:rsidR="007B6C97" w:rsidRDefault="00E426D1">
            <w:pPr>
              <w:textAlignment w:val="bottom"/>
            </w:pPr>
            <w:r>
              <w:rPr>
                <w:rFonts w:ascii="Times New Roman" w:eastAsia="宋体" w:hAnsi="Times New Roman"/>
                <w:color w:val="000000"/>
                <w:sz w:val="20"/>
                <w:szCs w:val="20"/>
              </w:rPr>
              <w:t>executive vice president, chief financial officer</w:t>
            </w:r>
          </w:p>
        </w:tc>
      </w:tr>
      <w:tr w:rsidR="007B6C97" w14:paraId="64299993" w14:textId="77777777">
        <w:tc>
          <w:tcPr>
            <w:tcW w:w="0" w:type="auto"/>
            <w:gridSpan w:val="3"/>
            <w:shd w:val="clear" w:color="auto" w:fill="auto"/>
            <w:tcMar>
              <w:top w:w="0" w:type="dxa"/>
              <w:left w:w="20" w:type="dxa"/>
              <w:bottom w:w="0" w:type="dxa"/>
              <w:right w:w="20" w:type="dxa"/>
            </w:tcMar>
            <w:vAlign w:val="bottom"/>
          </w:tcPr>
          <w:p w14:paraId="6429998E"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8F" w14:textId="77777777" w:rsidR="007B6C97" w:rsidRDefault="007B6C97">
            <w:pPr>
              <w:rPr>
                <w:rFonts w:ascii="宋体"/>
              </w:rPr>
            </w:pPr>
          </w:p>
        </w:tc>
        <w:tc>
          <w:tcPr>
            <w:tcW w:w="0" w:type="auto"/>
            <w:gridSpan w:val="3"/>
            <w:shd w:val="clear" w:color="auto" w:fill="auto"/>
            <w:tcMar>
              <w:top w:w="0" w:type="dxa"/>
              <w:left w:w="20" w:type="dxa"/>
              <w:bottom w:w="0" w:type="dxa"/>
              <w:right w:w="20" w:type="dxa"/>
            </w:tcMar>
            <w:vAlign w:val="bottom"/>
          </w:tcPr>
          <w:p w14:paraId="64299990" w14:textId="77777777" w:rsidR="007B6C97" w:rsidRDefault="007B6C97">
            <w:pPr>
              <w:rPr>
                <w:rFonts w:ascii="宋体"/>
              </w:rPr>
            </w:pPr>
          </w:p>
        </w:tc>
        <w:tc>
          <w:tcPr>
            <w:tcW w:w="0" w:type="auto"/>
            <w:gridSpan w:val="3"/>
            <w:shd w:val="clear" w:color="auto" w:fill="auto"/>
            <w:tcMar>
              <w:top w:w="40" w:type="dxa"/>
              <w:left w:w="20" w:type="dxa"/>
              <w:bottom w:w="40" w:type="dxa"/>
              <w:right w:w="20" w:type="dxa"/>
            </w:tcMar>
            <w:vAlign w:val="bottom"/>
          </w:tcPr>
          <w:p w14:paraId="64299991"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Signing on behalf of the registrant and as</w:t>
            </w:r>
          </w:p>
          <w:p w14:paraId="64299992" w14:textId="77777777" w:rsidR="007B6C97" w:rsidRDefault="00E426D1">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principal financial officer</w:t>
            </w:r>
          </w:p>
        </w:tc>
      </w:tr>
    </w:tbl>
    <w:p w14:paraId="64299994" w14:textId="77777777" w:rsidR="007B6C97" w:rsidRDefault="007B6C97"/>
    <w:p w14:paraId="64299995" w14:textId="77777777" w:rsidR="007B6C97" w:rsidRDefault="00E426D1">
      <w:pPr>
        <w:jc w:val="center"/>
      </w:pPr>
      <w:r>
        <w:rPr>
          <w:rFonts w:ascii="Times New Roman" w:eastAsia="宋体" w:hAnsi="Times New Roman"/>
          <w:color w:val="000000"/>
          <w:sz w:val="20"/>
          <w:szCs w:val="20"/>
        </w:rPr>
        <w:t>46</w:t>
      </w:r>
    </w:p>
    <w:p w14:paraId="64299996" w14:textId="77777777" w:rsidR="007B6C97" w:rsidRDefault="00E426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299A08" wp14:editId="64299A09">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98" w14:textId="77777777">
        <w:trPr>
          <w:tblCellSpacing w:w="15" w:type="dxa"/>
        </w:trPr>
        <w:tc>
          <w:tcPr>
            <w:tcW w:w="0" w:type="auto"/>
            <w:shd w:val="clear" w:color="auto" w:fill="auto"/>
            <w:vAlign w:val="center"/>
          </w:tcPr>
          <w:p w14:paraId="64299997" w14:textId="77777777" w:rsidR="007B6C97" w:rsidRDefault="007B6C97">
            <w:pPr>
              <w:rPr>
                <w:rFonts w:ascii="宋体"/>
              </w:rPr>
            </w:pPr>
          </w:p>
        </w:tc>
      </w:tr>
    </w:tbl>
    <w:p w14:paraId="64299999"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9B" w14:textId="77777777">
        <w:trPr>
          <w:tblCellSpacing w:w="15" w:type="dxa"/>
        </w:trPr>
        <w:tc>
          <w:tcPr>
            <w:tcW w:w="0" w:type="auto"/>
            <w:shd w:val="clear" w:color="auto" w:fill="auto"/>
            <w:vAlign w:val="center"/>
          </w:tcPr>
          <w:p w14:paraId="6429999A" w14:textId="77777777" w:rsidR="007B6C97" w:rsidRDefault="007B6C97">
            <w:pPr>
              <w:rPr>
                <w:rFonts w:ascii="宋体"/>
              </w:rPr>
            </w:pPr>
          </w:p>
        </w:tc>
      </w:tr>
    </w:tbl>
    <w:p w14:paraId="6429999C"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9E" w14:textId="77777777">
        <w:trPr>
          <w:tblCellSpacing w:w="15" w:type="dxa"/>
        </w:trPr>
        <w:tc>
          <w:tcPr>
            <w:tcW w:w="0" w:type="auto"/>
            <w:shd w:val="clear" w:color="auto" w:fill="auto"/>
            <w:vAlign w:val="center"/>
          </w:tcPr>
          <w:p w14:paraId="6429999D" w14:textId="77777777" w:rsidR="007B6C97" w:rsidRDefault="007B6C97">
            <w:pPr>
              <w:rPr>
                <w:rFonts w:ascii="宋体"/>
              </w:rPr>
            </w:pPr>
          </w:p>
        </w:tc>
      </w:tr>
    </w:tbl>
    <w:p w14:paraId="6429999F"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A1" w14:textId="77777777">
        <w:trPr>
          <w:tblCellSpacing w:w="15" w:type="dxa"/>
        </w:trPr>
        <w:tc>
          <w:tcPr>
            <w:tcW w:w="0" w:type="auto"/>
            <w:shd w:val="clear" w:color="auto" w:fill="auto"/>
            <w:vAlign w:val="center"/>
          </w:tcPr>
          <w:p w14:paraId="642999A0" w14:textId="77777777" w:rsidR="007B6C97" w:rsidRDefault="007B6C97">
            <w:pPr>
              <w:rPr>
                <w:rFonts w:ascii="宋体"/>
              </w:rPr>
            </w:pPr>
          </w:p>
        </w:tc>
      </w:tr>
    </w:tbl>
    <w:p w14:paraId="642999A2" w14:textId="77777777" w:rsidR="007B6C97" w:rsidRDefault="00E426D1">
      <w:r>
        <w:rPr>
          <w:rFonts w:ascii="宋体" w:eastAsia="宋体" w:hAnsi="宋体" w:cs="宋体"/>
        </w:rPr>
        <w:t xml:space="preserve">Previous Next </w:t>
      </w:r>
    </w:p>
    <w:p w14:paraId="642999A3" w14:textId="77777777" w:rsidR="007B6C97" w:rsidRDefault="00E426D1">
      <w:pPr>
        <w:pStyle w:val="a3"/>
      </w:pPr>
      <w:r>
        <w:t>Settings</w:t>
      </w:r>
    </w:p>
    <w:p w14:paraId="642999A4" w14:textId="77777777" w:rsidR="007B6C97" w:rsidRDefault="00E426D1">
      <w:pPr>
        <w:pStyle w:val="Style4"/>
      </w:pPr>
      <w:r>
        <w:t>窗体顶端</w:t>
      </w:r>
    </w:p>
    <w:p w14:paraId="642999A5" w14:textId="77777777" w:rsidR="007B6C97" w:rsidRDefault="00E426D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4299A0A" wp14:editId="64299A0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42999A6" w14:textId="77777777" w:rsidR="007B6C97" w:rsidRDefault="00E426D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4299A0C" wp14:editId="64299A0D">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42999A7" w14:textId="77777777" w:rsidR="007B6C97" w:rsidRDefault="00E426D1">
      <w:r>
        <w:pict w14:anchorId="64299A0E">
          <v:rect id="_x0000_i1070" style="width:415.3pt;height:1.5pt" o:hralign="center" o:hrstd="t" o:hr="t" fillcolor="#a0a0a0" stroked="f"/>
        </w:pict>
      </w:r>
    </w:p>
    <w:p w14:paraId="642999A8" w14:textId="77777777" w:rsidR="007B6C97" w:rsidRDefault="00E426D1">
      <w:r>
        <w:rPr>
          <w:rFonts w:ascii="宋体" w:eastAsia="宋体" w:hAnsi="宋体" w:cs="宋体"/>
        </w:rPr>
        <w:t xml:space="preserve">Tagged Data </w:t>
      </w:r>
    </w:p>
    <w:p w14:paraId="642999A9" w14:textId="77777777" w:rsidR="007B6C97" w:rsidRDefault="00E426D1">
      <w:r>
        <w:rPr>
          <w:rFonts w:ascii="monospace" w:eastAsia="monospace" w:hAnsi="monospace" w:cs="monospace"/>
          <w:noProof/>
        </w:rPr>
        <mc:AlternateContent>
          <mc:Choice Requires="wps">
            <w:drawing>
              <wp:inline distT="0" distB="0" distL="114300" distR="114300" wp14:anchorId="64299A0F" wp14:editId="64299A10">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42999AA" w14:textId="77777777" w:rsidR="007B6C97" w:rsidRDefault="00E426D1">
      <w:r>
        <w:rPr>
          <w:rFonts w:ascii="宋体" w:eastAsia="宋体" w:hAnsi="宋体" w:cs="宋体"/>
        </w:rPr>
        <w:t>Save</w:t>
      </w:r>
    </w:p>
    <w:p w14:paraId="642999AB" w14:textId="77777777" w:rsidR="007B6C97" w:rsidRDefault="00E426D1">
      <w:r>
        <w:rPr>
          <w:rFonts w:ascii="宋体" w:eastAsia="宋体" w:hAnsi="宋体" w:cs="宋体"/>
        </w:rPr>
        <w:t>Reset</w:t>
      </w:r>
    </w:p>
    <w:p w14:paraId="642999AC" w14:textId="77777777" w:rsidR="007B6C97" w:rsidRDefault="00E426D1">
      <w:r>
        <w:pict w14:anchorId="64299A11">
          <v:rect id="_x0000_i1071" style="width:415.3pt;height:1.5pt" o:hralign="center" o:hrstd="t" o:hr="t" fillcolor="#a0a0a0" stroked="f"/>
        </w:pict>
      </w:r>
    </w:p>
    <w:p w14:paraId="642999AD" w14:textId="77777777" w:rsidR="007B6C97" w:rsidRDefault="00E426D1">
      <w:r>
        <w:rPr>
          <w:rFonts w:ascii="宋体" w:eastAsia="宋体" w:hAnsi="宋体" w:cs="宋体"/>
        </w:rPr>
        <w:t xml:space="preserve">Search Results </w:t>
      </w:r>
    </w:p>
    <w:p w14:paraId="642999AE" w14:textId="77777777" w:rsidR="007B6C97" w:rsidRDefault="00E426D1">
      <w:r>
        <w:rPr>
          <w:rFonts w:ascii="monospace" w:eastAsia="monospace" w:hAnsi="monospace" w:cs="monospace"/>
          <w:noProof/>
        </w:rPr>
        <mc:AlternateContent>
          <mc:Choice Requires="wps">
            <w:drawing>
              <wp:inline distT="0" distB="0" distL="114300" distR="114300" wp14:anchorId="64299A12" wp14:editId="64299A13">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42999AF" w14:textId="77777777" w:rsidR="007B6C97" w:rsidRDefault="00E426D1">
      <w:r>
        <w:rPr>
          <w:rFonts w:ascii="宋体" w:eastAsia="宋体" w:hAnsi="宋体" w:cs="宋体"/>
        </w:rPr>
        <w:t>Save</w:t>
      </w:r>
    </w:p>
    <w:p w14:paraId="642999B0" w14:textId="77777777" w:rsidR="007B6C97" w:rsidRDefault="00E426D1">
      <w:r>
        <w:rPr>
          <w:rFonts w:ascii="宋体" w:eastAsia="宋体" w:hAnsi="宋体" w:cs="宋体"/>
        </w:rPr>
        <w:t>Reset</w:t>
      </w:r>
    </w:p>
    <w:p w14:paraId="642999B1" w14:textId="77777777" w:rsidR="007B6C97" w:rsidRDefault="00E426D1">
      <w:r>
        <w:pict w14:anchorId="64299A14">
          <v:rect id="_x0000_i1072" style="width:415.3pt;height:1.5pt" o:hralign="center" o:hrstd="t" o:hr="t" fillcolor="#a0a0a0" stroked="f"/>
        </w:pict>
      </w:r>
    </w:p>
    <w:p w14:paraId="642999B2" w14:textId="77777777" w:rsidR="007B6C97" w:rsidRDefault="00E426D1">
      <w:r>
        <w:rPr>
          <w:rFonts w:ascii="宋体" w:eastAsia="宋体" w:hAnsi="宋体" w:cs="宋体"/>
        </w:rPr>
        <w:t xml:space="preserve">Selected Fact </w:t>
      </w:r>
    </w:p>
    <w:p w14:paraId="642999B3" w14:textId="77777777" w:rsidR="007B6C97" w:rsidRDefault="00E426D1">
      <w:r>
        <w:rPr>
          <w:rFonts w:ascii="monospace" w:eastAsia="monospace" w:hAnsi="monospace" w:cs="monospace"/>
          <w:noProof/>
        </w:rPr>
        <mc:AlternateContent>
          <mc:Choice Requires="wps">
            <w:drawing>
              <wp:inline distT="0" distB="0" distL="114300" distR="114300" wp14:anchorId="64299A15" wp14:editId="64299A16">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42999B4" w14:textId="77777777" w:rsidR="007B6C97" w:rsidRDefault="00E426D1">
      <w:r>
        <w:rPr>
          <w:rFonts w:ascii="宋体" w:eastAsia="宋体" w:hAnsi="宋体" w:cs="宋体"/>
        </w:rPr>
        <w:t>Save</w:t>
      </w:r>
    </w:p>
    <w:p w14:paraId="642999B5" w14:textId="77777777" w:rsidR="007B6C97" w:rsidRDefault="00E426D1">
      <w:r>
        <w:rPr>
          <w:rFonts w:ascii="宋体" w:eastAsia="宋体" w:hAnsi="宋体" w:cs="宋体"/>
        </w:rPr>
        <w:t>Reset</w:t>
      </w:r>
    </w:p>
    <w:p w14:paraId="642999B6" w14:textId="77777777" w:rsidR="007B6C97" w:rsidRDefault="00E426D1">
      <w:r>
        <w:pict w14:anchorId="64299A17">
          <v:rect id="_x0000_i1073" style="width:415.3pt;height:1.5pt" o:hralign="center" o:hrstd="t" o:hr="t" fillcolor="#a0a0a0" stroked="f"/>
        </w:pict>
      </w:r>
    </w:p>
    <w:p w14:paraId="642999B7" w14:textId="77777777" w:rsidR="007B6C97" w:rsidRDefault="00E426D1">
      <w:r>
        <w:rPr>
          <w:rFonts w:ascii="宋体" w:eastAsia="宋体" w:hAnsi="宋体" w:cs="宋体"/>
        </w:rPr>
        <w:t xml:space="preserve">Tag Shading (hover) </w:t>
      </w:r>
    </w:p>
    <w:p w14:paraId="642999B8" w14:textId="77777777" w:rsidR="007B6C97" w:rsidRDefault="00E426D1">
      <w:r>
        <w:rPr>
          <w:rFonts w:ascii="monospace" w:eastAsia="monospace" w:hAnsi="monospace" w:cs="monospace"/>
          <w:noProof/>
        </w:rPr>
        <mc:AlternateContent>
          <mc:Choice Requires="wps">
            <w:drawing>
              <wp:inline distT="0" distB="0" distL="114300" distR="114300" wp14:anchorId="64299A18" wp14:editId="64299A19">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42999B9" w14:textId="77777777" w:rsidR="007B6C97" w:rsidRDefault="00E426D1">
      <w:r>
        <w:rPr>
          <w:rFonts w:ascii="宋体" w:eastAsia="宋体" w:hAnsi="宋体" w:cs="宋体"/>
        </w:rPr>
        <w:t>Save</w:t>
      </w:r>
    </w:p>
    <w:p w14:paraId="642999BA" w14:textId="77777777" w:rsidR="007B6C97" w:rsidRDefault="00E426D1">
      <w:r>
        <w:rPr>
          <w:rFonts w:ascii="宋体" w:eastAsia="宋体" w:hAnsi="宋体" w:cs="宋体"/>
        </w:rPr>
        <w:t>Reset</w:t>
      </w:r>
    </w:p>
    <w:p w14:paraId="642999BB" w14:textId="77777777" w:rsidR="007B6C97" w:rsidRDefault="00E426D1">
      <w:pPr>
        <w:pStyle w:val="Style5"/>
      </w:pPr>
      <w:r>
        <w:t>窗体底端</w:t>
      </w:r>
    </w:p>
    <w:p w14:paraId="642999BC" w14:textId="77777777" w:rsidR="007B6C97" w:rsidRDefault="00E426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299A1A" wp14:editId="64299A1B">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BE" w14:textId="77777777">
        <w:trPr>
          <w:tblCellSpacing w:w="15" w:type="dxa"/>
        </w:trPr>
        <w:tc>
          <w:tcPr>
            <w:tcW w:w="0" w:type="auto"/>
            <w:shd w:val="clear" w:color="auto" w:fill="auto"/>
            <w:vAlign w:val="center"/>
          </w:tcPr>
          <w:p w14:paraId="642999BD" w14:textId="77777777" w:rsidR="007B6C97" w:rsidRDefault="007B6C97">
            <w:pPr>
              <w:rPr>
                <w:rFonts w:ascii="宋体"/>
              </w:rPr>
            </w:pPr>
          </w:p>
        </w:tc>
      </w:tr>
    </w:tbl>
    <w:p w14:paraId="642999BF"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C1" w14:textId="77777777">
        <w:trPr>
          <w:tblCellSpacing w:w="15" w:type="dxa"/>
        </w:trPr>
        <w:tc>
          <w:tcPr>
            <w:tcW w:w="0" w:type="auto"/>
            <w:shd w:val="clear" w:color="auto" w:fill="auto"/>
            <w:vAlign w:val="center"/>
          </w:tcPr>
          <w:p w14:paraId="642999C0" w14:textId="77777777" w:rsidR="007B6C97" w:rsidRDefault="007B6C97">
            <w:pPr>
              <w:rPr>
                <w:rFonts w:ascii="宋体"/>
              </w:rPr>
            </w:pPr>
          </w:p>
        </w:tc>
      </w:tr>
    </w:tbl>
    <w:p w14:paraId="642999C2"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C4" w14:textId="77777777">
        <w:trPr>
          <w:tblCellSpacing w:w="15" w:type="dxa"/>
        </w:trPr>
        <w:tc>
          <w:tcPr>
            <w:tcW w:w="0" w:type="auto"/>
            <w:shd w:val="clear" w:color="auto" w:fill="auto"/>
            <w:vAlign w:val="center"/>
          </w:tcPr>
          <w:p w14:paraId="642999C3" w14:textId="77777777" w:rsidR="007B6C97" w:rsidRDefault="007B6C97">
            <w:pPr>
              <w:rPr>
                <w:rFonts w:ascii="宋体"/>
              </w:rPr>
            </w:pPr>
          </w:p>
        </w:tc>
      </w:tr>
    </w:tbl>
    <w:p w14:paraId="642999C5"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C7" w14:textId="77777777">
        <w:trPr>
          <w:tblCellSpacing w:w="15" w:type="dxa"/>
        </w:trPr>
        <w:tc>
          <w:tcPr>
            <w:tcW w:w="0" w:type="auto"/>
            <w:shd w:val="clear" w:color="auto" w:fill="auto"/>
            <w:vAlign w:val="center"/>
          </w:tcPr>
          <w:p w14:paraId="642999C6" w14:textId="77777777" w:rsidR="007B6C97" w:rsidRDefault="007B6C97">
            <w:pPr>
              <w:rPr>
                <w:rFonts w:ascii="宋体"/>
              </w:rPr>
            </w:pPr>
          </w:p>
        </w:tc>
      </w:tr>
    </w:tbl>
    <w:p w14:paraId="642999C8" w14:textId="77777777" w:rsidR="007B6C97" w:rsidRDefault="00E426D1">
      <w:r>
        <w:rPr>
          <w:rFonts w:ascii="宋体" w:eastAsia="宋体" w:hAnsi="宋体" w:cs="宋体"/>
        </w:rPr>
        <w:t xml:space="preserve">Previous Next </w:t>
      </w:r>
    </w:p>
    <w:p w14:paraId="642999C9" w14:textId="77777777" w:rsidR="007B6C97" w:rsidRDefault="00E426D1">
      <w:pPr>
        <w:pStyle w:val="a3"/>
      </w:pPr>
      <w:r>
        <w:t xml:space="preserve">Nested Facts / </w:t>
      </w:r>
    </w:p>
    <w:p w14:paraId="642999CA" w14:textId="77777777" w:rsidR="007B6C97" w:rsidRDefault="00E426D1">
      <w:r>
        <w:rPr>
          <w:rFonts w:ascii="宋体" w:eastAsia="宋体" w:hAnsi="宋体" w:cs="宋体"/>
        </w:rPr>
        <w:t xml:space="preserve">Previous Next </w:t>
      </w:r>
    </w:p>
    <w:p w14:paraId="642999CB" w14:textId="77777777" w:rsidR="007B6C97" w:rsidRDefault="00E426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299A1C" wp14:editId="64299A1D">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CD" w14:textId="77777777">
        <w:trPr>
          <w:tblCellSpacing w:w="15" w:type="dxa"/>
        </w:trPr>
        <w:tc>
          <w:tcPr>
            <w:tcW w:w="0" w:type="auto"/>
            <w:shd w:val="clear" w:color="auto" w:fill="auto"/>
            <w:vAlign w:val="center"/>
          </w:tcPr>
          <w:p w14:paraId="642999CC" w14:textId="77777777" w:rsidR="007B6C97" w:rsidRDefault="007B6C97">
            <w:pPr>
              <w:rPr>
                <w:rFonts w:ascii="宋体"/>
              </w:rPr>
            </w:pPr>
          </w:p>
        </w:tc>
      </w:tr>
    </w:tbl>
    <w:p w14:paraId="642999CE"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D0" w14:textId="77777777">
        <w:trPr>
          <w:tblCellSpacing w:w="15" w:type="dxa"/>
        </w:trPr>
        <w:tc>
          <w:tcPr>
            <w:tcW w:w="0" w:type="auto"/>
            <w:shd w:val="clear" w:color="auto" w:fill="auto"/>
            <w:vAlign w:val="center"/>
          </w:tcPr>
          <w:p w14:paraId="642999CF" w14:textId="77777777" w:rsidR="007B6C97" w:rsidRDefault="007B6C97">
            <w:pPr>
              <w:rPr>
                <w:rFonts w:ascii="宋体"/>
              </w:rPr>
            </w:pPr>
          </w:p>
        </w:tc>
      </w:tr>
    </w:tbl>
    <w:p w14:paraId="642999D1"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D3" w14:textId="77777777">
        <w:trPr>
          <w:tblCellSpacing w:w="15" w:type="dxa"/>
        </w:trPr>
        <w:tc>
          <w:tcPr>
            <w:tcW w:w="0" w:type="auto"/>
            <w:shd w:val="clear" w:color="auto" w:fill="auto"/>
            <w:vAlign w:val="center"/>
          </w:tcPr>
          <w:p w14:paraId="642999D2" w14:textId="77777777" w:rsidR="007B6C97" w:rsidRDefault="007B6C97">
            <w:pPr>
              <w:rPr>
                <w:rFonts w:ascii="宋体"/>
              </w:rPr>
            </w:pPr>
          </w:p>
        </w:tc>
      </w:tr>
    </w:tbl>
    <w:p w14:paraId="642999D4" w14:textId="77777777" w:rsidR="007B6C97" w:rsidRDefault="007B6C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6C97" w14:paraId="642999D6" w14:textId="77777777">
        <w:trPr>
          <w:tblCellSpacing w:w="15" w:type="dxa"/>
        </w:trPr>
        <w:tc>
          <w:tcPr>
            <w:tcW w:w="0" w:type="auto"/>
            <w:shd w:val="clear" w:color="auto" w:fill="auto"/>
            <w:vAlign w:val="center"/>
          </w:tcPr>
          <w:p w14:paraId="642999D5" w14:textId="77777777" w:rsidR="007B6C97" w:rsidRDefault="007B6C97">
            <w:pPr>
              <w:rPr>
                <w:rFonts w:ascii="宋体"/>
              </w:rPr>
            </w:pPr>
          </w:p>
        </w:tc>
      </w:tr>
    </w:tbl>
    <w:p w14:paraId="642999D7" w14:textId="77777777" w:rsidR="007B6C97" w:rsidRDefault="00E426D1">
      <w:r>
        <w:rPr>
          <w:rFonts w:ascii="宋体" w:eastAsia="宋体" w:hAnsi="宋体" w:cs="宋体"/>
        </w:rPr>
        <w:t xml:space="preserve">Previous Next </w:t>
      </w:r>
    </w:p>
    <w:p w14:paraId="642999D8" w14:textId="77777777" w:rsidR="007B6C97" w:rsidRDefault="007B6C97"/>
    <w:sectPr w:rsidR="007B6C9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2CD8" w14:textId="77777777" w:rsidR="00E426D1" w:rsidRDefault="00E426D1" w:rsidP="00E426D1">
      <w:r>
        <w:separator/>
      </w:r>
    </w:p>
  </w:endnote>
  <w:endnote w:type="continuationSeparator" w:id="0">
    <w:p w14:paraId="28CC59CF" w14:textId="77777777" w:rsidR="00E426D1" w:rsidRDefault="00E426D1" w:rsidP="00E4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FA41" w14:textId="77777777" w:rsidR="00E426D1" w:rsidRDefault="00E426D1" w:rsidP="00E426D1">
      <w:r>
        <w:separator/>
      </w:r>
    </w:p>
  </w:footnote>
  <w:footnote w:type="continuationSeparator" w:id="0">
    <w:p w14:paraId="7D18F085" w14:textId="77777777" w:rsidR="00E426D1" w:rsidRDefault="00E426D1" w:rsidP="00E42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BE5140"/>
    <w:rsid w:val="007B6C97"/>
    <w:rsid w:val="00E426D1"/>
    <w:rsid w:val="7DBE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967B3"/>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426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426D1"/>
    <w:rPr>
      <w:rFonts w:asciiTheme="minorEastAsia" w:hAnsiTheme="minorEastAsia" w:cs="Times New Roman"/>
      <w:sz w:val="18"/>
      <w:szCs w:val="18"/>
    </w:rPr>
  </w:style>
  <w:style w:type="paragraph" w:styleId="a8">
    <w:name w:val="footer"/>
    <w:basedOn w:val="a"/>
    <w:link w:val="a9"/>
    <w:rsid w:val="00E426D1"/>
    <w:pPr>
      <w:tabs>
        <w:tab w:val="center" w:pos="4153"/>
        <w:tab w:val="right" w:pos="8306"/>
      </w:tabs>
      <w:snapToGrid w:val="0"/>
    </w:pPr>
    <w:rPr>
      <w:sz w:val="18"/>
      <w:szCs w:val="18"/>
    </w:rPr>
  </w:style>
  <w:style w:type="character" w:customStyle="1" w:styleId="a9">
    <w:name w:val="页脚 字符"/>
    <w:basedOn w:val="a0"/>
    <w:link w:val="a8"/>
    <w:rsid w:val="00E426D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2000039/sbux-20220703.htm" TargetMode="External"/><Relationship Id="rId21" Type="http://schemas.openxmlformats.org/officeDocument/2006/relationships/hyperlink" Target="https://www.sec.gov/ix?doc=/Archives/edgar/data/0000829224/000082922422000039/sbux-20220703.htm" TargetMode="External"/><Relationship Id="rId42" Type="http://schemas.openxmlformats.org/officeDocument/2006/relationships/hyperlink" Target="https://www.sec.gov/ix?doc=/Archives/edgar/data/0000829224/000082922422000039/sbux-20220703.htm" TargetMode="External"/><Relationship Id="rId63" Type="http://schemas.openxmlformats.org/officeDocument/2006/relationships/hyperlink" Target="https://www.sec.gov/ix?doc=/Archives/edgar/data/0000829224/000082922422000039/sbux-20220703.htm" TargetMode="External"/><Relationship Id="rId84" Type="http://schemas.openxmlformats.org/officeDocument/2006/relationships/hyperlink" Target="https://www.sec.gov/ix?doc=/Archives/edgar/data/0000829224/000082922422000039/sbux-20220703.htm" TargetMode="External"/><Relationship Id="rId138" Type="http://schemas.openxmlformats.org/officeDocument/2006/relationships/hyperlink" Target="https://www.sec.gov/ix?doc=/Archives/edgar/data/0000829224/000082922422000039/sbux-20220703.htm" TargetMode="External"/><Relationship Id="rId159" Type="http://schemas.openxmlformats.org/officeDocument/2006/relationships/hyperlink" Target="https://www.sec.gov/ix?doc=/Archives/edgar/data/0000829224/000082922422000039/sbux-20220703.htm" TargetMode="External"/><Relationship Id="rId170" Type="http://schemas.openxmlformats.org/officeDocument/2006/relationships/hyperlink" Target="https://www.sec.gov/ix?doc=/Archives/edgar/data/0000829224/000082922422000039/sbux-20220703.htm" TargetMode="External"/><Relationship Id="rId107" Type="http://schemas.openxmlformats.org/officeDocument/2006/relationships/hyperlink" Target="https://www.sec.gov/ix?doc=/Archives/edgar/data/0000829224/000082922422000039/sbux-20220703.htm" TargetMode="External"/><Relationship Id="rId11" Type="http://schemas.openxmlformats.org/officeDocument/2006/relationships/hyperlink" Target="https://www.sec.gov/ix?doc=/Archives/edgar/data/0000829224/000082922422000039/sbux-20220703.htm" TargetMode="External"/><Relationship Id="rId32" Type="http://schemas.openxmlformats.org/officeDocument/2006/relationships/hyperlink" Target="https://www.sec.gov/ix?doc=/Archives/edgar/data/0000829224/000082922422000039/sbux-20220703.htm" TargetMode="External"/><Relationship Id="rId53" Type="http://schemas.openxmlformats.org/officeDocument/2006/relationships/hyperlink" Target="https://www.sec.gov/ix?doc=/Archives/edgar/data/0000829224/000082922422000039/sbux-20220703.htm" TargetMode="External"/><Relationship Id="rId74" Type="http://schemas.openxmlformats.org/officeDocument/2006/relationships/hyperlink" Target="https://www.sec.gov/ix?doc=/Archives/edgar/data/0000829224/000082922422000039/sbux-20220703.htm" TargetMode="External"/><Relationship Id="rId128" Type="http://schemas.openxmlformats.org/officeDocument/2006/relationships/hyperlink" Target="https://www.sec.gov/ix?doc=/Archives/edgar/data/0000829224/000082922422000039/sbux-20220703.htm" TargetMode="External"/><Relationship Id="rId149" Type="http://schemas.openxmlformats.org/officeDocument/2006/relationships/hyperlink" Target="https://www.sec.gov/ix?doc=/Archives/edgar/data/0000829224/000082922422000039/sbux-20220703.htm" TargetMode="External"/><Relationship Id="rId5" Type="http://schemas.openxmlformats.org/officeDocument/2006/relationships/endnotes" Target="endnotes.xml"/><Relationship Id="rId95" Type="http://schemas.openxmlformats.org/officeDocument/2006/relationships/hyperlink" Target="https://www.sec.gov/ix?doc=/Archives/edgar/data/0000829224/000082922422000039/sbux-20220703.htm" TargetMode="External"/><Relationship Id="rId160" Type="http://schemas.openxmlformats.org/officeDocument/2006/relationships/hyperlink" Target="https://www.sec.gov/ix?doc=/Archives/edgar/data/0000829224/000082922422000039/sbux-20220703.htm" TargetMode="External"/><Relationship Id="rId181" Type="http://schemas.openxmlformats.org/officeDocument/2006/relationships/hyperlink" Target="https://www.sec.gov/Archives/edgar/data/0000829224/000082922422000039/sbux-732022xexhibit312.htm" TargetMode="External"/><Relationship Id="rId22" Type="http://schemas.openxmlformats.org/officeDocument/2006/relationships/hyperlink" Target="https://www.sec.gov/ix?doc=/Archives/edgar/data/0000829224/000082922422000039/sbux-20220703.htm" TargetMode="External"/><Relationship Id="rId43" Type="http://schemas.openxmlformats.org/officeDocument/2006/relationships/hyperlink" Target="https://www.sec.gov/ix?doc=/Archives/edgar/data/0000829224/000082922422000039/sbux-20220703.htm" TargetMode="External"/><Relationship Id="rId64" Type="http://schemas.openxmlformats.org/officeDocument/2006/relationships/hyperlink" Target="https://www.sec.gov/ix?doc=/Archives/edgar/data/0000829224/000082922422000039/sbux-20220703.htm" TargetMode="External"/><Relationship Id="rId118" Type="http://schemas.openxmlformats.org/officeDocument/2006/relationships/hyperlink" Target="https://www.sec.gov/ix?doc=/Archives/edgar/data/0000829224/000082922422000039/sbux-20220703.htm" TargetMode="External"/><Relationship Id="rId139" Type="http://schemas.openxmlformats.org/officeDocument/2006/relationships/hyperlink" Target="https://www.sec.gov/ix?doc=/Archives/edgar/data/0000829224/000082922422000039/sbux-20220703.htm" TargetMode="External"/><Relationship Id="rId85" Type="http://schemas.openxmlformats.org/officeDocument/2006/relationships/hyperlink" Target="https://www.sec.gov/ix?doc=/Archives/edgar/data/0000829224/000082922422000039/sbux-20220703.htm" TargetMode="External"/><Relationship Id="rId150" Type="http://schemas.openxmlformats.org/officeDocument/2006/relationships/hyperlink" Target="https://www.sec.gov/ix?doc=/Archives/edgar/data/0000829224/000082922422000039/sbux-20220703.htm" TargetMode="External"/><Relationship Id="rId171" Type="http://schemas.openxmlformats.org/officeDocument/2006/relationships/hyperlink" Target="https://www.sec.gov/ix?doc=/Archives/edgar/data/0000829224/000082922422000039/sbux-20220703.htm" TargetMode="External"/><Relationship Id="rId12" Type="http://schemas.openxmlformats.org/officeDocument/2006/relationships/hyperlink" Target="https://www.sec.gov/ix?doc=/Archives/edgar/data/0000829224/000082922422000039/sbux-20220703.htm" TargetMode="External"/><Relationship Id="rId33" Type="http://schemas.openxmlformats.org/officeDocument/2006/relationships/hyperlink" Target="https://www.sec.gov/ix?doc=/Archives/edgar/data/0000829224/000082922422000039/sbux-20220703.htm" TargetMode="External"/><Relationship Id="rId108" Type="http://schemas.openxmlformats.org/officeDocument/2006/relationships/hyperlink" Target="https://www.sec.gov/ix?doc=/Archives/edgar/data/0000829224/000082922422000039/sbux-20220703.htm" TargetMode="External"/><Relationship Id="rId129" Type="http://schemas.openxmlformats.org/officeDocument/2006/relationships/hyperlink" Target="https://www.sec.gov/ix?doc=/Archives/edgar/data/0000829224/000082922422000039/sbux-20220703.htm" TargetMode="External"/><Relationship Id="rId54" Type="http://schemas.openxmlformats.org/officeDocument/2006/relationships/hyperlink" Target="https://www.sec.gov/ix?doc=/Archives/edgar/data/0000829224/000082922422000039/sbux-20220703.htm" TargetMode="External"/><Relationship Id="rId75" Type="http://schemas.openxmlformats.org/officeDocument/2006/relationships/hyperlink" Target="https://www.sec.gov/ix?doc=/Archives/edgar/data/0000829224/000082922422000039/sbux-20220703.htm" TargetMode="External"/><Relationship Id="rId96" Type="http://schemas.openxmlformats.org/officeDocument/2006/relationships/hyperlink" Target="https://www.sec.gov/ix?doc=/Archives/edgar/data/0000829224/000082922422000039/sbux-20220703.htm" TargetMode="External"/><Relationship Id="rId140" Type="http://schemas.openxmlformats.org/officeDocument/2006/relationships/hyperlink" Target="https://www.sec.gov/ix?doc=/Archives/edgar/data/0000829224/000082922422000039/sbux-20220703.htm" TargetMode="External"/><Relationship Id="rId161" Type="http://schemas.openxmlformats.org/officeDocument/2006/relationships/hyperlink" Target="https://www.sec.gov/ix?doc=/Archives/edgar/data/0000829224/000082922422000039/sbux-20220703.htm" TargetMode="External"/><Relationship Id="rId182" Type="http://schemas.openxmlformats.org/officeDocument/2006/relationships/hyperlink" Target="https://www.sec.gov/Archives/edgar/data/0000829224/000082922422000039/sbux-732022xexhibit312.htm" TargetMode="External"/><Relationship Id="rId23" Type="http://schemas.openxmlformats.org/officeDocument/2006/relationships/hyperlink" Target="https://www.sec.gov/ix?doc=/Archives/edgar/data/0000829224/000082922422000039/sbux-20220703.htm" TargetMode="External"/><Relationship Id="rId119" Type="http://schemas.openxmlformats.org/officeDocument/2006/relationships/hyperlink" Target="https://www.sec.gov/ix?doc=/Archives/edgar/data/0000829224/000082922422000039/sbux-20220703.htm" TargetMode="External"/><Relationship Id="rId44" Type="http://schemas.openxmlformats.org/officeDocument/2006/relationships/hyperlink" Target="https://www.sec.gov/ix?doc=/Archives/edgar/data/0000829224/000082922422000039/sbux-20220703.htm" TargetMode="External"/><Relationship Id="rId65" Type="http://schemas.openxmlformats.org/officeDocument/2006/relationships/hyperlink" Target="https://www.sec.gov/ix?doc=/Archives/edgar/data/0000829224/000082922422000039/sbux-20220703.htm" TargetMode="External"/><Relationship Id="rId86" Type="http://schemas.openxmlformats.org/officeDocument/2006/relationships/hyperlink" Target="https://www.sec.gov/ix?doc=/Archives/edgar/data/0000829224/000082922422000039/sbux-20220703.htm" TargetMode="External"/><Relationship Id="rId130" Type="http://schemas.openxmlformats.org/officeDocument/2006/relationships/hyperlink" Target="https://www.sec.gov/ix?doc=/Archives/edgar/data/0000829224/000082922422000039/sbux-20220703.htm" TargetMode="External"/><Relationship Id="rId151" Type="http://schemas.openxmlformats.org/officeDocument/2006/relationships/hyperlink" Target="https://www.sec.gov/ix?doc=/Archives/edgar/data/0000829224/000082922422000039/sbux-20220703.htm" TargetMode="External"/><Relationship Id="rId172" Type="http://schemas.openxmlformats.org/officeDocument/2006/relationships/hyperlink" Target="https://www.sec.gov/ix?doc=/Archives/edgar/data/0000829224/000082922422000039/sbux-20220703.htm" TargetMode="External"/><Relationship Id="rId13" Type="http://schemas.openxmlformats.org/officeDocument/2006/relationships/hyperlink" Target="https://www.sec.gov/ix?doc=/Archives/edgar/data/0000829224/000082922422000039/sbux-20220703.htm" TargetMode="External"/><Relationship Id="rId18" Type="http://schemas.openxmlformats.org/officeDocument/2006/relationships/hyperlink" Target="https://www.sec.gov/ix?doc=/Archives/edgar/data/0000829224/000082922422000039/sbux-20220703.htm" TargetMode="External"/><Relationship Id="rId39" Type="http://schemas.openxmlformats.org/officeDocument/2006/relationships/hyperlink" Target="https://www.sec.gov/ix?doc=/Archives/edgar/data/0000829224/000082922422000039/sbux-20220703.htm" TargetMode="External"/><Relationship Id="rId109" Type="http://schemas.openxmlformats.org/officeDocument/2006/relationships/hyperlink" Target="https://www.sec.gov/ix?doc=/Archives/edgar/data/0000829224/000082922422000039/sbux-20220703.htm" TargetMode="External"/><Relationship Id="rId34" Type="http://schemas.openxmlformats.org/officeDocument/2006/relationships/hyperlink" Target="https://www.sec.gov/ix?doc=/Archives/edgar/data/0000829224/000082922422000039/sbux-20220703.htm" TargetMode="External"/><Relationship Id="rId50" Type="http://schemas.openxmlformats.org/officeDocument/2006/relationships/hyperlink" Target="https://www.sec.gov/ix?doc=/Archives/edgar/data/0000829224/000082922422000039/sbux-20220703.htm" TargetMode="External"/><Relationship Id="rId55" Type="http://schemas.openxmlformats.org/officeDocument/2006/relationships/hyperlink" Target="https://www.sec.gov/ix?doc=/Archives/edgar/data/0000829224/000082922422000039/sbux-20220703.htm" TargetMode="External"/><Relationship Id="rId76" Type="http://schemas.openxmlformats.org/officeDocument/2006/relationships/hyperlink" Target="https://www.sec.gov/ix?doc=/Archives/edgar/data/0000829224/000082922422000039/sbux-20220703.htm" TargetMode="External"/><Relationship Id="rId97" Type="http://schemas.openxmlformats.org/officeDocument/2006/relationships/hyperlink" Target="https://www.sec.gov/ix?doc=/Archives/edgar/data/0000829224/000082922422000039/sbux-20220703.htm" TargetMode="External"/><Relationship Id="rId104" Type="http://schemas.openxmlformats.org/officeDocument/2006/relationships/hyperlink" Target="https://www.sec.gov/ix?doc=/Archives/edgar/data/0000829224/000082922422000039/sbux-20220703.htm" TargetMode="External"/><Relationship Id="rId120" Type="http://schemas.openxmlformats.org/officeDocument/2006/relationships/hyperlink" Target="https://www.sec.gov/ix?doc=/Archives/edgar/data/0000829224/000082922422000039/sbux-20220703.htm" TargetMode="External"/><Relationship Id="rId125" Type="http://schemas.openxmlformats.org/officeDocument/2006/relationships/hyperlink" Target="https://www.sec.gov/ix?doc=/Archives/edgar/data/0000829224/000082922422000039/sbux-20220703.htm" TargetMode="External"/><Relationship Id="rId141" Type="http://schemas.openxmlformats.org/officeDocument/2006/relationships/hyperlink" Target="https://www.sec.gov/ix?doc=/Archives/edgar/data/0000829224/000082922422000039/sbux-20220703.htm" TargetMode="External"/><Relationship Id="rId146" Type="http://schemas.openxmlformats.org/officeDocument/2006/relationships/hyperlink" Target="https://www.sec.gov/ix?doc=/Archives/edgar/data/0000829224/000082922422000039/sbux-20220703.htm" TargetMode="External"/><Relationship Id="rId167" Type="http://schemas.openxmlformats.org/officeDocument/2006/relationships/hyperlink" Target="https://www.sec.gov/ix?doc=/Archives/edgar/data/0000829224/000082922422000039/sbux-20220703.htm" TargetMode="External"/><Relationship Id="rId188" Type="http://schemas.openxmlformats.org/officeDocument/2006/relationships/theme" Target="theme/theme1.xml"/><Relationship Id="rId7" Type="http://schemas.openxmlformats.org/officeDocument/2006/relationships/hyperlink" Target="https://www.sec.gov/ix?doc=/Archives/edgar/data/0000829224/000082922422000039/sbux-20220703.htm" TargetMode="External"/><Relationship Id="rId71" Type="http://schemas.openxmlformats.org/officeDocument/2006/relationships/hyperlink" Target="https://www.sec.gov/ix?doc=/Archives/edgar/data/0000829224/000082922422000039/sbux-20220703.htm" TargetMode="External"/><Relationship Id="rId92" Type="http://schemas.openxmlformats.org/officeDocument/2006/relationships/hyperlink" Target="https://www.sec.gov/ix?doc=/Archives/edgar/data/0000829224/000082922422000039/sbux-20220703.htm" TargetMode="External"/><Relationship Id="rId162" Type="http://schemas.openxmlformats.org/officeDocument/2006/relationships/hyperlink" Target="https://www.sec.gov/ix?doc=/Archives/edgar/data/0000829224/000082922422000039/sbux-20220703.htm" TargetMode="External"/><Relationship Id="rId183" Type="http://schemas.openxmlformats.org/officeDocument/2006/relationships/hyperlink" Target="https://www.sec.gov/Archives/edgar/data/0000829224/000082922422000039/sbux-732022xexhibit32.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2000039/sbux-20220703.htm" TargetMode="External"/><Relationship Id="rId24" Type="http://schemas.openxmlformats.org/officeDocument/2006/relationships/hyperlink" Target="https://www.sec.gov/ix?doc=/Archives/edgar/data/0000829224/000082922422000039/sbux-20220703.htm" TargetMode="External"/><Relationship Id="rId40" Type="http://schemas.openxmlformats.org/officeDocument/2006/relationships/hyperlink" Target="https://www.sec.gov/ix?doc=/Archives/edgar/data/0000829224/000082922422000039/sbux-20220703.htm" TargetMode="External"/><Relationship Id="rId45" Type="http://schemas.openxmlformats.org/officeDocument/2006/relationships/hyperlink" Target="https://www.sec.gov/ix?doc=/Archives/edgar/data/0000829224/000082922422000039/sbux-20220703.htm" TargetMode="External"/><Relationship Id="rId66" Type="http://schemas.openxmlformats.org/officeDocument/2006/relationships/hyperlink" Target="https://www.sec.gov/ix?doc=/Archives/edgar/data/0000829224/000082922422000039/sbux-20220703.htm" TargetMode="External"/><Relationship Id="rId87" Type="http://schemas.openxmlformats.org/officeDocument/2006/relationships/hyperlink" Target="https://www.sec.gov/ix?doc=/Archives/edgar/data/0000829224/000082922422000039/sbux-20220703.htm" TargetMode="External"/><Relationship Id="rId110" Type="http://schemas.openxmlformats.org/officeDocument/2006/relationships/hyperlink" Target="https://www.sec.gov/ix?doc=/Archives/edgar/data/0000829224/000082922422000039/sbux-20220703.htm" TargetMode="External"/><Relationship Id="rId115" Type="http://schemas.openxmlformats.org/officeDocument/2006/relationships/hyperlink" Target="https://www.sec.gov/ix?doc=/Archives/edgar/data/0000829224/000082922422000039/sbux-20220703.htm" TargetMode="External"/><Relationship Id="rId131" Type="http://schemas.openxmlformats.org/officeDocument/2006/relationships/hyperlink" Target="https://www.sec.gov/ix?doc=/Archives/edgar/data/0000829224/000082922422000039/sbux-20220703.htm" TargetMode="External"/><Relationship Id="rId136" Type="http://schemas.openxmlformats.org/officeDocument/2006/relationships/hyperlink" Target="https://www.sec.gov/ix?doc=/Archives/edgar/data/0000829224/000082922422000039/sbux-20220703.htm" TargetMode="External"/><Relationship Id="rId157" Type="http://schemas.openxmlformats.org/officeDocument/2006/relationships/hyperlink" Target="https://www.sec.gov/ix?doc=/Archives/edgar/data/0000829224/000082922422000039/sbux-20220703.htm" TargetMode="External"/><Relationship Id="rId178" Type="http://schemas.openxmlformats.org/officeDocument/2006/relationships/hyperlink" Target="http://www.sec.gov/Archives/edgar/data/829224/000119312521087492/d152191dex31.htm" TargetMode="External"/><Relationship Id="rId61" Type="http://schemas.openxmlformats.org/officeDocument/2006/relationships/hyperlink" Target="https://www.sec.gov/ix?doc=/Archives/edgar/data/0000829224/000082922422000039/sbux-20220703.htm" TargetMode="External"/><Relationship Id="rId82" Type="http://schemas.openxmlformats.org/officeDocument/2006/relationships/hyperlink" Target="https://www.sec.gov/ix?doc=/Archives/edgar/data/0000829224/000082922422000039/sbux-20220703.htm" TargetMode="External"/><Relationship Id="rId152" Type="http://schemas.openxmlformats.org/officeDocument/2006/relationships/hyperlink" Target="https://www.sec.gov/ix?doc=/Archives/edgar/data/0000829224/000082922422000039/sbux-20220703.htm" TargetMode="External"/><Relationship Id="rId173" Type="http://schemas.openxmlformats.org/officeDocument/2006/relationships/hyperlink" Target="https://www.sec.gov/ix?doc=/Archives/edgar/data/0000829224/000082922422000039/sbux-20220703.htm" TargetMode="External"/><Relationship Id="rId19" Type="http://schemas.openxmlformats.org/officeDocument/2006/relationships/hyperlink" Target="https://www.sec.gov/ix?doc=/Archives/edgar/data/0000829224/000082922422000039/sbux-20220703.htm" TargetMode="External"/><Relationship Id="rId14" Type="http://schemas.openxmlformats.org/officeDocument/2006/relationships/hyperlink" Target="https://www.sec.gov/ix?doc=/Archives/edgar/data/0000829224/000082922422000039/sbux-20220703.htm" TargetMode="External"/><Relationship Id="rId30" Type="http://schemas.openxmlformats.org/officeDocument/2006/relationships/hyperlink" Target="https://www.sec.gov/ix?doc=/Archives/edgar/data/0000829224/000082922422000039/sbux-20220703.htm" TargetMode="External"/><Relationship Id="rId35" Type="http://schemas.openxmlformats.org/officeDocument/2006/relationships/hyperlink" Target="https://www.sec.gov/ix?doc=/Archives/edgar/data/0000829224/000082922422000039/sbux-20220703.htm" TargetMode="External"/><Relationship Id="rId56" Type="http://schemas.openxmlformats.org/officeDocument/2006/relationships/hyperlink" Target="https://www.sec.gov/ix?doc=/Archives/edgar/data/0000829224/000082922422000039/sbux-20220703.htm" TargetMode="External"/><Relationship Id="rId77" Type="http://schemas.openxmlformats.org/officeDocument/2006/relationships/hyperlink" Target="https://www.sec.gov/ix?doc=/Archives/edgar/data/0000829224/000082922422000039/sbux-20220703.htm" TargetMode="External"/><Relationship Id="rId100" Type="http://schemas.openxmlformats.org/officeDocument/2006/relationships/hyperlink" Target="https://www.sec.gov/ix?doc=/Archives/edgar/data/0000829224/000082922422000039/sbux-20220703.htm" TargetMode="External"/><Relationship Id="rId105" Type="http://schemas.openxmlformats.org/officeDocument/2006/relationships/hyperlink" Target="https://www.sec.gov/ix?doc=/Archives/edgar/data/0000829224/000082922422000039/sbux-20220703.htm" TargetMode="External"/><Relationship Id="rId126" Type="http://schemas.openxmlformats.org/officeDocument/2006/relationships/hyperlink" Target="https://www.sec.gov/ix?doc=/Archives/edgar/data/0000829224/000082922422000039/sbux-20220703.htm" TargetMode="External"/><Relationship Id="rId147" Type="http://schemas.openxmlformats.org/officeDocument/2006/relationships/hyperlink" Target="https://www.sec.gov/ix?doc=/Archives/edgar/data/0000829224/000082922422000039/sbux-20220703.htm" TargetMode="External"/><Relationship Id="rId168" Type="http://schemas.openxmlformats.org/officeDocument/2006/relationships/hyperlink" Target="https://www.sec.gov/ix?doc=/Archives/edgar/data/0000829224/000082922422000039/sbux-20220703.htm" TargetMode="External"/><Relationship Id="rId8" Type="http://schemas.openxmlformats.org/officeDocument/2006/relationships/hyperlink" Target="https://www.sec.gov/ix?doc=/Archives/edgar/data/0000829224/000082922422000039/sbux-20220703.htm" TargetMode="External"/><Relationship Id="rId51" Type="http://schemas.openxmlformats.org/officeDocument/2006/relationships/hyperlink" Target="https://www.sec.gov/ix?doc=/Archives/edgar/data/0000829224/000082922422000039/sbux-20220703.htm" TargetMode="External"/><Relationship Id="rId72" Type="http://schemas.openxmlformats.org/officeDocument/2006/relationships/hyperlink" Target="https://www.sec.gov/ix?doc=/Archives/edgar/data/0000829224/000082922422000039/sbux-20220703.htm" TargetMode="External"/><Relationship Id="rId93" Type="http://schemas.openxmlformats.org/officeDocument/2006/relationships/hyperlink" Target="https://www.sec.gov/ix?doc=/Archives/edgar/data/0000829224/000082922422000039/sbux-20220703.htm" TargetMode="External"/><Relationship Id="rId98" Type="http://schemas.openxmlformats.org/officeDocument/2006/relationships/hyperlink" Target="https://www.sec.gov/ix?doc=/Archives/edgar/data/0000829224/000082922422000039/sbux-20220703.htm" TargetMode="External"/><Relationship Id="rId121" Type="http://schemas.openxmlformats.org/officeDocument/2006/relationships/hyperlink" Target="https://www.sec.gov/ix?doc=/Archives/edgar/data/0000829224/000082922422000039/sbux-20220703.htm" TargetMode="External"/><Relationship Id="rId142" Type="http://schemas.openxmlformats.org/officeDocument/2006/relationships/hyperlink" Target="https://www.sec.gov/ix?doc=/Archives/edgar/data/0000829224/000082922422000039/sbux-20220703.htm" TargetMode="External"/><Relationship Id="rId163" Type="http://schemas.openxmlformats.org/officeDocument/2006/relationships/hyperlink" Target="https://www.sec.gov/ix?doc=/Archives/edgar/data/0000829224/000082922422000039/sbux-20220703.htm" TargetMode="External"/><Relationship Id="rId184" Type="http://schemas.openxmlformats.org/officeDocument/2006/relationships/hyperlink" Target="https://www.sec.gov/Archives/edgar/data/0000829224/000082922422000039/sbux-732022xexhibit32.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2000039/sbux-20220703.htm" TargetMode="External"/><Relationship Id="rId46" Type="http://schemas.openxmlformats.org/officeDocument/2006/relationships/hyperlink" Target="https://www.sec.gov/ix?doc=/Archives/edgar/data/0000829224/000082922422000039/sbux-20220703.htm" TargetMode="External"/><Relationship Id="rId67" Type="http://schemas.openxmlformats.org/officeDocument/2006/relationships/hyperlink" Target="https://www.sec.gov/ix?doc=/Archives/edgar/data/0000829224/000082922422000039/sbux-20220703.htm" TargetMode="External"/><Relationship Id="rId116" Type="http://schemas.openxmlformats.org/officeDocument/2006/relationships/hyperlink" Target="https://www.sec.gov/ix?doc=/Archives/edgar/data/0000829224/000082922422000039/sbux-20220703.htm" TargetMode="External"/><Relationship Id="rId137" Type="http://schemas.openxmlformats.org/officeDocument/2006/relationships/hyperlink" Target="https://www.sec.gov/ix?doc=/Archives/edgar/data/0000829224/000082922422000039/sbux-20220703.htm" TargetMode="External"/><Relationship Id="rId158" Type="http://schemas.openxmlformats.org/officeDocument/2006/relationships/hyperlink" Target="https://www.sec.gov/ix?doc=/Archives/edgar/data/0000829224/000082922422000039/sbux-20220703.htm" TargetMode="External"/><Relationship Id="rId20" Type="http://schemas.openxmlformats.org/officeDocument/2006/relationships/hyperlink" Target="https://www.sec.gov/ix?doc=/Archives/edgar/data/0000829224/000082922422000039/sbux-20220703.htm" TargetMode="External"/><Relationship Id="rId41" Type="http://schemas.openxmlformats.org/officeDocument/2006/relationships/hyperlink" Target="https://www.sec.gov/ix?doc=/Archives/edgar/data/0000829224/000082922422000039/sbux-20220703.htm" TargetMode="External"/><Relationship Id="rId62" Type="http://schemas.openxmlformats.org/officeDocument/2006/relationships/hyperlink" Target="https://www.sec.gov/ix?doc=/Archives/edgar/data/0000829224/000082922422000039/sbux-20220703.htm" TargetMode="External"/><Relationship Id="rId83" Type="http://schemas.openxmlformats.org/officeDocument/2006/relationships/hyperlink" Target="https://www.sec.gov/ix?doc=/Archives/edgar/data/0000829224/000082922422000039/sbux-20220703.htm" TargetMode="External"/><Relationship Id="rId88" Type="http://schemas.openxmlformats.org/officeDocument/2006/relationships/hyperlink" Target="https://www.sec.gov/ix?doc=/Archives/edgar/data/0000829224/000082922422000039/sbux-20220703.htm" TargetMode="External"/><Relationship Id="rId111" Type="http://schemas.openxmlformats.org/officeDocument/2006/relationships/hyperlink" Target="https://www.sec.gov/ix?doc=/Archives/edgar/data/0000829224/000082922422000039/sbux-20220703.htm" TargetMode="External"/><Relationship Id="rId132" Type="http://schemas.openxmlformats.org/officeDocument/2006/relationships/hyperlink" Target="https://www.sec.gov/ix?doc=/Archives/edgar/data/0000829224/000082922422000039/sbux-20220703.htm" TargetMode="External"/><Relationship Id="rId153" Type="http://schemas.openxmlformats.org/officeDocument/2006/relationships/hyperlink" Target="https://www.sec.gov/ix?doc=/Archives/edgar/data/0000829224/000082922422000039/sbux-20220703.htm" TargetMode="External"/><Relationship Id="rId174" Type="http://schemas.openxmlformats.org/officeDocument/2006/relationships/hyperlink" Target="https://www.sec.gov/ix?doc=/Archives/edgar/data/0000829224/000082922422000039/sbux-20220703.htm" TargetMode="External"/><Relationship Id="rId179" Type="http://schemas.openxmlformats.org/officeDocument/2006/relationships/hyperlink" Target="https://www.sec.gov/Archives/edgar/data/0000829224/000082922422000039/sbux-732022xexhibit311.htm" TargetMode="External"/><Relationship Id="rId15" Type="http://schemas.openxmlformats.org/officeDocument/2006/relationships/hyperlink" Target="https://www.sec.gov/ix?doc=/Archives/edgar/data/0000829224/000082922422000039/sbux-20220703.htm" TargetMode="External"/><Relationship Id="rId36" Type="http://schemas.openxmlformats.org/officeDocument/2006/relationships/hyperlink" Target="https://www.sec.gov/ix?doc=/Archives/edgar/data/0000829224/000082922422000039/sbux-20220703.htm" TargetMode="External"/><Relationship Id="rId57" Type="http://schemas.openxmlformats.org/officeDocument/2006/relationships/hyperlink" Target="https://www.sec.gov/ix?doc=/Archives/edgar/data/0000829224/000082922422000039/sbux-20220703.htm" TargetMode="External"/><Relationship Id="rId106" Type="http://schemas.openxmlformats.org/officeDocument/2006/relationships/hyperlink" Target="https://www.sec.gov/ix?doc=/Archives/edgar/data/0000829224/000082922422000039/sbux-20220703.htm" TargetMode="External"/><Relationship Id="rId127" Type="http://schemas.openxmlformats.org/officeDocument/2006/relationships/hyperlink" Target="https://www.sec.gov/ix?doc=/Archives/edgar/data/0000829224/000082922422000039/sbux-20220703.htm" TargetMode="External"/><Relationship Id="rId10" Type="http://schemas.openxmlformats.org/officeDocument/2006/relationships/hyperlink" Target="https://www.sec.gov/ix?doc=/Archives/edgar/data/0000829224/000082922422000039/sbux-20220703.htm" TargetMode="External"/><Relationship Id="rId31" Type="http://schemas.openxmlformats.org/officeDocument/2006/relationships/hyperlink" Target="https://www.sec.gov/ix?doc=/Archives/edgar/data/0000829224/000082922422000039/sbux-20220703.htm" TargetMode="External"/><Relationship Id="rId52" Type="http://schemas.openxmlformats.org/officeDocument/2006/relationships/hyperlink" Target="https://www.sec.gov/ix?doc=/Archives/edgar/data/0000829224/000082922422000039/sbux-20220703.htm" TargetMode="External"/><Relationship Id="rId73" Type="http://schemas.openxmlformats.org/officeDocument/2006/relationships/hyperlink" Target="https://www.sec.gov/ix?doc=/Archives/edgar/data/0000829224/000082922422000039/sbux-20220703.htm" TargetMode="External"/><Relationship Id="rId78" Type="http://schemas.openxmlformats.org/officeDocument/2006/relationships/hyperlink" Target="https://www.sec.gov/ix?doc=/Archives/edgar/data/0000829224/000082922422000039/sbux-20220703.htm" TargetMode="External"/><Relationship Id="rId94" Type="http://schemas.openxmlformats.org/officeDocument/2006/relationships/hyperlink" Target="https://www.sec.gov/ix?doc=/Archives/edgar/data/0000829224/000082922422000039/sbux-20220703.htm" TargetMode="External"/><Relationship Id="rId99" Type="http://schemas.openxmlformats.org/officeDocument/2006/relationships/hyperlink" Target="https://www.sec.gov/ix?doc=/Archives/edgar/data/0000829224/000082922422000039/sbux-20220703.htm" TargetMode="External"/><Relationship Id="rId101" Type="http://schemas.openxmlformats.org/officeDocument/2006/relationships/hyperlink" Target="https://www.sec.gov/ix?doc=/Archives/edgar/data/0000829224/000082922422000039/sbux-20220703.htm" TargetMode="External"/><Relationship Id="rId122" Type="http://schemas.openxmlformats.org/officeDocument/2006/relationships/hyperlink" Target="https://www.sec.gov/ix?doc=/Archives/edgar/data/0000829224/000082922422000039/sbux-20220703.htm" TargetMode="External"/><Relationship Id="rId143" Type="http://schemas.openxmlformats.org/officeDocument/2006/relationships/hyperlink" Target="https://www.sec.gov/ix?doc=/Archives/edgar/data/0000829224/000082922422000039/sbux-20220703.htm" TargetMode="External"/><Relationship Id="rId148" Type="http://schemas.openxmlformats.org/officeDocument/2006/relationships/hyperlink" Target="https://www.sec.gov/ix?doc=/Archives/edgar/data/0000829224/000082922422000039/sbux-20220703.htm" TargetMode="External"/><Relationship Id="rId164" Type="http://schemas.openxmlformats.org/officeDocument/2006/relationships/hyperlink" Target="https://www.sec.gov/ix?doc=/Archives/edgar/data/0000829224/000082922422000039/sbux-20220703.htm" TargetMode="External"/><Relationship Id="rId169" Type="http://schemas.openxmlformats.org/officeDocument/2006/relationships/hyperlink" Target="https://www.sec.gov/ix?doc=/Archives/edgar/data/0000829224/000082922422000039/sbux-20220703.htm" TargetMode="External"/><Relationship Id="rId185" Type="http://schemas.openxmlformats.org/officeDocument/2006/relationships/hyperlink" Target="https://www.sec.gov/ix?doc=/Archives/edgar/data/0000829224/000082922422000039/sbux-20220703.htm" TargetMode="External"/><Relationship Id="rId4" Type="http://schemas.openxmlformats.org/officeDocument/2006/relationships/footnotes" Target="footnotes.xml"/><Relationship Id="rId9" Type="http://schemas.openxmlformats.org/officeDocument/2006/relationships/hyperlink" Target="https://www.sec.gov/ix?doc=/Archives/edgar/data/0000829224/000082922422000039/sbux-20220703.htm" TargetMode="External"/><Relationship Id="rId180" Type="http://schemas.openxmlformats.org/officeDocument/2006/relationships/hyperlink" Target="https://www.sec.gov/Archives/edgar/data/0000829224/000082922422000039/sbux-732022xexhibit311.htm" TargetMode="External"/><Relationship Id="rId26" Type="http://schemas.openxmlformats.org/officeDocument/2006/relationships/hyperlink" Target="https://www.sec.gov/ix?doc=/Archives/edgar/data/0000829224/000082922422000039/sbux-20220703.htm" TargetMode="External"/><Relationship Id="rId47" Type="http://schemas.openxmlformats.org/officeDocument/2006/relationships/hyperlink" Target="https://www.sec.gov/ix?doc=/Archives/edgar/data/0000829224/000082922422000039/sbux-20220703.htm" TargetMode="External"/><Relationship Id="rId68" Type="http://schemas.openxmlformats.org/officeDocument/2006/relationships/hyperlink" Target="https://www.sec.gov/ix?doc=/Archives/edgar/data/0000829224/000082922422000039/sbux-20220703.htm" TargetMode="External"/><Relationship Id="rId89" Type="http://schemas.openxmlformats.org/officeDocument/2006/relationships/hyperlink" Target="https://www.sec.gov/ix?doc=/Archives/edgar/data/0000829224/000082922422000039/sbux-20220703.htm" TargetMode="External"/><Relationship Id="rId112" Type="http://schemas.openxmlformats.org/officeDocument/2006/relationships/hyperlink" Target="https://www.sec.gov/ix?doc=/Archives/edgar/data/0000829224/000082922422000039/sbux-20220703.htm" TargetMode="External"/><Relationship Id="rId133" Type="http://schemas.openxmlformats.org/officeDocument/2006/relationships/hyperlink" Target="https://www.sec.gov/ix?doc=/Archives/edgar/data/0000829224/000082922422000039/sbux-20220703.htm" TargetMode="External"/><Relationship Id="rId154" Type="http://schemas.openxmlformats.org/officeDocument/2006/relationships/hyperlink" Target="https://www.sec.gov/ix?doc=/Archives/edgar/data/0000829224/000082922422000039/sbux-20220703.htm" TargetMode="External"/><Relationship Id="rId175" Type="http://schemas.openxmlformats.org/officeDocument/2006/relationships/hyperlink" Target="http://www.sec.gov/Archives/edgar/data/829224/000082922415000017/sbux-3292015xexhibit31.htm" TargetMode="External"/><Relationship Id="rId16" Type="http://schemas.openxmlformats.org/officeDocument/2006/relationships/hyperlink" Target="https://www.sec.gov/ix?doc=/Archives/edgar/data/0000829224/000082922422000039/sbux-20220703.htm" TargetMode="External"/><Relationship Id="rId37" Type="http://schemas.openxmlformats.org/officeDocument/2006/relationships/hyperlink" Target="https://www.sec.gov/ix?doc=/Archives/edgar/data/0000829224/000082922422000039/sbux-20220703.htm" TargetMode="External"/><Relationship Id="rId58" Type="http://schemas.openxmlformats.org/officeDocument/2006/relationships/hyperlink" Target="https://www.sec.gov/ix?doc=/Archives/edgar/data/0000829224/000082922422000039/sbux-20220703.htm" TargetMode="External"/><Relationship Id="rId79" Type="http://schemas.openxmlformats.org/officeDocument/2006/relationships/hyperlink" Target="https://www.sec.gov/ix?doc=/Archives/edgar/data/0000829224/000082922422000039/sbux-20220703.htm" TargetMode="External"/><Relationship Id="rId102" Type="http://schemas.openxmlformats.org/officeDocument/2006/relationships/hyperlink" Target="https://www.sec.gov/ix?doc=/Archives/edgar/data/0000829224/000082922422000039/sbux-20220703.htm" TargetMode="External"/><Relationship Id="rId123" Type="http://schemas.openxmlformats.org/officeDocument/2006/relationships/hyperlink" Target="https://www.sec.gov/ix?doc=/Archives/edgar/data/0000829224/000082922422000039/sbux-20220703.htm" TargetMode="External"/><Relationship Id="rId144" Type="http://schemas.openxmlformats.org/officeDocument/2006/relationships/hyperlink" Target="https://www.sec.gov/ix?doc=/Archives/edgar/data/0000829224/000082922422000039/sbux-20220703.htm" TargetMode="External"/><Relationship Id="rId90" Type="http://schemas.openxmlformats.org/officeDocument/2006/relationships/hyperlink" Target="https://www.sec.gov/ix?doc=/Archives/edgar/data/0000829224/000082922422000039/sbux-20220703.htm" TargetMode="External"/><Relationship Id="rId165" Type="http://schemas.openxmlformats.org/officeDocument/2006/relationships/hyperlink" Target="https://www.sec.gov/ix?doc=/Archives/edgar/data/0000829224/000082922422000039/sbux-20220703.htm" TargetMode="External"/><Relationship Id="rId186" Type="http://schemas.openxmlformats.org/officeDocument/2006/relationships/hyperlink" Target="https://www.sec.gov/ix?doc=/Archives/edgar/data/0000829224/000082922422000039/sbux-20220703.htm" TargetMode="External"/><Relationship Id="rId27" Type="http://schemas.openxmlformats.org/officeDocument/2006/relationships/hyperlink" Target="https://www.sec.gov/ix?doc=/Archives/edgar/data/0000829224/000082922422000039/sbux-20220703.htm" TargetMode="External"/><Relationship Id="rId48" Type="http://schemas.openxmlformats.org/officeDocument/2006/relationships/hyperlink" Target="https://www.sec.gov/ix?doc=/Archives/edgar/data/0000829224/000082922422000039/sbux-20220703.htm" TargetMode="External"/><Relationship Id="rId69" Type="http://schemas.openxmlformats.org/officeDocument/2006/relationships/hyperlink" Target="https://www.sec.gov/ix?doc=/Archives/edgar/data/0000829224/000082922422000039/sbux-20220703.htm" TargetMode="External"/><Relationship Id="rId113" Type="http://schemas.openxmlformats.org/officeDocument/2006/relationships/hyperlink" Target="https://www.sec.gov/ix?doc=/Archives/edgar/data/0000829224/000082922422000039/sbux-20220703.htm" TargetMode="External"/><Relationship Id="rId134" Type="http://schemas.openxmlformats.org/officeDocument/2006/relationships/hyperlink" Target="https://www.sec.gov/ix?doc=/Archives/edgar/data/0000829224/000082922422000039/sbux-20220703.htm" TargetMode="External"/><Relationship Id="rId80" Type="http://schemas.openxmlformats.org/officeDocument/2006/relationships/hyperlink" Target="https://www.sec.gov/ix?doc=/Archives/edgar/data/0000829224/000082922422000039/sbux-20220703.htm" TargetMode="External"/><Relationship Id="rId155" Type="http://schemas.openxmlformats.org/officeDocument/2006/relationships/hyperlink" Target="https://www.sec.gov/ix?doc=/Archives/edgar/data/0000829224/000082922422000039/sbux-20220703.htm" TargetMode="External"/><Relationship Id="rId176" Type="http://schemas.openxmlformats.org/officeDocument/2006/relationships/hyperlink" Target="http://www.sec.gov/Archives/edgar/data/829224/000082922415000017/sbux-3292015xexhibit31.htm" TargetMode="External"/><Relationship Id="rId17" Type="http://schemas.openxmlformats.org/officeDocument/2006/relationships/hyperlink" Target="https://www.sec.gov/ix?doc=/Archives/edgar/data/0000829224/000082922422000039/sbux-20220703.htm" TargetMode="External"/><Relationship Id="rId38" Type="http://schemas.openxmlformats.org/officeDocument/2006/relationships/hyperlink" Target="https://www.sec.gov/ix?doc=/Archives/edgar/data/0000829224/000082922422000039/sbux-20220703.htm" TargetMode="External"/><Relationship Id="rId59" Type="http://schemas.openxmlformats.org/officeDocument/2006/relationships/hyperlink" Target="https://www.sec.gov/ix?doc=/Archives/edgar/data/0000829224/000082922422000039/sbux-20220703.htm" TargetMode="External"/><Relationship Id="rId103" Type="http://schemas.openxmlformats.org/officeDocument/2006/relationships/hyperlink" Target="https://www.sec.gov/ix?doc=/Archives/edgar/data/0000829224/000082922422000039/sbux-20220703.htm" TargetMode="External"/><Relationship Id="rId124" Type="http://schemas.openxmlformats.org/officeDocument/2006/relationships/hyperlink" Target="https://www.sec.gov/ix?doc=/Archives/edgar/data/0000829224/000082922422000039/sbux-20220703.htm" TargetMode="External"/><Relationship Id="rId70" Type="http://schemas.openxmlformats.org/officeDocument/2006/relationships/hyperlink" Target="https://www.sec.gov/ix?doc=/Archives/edgar/data/0000829224/000082922422000039/sbux-20220703.htm" TargetMode="External"/><Relationship Id="rId91" Type="http://schemas.openxmlformats.org/officeDocument/2006/relationships/hyperlink" Target="https://www.sec.gov/ix?doc=/Archives/edgar/data/0000829224/000082922422000039/sbux-20220703.htm" TargetMode="External"/><Relationship Id="rId145" Type="http://schemas.openxmlformats.org/officeDocument/2006/relationships/hyperlink" Target="https://www.sec.gov/ix?doc=/Archives/edgar/data/0000829224/000082922422000039/sbux-20220703.htm" TargetMode="External"/><Relationship Id="rId166" Type="http://schemas.openxmlformats.org/officeDocument/2006/relationships/hyperlink" Target="https://www.sec.gov/ix?doc=/Archives/edgar/data/0000829224/000082922422000039/sbux-20220703.htm" TargetMode="External"/><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hyperlink" Target="https://www.sec.gov/ix?doc=/Archives/edgar/data/0000829224/000082922422000039/sbux-20220703.htm" TargetMode="External"/><Relationship Id="rId49" Type="http://schemas.openxmlformats.org/officeDocument/2006/relationships/hyperlink" Target="https://www.sec.gov/ix?doc=/Archives/edgar/data/0000829224/000082922422000039/sbux-20220703.htm" TargetMode="External"/><Relationship Id="rId114" Type="http://schemas.openxmlformats.org/officeDocument/2006/relationships/hyperlink" Target="https://www.sec.gov/ix?doc=/Archives/edgar/data/0000829224/000082922422000039/sbux-20220703.htm" TargetMode="External"/><Relationship Id="rId60" Type="http://schemas.openxmlformats.org/officeDocument/2006/relationships/hyperlink" Target="https://www.sec.gov/ix?doc=/Archives/edgar/data/0000829224/000082922422000039/sbux-20220703.htm" TargetMode="External"/><Relationship Id="rId81" Type="http://schemas.openxmlformats.org/officeDocument/2006/relationships/hyperlink" Target="https://www.sec.gov/ix?doc=/Archives/edgar/data/0000829224/000082922422000039/sbux-20220703.htm" TargetMode="External"/><Relationship Id="rId135" Type="http://schemas.openxmlformats.org/officeDocument/2006/relationships/hyperlink" Target="https://www.sec.gov/ix?doc=/Archives/edgar/data/0000829224/000082922422000039/sbux-20220703.htm" TargetMode="External"/><Relationship Id="rId156" Type="http://schemas.openxmlformats.org/officeDocument/2006/relationships/hyperlink" Target="https://www.sec.gov/ix?doc=/Archives/edgar/data/0000829224/000082922422000039/sbux-20220703.htm" TargetMode="External"/><Relationship Id="rId177" Type="http://schemas.openxmlformats.org/officeDocument/2006/relationships/hyperlink" Target="http://www.sec.gov/Archives/edgar/data/829224/000119312521087492/d152191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24310</Words>
  <Characters>138573</Characters>
  <Application>Microsoft Office Word</Application>
  <DocSecurity>0</DocSecurity>
  <Lines>1154</Lines>
  <Paragraphs>325</Paragraphs>
  <ScaleCrop>false</ScaleCrop>
  <Company/>
  <LinksUpToDate>false</LinksUpToDate>
  <CharactersWithSpaces>162558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3E38C88F508F86B36AAAE7630102DD84</vt:lpwstr>
  </property>
</Properties>
</file>